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7.xml" ContentType="application/vnd.openxmlformats-officedocument.wordprocessingml.head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EastAsia" w:hAnsi="Arial" w:cs="Arial"/>
          <w:color w:val="auto"/>
          <w:sz w:val="22"/>
          <w:szCs w:val="22"/>
          <w:lang w:val="en-AU" w:eastAsia="en-AU"/>
        </w:rPr>
        <w:id w:val="61211214"/>
        <w:docPartObj>
          <w:docPartGallery w:val="Cover Pages"/>
          <w:docPartUnique/>
        </w:docPartObj>
      </w:sdtPr>
      <w:sdtEndPr>
        <w:rPr>
          <w:rFonts w:ascii="Sommet" w:eastAsia="MetaPlusNormal-Roman" w:hAnsi="Sommet" w:cs="MetaPlusNormal-Roman"/>
          <w:color w:val="000000"/>
          <w:sz w:val="28"/>
          <w:szCs w:val="30"/>
          <w:lang w:val="en-US" w:eastAsia="en-US"/>
        </w:rPr>
      </w:sdtEndPr>
      <w:sdtContent>
        <w:p w:rsidR="00FB0FB9" w:rsidRPr="00F157EE" w:rsidRDefault="00FB0FB9" w:rsidP="00C75E55">
          <w:pPr>
            <w:pStyle w:val="Reporttitle"/>
            <w:spacing w:before="1440"/>
            <w:ind w:right="0"/>
            <w:rPr>
              <w:lang w:val="en-AU"/>
            </w:rPr>
          </w:pPr>
          <w:r w:rsidRPr="00F157EE">
            <w:rPr>
              <w:lang w:val="en-AU"/>
            </w:rPr>
            <w:t xml:space="preserve">Evaluating New Income Management in the Northern Territory: </w:t>
          </w:r>
          <w:r w:rsidR="008411D0">
            <w:rPr>
              <w:lang w:val="en-AU"/>
            </w:rPr>
            <w:br/>
          </w:r>
          <w:r w:rsidRPr="00F157EE">
            <w:rPr>
              <w:lang w:val="en-AU"/>
            </w:rPr>
            <w:t>Final Evaluation Report</w:t>
          </w:r>
        </w:p>
        <w:p w:rsidR="00345D93" w:rsidRDefault="00345D93" w:rsidP="00BC7257">
          <w:pPr>
            <w:pStyle w:val="ReportAuthors"/>
            <w:tabs>
              <w:tab w:val="center" w:pos="4178"/>
            </w:tabs>
            <w:spacing w:before="3000"/>
            <w:rPr>
              <w:lang w:val="en-AU"/>
            </w:rPr>
          </w:pPr>
          <w:r>
            <w:rPr>
              <w:lang w:val="en-AU"/>
            </w:rPr>
            <w:t>September</w:t>
          </w:r>
          <w:r w:rsidR="00FB0FB9" w:rsidRPr="00F157EE">
            <w:rPr>
              <w:lang w:val="en-AU"/>
            </w:rPr>
            <w:t xml:space="preserve"> 2014 </w:t>
          </w:r>
          <w:bookmarkStart w:id="0" w:name="_GoBack"/>
          <w:bookmarkEnd w:id="0"/>
        </w:p>
        <w:p w:rsidR="00FB0FB9" w:rsidRPr="00FE502F" w:rsidRDefault="00FB0FB9" w:rsidP="008605CA">
          <w:pPr>
            <w:pStyle w:val="ReportAuthors"/>
            <w:spacing w:before="1520"/>
          </w:pPr>
          <w:r w:rsidRPr="00F157EE">
            <w:rPr>
              <w:lang w:val="en-AU"/>
            </w:rPr>
            <w:t>J Rob Bray, Matthew Gray, Kelly Hand and Ilan Katz</w:t>
          </w:r>
        </w:p>
      </w:sdtContent>
    </w:sdt>
    <w:p w:rsidR="00FB0FB9" w:rsidRPr="009655C3" w:rsidRDefault="00FB0FB9" w:rsidP="006654AE">
      <w:pPr>
        <w:spacing w:line="276" w:lineRule="auto"/>
        <w:jc w:val="left"/>
      </w:pPr>
      <w:r w:rsidRPr="009655C3">
        <w:t xml:space="preserve"> </w:t>
      </w:r>
      <w:r w:rsidRPr="009655C3">
        <w:br w:type="page"/>
      </w:r>
    </w:p>
    <w:p w:rsidR="000B62BB" w:rsidRDefault="006D10E7" w:rsidP="006654AE">
      <w:pPr>
        <w:pStyle w:val="BodyText"/>
        <w:spacing w:before="3600" w:line="240" w:lineRule="auto"/>
        <w:ind w:firstLine="0"/>
        <w:jc w:val="left"/>
        <w:rPr>
          <w:rFonts w:ascii="Garamond" w:eastAsiaTheme="minorEastAsia" w:hAnsi="Garamond" w:cstheme="minorBidi"/>
          <w:noProof w:val="0"/>
          <w:sz w:val="18"/>
          <w:szCs w:val="18"/>
          <w:lang w:val="en-AU" w:eastAsia="en-AU"/>
        </w:rPr>
      </w:pPr>
      <w:r>
        <w:rPr>
          <w:rFonts w:ascii="Garamond" w:eastAsiaTheme="minorEastAsia" w:hAnsi="Garamond" w:cstheme="minorBidi"/>
          <w:noProof w:val="0"/>
          <w:sz w:val="18"/>
          <w:szCs w:val="18"/>
          <w:lang w:val="en-AU" w:eastAsia="en-AU"/>
        </w:rPr>
        <w:lastRenderedPageBreak/>
        <w:t>This document has been prepared in accordance with web accessibility guidelines. Therefore the presentation of the content may differ slightly to the PDF version of the report.</w:t>
      </w:r>
      <w:r w:rsidR="00693F84">
        <w:rPr>
          <w:rFonts w:ascii="Garamond" w:eastAsiaTheme="minorEastAsia" w:hAnsi="Garamond" w:cstheme="minorBidi"/>
          <w:noProof w:val="0"/>
          <w:sz w:val="18"/>
          <w:szCs w:val="18"/>
          <w:lang w:val="en-AU" w:eastAsia="en-AU"/>
        </w:rPr>
        <w:t xml:space="preserve"> </w:t>
      </w:r>
      <w:r w:rsidR="00693F84" w:rsidRPr="00693F84">
        <w:rPr>
          <w:rFonts w:ascii="Garamond" w:eastAsiaTheme="minorEastAsia" w:hAnsi="Garamond" w:cstheme="minorBidi"/>
          <w:noProof w:val="0"/>
          <w:sz w:val="18"/>
          <w:szCs w:val="18"/>
          <w:lang w:val="en-AU" w:eastAsia="en-AU"/>
        </w:rPr>
        <w:t>In particular some of the more complex tables have had to be changed to accommodate disability access.  However</w:t>
      </w:r>
      <w:r w:rsidR="00693F84">
        <w:rPr>
          <w:rFonts w:ascii="Garamond" w:eastAsiaTheme="minorEastAsia" w:hAnsi="Garamond" w:cstheme="minorBidi"/>
          <w:noProof w:val="0"/>
          <w:sz w:val="18"/>
          <w:szCs w:val="18"/>
          <w:lang w:val="en-AU" w:eastAsia="en-AU"/>
        </w:rPr>
        <w:t>,</w:t>
      </w:r>
      <w:r w:rsidR="00693F84" w:rsidRPr="00693F84">
        <w:rPr>
          <w:rFonts w:ascii="Garamond" w:eastAsiaTheme="minorEastAsia" w:hAnsi="Garamond" w:cstheme="minorBidi"/>
          <w:noProof w:val="0"/>
          <w:sz w:val="18"/>
          <w:szCs w:val="18"/>
          <w:lang w:val="en-AU" w:eastAsia="en-AU"/>
        </w:rPr>
        <w:t xml:space="preserve"> the content itself is identical in both versions.</w:t>
      </w:r>
    </w:p>
    <w:p w:rsidR="00434740" w:rsidRPr="00662313" w:rsidRDefault="00434740" w:rsidP="006654AE">
      <w:pPr>
        <w:pStyle w:val="BodyText"/>
        <w:spacing w:before="58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For further information</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Ilan Katz (ilan.katz@unsw.edu.au) </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Social Policy Research Centre</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Level 2, John Goodsell Building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Arts &amp; Social Sciences</w:t>
      </w:r>
    </w:p>
    <w:p w:rsidR="00434740" w:rsidRPr="00662313" w:rsidRDefault="00434740" w:rsidP="006654AE">
      <w:pPr>
        <w:pStyle w:val="BodyText"/>
        <w:spacing w:line="240" w:lineRule="auto"/>
        <w:ind w:firstLine="0"/>
        <w:jc w:val="left"/>
        <w:rPr>
          <w:rFonts w:ascii="Garamond" w:eastAsiaTheme="minorEastAsia" w:hAnsi="Garamond" w:cstheme="minorBidi"/>
          <w:b/>
          <w:noProof w:val="0"/>
          <w:sz w:val="18"/>
          <w:szCs w:val="18"/>
          <w:lang w:val="en-AU" w:eastAsia="en-AU"/>
        </w:rPr>
      </w:pPr>
      <w:r w:rsidRPr="00662313">
        <w:rPr>
          <w:rFonts w:ascii="Garamond" w:eastAsiaTheme="minorEastAsia" w:hAnsi="Garamond" w:cstheme="minorBidi"/>
          <w:noProof w:val="0"/>
          <w:sz w:val="18"/>
          <w:szCs w:val="18"/>
          <w:lang w:val="en-AU" w:eastAsia="en-AU"/>
        </w:rPr>
        <w:t>UNSW Australia</w:t>
      </w:r>
      <w:r w:rsidRPr="00662313">
        <w:rPr>
          <w:rFonts w:ascii="Garamond" w:eastAsiaTheme="minorEastAsia" w:hAnsi="Garamond" w:cstheme="minorBidi"/>
          <w:b/>
          <w:noProof w:val="0"/>
          <w:sz w:val="18"/>
          <w:szCs w:val="18"/>
          <w:lang w:val="en-AU" w:eastAsia="en-AU"/>
        </w:rPr>
        <w:t xml:space="preserve">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UNSW Sydney 2052 Australia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t  +</w:t>
      </w:r>
      <w:proofErr w:type="gramEnd"/>
      <w:r w:rsidRPr="00662313">
        <w:rPr>
          <w:rFonts w:ascii="Garamond" w:eastAsiaTheme="minorEastAsia" w:hAnsi="Garamond" w:cstheme="minorBidi"/>
          <w:noProof w:val="0"/>
          <w:sz w:val="18"/>
          <w:szCs w:val="18"/>
          <w:lang w:val="en-AU" w:eastAsia="en-AU"/>
        </w:rPr>
        <w:t xml:space="preserve">61(2) 9385 7800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f  +</w:t>
      </w:r>
      <w:proofErr w:type="gramEnd"/>
      <w:r w:rsidRPr="00662313">
        <w:rPr>
          <w:rFonts w:ascii="Garamond" w:eastAsiaTheme="minorEastAsia" w:hAnsi="Garamond" w:cstheme="minorBidi"/>
          <w:noProof w:val="0"/>
          <w:sz w:val="18"/>
          <w:szCs w:val="18"/>
          <w:lang w:val="en-AU" w:eastAsia="en-AU"/>
        </w:rPr>
        <w:t xml:space="preserve">61(2) 9385 7838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e  sprc@unsw.edu.au</w:t>
      </w:r>
      <w:proofErr w:type="gramEnd"/>
      <w:r w:rsidRPr="00662313">
        <w:rPr>
          <w:rFonts w:ascii="Garamond" w:eastAsiaTheme="minorEastAsia" w:hAnsi="Garamond" w:cstheme="minorBidi"/>
          <w:noProof w:val="0"/>
          <w:sz w:val="18"/>
          <w:szCs w:val="18"/>
          <w:lang w:val="en-AU" w:eastAsia="en-AU"/>
        </w:rPr>
        <w:t xml:space="preserve">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w  www.sprc.unsw.edu.au</w:t>
      </w:r>
      <w:proofErr w:type="gramEnd"/>
      <w:r w:rsidRPr="00662313">
        <w:rPr>
          <w:rFonts w:ascii="Garamond" w:eastAsiaTheme="minorEastAsia" w:hAnsi="Garamond" w:cstheme="minorBidi"/>
          <w:noProof w:val="0"/>
          <w:sz w:val="18"/>
          <w:szCs w:val="18"/>
          <w:lang w:val="en-AU" w:eastAsia="en-AU"/>
        </w:rPr>
        <w:t xml:space="preserve"> </w:t>
      </w:r>
    </w:p>
    <w:p w:rsidR="00434740" w:rsidRPr="00662313" w:rsidRDefault="00434740" w:rsidP="006654AE">
      <w:pPr>
        <w:pStyle w:val="BodyText"/>
        <w:spacing w:before="72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ISSN: 1446-4179</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ISBN: </w:t>
      </w:r>
      <w:r w:rsidR="00EF1D73" w:rsidRPr="00EF1D73">
        <w:rPr>
          <w:rFonts w:ascii="Garamond" w:eastAsiaTheme="minorEastAsia" w:hAnsi="Garamond" w:cstheme="minorBidi"/>
          <w:noProof w:val="0"/>
          <w:sz w:val="18"/>
          <w:szCs w:val="18"/>
          <w:lang w:val="en-AU" w:eastAsia="en-AU"/>
        </w:rPr>
        <w:t xml:space="preserve">978-1-925218-25-1 </w:t>
      </w:r>
      <w:r w:rsidRPr="00662313">
        <w:rPr>
          <w:rFonts w:ascii="Garamond" w:eastAsiaTheme="minorEastAsia" w:hAnsi="Garamond" w:cstheme="minorBidi"/>
          <w:noProof w:val="0"/>
          <w:sz w:val="18"/>
          <w:szCs w:val="18"/>
          <w:lang w:val="en-AU" w:eastAsia="en-AU"/>
        </w:rPr>
        <w:t>(online)</w:t>
      </w:r>
    </w:p>
    <w:p w:rsidR="00434740" w:rsidRPr="00662313" w:rsidRDefault="00EF1D73" w:rsidP="006654AE">
      <w:pPr>
        <w:pStyle w:val="BodyText"/>
        <w:spacing w:line="240" w:lineRule="auto"/>
        <w:ind w:firstLine="0"/>
        <w:jc w:val="left"/>
        <w:rPr>
          <w:rFonts w:ascii="Garamond" w:eastAsiaTheme="minorEastAsia" w:hAnsi="Garamond" w:cstheme="minorBidi"/>
          <w:noProof w:val="0"/>
          <w:sz w:val="18"/>
          <w:szCs w:val="18"/>
          <w:lang w:val="en-AU" w:eastAsia="en-AU"/>
        </w:rPr>
      </w:pPr>
      <w:r>
        <w:rPr>
          <w:rFonts w:ascii="Garamond" w:eastAsiaTheme="minorEastAsia" w:hAnsi="Garamond" w:cstheme="minorBidi"/>
          <w:noProof w:val="0"/>
          <w:sz w:val="18"/>
          <w:szCs w:val="18"/>
          <w:lang w:val="en-AU" w:eastAsia="en-AU"/>
        </w:rPr>
        <w:t>SPRC Report 25</w:t>
      </w:r>
      <w:r w:rsidR="00434740" w:rsidRPr="00662313">
        <w:rPr>
          <w:rFonts w:ascii="Garamond" w:eastAsiaTheme="minorEastAsia" w:hAnsi="Garamond" w:cstheme="minorBidi"/>
          <w:noProof w:val="0"/>
          <w:sz w:val="18"/>
          <w:szCs w:val="18"/>
          <w:lang w:val="en-AU" w:eastAsia="en-AU"/>
        </w:rPr>
        <w:t xml:space="preserve">/2014 </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The Social Policy Research Centre is based in Arts &amp; Social Sciences at UNSW Australia. This report is an output of the </w:t>
      </w:r>
      <w:hyperlink r:id="rId9" w:history="1">
        <w:r w:rsidRPr="00EF1D73">
          <w:rPr>
            <w:rStyle w:val="Hyperlink"/>
            <w:rFonts w:ascii="Garamond" w:eastAsiaTheme="minorEastAsia" w:hAnsi="Garamond" w:cstheme="minorBidi"/>
            <w:noProof w:val="0"/>
            <w:sz w:val="18"/>
            <w:szCs w:val="18"/>
            <w:lang w:val="en-AU" w:eastAsia="en-AU"/>
          </w:rPr>
          <w:t>Evaluation of New Income Management in the Northern Territory project</w:t>
        </w:r>
      </w:hyperlink>
      <w:r w:rsidRPr="00662313">
        <w:rPr>
          <w:rFonts w:ascii="Garamond" w:eastAsiaTheme="minorEastAsia" w:hAnsi="Garamond" w:cstheme="minorBidi"/>
          <w:noProof w:val="0"/>
          <w:sz w:val="18"/>
          <w:szCs w:val="18"/>
          <w:lang w:val="en-AU" w:eastAsia="en-AU"/>
        </w:rPr>
        <w:t>, funded by the Australian Government Department of Social Services.</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Suggested citation</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Bray, J. R., Gray, M., Hand, K., &amp; Katz, I. (2014).</w:t>
      </w:r>
      <w:proofErr w:type="gramEnd"/>
      <w:r w:rsidRPr="00662313">
        <w:rPr>
          <w:rFonts w:ascii="Garamond" w:eastAsiaTheme="minorEastAsia" w:hAnsi="Garamond" w:cstheme="minorBidi"/>
          <w:noProof w:val="0"/>
          <w:sz w:val="18"/>
          <w:szCs w:val="18"/>
          <w:lang w:val="en-AU" w:eastAsia="en-AU"/>
        </w:rPr>
        <w:t xml:space="preserve"> </w:t>
      </w:r>
      <w:r w:rsidRPr="00662313">
        <w:rPr>
          <w:rFonts w:ascii="Garamond" w:eastAsiaTheme="minorEastAsia" w:hAnsi="Garamond" w:cstheme="minorBidi"/>
          <w:i/>
          <w:noProof w:val="0"/>
          <w:sz w:val="18"/>
          <w:szCs w:val="18"/>
          <w:lang w:val="en-AU" w:eastAsia="en-AU"/>
        </w:rPr>
        <w:t>Evaluating New Income Management in the Northern Territory: Final Evaluation Report</w:t>
      </w:r>
      <w:r w:rsidR="00EF1D73">
        <w:rPr>
          <w:rFonts w:ascii="Garamond" w:eastAsiaTheme="minorEastAsia" w:hAnsi="Garamond" w:cstheme="minorBidi"/>
          <w:noProof w:val="0"/>
          <w:sz w:val="18"/>
          <w:szCs w:val="18"/>
          <w:lang w:val="en-AU" w:eastAsia="en-AU"/>
        </w:rPr>
        <w:t xml:space="preserve"> (SPRC Report 25</w:t>
      </w:r>
      <w:r w:rsidRPr="00662313">
        <w:rPr>
          <w:rFonts w:ascii="Garamond" w:eastAsiaTheme="minorEastAsia" w:hAnsi="Garamond" w:cstheme="minorBidi"/>
          <w:noProof w:val="0"/>
          <w:sz w:val="18"/>
          <w:szCs w:val="18"/>
          <w:lang w:val="en-AU" w:eastAsia="en-AU"/>
        </w:rPr>
        <w:t xml:space="preserve">/2014). Sydney: Social Policy Research Centre, UNSW Australia. </w:t>
      </w:r>
    </w:p>
    <w:p w:rsidR="00C13362" w:rsidRPr="00662313" w:rsidRDefault="00C13362" w:rsidP="006654AE">
      <w:pPr>
        <w:pStyle w:val="BodyText"/>
        <w:spacing w:before="720" w:line="240" w:lineRule="auto"/>
        <w:ind w:firstLine="0"/>
        <w:jc w:val="left"/>
        <w:rPr>
          <w:rFonts w:ascii="Garamond" w:hAnsi="Garamond"/>
          <w:noProof w:val="0"/>
          <w:lang w:val="en-AU"/>
        </w:rPr>
      </w:pPr>
      <w:r w:rsidRPr="00662313">
        <w:rPr>
          <w:rFonts w:ascii="Garamond" w:hAnsi="Garamond"/>
          <w:noProof w:val="0"/>
          <w:lang w:val="en-AU"/>
        </w:rPr>
        <w:t>Disclaimer:</w:t>
      </w:r>
      <w:r w:rsidR="00B84AFE" w:rsidRPr="00662313">
        <w:rPr>
          <w:rFonts w:ascii="Garamond" w:hAnsi="Garamond"/>
          <w:noProof w:val="0"/>
          <w:lang w:val="en-AU"/>
        </w:rPr>
        <w:t xml:space="preserve"> </w:t>
      </w:r>
      <w:r w:rsidRPr="00662313">
        <w:rPr>
          <w:rFonts w:ascii="Garamond" w:hAnsi="Garamond"/>
          <w:noProof w:val="0"/>
          <w:lang w:val="en-AU"/>
        </w:rPr>
        <w:t>The views expressed in this report are those of the authors and may not reflect those of the Department of</w:t>
      </w:r>
      <w:r w:rsidR="00461D2F" w:rsidRPr="00662313">
        <w:rPr>
          <w:rFonts w:ascii="Garamond" w:hAnsi="Garamond"/>
          <w:noProof w:val="0"/>
          <w:lang w:val="en-AU"/>
        </w:rPr>
        <w:t xml:space="preserve"> Social Services or</w:t>
      </w:r>
      <w:r w:rsidRPr="00662313">
        <w:rPr>
          <w:rFonts w:ascii="Garamond" w:hAnsi="Garamond"/>
          <w:noProof w:val="0"/>
          <w:lang w:val="en-AU"/>
        </w:rPr>
        <w:t xml:space="preserve"> the Australian Institute of Family Studies</w:t>
      </w:r>
      <w:r w:rsidR="00461D2F" w:rsidRPr="00662313">
        <w:rPr>
          <w:rFonts w:ascii="Garamond" w:hAnsi="Garamond"/>
          <w:noProof w:val="0"/>
          <w:lang w:val="en-AU"/>
        </w:rPr>
        <w:t>.</w:t>
      </w:r>
    </w:p>
    <w:p w:rsidR="001D11BD" w:rsidRPr="00FE502F" w:rsidRDefault="001D11BD" w:rsidP="006654AE">
      <w:pPr>
        <w:spacing w:line="276" w:lineRule="auto"/>
        <w:jc w:val="left"/>
      </w:pPr>
    </w:p>
    <w:p w:rsidR="00FB0FB9" w:rsidRPr="00DF38B2" w:rsidRDefault="00FB0FB9" w:rsidP="006654AE">
      <w:pPr>
        <w:spacing w:line="276" w:lineRule="auto"/>
        <w:jc w:val="left"/>
        <w:sectPr w:rsidR="00FB0FB9" w:rsidRPr="00DF38B2" w:rsidSect="00C75E55">
          <w:headerReference w:type="default" r:id="rId10"/>
          <w:footerReference w:type="default" r:id="rId11"/>
          <w:headerReference w:type="first" r:id="rId12"/>
          <w:footerReference w:type="first" r:id="rId13"/>
          <w:pgSz w:w="11906" w:h="16838" w:code="9"/>
          <w:pgMar w:top="680" w:right="1701" w:bottom="1134" w:left="1701" w:header="142" w:footer="811" w:gutter="0"/>
          <w:cols w:space="708"/>
          <w:titlePg/>
          <w:docGrid w:linePitch="360"/>
        </w:sectPr>
      </w:pPr>
    </w:p>
    <w:p w:rsidR="00C13362" w:rsidRPr="00DF38B2" w:rsidRDefault="00C13362" w:rsidP="006654AE">
      <w:pPr>
        <w:pStyle w:val="pretitle"/>
      </w:pPr>
      <w:bookmarkStart w:id="1" w:name="_Toc403738944"/>
      <w:r w:rsidRPr="00DF38B2">
        <w:lastRenderedPageBreak/>
        <w:t xml:space="preserve">Research </w:t>
      </w:r>
      <w:r w:rsidRPr="002B019F">
        <w:t>Team</w:t>
      </w:r>
      <w:bookmarkEnd w:id="1"/>
      <w:r w:rsidRPr="00DF38B2">
        <w:t xml:space="preserve"> </w:t>
      </w:r>
    </w:p>
    <w:p w:rsidR="00C13362" w:rsidRPr="00CB5352" w:rsidRDefault="00C13362" w:rsidP="00CB5352">
      <w:pPr>
        <w:spacing w:before="1920" w:after="120"/>
        <w:rPr>
          <w:b/>
          <w:color w:val="891919"/>
          <w:sz w:val="28"/>
          <w:szCs w:val="28"/>
        </w:rPr>
      </w:pPr>
      <w:r w:rsidRPr="00CB5352">
        <w:rPr>
          <w:b/>
          <w:color w:val="891919"/>
          <w:sz w:val="28"/>
          <w:szCs w:val="28"/>
        </w:rPr>
        <w:t>Australian National University</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J Rob Bray and Matthew Gray</w:t>
      </w:r>
    </w:p>
    <w:p w:rsidR="00C13362" w:rsidRPr="00CB5352" w:rsidRDefault="00C13362" w:rsidP="00CB5352">
      <w:pPr>
        <w:spacing w:before="120" w:after="120"/>
        <w:rPr>
          <w:b/>
          <w:color w:val="891919"/>
          <w:sz w:val="28"/>
          <w:szCs w:val="28"/>
        </w:rPr>
      </w:pPr>
      <w:r w:rsidRPr="00CB5352">
        <w:rPr>
          <w:b/>
          <w:color w:val="891919"/>
          <w:sz w:val="28"/>
          <w:szCs w:val="28"/>
        </w:rPr>
        <w:t>Australian Institute of Family Studies</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Kelly Hand</w:t>
      </w:r>
    </w:p>
    <w:p w:rsidR="00C13362" w:rsidRPr="00CB5352" w:rsidRDefault="00C13362" w:rsidP="00CB5352">
      <w:pPr>
        <w:spacing w:before="120" w:after="120"/>
        <w:rPr>
          <w:b/>
          <w:color w:val="891919"/>
          <w:sz w:val="28"/>
          <w:szCs w:val="28"/>
        </w:rPr>
      </w:pPr>
      <w:r w:rsidRPr="00CB5352">
        <w:rPr>
          <w:b/>
          <w:color w:val="891919"/>
          <w:sz w:val="28"/>
          <w:szCs w:val="28"/>
        </w:rPr>
        <w:t>Social Policy Research Centre</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Professor Ilan Katz (Chief Investigator)</w:t>
      </w:r>
    </w:p>
    <w:p w:rsidR="00C13362" w:rsidRPr="009655C3" w:rsidRDefault="00C13362" w:rsidP="006654AE">
      <w:pPr>
        <w:pStyle w:val="ExecutiveSummarySubheading"/>
        <w:spacing w:before="720" w:after="120"/>
        <w:rPr>
          <w:rFonts w:ascii="Garamond" w:eastAsia="MetaPlusNormal-Roman" w:hAnsi="Garamond"/>
          <w:bCs w:val="0"/>
          <w:color w:val="000000"/>
          <w:sz w:val="22"/>
          <w:szCs w:val="22"/>
        </w:rPr>
      </w:pPr>
      <w:r w:rsidRPr="009655C3">
        <w:rPr>
          <w:rFonts w:ascii="Garamond" w:eastAsia="MetaPlusNormal-Roman" w:hAnsi="Garamond"/>
          <w:bCs w:val="0"/>
          <w:color w:val="000000"/>
          <w:sz w:val="22"/>
          <w:szCs w:val="22"/>
        </w:rPr>
        <w:t>Shona Bates (Social Policy Research Centre), Anna Jones (Social Policy Research Centre), and Mandy Yap (Australian National University) provided valuable research assistance.</w:t>
      </w:r>
    </w:p>
    <w:p w:rsidR="00C13362" w:rsidRPr="00DF38B2" w:rsidRDefault="00C13362" w:rsidP="006654AE">
      <w:pPr>
        <w:pStyle w:val="ExecutiveSummarySubheading"/>
        <w:spacing w:before="2400"/>
        <w:rPr>
          <w:rFonts w:ascii="Calibri" w:hAnsi="Calibri"/>
          <w:b/>
          <w:color w:val="891919"/>
        </w:rPr>
      </w:pPr>
      <w:r w:rsidRPr="00DF38B2">
        <w:rPr>
          <w:rFonts w:ascii="Calibri" w:hAnsi="Calibri"/>
          <w:b/>
          <w:color w:val="891919"/>
        </w:rPr>
        <w:t>Fieldwork</w:t>
      </w:r>
    </w:p>
    <w:p w:rsidR="00C13362" w:rsidRPr="002B019F" w:rsidRDefault="00C13362" w:rsidP="006654AE">
      <w:pPr>
        <w:pStyle w:val="BodyText"/>
        <w:spacing w:line="240" w:lineRule="auto"/>
        <w:ind w:firstLine="0"/>
        <w:rPr>
          <w:rFonts w:ascii="Garamond" w:hAnsi="Garamond"/>
          <w:noProof w:val="0"/>
          <w:sz w:val="24"/>
          <w:szCs w:val="24"/>
          <w:lang w:val="en-AU"/>
        </w:rPr>
      </w:pPr>
      <w:r w:rsidRPr="002B019F">
        <w:rPr>
          <w:rFonts w:ascii="Garamond" w:hAnsi="Garamond"/>
          <w:noProof w:val="0"/>
          <w:sz w:val="24"/>
          <w:szCs w:val="24"/>
          <w:lang w:val="en-AU"/>
        </w:rPr>
        <w:t xml:space="preserve">The fieldwork for the Longitudinal Survey of New Income Management was conducted by Colmar </w:t>
      </w:r>
      <w:proofErr w:type="spellStart"/>
      <w:r w:rsidRPr="002B019F">
        <w:rPr>
          <w:rFonts w:ascii="Garamond" w:hAnsi="Garamond"/>
          <w:noProof w:val="0"/>
          <w:sz w:val="24"/>
          <w:szCs w:val="24"/>
          <w:lang w:val="en-AU"/>
        </w:rPr>
        <w:t>Brunton</w:t>
      </w:r>
      <w:proofErr w:type="spellEnd"/>
      <w:r w:rsidRPr="002B019F">
        <w:rPr>
          <w:rFonts w:ascii="Garamond" w:hAnsi="Garamond"/>
          <w:noProof w:val="0"/>
          <w:sz w:val="24"/>
          <w:szCs w:val="24"/>
          <w:lang w:val="en-AU"/>
        </w:rPr>
        <w:t xml:space="preserve"> Social Research</w:t>
      </w:r>
      <w:r w:rsidR="003D75FE" w:rsidRPr="002B019F">
        <w:rPr>
          <w:rFonts w:ascii="Garamond" w:hAnsi="Garamond"/>
          <w:noProof w:val="0"/>
          <w:sz w:val="24"/>
          <w:szCs w:val="24"/>
          <w:lang w:val="en-AU"/>
        </w:rPr>
        <w:t xml:space="preserve"> under contract to the Social Policy Research Centre, </w:t>
      </w:r>
      <w:r w:rsidR="000853F3" w:rsidRPr="002B019F">
        <w:rPr>
          <w:rFonts w:ascii="Garamond" w:hAnsi="Garamond"/>
          <w:noProof w:val="0"/>
          <w:sz w:val="24"/>
          <w:szCs w:val="24"/>
          <w:lang w:val="en-AU"/>
        </w:rPr>
        <w:t>UNSW Australia</w:t>
      </w:r>
      <w:r w:rsidRPr="002B019F">
        <w:rPr>
          <w:rFonts w:ascii="Garamond" w:hAnsi="Garamond"/>
          <w:noProof w:val="0"/>
          <w:sz w:val="24"/>
          <w:szCs w:val="24"/>
          <w:lang w:val="en-AU"/>
        </w:rPr>
        <w:t xml:space="preserve">. The fieldwork team was managed by Kylie </w:t>
      </w:r>
      <w:proofErr w:type="spellStart"/>
      <w:r w:rsidRPr="002B019F">
        <w:rPr>
          <w:rFonts w:ascii="Garamond" w:hAnsi="Garamond"/>
          <w:noProof w:val="0"/>
          <w:sz w:val="24"/>
          <w:szCs w:val="24"/>
          <w:lang w:val="en-AU"/>
        </w:rPr>
        <w:t>Brosnan</w:t>
      </w:r>
      <w:proofErr w:type="spellEnd"/>
      <w:r w:rsidRPr="002B019F">
        <w:rPr>
          <w:rFonts w:ascii="Garamond" w:hAnsi="Garamond"/>
          <w:noProof w:val="0"/>
          <w:sz w:val="24"/>
          <w:szCs w:val="24"/>
          <w:lang w:val="en-AU"/>
        </w:rPr>
        <w:t xml:space="preserve"> and </w:t>
      </w:r>
      <w:proofErr w:type="spellStart"/>
      <w:r w:rsidRPr="002B019F">
        <w:rPr>
          <w:rFonts w:ascii="Garamond" w:hAnsi="Garamond"/>
          <w:noProof w:val="0"/>
          <w:sz w:val="24"/>
          <w:szCs w:val="24"/>
          <w:lang w:val="en-AU"/>
        </w:rPr>
        <w:t>Desleigh</w:t>
      </w:r>
      <w:proofErr w:type="spellEnd"/>
      <w:r w:rsidRPr="002B019F">
        <w:rPr>
          <w:rFonts w:ascii="Garamond" w:hAnsi="Garamond"/>
          <w:noProof w:val="0"/>
          <w:sz w:val="24"/>
          <w:szCs w:val="24"/>
          <w:lang w:val="en-AU"/>
        </w:rPr>
        <w:t xml:space="preserve"> </w:t>
      </w:r>
      <w:proofErr w:type="spellStart"/>
      <w:r w:rsidRPr="002B019F">
        <w:rPr>
          <w:rFonts w:ascii="Garamond" w:hAnsi="Garamond"/>
          <w:noProof w:val="0"/>
          <w:sz w:val="24"/>
          <w:szCs w:val="24"/>
          <w:lang w:val="en-AU"/>
        </w:rPr>
        <w:t>Dunnett</w:t>
      </w:r>
      <w:proofErr w:type="spellEnd"/>
      <w:r w:rsidRPr="002B019F">
        <w:rPr>
          <w:rFonts w:ascii="Garamond" w:hAnsi="Garamond"/>
          <w:noProof w:val="0"/>
          <w:sz w:val="24"/>
          <w:szCs w:val="24"/>
          <w:lang w:val="en-AU"/>
        </w:rPr>
        <w:t>.</w:t>
      </w:r>
    </w:p>
    <w:p w:rsidR="00FB0FB9" w:rsidRPr="009655C3" w:rsidRDefault="00C13362" w:rsidP="006654AE">
      <w:pPr>
        <w:pStyle w:val="BodyText"/>
        <w:spacing w:before="360" w:line="240" w:lineRule="auto"/>
        <w:ind w:firstLine="0"/>
      </w:pPr>
      <w:r w:rsidRPr="002B019F">
        <w:rPr>
          <w:rFonts w:ascii="Garamond" w:hAnsi="Garamond"/>
          <w:noProof w:val="0"/>
          <w:sz w:val="24"/>
          <w:szCs w:val="24"/>
          <w:lang w:val="en-AU"/>
        </w:rPr>
        <w:t>The intermediary fieldwork was conducted by Kelly Hand, Australian Institute of Family Studies.</w:t>
      </w:r>
      <w:r w:rsidR="00FB0FB9" w:rsidRPr="009655C3">
        <w:br w:type="page"/>
      </w:r>
    </w:p>
    <w:p w:rsidR="00C13362" w:rsidRPr="009655C3" w:rsidRDefault="00C13362" w:rsidP="006654AE">
      <w:pPr>
        <w:pStyle w:val="pretitle"/>
      </w:pPr>
      <w:bookmarkStart w:id="2" w:name="_Toc403738945"/>
      <w:r w:rsidRPr="002B019F">
        <w:lastRenderedPageBreak/>
        <w:t>Acknowledgements</w:t>
      </w:r>
      <w:bookmarkEnd w:id="2"/>
      <w:r w:rsidRPr="009655C3">
        <w:t xml:space="preserve"> </w:t>
      </w:r>
    </w:p>
    <w:p w:rsidR="00210B0C" w:rsidRPr="002B019F" w:rsidRDefault="00210B0C" w:rsidP="006654AE">
      <w:pPr>
        <w:spacing w:before="720" w:line="276" w:lineRule="auto"/>
        <w:rPr>
          <w:sz w:val="22"/>
        </w:rPr>
      </w:pPr>
      <w:r w:rsidRPr="002B019F">
        <w:rPr>
          <w:sz w:val="22"/>
        </w:rPr>
        <w:t xml:space="preserve">This evaluation has been commissioned by the Australian Government Department of Social Services. </w:t>
      </w:r>
    </w:p>
    <w:p w:rsidR="00210B0C" w:rsidRPr="002B019F" w:rsidRDefault="00210B0C" w:rsidP="006654AE">
      <w:pPr>
        <w:spacing w:line="276" w:lineRule="auto"/>
        <w:rPr>
          <w:sz w:val="22"/>
        </w:rPr>
      </w:pPr>
      <w:r w:rsidRPr="002B019F">
        <w:rPr>
          <w:sz w:val="22"/>
        </w:rPr>
        <w:t xml:space="preserve">The authors would like to acknowledge and thank all of those who participated in or assisted with the evaluation, including: the Aboriginal Medical Services Alliance of the Northern Territory (AMSANT), Aboriginal Peak Organisations Northern Territory (APONT), ALPA Stores, </w:t>
      </w:r>
      <w:proofErr w:type="spellStart"/>
      <w:r w:rsidRPr="002B019F">
        <w:rPr>
          <w:sz w:val="22"/>
        </w:rPr>
        <w:t>ARPNet</w:t>
      </w:r>
      <w:proofErr w:type="spellEnd"/>
      <w:r w:rsidRPr="002B019F">
        <w:rPr>
          <w:sz w:val="22"/>
        </w:rPr>
        <w:t xml:space="preserve"> at Charles Darwin University, the Australian Government Department of Health and Ageing, the Australian Government Department of Education, Employment and Workplace Relations, Brotherhood of St Laurence, Central Australian Aboriginal Legal Aid Services (CAALAS), Darwin Community Legal Service, </w:t>
      </w:r>
      <w:proofErr w:type="spellStart"/>
      <w:r w:rsidRPr="002B019F">
        <w:rPr>
          <w:sz w:val="22"/>
        </w:rPr>
        <w:t>Jaiirdi</w:t>
      </w:r>
      <w:proofErr w:type="spellEnd"/>
      <w:r w:rsidRPr="002B019F">
        <w:rPr>
          <w:sz w:val="22"/>
        </w:rPr>
        <w:t xml:space="preserve"> Consultants, Mission Australia, Money Workers Association of the Northern Territory, </w:t>
      </w:r>
      <w:proofErr w:type="spellStart"/>
      <w:r w:rsidRPr="002B019F">
        <w:rPr>
          <w:sz w:val="22"/>
        </w:rPr>
        <w:t>Ngaanyatjarra</w:t>
      </w:r>
      <w:proofErr w:type="spellEnd"/>
      <w:r w:rsidRPr="002B019F">
        <w:rPr>
          <w:sz w:val="22"/>
        </w:rPr>
        <w:t xml:space="preserve"> Pitjantjatjara </w:t>
      </w:r>
      <w:proofErr w:type="spellStart"/>
      <w:r w:rsidRPr="002B019F">
        <w:rPr>
          <w:sz w:val="22"/>
        </w:rPr>
        <w:t>Yankunytjatjara</w:t>
      </w:r>
      <w:proofErr w:type="spellEnd"/>
      <w:r w:rsidRPr="002B019F">
        <w:rPr>
          <w:sz w:val="22"/>
        </w:rPr>
        <w:t xml:space="preserve"> (NPY) Women's Council, North Australian Aboriginal Justice Agency (NAAJA), Northern Territory Legal Aid Commission, Northern Territory Council of Social Services (NTCOSS), Northern Territory Government Department of Education and Training, Northern Territory Government Department of Health, Northern Territory Department of the Attorney-General and Justice, Outback Stores, the Refugee Council of Australia, </w:t>
      </w:r>
      <w:proofErr w:type="spellStart"/>
      <w:r w:rsidRPr="002B019F">
        <w:rPr>
          <w:sz w:val="22"/>
        </w:rPr>
        <w:t>Tangentyere</w:t>
      </w:r>
      <w:proofErr w:type="spellEnd"/>
      <w:r w:rsidRPr="002B019F">
        <w:rPr>
          <w:sz w:val="22"/>
        </w:rPr>
        <w:t xml:space="preserve"> Council and the </w:t>
      </w:r>
      <w:proofErr w:type="spellStart"/>
      <w:r w:rsidRPr="002B019F">
        <w:rPr>
          <w:sz w:val="22"/>
        </w:rPr>
        <w:t>Tangentyere</w:t>
      </w:r>
      <w:proofErr w:type="spellEnd"/>
      <w:r w:rsidRPr="002B019F">
        <w:rPr>
          <w:sz w:val="22"/>
        </w:rPr>
        <w:t xml:space="preserve"> Research Hub.</w:t>
      </w:r>
    </w:p>
    <w:p w:rsidR="00210B0C" w:rsidRPr="002B019F" w:rsidRDefault="00210B0C" w:rsidP="006654AE">
      <w:pPr>
        <w:spacing w:line="276" w:lineRule="auto"/>
        <w:rPr>
          <w:sz w:val="22"/>
        </w:rPr>
      </w:pPr>
      <w:r w:rsidRPr="002B019F">
        <w:rPr>
          <w:sz w:val="22"/>
        </w:rPr>
        <w:t xml:space="preserve">We also acknowledge the helpful assistance of staff from the Australian Government Department of Social Services and Australian Government Department of Human Services. We would particularly like to acknowledge the assistance of Department of Human Services with the provision of administrative data for the purposes of the evaluation, along with the stores which provided us with </w:t>
      </w:r>
      <w:r w:rsidR="00461D2F" w:rsidRPr="002B019F">
        <w:rPr>
          <w:sz w:val="22"/>
        </w:rPr>
        <w:t>BasicsCard and other sales data</w:t>
      </w:r>
      <w:r w:rsidRPr="002B019F">
        <w:rPr>
          <w:sz w:val="22"/>
        </w:rPr>
        <w:t xml:space="preserve">. We also would thank the staff in the Northern Territory Government Department of Children and Families whose assistance was critical for the evaluation of Child Protection Income Management and the staff from the Department of Human Services who similarly enabled us to undertake the evaluation of the </w:t>
      </w:r>
      <w:proofErr w:type="gramStart"/>
      <w:r w:rsidRPr="002B019F">
        <w:rPr>
          <w:sz w:val="22"/>
        </w:rPr>
        <w:t>Vulnerab</w:t>
      </w:r>
      <w:r w:rsidR="00461D2F" w:rsidRPr="002B019F">
        <w:rPr>
          <w:sz w:val="22"/>
        </w:rPr>
        <w:t>le</w:t>
      </w:r>
      <w:proofErr w:type="gramEnd"/>
      <w:r w:rsidR="00461D2F" w:rsidRPr="002B019F">
        <w:rPr>
          <w:sz w:val="22"/>
        </w:rPr>
        <w:t xml:space="preserve"> stream of Income Management.</w:t>
      </w:r>
    </w:p>
    <w:p w:rsidR="00210B0C" w:rsidRPr="002B019F" w:rsidRDefault="00210B0C" w:rsidP="006654AE">
      <w:pPr>
        <w:spacing w:line="276" w:lineRule="auto"/>
        <w:rPr>
          <w:sz w:val="22"/>
        </w:rPr>
      </w:pPr>
      <w:r w:rsidRPr="002B019F">
        <w:rPr>
          <w:sz w:val="22"/>
        </w:rPr>
        <w:t>We also would like to acknowledge and thank the organisations and leaders in the communities in which the Longitudinal Survey of New Income Management was collected for their agreement for the survey to be conducted in their communities and also the members of these communities and elsewhere who participated in the survey and shared information with us about their lives and experiences of income management as well as participating in the feedback sessions about the evaluation.</w:t>
      </w:r>
    </w:p>
    <w:p w:rsidR="000A1999" w:rsidRPr="002B019F" w:rsidRDefault="00210B0C" w:rsidP="006654AE">
      <w:pPr>
        <w:spacing w:line="276" w:lineRule="auto"/>
        <w:rPr>
          <w:sz w:val="22"/>
        </w:rPr>
      </w:pPr>
      <w:r w:rsidRPr="002B019F">
        <w:rPr>
          <w:sz w:val="22"/>
        </w:rPr>
        <w:t>Of course, the evaluation would not have been possible without the many people who provided information about their professional experiences during the course of the evaluation, including, staff from Department of Human Services Northern Australia and Social Work Services Branch, Department of Social Services State Office Northern Territory, Northern Territory Department of Children and Families, Money Workers Association of the Northern Territory and Financial Counselling services cross the Northern Territory, emergency relief, housing and legal services. We thank all the participants from these organisations and elsewhere who participated in interviews and focus groups for their time and valuable insights.</w:t>
      </w:r>
    </w:p>
    <w:p w:rsidR="00FB0FB9" w:rsidRPr="00DF38B2" w:rsidRDefault="00FB0FB9" w:rsidP="006654AE">
      <w:pPr>
        <w:spacing w:line="276" w:lineRule="auto"/>
        <w:jc w:val="left"/>
      </w:pPr>
      <w:r w:rsidRPr="00DF38B2">
        <w:br w:type="page"/>
      </w:r>
    </w:p>
    <w:p w:rsidR="00FB0FB9" w:rsidRPr="00DF38B2" w:rsidRDefault="00FB0FB9" w:rsidP="006654AE">
      <w:pPr>
        <w:sectPr w:rsidR="00FB0FB9" w:rsidRPr="00DF38B2" w:rsidSect="00285084">
          <w:headerReference w:type="even" r:id="rId14"/>
          <w:headerReference w:type="default" r:id="rId15"/>
          <w:footerReference w:type="even" r:id="rId16"/>
          <w:headerReference w:type="first" r:id="rId17"/>
          <w:footerReference w:type="first" r:id="rId18"/>
          <w:pgSz w:w="11906" w:h="16838" w:code="9"/>
          <w:pgMar w:top="1247" w:right="1701" w:bottom="1134" w:left="1871" w:header="567" w:footer="340" w:gutter="0"/>
          <w:pgNumType w:fmt="lowerRoman" w:start="1"/>
          <w:cols w:space="708"/>
          <w:titlePg/>
          <w:docGrid w:linePitch="360"/>
        </w:sectPr>
      </w:pPr>
    </w:p>
    <w:p w:rsidR="00C13362" w:rsidRPr="00DF38B2" w:rsidRDefault="00C13362" w:rsidP="006654AE"/>
    <w:p w:rsidR="00C13362" w:rsidRPr="002B019F" w:rsidRDefault="002013D1" w:rsidP="006654AE">
      <w:pPr>
        <w:pStyle w:val="pretitle"/>
      </w:pPr>
      <w:bookmarkStart w:id="3" w:name="_Toc403738946"/>
      <w:r w:rsidRPr="00DF38B2">
        <w:t>Contents</w:t>
      </w:r>
      <w:bookmarkEnd w:id="3"/>
    </w:p>
    <w:p w:rsidR="00DC1D42" w:rsidRDefault="00CB5352" w:rsidP="00DC1D42">
      <w:pPr>
        <w:pStyle w:val="TOC1"/>
        <w:rPr>
          <w:rFonts w:asciiTheme="minorHAnsi" w:hAnsiTheme="minorHAnsi"/>
          <w:sz w:val="22"/>
          <w:szCs w:val="22"/>
        </w:rPr>
      </w:pPr>
      <w:r>
        <w:fldChar w:fldCharType="begin"/>
      </w:r>
      <w:r>
        <w:instrText xml:space="preserve"> TOC \o "1-1" \t "Heading 2,2,Heading 3,3" </w:instrText>
      </w:r>
      <w:r>
        <w:fldChar w:fldCharType="separate"/>
      </w:r>
      <w:r w:rsidR="00DC1D42">
        <w:t>Research Team</w:t>
      </w:r>
      <w:r w:rsidR="00DC1D42">
        <w:tab/>
      </w:r>
      <w:r w:rsidR="00DC1D42">
        <w:fldChar w:fldCharType="begin"/>
      </w:r>
      <w:r w:rsidR="00DC1D42">
        <w:instrText xml:space="preserve"> PAGEREF _Toc403738944 \h </w:instrText>
      </w:r>
      <w:r w:rsidR="00DC1D42">
        <w:fldChar w:fldCharType="separate"/>
      </w:r>
      <w:r w:rsidR="00F612EF">
        <w:t>i</w:t>
      </w:r>
      <w:r w:rsidR="00DC1D42">
        <w:fldChar w:fldCharType="end"/>
      </w:r>
    </w:p>
    <w:p w:rsidR="00DC1D42" w:rsidRDefault="00DC1D42" w:rsidP="00DC1D42">
      <w:pPr>
        <w:pStyle w:val="TOC1"/>
        <w:rPr>
          <w:rFonts w:asciiTheme="minorHAnsi" w:hAnsiTheme="minorHAnsi"/>
          <w:sz w:val="22"/>
          <w:szCs w:val="22"/>
        </w:rPr>
      </w:pPr>
      <w:r>
        <w:t>Acknowledgements</w:t>
      </w:r>
      <w:r>
        <w:tab/>
      </w:r>
      <w:r>
        <w:fldChar w:fldCharType="begin"/>
      </w:r>
      <w:r>
        <w:instrText xml:space="preserve"> PAGEREF _Toc403738945 \h </w:instrText>
      </w:r>
      <w:r>
        <w:fldChar w:fldCharType="separate"/>
      </w:r>
      <w:r w:rsidR="00F612EF">
        <w:t>ii</w:t>
      </w:r>
      <w:r>
        <w:fldChar w:fldCharType="end"/>
      </w:r>
    </w:p>
    <w:p w:rsidR="00DC1D42" w:rsidRDefault="00DC1D42" w:rsidP="00DC1D42">
      <w:pPr>
        <w:pStyle w:val="TOC1"/>
        <w:rPr>
          <w:rFonts w:asciiTheme="minorHAnsi" w:hAnsiTheme="minorHAnsi"/>
          <w:sz w:val="22"/>
          <w:szCs w:val="22"/>
        </w:rPr>
      </w:pPr>
      <w:r>
        <w:t>Contents</w:t>
      </w:r>
      <w:r>
        <w:tab/>
      </w:r>
      <w:r>
        <w:tab/>
      </w:r>
      <w:r>
        <w:fldChar w:fldCharType="begin"/>
      </w:r>
      <w:r>
        <w:instrText xml:space="preserve"> PAGEREF _Toc403738946 \h </w:instrText>
      </w:r>
      <w:r>
        <w:fldChar w:fldCharType="separate"/>
      </w:r>
      <w:r w:rsidR="00F612EF">
        <w:t>iii</w:t>
      </w:r>
      <w:r>
        <w:fldChar w:fldCharType="end"/>
      </w:r>
    </w:p>
    <w:p w:rsidR="00DC1D42" w:rsidRDefault="00DC1D42" w:rsidP="00DC1D42">
      <w:pPr>
        <w:pStyle w:val="TOC1"/>
        <w:rPr>
          <w:rFonts w:asciiTheme="minorHAnsi" w:hAnsiTheme="minorHAnsi"/>
          <w:sz w:val="22"/>
          <w:szCs w:val="22"/>
        </w:rPr>
      </w:pPr>
      <w:r>
        <w:t>Table of Tables</w:t>
      </w:r>
      <w:r>
        <w:tab/>
      </w:r>
      <w:r>
        <w:fldChar w:fldCharType="begin"/>
      </w:r>
      <w:r>
        <w:instrText xml:space="preserve"> PAGEREF _Toc403738947 \h </w:instrText>
      </w:r>
      <w:r>
        <w:fldChar w:fldCharType="separate"/>
      </w:r>
      <w:r w:rsidR="00F612EF">
        <w:t>ix</w:t>
      </w:r>
      <w:r>
        <w:fldChar w:fldCharType="end"/>
      </w:r>
    </w:p>
    <w:p w:rsidR="00DC1D42" w:rsidRDefault="00DC1D42" w:rsidP="00DC1D42">
      <w:pPr>
        <w:pStyle w:val="TOC1"/>
        <w:rPr>
          <w:rFonts w:asciiTheme="minorHAnsi" w:hAnsiTheme="minorHAnsi"/>
          <w:sz w:val="22"/>
          <w:szCs w:val="22"/>
        </w:rPr>
      </w:pPr>
      <w:r>
        <w:t>Table of Figures</w:t>
      </w:r>
      <w:r>
        <w:tab/>
      </w:r>
      <w:r>
        <w:fldChar w:fldCharType="begin"/>
      </w:r>
      <w:r>
        <w:instrText xml:space="preserve"> PAGEREF _Toc403738948 \h </w:instrText>
      </w:r>
      <w:r>
        <w:fldChar w:fldCharType="separate"/>
      </w:r>
      <w:r w:rsidR="00F612EF">
        <w:t>xiii</w:t>
      </w:r>
      <w:r>
        <w:fldChar w:fldCharType="end"/>
      </w:r>
    </w:p>
    <w:p w:rsidR="00DC1D42" w:rsidRDefault="00DC1D42" w:rsidP="00DC1D42">
      <w:pPr>
        <w:pStyle w:val="TOC1"/>
        <w:rPr>
          <w:rFonts w:asciiTheme="minorHAnsi" w:hAnsiTheme="minorHAnsi"/>
          <w:sz w:val="22"/>
          <w:szCs w:val="22"/>
        </w:rPr>
      </w:pPr>
      <w:r>
        <w:t>Glossary</w:t>
      </w:r>
      <w:r>
        <w:tab/>
      </w:r>
      <w:r>
        <w:tab/>
      </w:r>
      <w:r>
        <w:fldChar w:fldCharType="begin"/>
      </w:r>
      <w:r>
        <w:instrText xml:space="preserve"> PAGEREF _Toc403738949 \h </w:instrText>
      </w:r>
      <w:r>
        <w:fldChar w:fldCharType="separate"/>
      </w:r>
      <w:r w:rsidR="00F612EF">
        <w:t>xvii</w:t>
      </w:r>
      <w:r>
        <w:fldChar w:fldCharType="end"/>
      </w:r>
    </w:p>
    <w:p w:rsidR="00DC1D42" w:rsidRDefault="00DC1D42" w:rsidP="00DC1D42">
      <w:pPr>
        <w:pStyle w:val="TOC1"/>
        <w:rPr>
          <w:rFonts w:asciiTheme="minorHAnsi" w:hAnsiTheme="minorHAnsi"/>
          <w:sz w:val="22"/>
          <w:szCs w:val="22"/>
        </w:rPr>
      </w:pPr>
      <w:r>
        <w:t>Executive Summary</w:t>
      </w:r>
      <w:r>
        <w:tab/>
      </w:r>
      <w:r>
        <w:fldChar w:fldCharType="begin"/>
      </w:r>
      <w:r>
        <w:instrText xml:space="preserve"> PAGEREF _Toc403738950 \h </w:instrText>
      </w:r>
      <w:r>
        <w:fldChar w:fldCharType="separate"/>
      </w:r>
      <w:r w:rsidR="00F612EF">
        <w:t>xix</w:t>
      </w:r>
      <w:r>
        <w:fldChar w:fldCharType="end"/>
      </w:r>
    </w:p>
    <w:p w:rsidR="00DC1D42" w:rsidRDefault="00DC1D42" w:rsidP="00DC1D42">
      <w:pPr>
        <w:pStyle w:val="TOC1"/>
        <w:rPr>
          <w:rFonts w:asciiTheme="minorHAnsi" w:hAnsiTheme="minorHAnsi"/>
          <w:sz w:val="22"/>
          <w:szCs w:val="22"/>
        </w:rPr>
      </w:pPr>
      <w:r>
        <w:t>1</w:t>
      </w:r>
      <w:r>
        <w:rPr>
          <w:rFonts w:asciiTheme="minorHAnsi" w:hAnsiTheme="minorHAnsi"/>
          <w:sz w:val="22"/>
          <w:szCs w:val="22"/>
        </w:rPr>
        <w:tab/>
      </w:r>
      <w:r w:rsidRPr="00DC1D42">
        <w:t>Introduction</w:t>
      </w:r>
      <w:r>
        <w:tab/>
      </w:r>
      <w:r>
        <w:fldChar w:fldCharType="begin"/>
      </w:r>
      <w:r>
        <w:instrText xml:space="preserve"> PAGEREF _Toc403738951 \h </w:instrText>
      </w:r>
      <w:r>
        <w:fldChar w:fldCharType="separate"/>
      </w:r>
      <w:r w:rsidR="00F612EF">
        <w:t>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w:t>
      </w:r>
      <w:r>
        <w:rPr>
          <w:rFonts w:asciiTheme="minorHAnsi" w:hAnsiTheme="minorHAnsi"/>
          <w:sz w:val="22"/>
          <w:szCs w:val="22"/>
        </w:rPr>
        <w:tab/>
      </w:r>
      <w:r w:rsidRPr="00DC1D42">
        <w:t>Background</w:t>
      </w:r>
      <w:r w:rsidRPr="00CA3E10">
        <w:t xml:space="preserve"> to the evaluation</w:t>
      </w:r>
      <w:r>
        <w:tab/>
      </w:r>
      <w:r>
        <w:fldChar w:fldCharType="begin"/>
      </w:r>
      <w:r>
        <w:instrText xml:space="preserve"> PAGEREF _Toc403738952 \h </w:instrText>
      </w:r>
      <w:r>
        <w:fldChar w:fldCharType="separate"/>
      </w:r>
      <w:r w:rsidR="00F612EF">
        <w:t>2</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w:t>
      </w:r>
      <w:r>
        <w:rPr>
          <w:rFonts w:asciiTheme="minorHAnsi" w:hAnsiTheme="minorHAnsi"/>
          <w:sz w:val="22"/>
          <w:szCs w:val="22"/>
        </w:rPr>
        <w:tab/>
      </w:r>
      <w:r w:rsidRPr="00CA3E10">
        <w:t>Evaluation: aims and questions</w:t>
      </w:r>
      <w:r>
        <w:tab/>
      </w:r>
      <w:r>
        <w:fldChar w:fldCharType="begin"/>
      </w:r>
      <w:r>
        <w:instrText xml:space="preserve"> PAGEREF _Toc403738953 \h </w:instrText>
      </w:r>
      <w:r>
        <w:fldChar w:fldCharType="separate"/>
      </w:r>
      <w:r w:rsidR="00F612EF">
        <w:t>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1.2.1</w:t>
      </w:r>
      <w:r>
        <w:rPr>
          <w:rFonts w:asciiTheme="minorHAnsi" w:hAnsiTheme="minorHAnsi"/>
          <w:noProof/>
          <w:sz w:val="22"/>
          <w:szCs w:val="22"/>
        </w:rPr>
        <w:tab/>
      </w:r>
      <w:r w:rsidRPr="00CA3E10">
        <w:rPr>
          <w:noProof/>
        </w:rPr>
        <w:t>Evaluation framework</w:t>
      </w:r>
      <w:r>
        <w:rPr>
          <w:noProof/>
        </w:rPr>
        <w:tab/>
      </w:r>
      <w:r>
        <w:rPr>
          <w:noProof/>
        </w:rPr>
        <w:fldChar w:fldCharType="begin"/>
      </w:r>
      <w:r>
        <w:rPr>
          <w:noProof/>
        </w:rPr>
        <w:instrText xml:space="preserve"> PAGEREF _Toc403738954 \h </w:instrText>
      </w:r>
      <w:r>
        <w:rPr>
          <w:noProof/>
        </w:rPr>
      </w:r>
      <w:r>
        <w:rPr>
          <w:noProof/>
        </w:rPr>
        <w:fldChar w:fldCharType="separate"/>
      </w:r>
      <w:r w:rsidR="00F612EF">
        <w:rPr>
          <w:noProof/>
        </w:rPr>
        <w:t>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w:t>
      </w:r>
      <w:r>
        <w:rPr>
          <w:rFonts w:asciiTheme="minorHAnsi" w:hAnsiTheme="minorHAnsi"/>
          <w:sz w:val="22"/>
          <w:szCs w:val="22"/>
        </w:rPr>
        <w:tab/>
      </w:r>
      <w:r>
        <w:t>Evaluation methodology</w:t>
      </w:r>
      <w:r>
        <w:tab/>
      </w:r>
      <w:r>
        <w:fldChar w:fldCharType="begin"/>
      </w:r>
      <w:r>
        <w:instrText xml:space="preserve"> PAGEREF _Toc403738955 \h </w:instrText>
      </w:r>
      <w:r>
        <w:fldChar w:fldCharType="separate"/>
      </w:r>
      <w:r w:rsidR="00F612EF">
        <w:t>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w:t>
      </w:r>
      <w:r>
        <w:rPr>
          <w:rFonts w:asciiTheme="minorHAnsi" w:hAnsiTheme="minorHAnsi"/>
          <w:sz w:val="22"/>
          <w:szCs w:val="22"/>
        </w:rPr>
        <w:tab/>
      </w:r>
      <w:r w:rsidRPr="00CA3E10">
        <w:t>Findings from the First Evaluation Report</w:t>
      </w:r>
      <w:r>
        <w:tab/>
      </w:r>
      <w:r>
        <w:fldChar w:fldCharType="begin"/>
      </w:r>
      <w:r>
        <w:instrText xml:space="preserve"> PAGEREF _Toc403738956 \h </w:instrText>
      </w:r>
      <w:r>
        <w:fldChar w:fldCharType="separate"/>
      </w:r>
      <w:r w:rsidR="00F612EF">
        <w:t>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w:t>
      </w:r>
      <w:r>
        <w:rPr>
          <w:rFonts w:asciiTheme="minorHAnsi" w:hAnsiTheme="minorHAnsi"/>
          <w:sz w:val="22"/>
          <w:szCs w:val="22"/>
        </w:rPr>
        <w:tab/>
      </w:r>
      <w:r>
        <w:t>Other forms of income management operating outside of the Northern Territory</w:t>
      </w:r>
      <w:r>
        <w:tab/>
      </w:r>
      <w:r>
        <w:fldChar w:fldCharType="begin"/>
      </w:r>
      <w:r>
        <w:instrText xml:space="preserve"> PAGEREF _Toc403738957 \h </w:instrText>
      </w:r>
      <w:r>
        <w:fldChar w:fldCharType="separate"/>
      </w:r>
      <w:r w:rsidR="00F612EF">
        <w:t>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w:t>
      </w:r>
      <w:r>
        <w:rPr>
          <w:rFonts w:asciiTheme="minorHAnsi" w:hAnsiTheme="minorHAnsi"/>
          <w:sz w:val="22"/>
          <w:szCs w:val="22"/>
        </w:rPr>
        <w:tab/>
      </w:r>
      <w:r>
        <w:t>Existing research and evaluation of income management in the Northern Territory</w:t>
      </w:r>
      <w:r>
        <w:tab/>
      </w:r>
      <w:r>
        <w:fldChar w:fldCharType="begin"/>
      </w:r>
      <w:r>
        <w:instrText xml:space="preserve"> PAGEREF _Toc403738958 \h </w:instrText>
      </w:r>
      <w:r>
        <w:fldChar w:fldCharType="separate"/>
      </w:r>
      <w:r w:rsidR="00F612EF">
        <w:t>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1.7</w:t>
      </w:r>
      <w:r>
        <w:rPr>
          <w:rFonts w:asciiTheme="minorHAnsi" w:hAnsiTheme="minorHAnsi"/>
          <w:sz w:val="22"/>
          <w:szCs w:val="22"/>
        </w:rPr>
        <w:tab/>
      </w:r>
      <w:r>
        <w:t>Structure of report</w:t>
      </w:r>
      <w:r>
        <w:tab/>
      </w:r>
      <w:r>
        <w:fldChar w:fldCharType="begin"/>
      </w:r>
      <w:r>
        <w:instrText xml:space="preserve"> PAGEREF _Toc403738959 \h </w:instrText>
      </w:r>
      <w:r>
        <w:fldChar w:fldCharType="separate"/>
      </w:r>
      <w:r w:rsidR="00F612EF">
        <w:t>10</w:t>
      </w:r>
      <w:r>
        <w:fldChar w:fldCharType="end"/>
      </w:r>
    </w:p>
    <w:p w:rsidR="00DC1D42" w:rsidRDefault="00DC1D42" w:rsidP="00DC1D42">
      <w:pPr>
        <w:pStyle w:val="TOC1"/>
        <w:rPr>
          <w:rFonts w:asciiTheme="minorHAnsi" w:hAnsiTheme="minorHAnsi"/>
          <w:sz w:val="22"/>
          <w:szCs w:val="22"/>
        </w:rPr>
      </w:pPr>
      <w:r>
        <w:t>2</w:t>
      </w:r>
      <w:r>
        <w:rPr>
          <w:rFonts w:asciiTheme="minorHAnsi" w:hAnsiTheme="minorHAnsi"/>
          <w:sz w:val="22"/>
          <w:szCs w:val="22"/>
        </w:rPr>
        <w:tab/>
      </w:r>
      <w:r>
        <w:t>Overview of New Income Management policy</w:t>
      </w:r>
      <w:r>
        <w:tab/>
      </w:r>
      <w:r>
        <w:fldChar w:fldCharType="begin"/>
      </w:r>
      <w:r>
        <w:instrText xml:space="preserve"> PAGEREF _Toc403738960 \h </w:instrText>
      </w:r>
      <w:r>
        <w:fldChar w:fldCharType="separate"/>
      </w:r>
      <w:r w:rsidR="00F612EF">
        <w:t>13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2.1</w:t>
      </w:r>
      <w:r>
        <w:rPr>
          <w:rFonts w:asciiTheme="minorHAnsi" w:hAnsiTheme="minorHAnsi"/>
          <w:sz w:val="22"/>
          <w:szCs w:val="22"/>
        </w:rPr>
        <w:tab/>
      </w:r>
      <w:r>
        <w:t>Introduction</w:t>
      </w:r>
      <w:r>
        <w:tab/>
      </w:r>
      <w:r>
        <w:fldChar w:fldCharType="begin"/>
      </w:r>
      <w:r>
        <w:instrText xml:space="preserve"> PAGEREF _Toc403738961 \h </w:instrText>
      </w:r>
      <w:r>
        <w:fldChar w:fldCharType="separate"/>
      </w:r>
      <w:r w:rsidR="00F612EF">
        <w:t>13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2.2</w:t>
      </w:r>
      <w:r>
        <w:rPr>
          <w:rFonts w:asciiTheme="minorHAnsi" w:hAnsiTheme="minorHAnsi"/>
          <w:sz w:val="22"/>
          <w:szCs w:val="22"/>
        </w:rPr>
        <w:tab/>
      </w:r>
      <w:r>
        <w:t>The introduction of income management in the Northern Territory</w:t>
      </w:r>
      <w:r>
        <w:tab/>
      </w:r>
      <w:r>
        <w:fldChar w:fldCharType="begin"/>
      </w:r>
      <w:r>
        <w:instrText xml:space="preserve"> PAGEREF _Toc403738962 \h </w:instrText>
      </w:r>
      <w:r>
        <w:fldChar w:fldCharType="separate"/>
      </w:r>
      <w:r w:rsidR="00F612EF">
        <w:t>14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2.2.1</w:t>
      </w:r>
      <w:r>
        <w:rPr>
          <w:rFonts w:asciiTheme="minorHAnsi" w:hAnsiTheme="minorHAnsi"/>
          <w:noProof/>
          <w:sz w:val="22"/>
          <w:szCs w:val="22"/>
        </w:rPr>
        <w:tab/>
      </w:r>
      <w:r>
        <w:rPr>
          <w:noProof/>
        </w:rPr>
        <w:t>The NTER</w:t>
      </w:r>
      <w:r>
        <w:rPr>
          <w:noProof/>
        </w:rPr>
        <w:tab/>
      </w:r>
      <w:r>
        <w:rPr>
          <w:noProof/>
        </w:rPr>
        <w:fldChar w:fldCharType="begin"/>
      </w:r>
      <w:r>
        <w:rPr>
          <w:noProof/>
        </w:rPr>
        <w:instrText xml:space="preserve"> PAGEREF _Toc403738963 \h </w:instrText>
      </w:r>
      <w:r>
        <w:rPr>
          <w:noProof/>
        </w:rPr>
      </w:r>
      <w:r>
        <w:rPr>
          <w:noProof/>
        </w:rPr>
        <w:fldChar w:fldCharType="separate"/>
      </w:r>
      <w:r w:rsidR="00F612EF">
        <w:rPr>
          <w:noProof/>
        </w:rPr>
        <w:t>14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2.2.2</w:t>
      </w:r>
      <w:r>
        <w:rPr>
          <w:rFonts w:asciiTheme="minorHAnsi" w:hAnsiTheme="minorHAnsi"/>
          <w:noProof/>
          <w:sz w:val="22"/>
          <w:szCs w:val="22"/>
        </w:rPr>
        <w:tab/>
      </w:r>
      <w:r>
        <w:rPr>
          <w:noProof/>
        </w:rPr>
        <w:t>The development of New Income Management</w:t>
      </w:r>
      <w:r>
        <w:rPr>
          <w:noProof/>
        </w:rPr>
        <w:tab/>
      </w:r>
      <w:r>
        <w:rPr>
          <w:noProof/>
        </w:rPr>
        <w:fldChar w:fldCharType="begin"/>
      </w:r>
      <w:r>
        <w:rPr>
          <w:noProof/>
        </w:rPr>
        <w:instrText xml:space="preserve"> PAGEREF _Toc403738964 \h </w:instrText>
      </w:r>
      <w:r>
        <w:rPr>
          <w:noProof/>
        </w:rPr>
      </w:r>
      <w:r>
        <w:rPr>
          <w:noProof/>
        </w:rPr>
        <w:fldChar w:fldCharType="separate"/>
      </w:r>
      <w:r w:rsidR="00F612EF">
        <w:rPr>
          <w:noProof/>
        </w:rPr>
        <w:t>18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2.3</w:t>
      </w:r>
      <w:r>
        <w:rPr>
          <w:rFonts w:asciiTheme="minorHAnsi" w:hAnsiTheme="minorHAnsi"/>
          <w:sz w:val="22"/>
          <w:szCs w:val="22"/>
        </w:rPr>
        <w:tab/>
      </w:r>
      <w:r>
        <w:t>Objectives of New Income Management</w:t>
      </w:r>
      <w:r>
        <w:tab/>
      </w:r>
      <w:r>
        <w:fldChar w:fldCharType="begin"/>
      </w:r>
      <w:r>
        <w:instrText xml:space="preserve"> PAGEREF _Toc403738965 \h </w:instrText>
      </w:r>
      <w:r>
        <w:fldChar w:fldCharType="separate"/>
      </w:r>
      <w:r w:rsidR="00F612EF">
        <w:t>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2.4</w:t>
      </w:r>
      <w:r>
        <w:rPr>
          <w:rFonts w:asciiTheme="minorHAnsi" w:hAnsiTheme="minorHAnsi"/>
          <w:sz w:val="22"/>
          <w:szCs w:val="22"/>
        </w:rPr>
        <w:tab/>
      </w:r>
      <w:r>
        <w:t>Overview of New Income Management and its subprograms</w:t>
      </w:r>
      <w:r>
        <w:tab/>
      </w:r>
      <w:r>
        <w:fldChar w:fldCharType="begin"/>
      </w:r>
      <w:r>
        <w:instrText xml:space="preserve"> PAGEREF _Toc403738966 \h </w:instrText>
      </w:r>
      <w:r>
        <w:fldChar w:fldCharType="separate"/>
      </w:r>
      <w:r w:rsidR="00F612EF">
        <w:t>21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2.4.1</w:t>
      </w:r>
      <w:r>
        <w:rPr>
          <w:rFonts w:asciiTheme="minorHAnsi" w:hAnsiTheme="minorHAnsi"/>
          <w:noProof/>
          <w:sz w:val="22"/>
          <w:szCs w:val="22"/>
        </w:rPr>
        <w:tab/>
      </w:r>
      <w:r>
        <w:rPr>
          <w:noProof/>
        </w:rPr>
        <w:t>Costs of New Income Management</w:t>
      </w:r>
      <w:r>
        <w:rPr>
          <w:noProof/>
        </w:rPr>
        <w:tab/>
      </w:r>
      <w:r>
        <w:rPr>
          <w:noProof/>
        </w:rPr>
        <w:fldChar w:fldCharType="begin"/>
      </w:r>
      <w:r>
        <w:rPr>
          <w:noProof/>
        </w:rPr>
        <w:instrText xml:space="preserve"> PAGEREF _Toc403738967 \h </w:instrText>
      </w:r>
      <w:r>
        <w:rPr>
          <w:noProof/>
        </w:rPr>
      </w:r>
      <w:r>
        <w:rPr>
          <w:noProof/>
        </w:rPr>
        <w:fldChar w:fldCharType="separate"/>
      </w:r>
      <w:r w:rsidR="00F612EF">
        <w:rPr>
          <w:noProof/>
        </w:rPr>
        <w:t>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2.4.2</w:t>
      </w:r>
      <w:r>
        <w:rPr>
          <w:rFonts w:asciiTheme="minorHAnsi" w:hAnsiTheme="minorHAnsi"/>
          <w:noProof/>
          <w:sz w:val="22"/>
          <w:szCs w:val="22"/>
        </w:rPr>
        <w:tab/>
      </w:r>
      <w:r>
        <w:rPr>
          <w:noProof/>
        </w:rPr>
        <w:t>Compulsory Income Management</w:t>
      </w:r>
      <w:r>
        <w:rPr>
          <w:noProof/>
        </w:rPr>
        <w:tab/>
      </w:r>
      <w:r>
        <w:rPr>
          <w:noProof/>
        </w:rPr>
        <w:fldChar w:fldCharType="begin"/>
      </w:r>
      <w:r>
        <w:rPr>
          <w:noProof/>
        </w:rPr>
        <w:instrText xml:space="preserve"> PAGEREF _Toc403738968 \h </w:instrText>
      </w:r>
      <w:r>
        <w:rPr>
          <w:noProof/>
        </w:rPr>
      </w:r>
      <w:r>
        <w:rPr>
          <w:noProof/>
        </w:rPr>
        <w:fldChar w:fldCharType="separate"/>
      </w:r>
      <w:r w:rsidR="00F612EF">
        <w:rPr>
          <w:noProof/>
        </w:rPr>
        <w:t>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2.4.3</w:t>
      </w:r>
      <w:r>
        <w:rPr>
          <w:rFonts w:asciiTheme="minorHAnsi" w:hAnsiTheme="minorHAnsi"/>
          <w:noProof/>
          <w:sz w:val="22"/>
          <w:szCs w:val="22"/>
        </w:rPr>
        <w:tab/>
      </w:r>
      <w:r>
        <w:rPr>
          <w:noProof/>
        </w:rPr>
        <w:t>Vulnerable Income Management</w:t>
      </w:r>
      <w:r>
        <w:rPr>
          <w:noProof/>
        </w:rPr>
        <w:tab/>
      </w:r>
      <w:r>
        <w:rPr>
          <w:noProof/>
        </w:rPr>
        <w:fldChar w:fldCharType="begin"/>
      </w:r>
      <w:r>
        <w:rPr>
          <w:noProof/>
        </w:rPr>
        <w:instrText xml:space="preserve"> PAGEREF _Toc403738969 \h </w:instrText>
      </w:r>
      <w:r>
        <w:rPr>
          <w:noProof/>
        </w:rPr>
      </w:r>
      <w:r>
        <w:rPr>
          <w:noProof/>
        </w:rPr>
        <w:fldChar w:fldCharType="separate"/>
      </w:r>
      <w:r w:rsidR="00F612EF">
        <w:rPr>
          <w:noProof/>
        </w:rPr>
        <w:t>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2.4.4</w:t>
      </w:r>
      <w:r>
        <w:rPr>
          <w:rFonts w:asciiTheme="minorHAnsi" w:hAnsiTheme="minorHAnsi"/>
          <w:noProof/>
          <w:sz w:val="22"/>
          <w:szCs w:val="22"/>
        </w:rPr>
        <w:tab/>
      </w:r>
      <w:r>
        <w:rPr>
          <w:noProof/>
        </w:rPr>
        <w:t>Child Protection Income Management</w:t>
      </w:r>
      <w:r>
        <w:rPr>
          <w:noProof/>
        </w:rPr>
        <w:tab/>
      </w:r>
      <w:r>
        <w:rPr>
          <w:noProof/>
        </w:rPr>
        <w:fldChar w:fldCharType="begin"/>
      </w:r>
      <w:r>
        <w:rPr>
          <w:noProof/>
        </w:rPr>
        <w:instrText xml:space="preserve"> PAGEREF _Toc403738970 \h </w:instrText>
      </w:r>
      <w:r>
        <w:rPr>
          <w:noProof/>
        </w:rPr>
      </w:r>
      <w:r>
        <w:rPr>
          <w:noProof/>
        </w:rPr>
        <w:fldChar w:fldCharType="separate"/>
      </w:r>
      <w:r w:rsidR="00F612EF">
        <w:rPr>
          <w:noProof/>
        </w:rPr>
        <w:t>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2.4.5</w:t>
      </w:r>
      <w:r>
        <w:rPr>
          <w:rFonts w:asciiTheme="minorHAnsi" w:hAnsiTheme="minorHAnsi"/>
          <w:noProof/>
          <w:sz w:val="22"/>
          <w:szCs w:val="22"/>
        </w:rPr>
        <w:tab/>
      </w:r>
      <w:r>
        <w:rPr>
          <w:noProof/>
        </w:rPr>
        <w:t>Supporting People at Risk Income Management</w:t>
      </w:r>
      <w:r>
        <w:rPr>
          <w:noProof/>
        </w:rPr>
        <w:tab/>
      </w:r>
      <w:r>
        <w:rPr>
          <w:noProof/>
        </w:rPr>
        <w:fldChar w:fldCharType="begin"/>
      </w:r>
      <w:r>
        <w:rPr>
          <w:noProof/>
        </w:rPr>
        <w:instrText xml:space="preserve"> PAGEREF _Toc403738971 \h </w:instrText>
      </w:r>
      <w:r>
        <w:rPr>
          <w:noProof/>
        </w:rPr>
      </w:r>
      <w:r>
        <w:rPr>
          <w:noProof/>
        </w:rPr>
        <w:fldChar w:fldCharType="separate"/>
      </w:r>
      <w:r w:rsidR="00F612EF">
        <w:rPr>
          <w:noProof/>
        </w:rPr>
        <w:t>28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2.4.6</w:t>
      </w:r>
      <w:r>
        <w:rPr>
          <w:rFonts w:asciiTheme="minorHAnsi" w:hAnsiTheme="minorHAnsi"/>
          <w:noProof/>
          <w:sz w:val="22"/>
          <w:szCs w:val="22"/>
        </w:rPr>
        <w:tab/>
      </w:r>
      <w:r>
        <w:rPr>
          <w:noProof/>
        </w:rPr>
        <w:t>Voluntary Income Management</w:t>
      </w:r>
      <w:r>
        <w:rPr>
          <w:noProof/>
        </w:rPr>
        <w:tab/>
      </w:r>
      <w:r>
        <w:rPr>
          <w:noProof/>
        </w:rPr>
        <w:fldChar w:fldCharType="begin"/>
      </w:r>
      <w:r>
        <w:rPr>
          <w:noProof/>
        </w:rPr>
        <w:instrText xml:space="preserve"> PAGEREF _Toc403738972 \h </w:instrText>
      </w:r>
      <w:r>
        <w:rPr>
          <w:noProof/>
        </w:rPr>
      </w:r>
      <w:r>
        <w:rPr>
          <w:noProof/>
        </w:rPr>
        <w:fldChar w:fldCharType="separate"/>
      </w:r>
      <w:r w:rsidR="00F612EF">
        <w:rPr>
          <w:noProof/>
        </w:rPr>
        <w:t>28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2.4.7</w:t>
      </w:r>
      <w:r>
        <w:rPr>
          <w:rFonts w:asciiTheme="minorHAnsi" w:hAnsiTheme="minorHAnsi"/>
          <w:noProof/>
          <w:sz w:val="22"/>
          <w:szCs w:val="22"/>
        </w:rPr>
        <w:tab/>
      </w:r>
      <w:r>
        <w:rPr>
          <w:noProof/>
        </w:rPr>
        <w:t>Hierarchy of income management measures</w:t>
      </w:r>
      <w:r>
        <w:rPr>
          <w:noProof/>
        </w:rPr>
        <w:tab/>
      </w:r>
      <w:r>
        <w:rPr>
          <w:noProof/>
        </w:rPr>
        <w:fldChar w:fldCharType="begin"/>
      </w:r>
      <w:r>
        <w:rPr>
          <w:noProof/>
        </w:rPr>
        <w:instrText xml:space="preserve"> PAGEREF _Toc403738973 \h </w:instrText>
      </w:r>
      <w:r>
        <w:rPr>
          <w:noProof/>
        </w:rPr>
      </w:r>
      <w:r>
        <w:rPr>
          <w:noProof/>
        </w:rPr>
        <w:fldChar w:fldCharType="separate"/>
      </w:r>
      <w:r w:rsidR="00F612EF">
        <w:rPr>
          <w:noProof/>
        </w:rPr>
        <w:t>28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2.5</w:t>
      </w:r>
      <w:r>
        <w:rPr>
          <w:rFonts w:asciiTheme="minorHAnsi" w:hAnsiTheme="minorHAnsi"/>
          <w:sz w:val="22"/>
          <w:szCs w:val="22"/>
        </w:rPr>
        <w:tab/>
      </w:r>
      <w:r>
        <w:t>The operation of income management and transition from the NTER</w:t>
      </w:r>
      <w:r>
        <w:tab/>
      </w:r>
      <w:r>
        <w:fldChar w:fldCharType="begin"/>
      </w:r>
      <w:r>
        <w:instrText xml:space="preserve"> PAGEREF _Toc403738974 \h </w:instrText>
      </w:r>
      <w:r>
        <w:fldChar w:fldCharType="separate"/>
      </w:r>
      <w:r w:rsidR="00F612EF">
        <w:t>29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2.5.1</w:t>
      </w:r>
      <w:r>
        <w:rPr>
          <w:rFonts w:asciiTheme="minorHAnsi" w:hAnsiTheme="minorHAnsi"/>
          <w:noProof/>
          <w:sz w:val="22"/>
          <w:szCs w:val="22"/>
        </w:rPr>
        <w:tab/>
      </w:r>
      <w:r>
        <w:rPr>
          <w:noProof/>
        </w:rPr>
        <w:t>Spending income managed funds</w:t>
      </w:r>
      <w:r>
        <w:rPr>
          <w:noProof/>
        </w:rPr>
        <w:tab/>
      </w:r>
      <w:r>
        <w:rPr>
          <w:noProof/>
        </w:rPr>
        <w:fldChar w:fldCharType="begin"/>
      </w:r>
      <w:r>
        <w:rPr>
          <w:noProof/>
        </w:rPr>
        <w:instrText xml:space="preserve"> PAGEREF _Toc403738975 \h </w:instrText>
      </w:r>
      <w:r>
        <w:rPr>
          <w:noProof/>
        </w:rPr>
      </w:r>
      <w:r>
        <w:rPr>
          <w:noProof/>
        </w:rPr>
        <w:fldChar w:fldCharType="separate"/>
      </w:r>
      <w:r w:rsidR="00F612EF">
        <w:rPr>
          <w:noProof/>
        </w:rPr>
        <w:t>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2.5.2</w:t>
      </w:r>
      <w:r>
        <w:rPr>
          <w:rFonts w:asciiTheme="minorHAnsi" w:hAnsiTheme="minorHAnsi"/>
          <w:noProof/>
          <w:sz w:val="22"/>
          <w:szCs w:val="22"/>
        </w:rPr>
        <w:tab/>
      </w:r>
      <w:r>
        <w:rPr>
          <w:noProof/>
        </w:rPr>
        <w:t>Reviews of income management decisions</w:t>
      </w:r>
      <w:r>
        <w:rPr>
          <w:noProof/>
        </w:rPr>
        <w:tab/>
      </w:r>
      <w:r>
        <w:rPr>
          <w:noProof/>
        </w:rPr>
        <w:fldChar w:fldCharType="begin"/>
      </w:r>
      <w:r>
        <w:rPr>
          <w:noProof/>
        </w:rPr>
        <w:instrText xml:space="preserve"> PAGEREF _Toc403738976 \h </w:instrText>
      </w:r>
      <w:r>
        <w:rPr>
          <w:noProof/>
        </w:rPr>
      </w:r>
      <w:r>
        <w:rPr>
          <w:noProof/>
        </w:rPr>
        <w:fldChar w:fldCharType="separate"/>
      </w:r>
      <w:r w:rsidR="00F612EF">
        <w:rPr>
          <w:noProof/>
        </w:rPr>
        <w:t>31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2.5.3</w:t>
      </w:r>
      <w:r>
        <w:rPr>
          <w:rFonts w:asciiTheme="minorHAnsi" w:hAnsiTheme="minorHAnsi"/>
          <w:noProof/>
          <w:sz w:val="22"/>
          <w:szCs w:val="22"/>
        </w:rPr>
        <w:tab/>
      </w:r>
      <w:r>
        <w:rPr>
          <w:noProof/>
        </w:rPr>
        <w:t>Transition from NTER Income Management</w:t>
      </w:r>
      <w:r>
        <w:rPr>
          <w:noProof/>
        </w:rPr>
        <w:tab/>
      </w:r>
      <w:r>
        <w:rPr>
          <w:noProof/>
        </w:rPr>
        <w:fldChar w:fldCharType="begin"/>
      </w:r>
      <w:r>
        <w:rPr>
          <w:noProof/>
        </w:rPr>
        <w:instrText xml:space="preserve"> PAGEREF _Toc403738977 \h </w:instrText>
      </w:r>
      <w:r>
        <w:rPr>
          <w:noProof/>
        </w:rPr>
      </w:r>
      <w:r>
        <w:rPr>
          <w:noProof/>
        </w:rPr>
        <w:fldChar w:fldCharType="separate"/>
      </w:r>
      <w:r w:rsidR="00F612EF">
        <w:rPr>
          <w:noProof/>
        </w:rPr>
        <w:t>31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2.6</w:t>
      </w:r>
      <w:r>
        <w:rPr>
          <w:rFonts w:asciiTheme="minorHAnsi" w:hAnsiTheme="minorHAnsi"/>
          <w:sz w:val="22"/>
          <w:szCs w:val="22"/>
        </w:rPr>
        <w:tab/>
      </w:r>
      <w:r>
        <w:t>Supporting programs and initiatives</w:t>
      </w:r>
      <w:r>
        <w:tab/>
      </w:r>
      <w:r>
        <w:fldChar w:fldCharType="begin"/>
      </w:r>
      <w:r>
        <w:instrText xml:space="preserve"> PAGEREF _Toc403738978 \h </w:instrText>
      </w:r>
      <w:r>
        <w:fldChar w:fldCharType="separate"/>
      </w:r>
      <w:r w:rsidR="00F612EF">
        <w:t>32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2.6.1</w:t>
      </w:r>
      <w:r>
        <w:rPr>
          <w:rFonts w:asciiTheme="minorHAnsi" w:hAnsiTheme="minorHAnsi"/>
          <w:noProof/>
          <w:sz w:val="22"/>
          <w:szCs w:val="22"/>
        </w:rPr>
        <w:tab/>
      </w:r>
      <w:r>
        <w:rPr>
          <w:noProof/>
        </w:rPr>
        <w:t>Matched Savings Scheme Payment</w:t>
      </w:r>
      <w:r>
        <w:rPr>
          <w:noProof/>
        </w:rPr>
        <w:tab/>
      </w:r>
      <w:r>
        <w:rPr>
          <w:noProof/>
        </w:rPr>
        <w:fldChar w:fldCharType="begin"/>
      </w:r>
      <w:r>
        <w:rPr>
          <w:noProof/>
        </w:rPr>
        <w:instrText xml:space="preserve"> PAGEREF _Toc403738979 \h </w:instrText>
      </w:r>
      <w:r>
        <w:rPr>
          <w:noProof/>
        </w:rPr>
      </w:r>
      <w:r>
        <w:rPr>
          <w:noProof/>
        </w:rPr>
        <w:fldChar w:fldCharType="separate"/>
      </w:r>
      <w:r w:rsidR="00F612EF">
        <w:rPr>
          <w:noProof/>
        </w:rPr>
        <w:t>33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2.6.2</w:t>
      </w:r>
      <w:r>
        <w:rPr>
          <w:rFonts w:asciiTheme="minorHAnsi" w:hAnsiTheme="minorHAnsi"/>
          <w:noProof/>
          <w:sz w:val="22"/>
          <w:szCs w:val="22"/>
        </w:rPr>
        <w:tab/>
      </w:r>
      <w:r>
        <w:rPr>
          <w:noProof/>
        </w:rPr>
        <w:t>Money management and financial counselling</w:t>
      </w:r>
      <w:r>
        <w:rPr>
          <w:noProof/>
        </w:rPr>
        <w:tab/>
      </w:r>
      <w:r>
        <w:rPr>
          <w:noProof/>
        </w:rPr>
        <w:fldChar w:fldCharType="begin"/>
      </w:r>
      <w:r>
        <w:rPr>
          <w:noProof/>
        </w:rPr>
        <w:instrText xml:space="preserve"> PAGEREF _Toc403738980 \h </w:instrText>
      </w:r>
      <w:r>
        <w:rPr>
          <w:noProof/>
        </w:rPr>
      </w:r>
      <w:r>
        <w:rPr>
          <w:noProof/>
        </w:rPr>
        <w:fldChar w:fldCharType="separate"/>
      </w:r>
      <w:r w:rsidR="00F612EF">
        <w:rPr>
          <w:noProof/>
        </w:rPr>
        <w:t>33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2.7</w:t>
      </w:r>
      <w:r>
        <w:rPr>
          <w:rFonts w:asciiTheme="minorHAnsi" w:hAnsiTheme="minorHAnsi"/>
          <w:sz w:val="22"/>
          <w:szCs w:val="22"/>
        </w:rPr>
        <w:tab/>
      </w:r>
      <w:r>
        <w:t>Broader context</w:t>
      </w:r>
      <w:r>
        <w:tab/>
      </w:r>
      <w:r>
        <w:fldChar w:fldCharType="begin"/>
      </w:r>
      <w:r>
        <w:instrText xml:space="preserve"> PAGEREF _Toc403738981 \h </w:instrText>
      </w:r>
      <w:r>
        <w:fldChar w:fldCharType="separate"/>
      </w:r>
      <w:r w:rsidR="00F612EF">
        <w:t>34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2.8</w:t>
      </w:r>
      <w:r>
        <w:rPr>
          <w:rFonts w:asciiTheme="minorHAnsi" w:hAnsiTheme="minorHAnsi"/>
          <w:sz w:val="22"/>
          <w:szCs w:val="22"/>
        </w:rPr>
        <w:tab/>
      </w:r>
      <w:r>
        <w:t>Conclusion</w:t>
      </w:r>
      <w:r>
        <w:tab/>
      </w:r>
      <w:r>
        <w:fldChar w:fldCharType="begin"/>
      </w:r>
      <w:r>
        <w:instrText xml:space="preserve"> PAGEREF _Toc403738982 \h </w:instrText>
      </w:r>
      <w:r>
        <w:fldChar w:fldCharType="separate"/>
      </w:r>
      <w:r w:rsidR="00F612EF">
        <w:t>39</w:t>
      </w:r>
      <w:r>
        <w:fldChar w:fldCharType="end"/>
      </w:r>
    </w:p>
    <w:p w:rsidR="00DC1D42" w:rsidRDefault="00DC1D42" w:rsidP="00DC1D42">
      <w:pPr>
        <w:pStyle w:val="TOC1"/>
        <w:rPr>
          <w:rFonts w:asciiTheme="minorHAnsi" w:hAnsiTheme="minorHAnsi"/>
          <w:sz w:val="22"/>
          <w:szCs w:val="22"/>
        </w:rPr>
      </w:pPr>
      <w:r>
        <w:t>3</w:t>
      </w:r>
      <w:r>
        <w:rPr>
          <w:rFonts w:asciiTheme="minorHAnsi" w:hAnsiTheme="minorHAnsi"/>
          <w:sz w:val="22"/>
          <w:szCs w:val="22"/>
        </w:rPr>
        <w:tab/>
      </w:r>
      <w:r>
        <w:t>Evaluation processes and data sources</w:t>
      </w:r>
      <w:r>
        <w:tab/>
      </w:r>
      <w:r>
        <w:fldChar w:fldCharType="begin"/>
      </w:r>
      <w:r>
        <w:instrText xml:space="preserve"> PAGEREF _Toc403738983 \h </w:instrText>
      </w:r>
      <w:r>
        <w:fldChar w:fldCharType="separate"/>
      </w:r>
      <w:r w:rsidR="00F612EF">
        <w:t>41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3.1</w:t>
      </w:r>
      <w:r>
        <w:rPr>
          <w:rFonts w:asciiTheme="minorHAnsi" w:hAnsiTheme="minorHAnsi"/>
          <w:sz w:val="22"/>
          <w:szCs w:val="22"/>
        </w:rPr>
        <w:tab/>
      </w:r>
      <w:r>
        <w:t>Introduction</w:t>
      </w:r>
      <w:r>
        <w:tab/>
      </w:r>
      <w:r>
        <w:fldChar w:fldCharType="begin"/>
      </w:r>
      <w:r>
        <w:instrText xml:space="preserve"> PAGEREF _Toc403738984 \h </w:instrText>
      </w:r>
      <w:r>
        <w:fldChar w:fldCharType="separate"/>
      </w:r>
      <w:r w:rsidR="00F612EF">
        <w:t>41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3.2</w:t>
      </w:r>
      <w:r>
        <w:rPr>
          <w:rFonts w:asciiTheme="minorHAnsi" w:hAnsiTheme="minorHAnsi"/>
          <w:sz w:val="22"/>
          <w:szCs w:val="22"/>
        </w:rPr>
        <w:tab/>
      </w:r>
      <w:r>
        <w:t>Evaluation methods and components</w:t>
      </w:r>
      <w:r>
        <w:tab/>
      </w:r>
      <w:r>
        <w:fldChar w:fldCharType="begin"/>
      </w:r>
      <w:r>
        <w:instrText xml:space="preserve"> PAGEREF _Toc403738985 \h </w:instrText>
      </w:r>
      <w:r>
        <w:fldChar w:fldCharType="separate"/>
      </w:r>
      <w:r w:rsidR="00F612EF">
        <w:t>41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3.2.1</w:t>
      </w:r>
      <w:r>
        <w:rPr>
          <w:rFonts w:asciiTheme="minorHAnsi" w:hAnsiTheme="minorHAnsi"/>
          <w:noProof/>
          <w:sz w:val="22"/>
          <w:szCs w:val="22"/>
        </w:rPr>
        <w:tab/>
      </w:r>
      <w:r>
        <w:rPr>
          <w:noProof/>
        </w:rPr>
        <w:t>Government administrative data related to the operation of income management</w:t>
      </w:r>
      <w:r>
        <w:rPr>
          <w:noProof/>
        </w:rPr>
        <w:tab/>
      </w:r>
      <w:r>
        <w:rPr>
          <w:noProof/>
        </w:rPr>
        <w:fldChar w:fldCharType="begin"/>
      </w:r>
      <w:r>
        <w:rPr>
          <w:noProof/>
        </w:rPr>
        <w:instrText xml:space="preserve"> PAGEREF _Toc403738986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3.2.2</w:t>
      </w:r>
      <w:r>
        <w:rPr>
          <w:rFonts w:asciiTheme="minorHAnsi" w:hAnsiTheme="minorHAnsi"/>
          <w:noProof/>
          <w:sz w:val="22"/>
          <w:szCs w:val="22"/>
        </w:rPr>
        <w:tab/>
      </w:r>
      <w:r>
        <w:rPr>
          <w:noProof/>
        </w:rPr>
        <w:t>Store sales data</w:t>
      </w:r>
      <w:r>
        <w:rPr>
          <w:noProof/>
        </w:rPr>
        <w:tab/>
      </w:r>
      <w:r>
        <w:rPr>
          <w:noProof/>
        </w:rPr>
        <w:fldChar w:fldCharType="begin"/>
      </w:r>
      <w:r>
        <w:rPr>
          <w:noProof/>
        </w:rPr>
        <w:instrText xml:space="preserve"> PAGEREF _Toc403738987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3.2.3</w:t>
      </w:r>
      <w:r>
        <w:rPr>
          <w:rFonts w:asciiTheme="minorHAnsi" w:hAnsiTheme="minorHAnsi"/>
          <w:noProof/>
          <w:sz w:val="22"/>
          <w:szCs w:val="22"/>
        </w:rPr>
        <w:tab/>
      </w:r>
      <w:r>
        <w:rPr>
          <w:noProof/>
        </w:rPr>
        <w:t>Aggregate outcome data</w:t>
      </w:r>
      <w:r>
        <w:rPr>
          <w:noProof/>
        </w:rPr>
        <w:tab/>
      </w:r>
      <w:r>
        <w:rPr>
          <w:noProof/>
        </w:rPr>
        <w:fldChar w:fldCharType="begin"/>
      </w:r>
      <w:r>
        <w:rPr>
          <w:noProof/>
        </w:rPr>
        <w:instrText xml:space="preserve"> PAGEREF _Toc403738988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3.2.4</w:t>
      </w:r>
      <w:r>
        <w:rPr>
          <w:rFonts w:asciiTheme="minorHAnsi" w:hAnsiTheme="minorHAnsi"/>
          <w:noProof/>
          <w:sz w:val="22"/>
          <w:szCs w:val="22"/>
        </w:rPr>
        <w:tab/>
      </w:r>
      <w:r>
        <w:rPr>
          <w:noProof/>
        </w:rPr>
        <w:t>Longitudinal Survey of New Income Management (LSNIM)</w:t>
      </w:r>
      <w:r>
        <w:rPr>
          <w:noProof/>
        </w:rPr>
        <w:tab/>
      </w:r>
      <w:r>
        <w:rPr>
          <w:noProof/>
        </w:rPr>
        <w:fldChar w:fldCharType="begin"/>
      </w:r>
      <w:r>
        <w:rPr>
          <w:noProof/>
        </w:rPr>
        <w:instrText xml:space="preserve"> PAGEREF _Toc403738989 \h </w:instrText>
      </w:r>
      <w:r>
        <w:rPr>
          <w:noProof/>
        </w:rPr>
      </w:r>
      <w:r>
        <w:rPr>
          <w:noProof/>
        </w:rPr>
        <w:fldChar w:fldCharType="separate"/>
      </w:r>
      <w:r w:rsidR="00F612EF">
        <w:rPr>
          <w:noProof/>
        </w:rPr>
        <w:t>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3.2.5</w:t>
      </w:r>
      <w:r>
        <w:rPr>
          <w:rFonts w:asciiTheme="minorHAnsi" w:hAnsiTheme="minorHAnsi"/>
          <w:noProof/>
          <w:sz w:val="22"/>
          <w:szCs w:val="22"/>
        </w:rPr>
        <w:tab/>
      </w:r>
      <w:r>
        <w:rPr>
          <w:noProof/>
        </w:rPr>
        <w:t>Interviews with intermediaries</w:t>
      </w:r>
      <w:r>
        <w:rPr>
          <w:noProof/>
        </w:rPr>
        <w:tab/>
      </w:r>
      <w:r>
        <w:rPr>
          <w:noProof/>
        </w:rPr>
        <w:fldChar w:fldCharType="begin"/>
      </w:r>
      <w:r>
        <w:rPr>
          <w:noProof/>
        </w:rPr>
        <w:instrText xml:space="preserve"> PAGEREF _Toc403738990 \h </w:instrText>
      </w:r>
      <w:r>
        <w:rPr>
          <w:noProof/>
        </w:rPr>
      </w:r>
      <w:r>
        <w:rPr>
          <w:noProof/>
        </w:rPr>
        <w:fldChar w:fldCharType="separate"/>
      </w:r>
      <w:r w:rsidR="00F612EF">
        <w:rPr>
          <w:noProof/>
        </w:rPr>
        <w:t>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3.2.6</w:t>
      </w:r>
      <w:r>
        <w:rPr>
          <w:rFonts w:asciiTheme="minorHAnsi" w:hAnsiTheme="minorHAnsi"/>
          <w:noProof/>
          <w:sz w:val="22"/>
          <w:szCs w:val="22"/>
        </w:rPr>
        <w:tab/>
      </w:r>
      <w:r>
        <w:rPr>
          <w:noProof/>
        </w:rPr>
        <w:t>Case file interviews with Child Protection caseworkers from the Northern Territory Department of Children and Families</w:t>
      </w:r>
      <w:r>
        <w:rPr>
          <w:noProof/>
        </w:rPr>
        <w:tab/>
      </w:r>
      <w:r>
        <w:rPr>
          <w:noProof/>
        </w:rPr>
        <w:fldChar w:fldCharType="begin"/>
      </w:r>
      <w:r>
        <w:rPr>
          <w:noProof/>
        </w:rPr>
        <w:instrText xml:space="preserve"> PAGEREF _Toc403738991 \h </w:instrText>
      </w:r>
      <w:r>
        <w:rPr>
          <w:noProof/>
        </w:rPr>
      </w:r>
      <w:r>
        <w:rPr>
          <w:noProof/>
        </w:rPr>
        <w:fldChar w:fldCharType="separate"/>
      </w:r>
      <w:r w:rsidR="00F612EF">
        <w:rPr>
          <w:noProof/>
        </w:rPr>
        <w:t>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3.2.7</w:t>
      </w:r>
      <w:r>
        <w:rPr>
          <w:rFonts w:asciiTheme="minorHAnsi" w:hAnsiTheme="minorHAnsi"/>
          <w:noProof/>
          <w:sz w:val="22"/>
          <w:szCs w:val="22"/>
        </w:rPr>
        <w:tab/>
      </w:r>
      <w:r>
        <w:rPr>
          <w:noProof/>
        </w:rPr>
        <w:t>Vulnerable Welfare Payment Recipient social work assessment report review</w:t>
      </w:r>
      <w:r>
        <w:rPr>
          <w:noProof/>
        </w:rPr>
        <w:tab/>
      </w:r>
      <w:r>
        <w:rPr>
          <w:noProof/>
        </w:rPr>
        <w:fldChar w:fldCharType="begin"/>
      </w:r>
      <w:r>
        <w:rPr>
          <w:noProof/>
        </w:rPr>
        <w:instrText xml:space="preserve"> PAGEREF _Toc403738992 \h </w:instrText>
      </w:r>
      <w:r>
        <w:rPr>
          <w:noProof/>
        </w:rPr>
      </w:r>
      <w:r>
        <w:rPr>
          <w:noProof/>
        </w:rPr>
        <w:fldChar w:fldCharType="separate"/>
      </w:r>
      <w:r w:rsidR="00F612EF">
        <w:rPr>
          <w:noProof/>
        </w:rPr>
        <w:t>46</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3.3</w:t>
      </w:r>
      <w:r>
        <w:rPr>
          <w:rFonts w:asciiTheme="minorHAnsi" w:hAnsiTheme="minorHAnsi"/>
          <w:sz w:val="22"/>
          <w:szCs w:val="22"/>
        </w:rPr>
        <w:tab/>
      </w:r>
      <w:r>
        <w:t>Ethics approval</w:t>
      </w:r>
      <w:r>
        <w:tab/>
      </w:r>
      <w:r>
        <w:fldChar w:fldCharType="begin"/>
      </w:r>
      <w:r>
        <w:instrText xml:space="preserve"> PAGEREF _Toc403738993 \h </w:instrText>
      </w:r>
      <w:r>
        <w:fldChar w:fldCharType="separate"/>
      </w:r>
      <w:r w:rsidR="00F612EF">
        <w:t>46</w:t>
      </w:r>
      <w:r>
        <w:fldChar w:fldCharType="end"/>
      </w:r>
    </w:p>
    <w:p w:rsidR="00DC1D42" w:rsidRDefault="00DC1D42" w:rsidP="00DC1D42">
      <w:pPr>
        <w:pStyle w:val="TOC1"/>
        <w:rPr>
          <w:rFonts w:asciiTheme="minorHAnsi" w:hAnsiTheme="minorHAnsi"/>
          <w:sz w:val="22"/>
          <w:szCs w:val="22"/>
        </w:rPr>
      </w:pPr>
      <w:r>
        <w:t>4</w:t>
      </w:r>
      <w:r>
        <w:rPr>
          <w:rFonts w:asciiTheme="minorHAnsi" w:hAnsiTheme="minorHAnsi"/>
          <w:sz w:val="22"/>
          <w:szCs w:val="22"/>
        </w:rPr>
        <w:tab/>
      </w:r>
      <w:r>
        <w:t>The population on income management</w:t>
      </w:r>
      <w:r>
        <w:tab/>
      </w:r>
      <w:r>
        <w:fldChar w:fldCharType="begin"/>
      </w:r>
      <w:r>
        <w:instrText xml:space="preserve"> PAGEREF _Toc403738994 \h </w:instrText>
      </w:r>
      <w:r>
        <w:fldChar w:fldCharType="separate"/>
      </w:r>
      <w:r w:rsidR="00F612EF">
        <w:t>49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4.1</w:t>
      </w:r>
      <w:r>
        <w:rPr>
          <w:rFonts w:asciiTheme="minorHAnsi" w:hAnsiTheme="minorHAnsi"/>
          <w:sz w:val="22"/>
          <w:szCs w:val="22"/>
        </w:rPr>
        <w:tab/>
      </w:r>
      <w:r>
        <w:t>Introduction and background to data</w:t>
      </w:r>
      <w:r>
        <w:tab/>
      </w:r>
      <w:r>
        <w:fldChar w:fldCharType="begin"/>
      </w:r>
      <w:r>
        <w:instrText xml:space="preserve"> PAGEREF _Toc403738995 \h </w:instrText>
      </w:r>
      <w:r>
        <w:fldChar w:fldCharType="separate"/>
      </w:r>
      <w:r w:rsidR="00F612EF">
        <w:t>49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4.2</w:t>
      </w:r>
      <w:r>
        <w:rPr>
          <w:rFonts w:asciiTheme="minorHAnsi" w:hAnsiTheme="minorHAnsi"/>
          <w:sz w:val="22"/>
          <w:szCs w:val="22"/>
        </w:rPr>
        <w:tab/>
      </w:r>
      <w:r>
        <w:t>The Northern Territory income management population</w:t>
      </w:r>
      <w:r>
        <w:tab/>
      </w:r>
      <w:r>
        <w:fldChar w:fldCharType="begin"/>
      </w:r>
      <w:r>
        <w:instrText xml:space="preserve"> PAGEREF _Toc403738996 \h </w:instrText>
      </w:r>
      <w:r>
        <w:fldChar w:fldCharType="separate"/>
      </w:r>
      <w:r w:rsidR="00F612EF">
        <w:t>50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4.2.1</w:t>
      </w:r>
      <w:r>
        <w:rPr>
          <w:rFonts w:asciiTheme="minorHAnsi" w:hAnsiTheme="minorHAnsi"/>
          <w:noProof/>
          <w:sz w:val="22"/>
          <w:szCs w:val="22"/>
        </w:rPr>
        <w:tab/>
      </w:r>
      <w:r>
        <w:rPr>
          <w:noProof/>
        </w:rPr>
        <w:t>Numbers subject to income management in the Northern Territory since August 2010</w:t>
      </w:r>
      <w:r>
        <w:rPr>
          <w:noProof/>
        </w:rPr>
        <w:tab/>
      </w:r>
      <w:r>
        <w:rPr>
          <w:noProof/>
        </w:rPr>
        <w:fldChar w:fldCharType="begin"/>
      </w:r>
      <w:r>
        <w:rPr>
          <w:noProof/>
        </w:rPr>
        <w:instrText xml:space="preserve"> PAGEREF _Toc403738997 \h </w:instrText>
      </w:r>
      <w:r>
        <w:rPr>
          <w:noProof/>
        </w:rPr>
      </w:r>
      <w:r>
        <w:rPr>
          <w:noProof/>
        </w:rPr>
        <w:fldChar w:fldCharType="separate"/>
      </w:r>
      <w:r w:rsidR="00F612EF">
        <w:rPr>
          <w:noProof/>
        </w:rPr>
        <w:t>50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4.3</w:t>
      </w:r>
      <w:r>
        <w:rPr>
          <w:rFonts w:asciiTheme="minorHAnsi" w:hAnsiTheme="minorHAnsi"/>
          <w:sz w:val="22"/>
          <w:szCs w:val="22"/>
        </w:rPr>
        <w:tab/>
      </w:r>
      <w:r>
        <w:t>Key demographic characteristics</w:t>
      </w:r>
      <w:r>
        <w:tab/>
      </w:r>
      <w:r>
        <w:fldChar w:fldCharType="begin"/>
      </w:r>
      <w:r>
        <w:instrText xml:space="preserve"> PAGEREF _Toc403738998 \h </w:instrText>
      </w:r>
      <w:r>
        <w:fldChar w:fldCharType="separate"/>
      </w:r>
      <w:r w:rsidR="00F612EF">
        <w:t>53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4.3.1</w:t>
      </w:r>
      <w:r>
        <w:rPr>
          <w:rFonts w:asciiTheme="minorHAnsi" w:hAnsiTheme="minorHAnsi"/>
          <w:noProof/>
          <w:sz w:val="22"/>
          <w:szCs w:val="22"/>
        </w:rPr>
        <w:tab/>
      </w:r>
      <w:r>
        <w:rPr>
          <w:noProof/>
        </w:rPr>
        <w:t>Indigenous status</w:t>
      </w:r>
      <w:r>
        <w:rPr>
          <w:noProof/>
        </w:rPr>
        <w:tab/>
      </w:r>
      <w:r>
        <w:rPr>
          <w:noProof/>
        </w:rPr>
        <w:fldChar w:fldCharType="begin"/>
      </w:r>
      <w:r>
        <w:rPr>
          <w:noProof/>
        </w:rPr>
        <w:instrText xml:space="preserve"> PAGEREF _Toc403738999 \h </w:instrText>
      </w:r>
      <w:r>
        <w:rPr>
          <w:noProof/>
        </w:rPr>
      </w:r>
      <w:r>
        <w:rPr>
          <w:noProof/>
        </w:rPr>
        <w:fldChar w:fldCharType="separate"/>
      </w:r>
      <w:r w:rsidR="00F612EF">
        <w:rPr>
          <w:noProof/>
        </w:rPr>
        <w:t>53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4.3.2</w:t>
      </w:r>
      <w:r>
        <w:rPr>
          <w:rFonts w:asciiTheme="minorHAnsi" w:hAnsiTheme="minorHAnsi"/>
          <w:noProof/>
          <w:sz w:val="22"/>
          <w:szCs w:val="22"/>
        </w:rPr>
        <w:tab/>
      </w:r>
      <w:r>
        <w:rPr>
          <w:noProof/>
        </w:rPr>
        <w:t>Gender</w:t>
      </w:r>
      <w:r>
        <w:rPr>
          <w:noProof/>
        </w:rPr>
        <w:tab/>
      </w:r>
      <w:r>
        <w:rPr>
          <w:noProof/>
        </w:rPr>
        <w:fldChar w:fldCharType="begin"/>
      </w:r>
      <w:r>
        <w:rPr>
          <w:noProof/>
        </w:rPr>
        <w:instrText xml:space="preserve"> PAGEREF _Toc403739000 \h </w:instrText>
      </w:r>
      <w:r>
        <w:rPr>
          <w:noProof/>
        </w:rPr>
      </w:r>
      <w:r>
        <w:rPr>
          <w:noProof/>
        </w:rPr>
        <w:fldChar w:fldCharType="separate"/>
      </w:r>
      <w:r w:rsidR="00F612EF">
        <w:rPr>
          <w:noProof/>
        </w:rPr>
        <w:t>55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4.3.3</w:t>
      </w:r>
      <w:r>
        <w:rPr>
          <w:rFonts w:asciiTheme="minorHAnsi" w:hAnsiTheme="minorHAnsi"/>
          <w:noProof/>
          <w:sz w:val="22"/>
          <w:szCs w:val="22"/>
        </w:rPr>
        <w:tab/>
      </w:r>
      <w:r>
        <w:rPr>
          <w:noProof/>
        </w:rPr>
        <w:t>Age</w:t>
      </w:r>
      <w:r>
        <w:rPr>
          <w:noProof/>
        </w:rPr>
        <w:tab/>
      </w:r>
      <w:r>
        <w:rPr>
          <w:noProof/>
        </w:rPr>
        <w:fldChar w:fldCharType="begin"/>
      </w:r>
      <w:r>
        <w:rPr>
          <w:noProof/>
        </w:rPr>
        <w:instrText xml:space="preserve"> PAGEREF _Toc403739001 \h </w:instrText>
      </w:r>
      <w:r>
        <w:rPr>
          <w:noProof/>
        </w:rPr>
      </w:r>
      <w:r>
        <w:rPr>
          <w:noProof/>
        </w:rPr>
        <w:fldChar w:fldCharType="separate"/>
      </w:r>
      <w:r w:rsidR="00F612EF">
        <w:rPr>
          <w:noProof/>
        </w:rPr>
        <w:t>57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4.3.4</w:t>
      </w:r>
      <w:r>
        <w:rPr>
          <w:rFonts w:asciiTheme="minorHAnsi" w:hAnsiTheme="minorHAnsi"/>
          <w:noProof/>
          <w:sz w:val="22"/>
          <w:szCs w:val="22"/>
        </w:rPr>
        <w:tab/>
      </w:r>
      <w:r>
        <w:rPr>
          <w:noProof/>
        </w:rPr>
        <w:t>Family type</w:t>
      </w:r>
      <w:r>
        <w:rPr>
          <w:noProof/>
        </w:rPr>
        <w:tab/>
      </w:r>
      <w:r>
        <w:rPr>
          <w:noProof/>
        </w:rPr>
        <w:fldChar w:fldCharType="begin"/>
      </w:r>
      <w:r>
        <w:rPr>
          <w:noProof/>
        </w:rPr>
        <w:instrText xml:space="preserve"> PAGEREF _Toc403739002 \h </w:instrText>
      </w:r>
      <w:r>
        <w:rPr>
          <w:noProof/>
        </w:rPr>
      </w:r>
      <w:r>
        <w:rPr>
          <w:noProof/>
        </w:rPr>
        <w:fldChar w:fldCharType="separate"/>
      </w:r>
      <w:r w:rsidR="00F612EF">
        <w:rPr>
          <w:noProof/>
        </w:rPr>
        <w:t>58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4.3.5</w:t>
      </w:r>
      <w:r>
        <w:rPr>
          <w:rFonts w:asciiTheme="minorHAnsi" w:hAnsiTheme="minorHAnsi"/>
          <w:noProof/>
          <w:sz w:val="22"/>
          <w:szCs w:val="22"/>
        </w:rPr>
        <w:tab/>
      </w:r>
      <w:r>
        <w:rPr>
          <w:noProof/>
        </w:rPr>
        <w:t>Age and number of children</w:t>
      </w:r>
      <w:r>
        <w:rPr>
          <w:noProof/>
        </w:rPr>
        <w:tab/>
      </w:r>
      <w:r>
        <w:rPr>
          <w:noProof/>
        </w:rPr>
        <w:fldChar w:fldCharType="begin"/>
      </w:r>
      <w:r>
        <w:rPr>
          <w:noProof/>
        </w:rPr>
        <w:instrText xml:space="preserve"> PAGEREF _Toc403739003 \h </w:instrText>
      </w:r>
      <w:r>
        <w:rPr>
          <w:noProof/>
        </w:rPr>
      </w:r>
      <w:r>
        <w:rPr>
          <w:noProof/>
        </w:rPr>
        <w:fldChar w:fldCharType="separate"/>
      </w:r>
      <w:r w:rsidR="00F612EF">
        <w:rPr>
          <w:noProof/>
        </w:rPr>
        <w:t>60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4.3.6</w:t>
      </w:r>
      <w:r>
        <w:rPr>
          <w:rFonts w:asciiTheme="minorHAnsi" w:hAnsiTheme="minorHAnsi"/>
          <w:noProof/>
          <w:sz w:val="22"/>
          <w:szCs w:val="22"/>
        </w:rPr>
        <w:tab/>
      </w:r>
      <w:r>
        <w:rPr>
          <w:noProof/>
        </w:rPr>
        <w:t>Income management and couples</w:t>
      </w:r>
      <w:r>
        <w:rPr>
          <w:noProof/>
        </w:rPr>
        <w:tab/>
      </w:r>
      <w:r>
        <w:rPr>
          <w:noProof/>
        </w:rPr>
        <w:fldChar w:fldCharType="begin"/>
      </w:r>
      <w:r>
        <w:rPr>
          <w:noProof/>
        </w:rPr>
        <w:instrText xml:space="preserve"> PAGEREF _Toc403739004 \h </w:instrText>
      </w:r>
      <w:r>
        <w:rPr>
          <w:noProof/>
        </w:rPr>
      </w:r>
      <w:r>
        <w:rPr>
          <w:noProof/>
        </w:rPr>
        <w:fldChar w:fldCharType="separate"/>
      </w:r>
      <w:r w:rsidR="00F612EF">
        <w:rPr>
          <w:noProof/>
        </w:rPr>
        <w:t>62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4.3.7</w:t>
      </w:r>
      <w:r>
        <w:rPr>
          <w:rFonts w:asciiTheme="minorHAnsi" w:hAnsiTheme="minorHAnsi"/>
          <w:noProof/>
          <w:sz w:val="22"/>
          <w:szCs w:val="22"/>
        </w:rPr>
        <w:tab/>
      </w:r>
      <w:r>
        <w:rPr>
          <w:noProof/>
        </w:rPr>
        <w:t>Country of birth</w:t>
      </w:r>
      <w:r>
        <w:rPr>
          <w:noProof/>
        </w:rPr>
        <w:tab/>
      </w:r>
      <w:r>
        <w:rPr>
          <w:noProof/>
        </w:rPr>
        <w:fldChar w:fldCharType="begin"/>
      </w:r>
      <w:r>
        <w:rPr>
          <w:noProof/>
        </w:rPr>
        <w:instrText xml:space="preserve"> PAGEREF _Toc403739005 \h </w:instrText>
      </w:r>
      <w:r>
        <w:rPr>
          <w:noProof/>
        </w:rPr>
      </w:r>
      <w:r>
        <w:rPr>
          <w:noProof/>
        </w:rPr>
        <w:fldChar w:fldCharType="separate"/>
      </w:r>
      <w:r w:rsidR="00F612EF">
        <w:rPr>
          <w:noProof/>
        </w:rPr>
        <w:t>64</w:t>
      </w:r>
      <w:r>
        <w:rPr>
          <w:noProof/>
        </w:rPr>
        <w:fldChar w:fldCharType="end"/>
      </w:r>
    </w:p>
    <w:p w:rsidR="00DC1D42" w:rsidRDefault="00DC1D42">
      <w:pPr>
        <w:pStyle w:val="TOC3"/>
        <w:rPr>
          <w:rFonts w:asciiTheme="minorHAnsi" w:hAnsiTheme="minorHAnsi"/>
          <w:noProof/>
          <w:sz w:val="22"/>
          <w:szCs w:val="22"/>
        </w:rPr>
      </w:pPr>
      <w:r w:rsidRPr="00CA3E10">
        <w:rPr>
          <w:rFonts w:eastAsia="Times New Roman"/>
          <w:noProof/>
          <w14:scene3d>
            <w14:camera w14:prst="orthographicFront"/>
            <w14:lightRig w14:rig="threePt" w14:dir="t">
              <w14:rot w14:lat="0" w14:lon="0" w14:rev="0"/>
            </w14:lightRig>
          </w14:scene3d>
        </w:rPr>
        <w:t>4.3.8</w:t>
      </w:r>
      <w:r>
        <w:rPr>
          <w:rFonts w:asciiTheme="minorHAnsi" w:hAnsiTheme="minorHAnsi"/>
          <w:noProof/>
          <w:sz w:val="22"/>
          <w:szCs w:val="22"/>
        </w:rPr>
        <w:tab/>
      </w:r>
      <w:r w:rsidRPr="00CA3E10">
        <w:rPr>
          <w:rFonts w:eastAsia="Times New Roman"/>
          <w:noProof/>
        </w:rPr>
        <w:t>Income management by location</w:t>
      </w:r>
      <w:r>
        <w:rPr>
          <w:noProof/>
        </w:rPr>
        <w:tab/>
      </w:r>
      <w:r>
        <w:rPr>
          <w:noProof/>
        </w:rPr>
        <w:fldChar w:fldCharType="begin"/>
      </w:r>
      <w:r>
        <w:rPr>
          <w:noProof/>
        </w:rPr>
        <w:instrText xml:space="preserve"> PAGEREF _Toc403739006 \h </w:instrText>
      </w:r>
      <w:r>
        <w:rPr>
          <w:noProof/>
        </w:rPr>
      </w:r>
      <w:r>
        <w:rPr>
          <w:noProof/>
        </w:rPr>
        <w:fldChar w:fldCharType="separate"/>
      </w:r>
      <w:r w:rsidR="00F612EF">
        <w:rPr>
          <w:noProof/>
        </w:rPr>
        <w:t>64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4.4</w:t>
      </w:r>
      <w:r>
        <w:rPr>
          <w:rFonts w:asciiTheme="minorHAnsi" w:hAnsiTheme="minorHAnsi"/>
          <w:sz w:val="22"/>
          <w:szCs w:val="22"/>
        </w:rPr>
        <w:tab/>
      </w:r>
      <w:r>
        <w:t>Income support payments and the incidence of income management</w:t>
      </w:r>
      <w:r>
        <w:tab/>
      </w:r>
      <w:r>
        <w:fldChar w:fldCharType="begin"/>
      </w:r>
      <w:r>
        <w:instrText xml:space="preserve"> PAGEREF _Toc403739007 \h </w:instrText>
      </w:r>
      <w:r>
        <w:fldChar w:fldCharType="separate"/>
      </w:r>
      <w:r w:rsidR="00F612EF">
        <w:t>66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4.4.1</w:t>
      </w:r>
      <w:r>
        <w:rPr>
          <w:rFonts w:asciiTheme="minorHAnsi" w:hAnsiTheme="minorHAnsi"/>
          <w:noProof/>
          <w:sz w:val="22"/>
          <w:szCs w:val="22"/>
        </w:rPr>
        <w:tab/>
      </w:r>
      <w:r>
        <w:rPr>
          <w:noProof/>
        </w:rPr>
        <w:t>Type of income support payment received</w:t>
      </w:r>
      <w:r>
        <w:rPr>
          <w:noProof/>
        </w:rPr>
        <w:tab/>
      </w:r>
      <w:r>
        <w:rPr>
          <w:noProof/>
        </w:rPr>
        <w:fldChar w:fldCharType="begin"/>
      </w:r>
      <w:r>
        <w:rPr>
          <w:noProof/>
        </w:rPr>
        <w:instrText xml:space="preserve"> PAGEREF _Toc403739008 \h </w:instrText>
      </w:r>
      <w:r>
        <w:rPr>
          <w:noProof/>
        </w:rPr>
      </w:r>
      <w:r>
        <w:rPr>
          <w:noProof/>
        </w:rPr>
        <w:fldChar w:fldCharType="separate"/>
      </w:r>
      <w:r w:rsidR="00F612EF">
        <w:rPr>
          <w:noProof/>
        </w:rPr>
        <w:t>66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4.4.2</w:t>
      </w:r>
      <w:r>
        <w:rPr>
          <w:rFonts w:asciiTheme="minorHAnsi" w:hAnsiTheme="minorHAnsi"/>
          <w:noProof/>
          <w:sz w:val="22"/>
          <w:szCs w:val="22"/>
        </w:rPr>
        <w:tab/>
      </w:r>
      <w:r>
        <w:rPr>
          <w:noProof/>
        </w:rPr>
        <w:t>Proportion of income support recipients subject to income management: incidence by age, gender and Indigenous status</w:t>
      </w:r>
      <w:r>
        <w:rPr>
          <w:noProof/>
        </w:rPr>
        <w:tab/>
      </w:r>
      <w:r>
        <w:rPr>
          <w:noProof/>
        </w:rPr>
        <w:fldChar w:fldCharType="begin"/>
      </w:r>
      <w:r>
        <w:rPr>
          <w:noProof/>
        </w:rPr>
        <w:instrText xml:space="preserve"> PAGEREF _Toc403739009 \h </w:instrText>
      </w:r>
      <w:r>
        <w:rPr>
          <w:noProof/>
        </w:rPr>
      </w:r>
      <w:r>
        <w:rPr>
          <w:noProof/>
        </w:rPr>
        <w:fldChar w:fldCharType="separate"/>
      </w:r>
      <w:r w:rsidR="00F612EF">
        <w:rPr>
          <w:noProof/>
        </w:rPr>
        <w:t>68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4.4.3</w:t>
      </w:r>
      <w:r>
        <w:rPr>
          <w:rFonts w:asciiTheme="minorHAnsi" w:hAnsiTheme="minorHAnsi"/>
          <w:noProof/>
          <w:sz w:val="22"/>
          <w:szCs w:val="22"/>
        </w:rPr>
        <w:tab/>
      </w:r>
      <w:r>
        <w:rPr>
          <w:noProof/>
        </w:rPr>
        <w:t>Incidence by location</w:t>
      </w:r>
      <w:r>
        <w:rPr>
          <w:noProof/>
        </w:rPr>
        <w:tab/>
      </w:r>
      <w:r>
        <w:rPr>
          <w:noProof/>
        </w:rPr>
        <w:fldChar w:fldCharType="begin"/>
      </w:r>
      <w:r>
        <w:rPr>
          <w:noProof/>
        </w:rPr>
        <w:instrText xml:space="preserve"> PAGEREF _Toc403739010 \h </w:instrText>
      </w:r>
      <w:r>
        <w:rPr>
          <w:noProof/>
        </w:rPr>
      </w:r>
      <w:r>
        <w:rPr>
          <w:noProof/>
        </w:rPr>
        <w:fldChar w:fldCharType="separate"/>
      </w:r>
      <w:r w:rsidR="00F612EF">
        <w:rPr>
          <w:noProof/>
        </w:rPr>
        <w:t>70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4.5</w:t>
      </w:r>
      <w:r>
        <w:rPr>
          <w:rFonts w:asciiTheme="minorHAnsi" w:hAnsiTheme="minorHAnsi"/>
          <w:sz w:val="22"/>
          <w:szCs w:val="22"/>
        </w:rPr>
        <w:tab/>
      </w:r>
      <w:r>
        <w:t>Time spent on income management, flows and duration</w:t>
      </w:r>
      <w:r>
        <w:tab/>
      </w:r>
      <w:r>
        <w:fldChar w:fldCharType="begin"/>
      </w:r>
      <w:r>
        <w:instrText xml:space="preserve"> PAGEREF _Toc403739011 \h </w:instrText>
      </w:r>
      <w:r>
        <w:fldChar w:fldCharType="separate"/>
      </w:r>
      <w:r w:rsidR="00F612EF">
        <w:t>73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4.5.1</w:t>
      </w:r>
      <w:r>
        <w:rPr>
          <w:rFonts w:asciiTheme="minorHAnsi" w:hAnsiTheme="minorHAnsi"/>
          <w:noProof/>
          <w:sz w:val="22"/>
          <w:szCs w:val="22"/>
        </w:rPr>
        <w:tab/>
      </w:r>
      <w:r>
        <w:rPr>
          <w:noProof/>
        </w:rPr>
        <w:t>Flows onto and off income management</w:t>
      </w:r>
      <w:r>
        <w:rPr>
          <w:noProof/>
        </w:rPr>
        <w:tab/>
      </w:r>
      <w:r>
        <w:rPr>
          <w:noProof/>
        </w:rPr>
        <w:fldChar w:fldCharType="begin"/>
      </w:r>
      <w:r>
        <w:rPr>
          <w:noProof/>
        </w:rPr>
        <w:instrText xml:space="preserve"> PAGEREF _Toc403739012 \h </w:instrText>
      </w:r>
      <w:r>
        <w:rPr>
          <w:noProof/>
        </w:rPr>
      </w:r>
      <w:r>
        <w:rPr>
          <w:noProof/>
        </w:rPr>
        <w:fldChar w:fldCharType="separate"/>
      </w:r>
      <w:r w:rsidR="00F612EF">
        <w:rPr>
          <w:noProof/>
        </w:rPr>
        <w:t>73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4.5.2</w:t>
      </w:r>
      <w:r>
        <w:rPr>
          <w:rFonts w:asciiTheme="minorHAnsi" w:hAnsiTheme="minorHAnsi"/>
          <w:noProof/>
          <w:sz w:val="22"/>
          <w:szCs w:val="22"/>
        </w:rPr>
        <w:tab/>
      </w:r>
      <w:r>
        <w:rPr>
          <w:noProof/>
        </w:rPr>
        <w:t>Length and proportion of time on income management</w:t>
      </w:r>
      <w:r>
        <w:rPr>
          <w:noProof/>
        </w:rPr>
        <w:tab/>
      </w:r>
      <w:r>
        <w:rPr>
          <w:noProof/>
        </w:rPr>
        <w:fldChar w:fldCharType="begin"/>
      </w:r>
      <w:r>
        <w:rPr>
          <w:noProof/>
        </w:rPr>
        <w:instrText xml:space="preserve"> PAGEREF _Toc403739013 \h </w:instrText>
      </w:r>
      <w:r>
        <w:rPr>
          <w:noProof/>
        </w:rPr>
      </w:r>
      <w:r>
        <w:rPr>
          <w:noProof/>
        </w:rPr>
        <w:fldChar w:fldCharType="separate"/>
      </w:r>
      <w:r w:rsidR="00F612EF">
        <w:rPr>
          <w:noProof/>
        </w:rPr>
        <w:t>74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4.5.3</w:t>
      </w:r>
      <w:r>
        <w:rPr>
          <w:rFonts w:asciiTheme="minorHAnsi" w:hAnsiTheme="minorHAnsi"/>
          <w:noProof/>
          <w:sz w:val="22"/>
          <w:szCs w:val="22"/>
        </w:rPr>
        <w:tab/>
      </w:r>
      <w:r>
        <w:rPr>
          <w:noProof/>
        </w:rPr>
        <w:t>Dynamics of income management and duration</w:t>
      </w:r>
      <w:r>
        <w:rPr>
          <w:noProof/>
        </w:rPr>
        <w:tab/>
      </w:r>
      <w:r>
        <w:rPr>
          <w:noProof/>
        </w:rPr>
        <w:fldChar w:fldCharType="begin"/>
      </w:r>
      <w:r>
        <w:rPr>
          <w:noProof/>
        </w:rPr>
        <w:instrText xml:space="preserve"> PAGEREF _Toc403739014 \h </w:instrText>
      </w:r>
      <w:r>
        <w:rPr>
          <w:noProof/>
        </w:rPr>
      </w:r>
      <w:r>
        <w:rPr>
          <w:noProof/>
        </w:rPr>
        <w:fldChar w:fldCharType="separate"/>
      </w:r>
      <w:r w:rsidR="00F612EF">
        <w:rPr>
          <w:noProof/>
        </w:rPr>
        <w:t>76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4.5.4</w:t>
      </w:r>
      <w:r>
        <w:rPr>
          <w:rFonts w:asciiTheme="minorHAnsi" w:hAnsiTheme="minorHAnsi"/>
          <w:noProof/>
          <w:sz w:val="22"/>
          <w:szCs w:val="22"/>
        </w:rPr>
        <w:tab/>
      </w:r>
      <w:r>
        <w:rPr>
          <w:noProof/>
        </w:rPr>
        <w:t>Duration of time spent on income management</w:t>
      </w:r>
      <w:r>
        <w:rPr>
          <w:noProof/>
        </w:rPr>
        <w:tab/>
      </w:r>
      <w:r>
        <w:rPr>
          <w:noProof/>
        </w:rPr>
        <w:fldChar w:fldCharType="begin"/>
      </w:r>
      <w:r>
        <w:rPr>
          <w:noProof/>
        </w:rPr>
        <w:instrText xml:space="preserve"> PAGEREF _Toc403739015 \h </w:instrText>
      </w:r>
      <w:r>
        <w:rPr>
          <w:noProof/>
        </w:rPr>
      </w:r>
      <w:r>
        <w:rPr>
          <w:noProof/>
        </w:rPr>
        <w:fldChar w:fldCharType="separate"/>
      </w:r>
      <w:r w:rsidR="00F612EF">
        <w:rPr>
          <w:noProof/>
        </w:rPr>
        <w:t>81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4.5.5</w:t>
      </w:r>
      <w:r>
        <w:rPr>
          <w:rFonts w:asciiTheme="minorHAnsi" w:hAnsiTheme="minorHAnsi"/>
          <w:noProof/>
          <w:sz w:val="22"/>
          <w:szCs w:val="22"/>
        </w:rPr>
        <w:tab/>
      </w:r>
      <w:r>
        <w:rPr>
          <w:noProof/>
        </w:rPr>
        <w:t>Exits from income management</w:t>
      </w:r>
      <w:r>
        <w:rPr>
          <w:noProof/>
        </w:rPr>
        <w:tab/>
      </w:r>
      <w:r>
        <w:rPr>
          <w:noProof/>
        </w:rPr>
        <w:fldChar w:fldCharType="begin"/>
      </w:r>
      <w:r>
        <w:rPr>
          <w:noProof/>
        </w:rPr>
        <w:instrText xml:space="preserve"> PAGEREF _Toc403739016 \h </w:instrText>
      </w:r>
      <w:r>
        <w:rPr>
          <w:noProof/>
        </w:rPr>
      </w:r>
      <w:r>
        <w:rPr>
          <w:noProof/>
        </w:rPr>
        <w:fldChar w:fldCharType="separate"/>
      </w:r>
      <w:r w:rsidR="00F612EF">
        <w:rPr>
          <w:noProof/>
        </w:rPr>
        <w:t>84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4.5.6</w:t>
      </w:r>
      <w:r>
        <w:rPr>
          <w:rFonts w:asciiTheme="minorHAnsi" w:hAnsiTheme="minorHAnsi"/>
          <w:noProof/>
          <w:sz w:val="22"/>
          <w:szCs w:val="22"/>
        </w:rPr>
        <w:tab/>
      </w:r>
      <w:r>
        <w:rPr>
          <w:noProof/>
        </w:rPr>
        <w:t>Exits due to death and imprisonment</w:t>
      </w:r>
      <w:r>
        <w:rPr>
          <w:noProof/>
        </w:rPr>
        <w:tab/>
      </w:r>
      <w:r>
        <w:rPr>
          <w:noProof/>
        </w:rPr>
        <w:fldChar w:fldCharType="begin"/>
      </w:r>
      <w:r>
        <w:rPr>
          <w:noProof/>
        </w:rPr>
        <w:instrText xml:space="preserve"> PAGEREF _Toc403739017 \h </w:instrText>
      </w:r>
      <w:r>
        <w:rPr>
          <w:noProof/>
        </w:rPr>
      </w:r>
      <w:r>
        <w:rPr>
          <w:noProof/>
        </w:rPr>
        <w:fldChar w:fldCharType="separate"/>
      </w:r>
      <w:r w:rsidR="00F612EF">
        <w:rPr>
          <w:noProof/>
        </w:rPr>
        <w:t>86</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4.6</w:t>
      </w:r>
      <w:r>
        <w:rPr>
          <w:rFonts w:asciiTheme="minorHAnsi" w:hAnsiTheme="minorHAnsi"/>
          <w:sz w:val="22"/>
          <w:szCs w:val="22"/>
        </w:rPr>
        <w:tab/>
      </w:r>
      <w:r>
        <w:t>Money Management and Financial Counselling Services</w:t>
      </w:r>
      <w:r>
        <w:tab/>
      </w:r>
      <w:r>
        <w:fldChar w:fldCharType="begin"/>
      </w:r>
      <w:r>
        <w:instrText xml:space="preserve"> PAGEREF _Toc403739018 \h </w:instrText>
      </w:r>
      <w:r>
        <w:fldChar w:fldCharType="separate"/>
      </w:r>
      <w:r w:rsidR="00F612EF">
        <w:t>88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4.7</w:t>
      </w:r>
      <w:r>
        <w:rPr>
          <w:rFonts w:asciiTheme="minorHAnsi" w:hAnsiTheme="minorHAnsi"/>
          <w:sz w:val="22"/>
          <w:szCs w:val="22"/>
        </w:rPr>
        <w:tab/>
      </w:r>
      <w:r>
        <w:t>Summary</w:t>
      </w:r>
      <w:r>
        <w:tab/>
      </w:r>
      <w:r>
        <w:fldChar w:fldCharType="begin"/>
      </w:r>
      <w:r>
        <w:instrText xml:space="preserve"> PAGEREF _Toc403739019 \h </w:instrText>
      </w:r>
      <w:r>
        <w:fldChar w:fldCharType="separate"/>
      </w:r>
      <w:r w:rsidR="00F612EF">
        <w:t>93</w:t>
      </w:r>
      <w:r>
        <w:fldChar w:fldCharType="end"/>
      </w:r>
    </w:p>
    <w:p w:rsidR="00DC1D42" w:rsidRDefault="00DC1D42" w:rsidP="00DC1D42">
      <w:pPr>
        <w:pStyle w:val="TOC1"/>
        <w:rPr>
          <w:rFonts w:asciiTheme="minorHAnsi" w:hAnsiTheme="minorHAnsi"/>
          <w:sz w:val="22"/>
          <w:szCs w:val="22"/>
        </w:rPr>
      </w:pPr>
      <w:r>
        <w:t>5</w:t>
      </w:r>
      <w:r>
        <w:rPr>
          <w:rFonts w:asciiTheme="minorHAnsi" w:hAnsiTheme="minorHAnsi"/>
          <w:sz w:val="22"/>
          <w:szCs w:val="22"/>
        </w:rPr>
        <w:tab/>
      </w:r>
      <w:r>
        <w:t>Exemptions</w:t>
      </w:r>
      <w:r>
        <w:tab/>
      </w:r>
      <w:r>
        <w:fldChar w:fldCharType="begin"/>
      </w:r>
      <w:r>
        <w:instrText xml:space="preserve"> PAGEREF _Toc403739020 \h </w:instrText>
      </w:r>
      <w:r>
        <w:fldChar w:fldCharType="separate"/>
      </w:r>
      <w:r w:rsidR="00F612EF">
        <w:t>95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5.1</w:t>
      </w:r>
      <w:r>
        <w:rPr>
          <w:rFonts w:asciiTheme="minorHAnsi" w:hAnsiTheme="minorHAnsi"/>
          <w:sz w:val="22"/>
          <w:szCs w:val="22"/>
        </w:rPr>
        <w:tab/>
      </w:r>
      <w:r>
        <w:t>Purpose and background</w:t>
      </w:r>
      <w:r>
        <w:tab/>
      </w:r>
      <w:r>
        <w:fldChar w:fldCharType="begin"/>
      </w:r>
      <w:r>
        <w:instrText xml:space="preserve"> PAGEREF _Toc403739021 \h </w:instrText>
      </w:r>
      <w:r>
        <w:fldChar w:fldCharType="separate"/>
      </w:r>
      <w:r w:rsidR="00F612EF">
        <w:t>95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5.1.1</w:t>
      </w:r>
      <w:r>
        <w:rPr>
          <w:rFonts w:asciiTheme="minorHAnsi" w:hAnsiTheme="minorHAnsi"/>
          <w:noProof/>
          <w:sz w:val="22"/>
          <w:szCs w:val="22"/>
        </w:rPr>
        <w:tab/>
      </w:r>
      <w:r>
        <w:rPr>
          <w:noProof/>
        </w:rPr>
        <w:t>The objective of exemptions</w:t>
      </w:r>
      <w:r>
        <w:rPr>
          <w:noProof/>
        </w:rPr>
        <w:tab/>
      </w:r>
      <w:r>
        <w:rPr>
          <w:noProof/>
        </w:rPr>
        <w:fldChar w:fldCharType="begin"/>
      </w:r>
      <w:r>
        <w:rPr>
          <w:noProof/>
        </w:rPr>
        <w:instrText xml:space="preserve"> PAGEREF _Toc403739022 \h </w:instrText>
      </w:r>
      <w:r>
        <w:rPr>
          <w:noProof/>
        </w:rPr>
      </w:r>
      <w:r>
        <w:rPr>
          <w:noProof/>
        </w:rPr>
        <w:fldChar w:fldCharType="separate"/>
      </w:r>
      <w:r w:rsidR="00F612EF">
        <w:rPr>
          <w:noProof/>
        </w:rPr>
        <w:t>95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5.1.2</w:t>
      </w:r>
      <w:r>
        <w:rPr>
          <w:rFonts w:asciiTheme="minorHAnsi" w:hAnsiTheme="minorHAnsi"/>
          <w:noProof/>
          <w:sz w:val="22"/>
          <w:szCs w:val="22"/>
        </w:rPr>
        <w:tab/>
      </w:r>
      <w:r>
        <w:rPr>
          <w:noProof/>
        </w:rPr>
        <w:t>Background</w:t>
      </w:r>
      <w:r>
        <w:rPr>
          <w:noProof/>
        </w:rPr>
        <w:tab/>
      </w:r>
      <w:r>
        <w:rPr>
          <w:noProof/>
        </w:rPr>
        <w:fldChar w:fldCharType="begin"/>
      </w:r>
      <w:r>
        <w:rPr>
          <w:noProof/>
        </w:rPr>
        <w:instrText xml:space="preserve"> PAGEREF _Toc403739023 \h </w:instrText>
      </w:r>
      <w:r>
        <w:rPr>
          <w:noProof/>
        </w:rPr>
      </w:r>
      <w:r>
        <w:rPr>
          <w:noProof/>
        </w:rPr>
        <w:fldChar w:fldCharType="separate"/>
      </w:r>
      <w:r w:rsidR="00F612EF">
        <w:rPr>
          <w:noProof/>
        </w:rPr>
        <w:t>95</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5.2</w:t>
      </w:r>
      <w:r>
        <w:rPr>
          <w:rFonts w:asciiTheme="minorHAnsi" w:hAnsiTheme="minorHAnsi"/>
          <w:sz w:val="22"/>
          <w:szCs w:val="22"/>
        </w:rPr>
        <w:tab/>
      </w:r>
      <w:r>
        <w:t>Trends in exemptions</w:t>
      </w:r>
      <w:r>
        <w:tab/>
      </w:r>
      <w:r>
        <w:fldChar w:fldCharType="begin"/>
      </w:r>
      <w:r>
        <w:instrText xml:space="preserve"> PAGEREF _Toc403739024 \h </w:instrText>
      </w:r>
      <w:r>
        <w:fldChar w:fldCharType="separate"/>
      </w:r>
      <w:r w:rsidR="00F612EF">
        <w:t>96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5.2.1</w:t>
      </w:r>
      <w:r>
        <w:rPr>
          <w:rFonts w:asciiTheme="minorHAnsi" w:hAnsiTheme="minorHAnsi"/>
          <w:noProof/>
          <w:sz w:val="22"/>
          <w:szCs w:val="22"/>
        </w:rPr>
        <w:tab/>
      </w:r>
      <w:r>
        <w:rPr>
          <w:noProof/>
        </w:rPr>
        <w:t>Scope of analysis</w:t>
      </w:r>
      <w:r>
        <w:rPr>
          <w:noProof/>
        </w:rPr>
        <w:tab/>
      </w:r>
      <w:r>
        <w:rPr>
          <w:noProof/>
        </w:rPr>
        <w:fldChar w:fldCharType="begin"/>
      </w:r>
      <w:r>
        <w:rPr>
          <w:noProof/>
        </w:rPr>
        <w:instrText xml:space="preserve"> PAGEREF _Toc403739025 \h </w:instrText>
      </w:r>
      <w:r>
        <w:rPr>
          <w:noProof/>
        </w:rPr>
      </w:r>
      <w:r>
        <w:rPr>
          <w:noProof/>
        </w:rPr>
        <w:fldChar w:fldCharType="separate"/>
      </w:r>
      <w:r w:rsidR="00F612EF">
        <w:rPr>
          <w:noProof/>
        </w:rPr>
        <w:t>96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5.2.2</w:t>
      </w:r>
      <w:r>
        <w:rPr>
          <w:rFonts w:asciiTheme="minorHAnsi" w:hAnsiTheme="minorHAnsi"/>
          <w:noProof/>
          <w:sz w:val="22"/>
          <w:szCs w:val="22"/>
        </w:rPr>
        <w:tab/>
      </w:r>
      <w:r>
        <w:rPr>
          <w:noProof/>
        </w:rPr>
        <w:t>Trends in exemptions</w:t>
      </w:r>
      <w:r>
        <w:rPr>
          <w:noProof/>
        </w:rPr>
        <w:tab/>
      </w:r>
      <w:r>
        <w:rPr>
          <w:noProof/>
        </w:rPr>
        <w:fldChar w:fldCharType="begin"/>
      </w:r>
      <w:r>
        <w:rPr>
          <w:noProof/>
        </w:rPr>
        <w:instrText xml:space="preserve"> PAGEREF _Toc403739026 \h </w:instrText>
      </w:r>
      <w:r>
        <w:rPr>
          <w:noProof/>
        </w:rPr>
      </w:r>
      <w:r>
        <w:rPr>
          <w:noProof/>
        </w:rPr>
        <w:fldChar w:fldCharType="separate"/>
      </w:r>
      <w:r w:rsidR="00F612EF">
        <w:rPr>
          <w:noProof/>
        </w:rPr>
        <w:t>96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5.2.3</w:t>
      </w:r>
      <w:r>
        <w:rPr>
          <w:rFonts w:asciiTheme="minorHAnsi" w:hAnsiTheme="minorHAnsi"/>
          <w:noProof/>
          <w:sz w:val="22"/>
          <w:szCs w:val="22"/>
        </w:rPr>
        <w:tab/>
      </w:r>
      <w:r>
        <w:rPr>
          <w:noProof/>
        </w:rPr>
        <w:t>Characteristics of the population with exemptions</w:t>
      </w:r>
      <w:r>
        <w:rPr>
          <w:noProof/>
        </w:rPr>
        <w:tab/>
      </w:r>
      <w:r>
        <w:rPr>
          <w:noProof/>
        </w:rPr>
        <w:fldChar w:fldCharType="begin"/>
      </w:r>
      <w:r>
        <w:rPr>
          <w:noProof/>
        </w:rPr>
        <w:instrText xml:space="preserve"> PAGEREF _Toc403739027 \h </w:instrText>
      </w:r>
      <w:r>
        <w:rPr>
          <w:noProof/>
        </w:rPr>
      </w:r>
      <w:r>
        <w:rPr>
          <w:noProof/>
        </w:rPr>
        <w:fldChar w:fldCharType="separate"/>
      </w:r>
      <w:r w:rsidR="00F612EF">
        <w:rPr>
          <w:noProof/>
        </w:rPr>
        <w:t>99</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5.3</w:t>
      </w:r>
      <w:r>
        <w:rPr>
          <w:rFonts w:asciiTheme="minorHAnsi" w:hAnsiTheme="minorHAnsi"/>
          <w:sz w:val="22"/>
          <w:szCs w:val="22"/>
        </w:rPr>
        <w:tab/>
      </w:r>
      <w:r>
        <w:t>The dynamics of exemptions</w:t>
      </w:r>
      <w:r>
        <w:tab/>
      </w:r>
      <w:r>
        <w:fldChar w:fldCharType="begin"/>
      </w:r>
      <w:r>
        <w:instrText xml:space="preserve"> PAGEREF _Toc403739028 \h </w:instrText>
      </w:r>
      <w:r>
        <w:fldChar w:fldCharType="separate"/>
      </w:r>
      <w:r w:rsidR="00F612EF">
        <w:t>102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5.3.1</w:t>
      </w:r>
      <w:r>
        <w:rPr>
          <w:rFonts w:asciiTheme="minorHAnsi" w:hAnsiTheme="minorHAnsi"/>
          <w:noProof/>
          <w:sz w:val="22"/>
          <w:szCs w:val="22"/>
        </w:rPr>
        <w:tab/>
      </w:r>
      <w:r>
        <w:rPr>
          <w:noProof/>
        </w:rPr>
        <w:t>Experience on income management prior to first exemption</w:t>
      </w:r>
      <w:r>
        <w:rPr>
          <w:noProof/>
        </w:rPr>
        <w:tab/>
      </w:r>
      <w:r>
        <w:rPr>
          <w:noProof/>
        </w:rPr>
        <w:fldChar w:fldCharType="begin"/>
      </w:r>
      <w:r>
        <w:rPr>
          <w:noProof/>
        </w:rPr>
        <w:instrText xml:space="preserve"> PAGEREF _Toc403739029 \h </w:instrText>
      </w:r>
      <w:r>
        <w:rPr>
          <w:noProof/>
        </w:rPr>
      </w:r>
      <w:r>
        <w:rPr>
          <w:noProof/>
        </w:rPr>
        <w:fldChar w:fldCharType="separate"/>
      </w:r>
      <w:r w:rsidR="00F612EF">
        <w:rPr>
          <w:noProof/>
        </w:rPr>
        <w:t>102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5.3.2</w:t>
      </w:r>
      <w:r>
        <w:rPr>
          <w:rFonts w:asciiTheme="minorHAnsi" w:hAnsiTheme="minorHAnsi"/>
          <w:noProof/>
          <w:sz w:val="22"/>
          <w:szCs w:val="22"/>
        </w:rPr>
        <w:tab/>
      </w:r>
      <w:r>
        <w:rPr>
          <w:noProof/>
        </w:rPr>
        <w:t>Transitions</w:t>
      </w:r>
      <w:r>
        <w:rPr>
          <w:noProof/>
        </w:rPr>
        <w:tab/>
      </w:r>
      <w:r>
        <w:rPr>
          <w:noProof/>
        </w:rPr>
        <w:fldChar w:fldCharType="begin"/>
      </w:r>
      <w:r>
        <w:rPr>
          <w:noProof/>
        </w:rPr>
        <w:instrText xml:space="preserve"> PAGEREF _Toc403739030 \h </w:instrText>
      </w:r>
      <w:r>
        <w:rPr>
          <w:noProof/>
        </w:rPr>
      </w:r>
      <w:r>
        <w:rPr>
          <w:noProof/>
        </w:rPr>
        <w:fldChar w:fldCharType="separate"/>
      </w:r>
      <w:r w:rsidR="00F612EF">
        <w:rPr>
          <w:noProof/>
        </w:rPr>
        <w:t>103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5.4</w:t>
      </w:r>
      <w:r>
        <w:rPr>
          <w:rFonts w:asciiTheme="minorHAnsi" w:hAnsiTheme="minorHAnsi"/>
          <w:sz w:val="22"/>
          <w:szCs w:val="22"/>
        </w:rPr>
        <w:tab/>
      </w:r>
      <w:r>
        <w:t>Analysis of the incidence of exemptions</w:t>
      </w:r>
      <w:r>
        <w:tab/>
      </w:r>
      <w:r>
        <w:fldChar w:fldCharType="begin"/>
      </w:r>
      <w:r>
        <w:instrText xml:space="preserve"> PAGEREF _Toc403739031 \h </w:instrText>
      </w:r>
      <w:r>
        <w:fldChar w:fldCharType="separate"/>
      </w:r>
      <w:r w:rsidR="00F612EF">
        <w:t>104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5.5</w:t>
      </w:r>
      <w:r>
        <w:rPr>
          <w:rFonts w:asciiTheme="minorHAnsi" w:hAnsiTheme="minorHAnsi"/>
          <w:sz w:val="22"/>
          <w:szCs w:val="22"/>
        </w:rPr>
        <w:tab/>
      </w:r>
      <w:r>
        <w:t>The views and experience of people with exemptions</w:t>
      </w:r>
      <w:r>
        <w:tab/>
      </w:r>
      <w:r>
        <w:fldChar w:fldCharType="begin"/>
      </w:r>
      <w:r>
        <w:instrText xml:space="preserve"> PAGEREF _Toc403739032 \h </w:instrText>
      </w:r>
      <w:r>
        <w:fldChar w:fldCharType="separate"/>
      </w:r>
      <w:r w:rsidR="00F612EF">
        <w:t>108</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5.5.1</w:t>
      </w:r>
      <w:r>
        <w:rPr>
          <w:rFonts w:asciiTheme="minorHAnsi" w:hAnsiTheme="minorHAnsi"/>
          <w:noProof/>
          <w:sz w:val="22"/>
          <w:szCs w:val="22"/>
        </w:rPr>
        <w:tab/>
      </w:r>
      <w:r>
        <w:rPr>
          <w:noProof/>
        </w:rPr>
        <w:t>Motivation for seeking an exemption</w:t>
      </w:r>
      <w:r>
        <w:rPr>
          <w:noProof/>
        </w:rPr>
        <w:tab/>
      </w:r>
      <w:r>
        <w:rPr>
          <w:noProof/>
        </w:rPr>
        <w:fldChar w:fldCharType="begin"/>
      </w:r>
      <w:r>
        <w:rPr>
          <w:noProof/>
        </w:rPr>
        <w:instrText xml:space="preserve"> PAGEREF _Toc403739033 \h </w:instrText>
      </w:r>
      <w:r>
        <w:rPr>
          <w:noProof/>
        </w:rPr>
      </w:r>
      <w:r>
        <w:rPr>
          <w:noProof/>
        </w:rPr>
        <w:fldChar w:fldCharType="separate"/>
      </w:r>
      <w:r w:rsidR="00F612EF">
        <w:rPr>
          <w:noProof/>
        </w:rPr>
        <w:t>108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5.6</w:t>
      </w:r>
      <w:r>
        <w:rPr>
          <w:rFonts w:asciiTheme="minorHAnsi" w:hAnsiTheme="minorHAnsi"/>
          <w:sz w:val="22"/>
          <w:szCs w:val="22"/>
        </w:rPr>
        <w:tab/>
      </w:r>
      <w:r>
        <w:t>The experience of seeking an exemption</w:t>
      </w:r>
      <w:r>
        <w:tab/>
      </w:r>
      <w:r>
        <w:fldChar w:fldCharType="begin"/>
      </w:r>
      <w:r>
        <w:instrText xml:space="preserve"> PAGEREF _Toc403739034 \h </w:instrText>
      </w:r>
      <w:r>
        <w:fldChar w:fldCharType="separate"/>
      </w:r>
      <w:r w:rsidR="00F612EF">
        <w:t>112</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5.7</w:t>
      </w:r>
      <w:r>
        <w:rPr>
          <w:rFonts w:asciiTheme="minorHAnsi" w:hAnsiTheme="minorHAnsi"/>
          <w:sz w:val="22"/>
          <w:szCs w:val="22"/>
        </w:rPr>
        <w:tab/>
      </w:r>
      <w:r>
        <w:t>Appeals and reviews of decisions</w:t>
      </w:r>
      <w:r>
        <w:tab/>
      </w:r>
      <w:r>
        <w:fldChar w:fldCharType="begin"/>
      </w:r>
      <w:r>
        <w:instrText xml:space="preserve"> PAGEREF _Toc403739035 \h </w:instrText>
      </w:r>
      <w:r>
        <w:fldChar w:fldCharType="separate"/>
      </w:r>
      <w:r w:rsidR="00F612EF">
        <w:t>116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5.8</w:t>
      </w:r>
      <w:r>
        <w:rPr>
          <w:rFonts w:asciiTheme="minorHAnsi" w:hAnsiTheme="minorHAnsi"/>
          <w:sz w:val="22"/>
          <w:szCs w:val="22"/>
        </w:rPr>
        <w:tab/>
      </w:r>
      <w:r>
        <w:t>Exemptions – summary</w:t>
      </w:r>
      <w:r>
        <w:tab/>
      </w:r>
      <w:r>
        <w:fldChar w:fldCharType="begin"/>
      </w:r>
      <w:r>
        <w:instrText xml:space="preserve"> PAGEREF _Toc403739036 \h </w:instrText>
      </w:r>
      <w:r>
        <w:fldChar w:fldCharType="separate"/>
      </w:r>
      <w:r w:rsidR="00F612EF">
        <w:t>117</w:t>
      </w:r>
      <w:r>
        <w:fldChar w:fldCharType="end"/>
      </w:r>
    </w:p>
    <w:p w:rsidR="00DC1D42" w:rsidRDefault="00DC1D42" w:rsidP="00DC1D42">
      <w:pPr>
        <w:pStyle w:val="TOC1"/>
        <w:rPr>
          <w:rFonts w:asciiTheme="minorHAnsi" w:hAnsiTheme="minorHAnsi"/>
          <w:sz w:val="22"/>
          <w:szCs w:val="22"/>
        </w:rPr>
      </w:pPr>
      <w:r>
        <w:t>6</w:t>
      </w:r>
      <w:r>
        <w:rPr>
          <w:rFonts w:asciiTheme="minorHAnsi" w:hAnsiTheme="minorHAnsi"/>
          <w:sz w:val="22"/>
          <w:szCs w:val="22"/>
        </w:rPr>
        <w:tab/>
      </w:r>
      <w:r>
        <w:t>Patterns of consumption and financial management</w:t>
      </w:r>
      <w:r>
        <w:tab/>
      </w:r>
      <w:r>
        <w:fldChar w:fldCharType="begin"/>
      </w:r>
      <w:r>
        <w:instrText xml:space="preserve"> PAGEREF _Toc403739037 \h </w:instrText>
      </w:r>
      <w:r>
        <w:fldChar w:fldCharType="separate"/>
      </w:r>
      <w:r w:rsidR="00F612EF">
        <w:t>119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6.1</w:t>
      </w:r>
      <w:r>
        <w:rPr>
          <w:rFonts w:asciiTheme="minorHAnsi" w:hAnsiTheme="minorHAnsi"/>
          <w:sz w:val="22"/>
          <w:szCs w:val="22"/>
        </w:rPr>
        <w:tab/>
      </w:r>
      <w:r>
        <w:t>Consumption and the objectives of New Income Management</w:t>
      </w:r>
      <w:r>
        <w:tab/>
      </w:r>
      <w:r>
        <w:fldChar w:fldCharType="begin"/>
      </w:r>
      <w:r>
        <w:instrText xml:space="preserve"> PAGEREF _Toc403739038 \h </w:instrText>
      </w:r>
      <w:r>
        <w:fldChar w:fldCharType="separate"/>
      </w:r>
      <w:r w:rsidR="00F612EF">
        <w:t>119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6.2</w:t>
      </w:r>
      <w:r>
        <w:rPr>
          <w:rFonts w:asciiTheme="minorHAnsi" w:hAnsiTheme="minorHAnsi"/>
          <w:sz w:val="22"/>
          <w:szCs w:val="22"/>
        </w:rPr>
        <w:tab/>
      </w:r>
      <w:r>
        <w:t>How income managed funds are allocated</w:t>
      </w:r>
      <w:r>
        <w:tab/>
      </w:r>
      <w:r>
        <w:fldChar w:fldCharType="begin"/>
      </w:r>
      <w:r>
        <w:instrText xml:space="preserve"> PAGEREF _Toc403739039 \h </w:instrText>
      </w:r>
      <w:r>
        <w:fldChar w:fldCharType="separate"/>
      </w:r>
      <w:r w:rsidR="00F612EF">
        <w:t>120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6.2.1</w:t>
      </w:r>
      <w:r>
        <w:rPr>
          <w:rFonts w:asciiTheme="minorHAnsi" w:hAnsiTheme="minorHAnsi"/>
          <w:noProof/>
          <w:sz w:val="22"/>
          <w:szCs w:val="22"/>
        </w:rPr>
        <w:tab/>
      </w:r>
      <w:r>
        <w:rPr>
          <w:noProof/>
        </w:rPr>
        <w:t>Allocations to BasicsCard</w:t>
      </w:r>
      <w:r>
        <w:rPr>
          <w:noProof/>
        </w:rPr>
        <w:tab/>
      </w:r>
      <w:r>
        <w:rPr>
          <w:noProof/>
        </w:rPr>
        <w:fldChar w:fldCharType="begin"/>
      </w:r>
      <w:r>
        <w:rPr>
          <w:noProof/>
        </w:rPr>
        <w:instrText xml:space="preserve"> PAGEREF _Toc403739040 \h </w:instrText>
      </w:r>
      <w:r>
        <w:rPr>
          <w:noProof/>
        </w:rPr>
      </w:r>
      <w:r>
        <w:rPr>
          <w:noProof/>
        </w:rPr>
        <w:fldChar w:fldCharType="separate"/>
      </w:r>
      <w:r w:rsidR="00F612EF">
        <w:rPr>
          <w:noProof/>
        </w:rPr>
        <w:t>121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6.2.2</w:t>
      </w:r>
      <w:r>
        <w:rPr>
          <w:rFonts w:asciiTheme="minorHAnsi" w:hAnsiTheme="minorHAnsi"/>
          <w:noProof/>
          <w:sz w:val="22"/>
          <w:szCs w:val="22"/>
        </w:rPr>
        <w:tab/>
      </w:r>
      <w:r>
        <w:rPr>
          <w:noProof/>
        </w:rPr>
        <w:t>Other allocations</w:t>
      </w:r>
      <w:r>
        <w:rPr>
          <w:noProof/>
        </w:rPr>
        <w:tab/>
      </w:r>
      <w:r>
        <w:rPr>
          <w:noProof/>
        </w:rPr>
        <w:fldChar w:fldCharType="begin"/>
      </w:r>
      <w:r>
        <w:rPr>
          <w:noProof/>
        </w:rPr>
        <w:instrText xml:space="preserve"> PAGEREF _Toc403739041 \h </w:instrText>
      </w:r>
      <w:r>
        <w:rPr>
          <w:noProof/>
        </w:rPr>
      </w:r>
      <w:r>
        <w:rPr>
          <w:noProof/>
        </w:rPr>
        <w:fldChar w:fldCharType="separate"/>
      </w:r>
      <w:r w:rsidR="00F612EF">
        <w:rPr>
          <w:noProof/>
        </w:rPr>
        <w:t>123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6.2.3</w:t>
      </w:r>
      <w:r>
        <w:rPr>
          <w:rFonts w:asciiTheme="minorHAnsi" w:hAnsiTheme="minorHAnsi"/>
          <w:noProof/>
          <w:sz w:val="22"/>
          <w:szCs w:val="22"/>
        </w:rPr>
        <w:tab/>
      </w:r>
      <w:r>
        <w:rPr>
          <w:noProof/>
        </w:rPr>
        <w:t>Interaction with Centrepay</w:t>
      </w:r>
      <w:r>
        <w:rPr>
          <w:noProof/>
        </w:rPr>
        <w:tab/>
      </w:r>
      <w:r>
        <w:rPr>
          <w:noProof/>
        </w:rPr>
        <w:fldChar w:fldCharType="begin"/>
      </w:r>
      <w:r>
        <w:rPr>
          <w:noProof/>
        </w:rPr>
        <w:instrText xml:space="preserve"> PAGEREF _Toc403739042 \h </w:instrText>
      </w:r>
      <w:r>
        <w:rPr>
          <w:noProof/>
        </w:rPr>
      </w:r>
      <w:r>
        <w:rPr>
          <w:noProof/>
        </w:rPr>
        <w:fldChar w:fldCharType="separate"/>
      </w:r>
      <w:r w:rsidR="00F612EF">
        <w:rPr>
          <w:noProof/>
        </w:rPr>
        <w:t>124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6.3</w:t>
      </w:r>
      <w:r>
        <w:rPr>
          <w:rFonts w:asciiTheme="minorHAnsi" w:hAnsiTheme="minorHAnsi"/>
          <w:sz w:val="22"/>
          <w:szCs w:val="22"/>
        </w:rPr>
        <w:tab/>
      </w:r>
      <w:r>
        <w:t>BasicsCard</w:t>
      </w:r>
      <w:r>
        <w:tab/>
      </w:r>
      <w:r>
        <w:fldChar w:fldCharType="begin"/>
      </w:r>
      <w:r>
        <w:instrText xml:space="preserve"> PAGEREF _Toc403739043 \h </w:instrText>
      </w:r>
      <w:r>
        <w:fldChar w:fldCharType="separate"/>
      </w:r>
      <w:r w:rsidR="00F612EF">
        <w:t>125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6.3.1</w:t>
      </w:r>
      <w:r>
        <w:rPr>
          <w:rFonts w:asciiTheme="minorHAnsi" w:hAnsiTheme="minorHAnsi"/>
          <w:noProof/>
          <w:sz w:val="22"/>
          <w:szCs w:val="22"/>
        </w:rPr>
        <w:tab/>
      </w:r>
      <w:r>
        <w:rPr>
          <w:noProof/>
        </w:rPr>
        <w:t>BasicsCard issue and replacement</w:t>
      </w:r>
      <w:r>
        <w:rPr>
          <w:noProof/>
        </w:rPr>
        <w:tab/>
      </w:r>
      <w:r>
        <w:rPr>
          <w:noProof/>
        </w:rPr>
        <w:fldChar w:fldCharType="begin"/>
      </w:r>
      <w:r>
        <w:rPr>
          <w:noProof/>
        </w:rPr>
        <w:instrText xml:space="preserve"> PAGEREF _Toc403739044 \h </w:instrText>
      </w:r>
      <w:r>
        <w:rPr>
          <w:noProof/>
        </w:rPr>
      </w:r>
      <w:r>
        <w:rPr>
          <w:noProof/>
        </w:rPr>
        <w:fldChar w:fldCharType="separate"/>
      </w:r>
      <w:r w:rsidR="00F612EF">
        <w:rPr>
          <w:noProof/>
        </w:rPr>
        <w:t>126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6.3.2</w:t>
      </w:r>
      <w:r>
        <w:rPr>
          <w:rFonts w:asciiTheme="minorHAnsi" w:hAnsiTheme="minorHAnsi"/>
          <w:noProof/>
          <w:sz w:val="22"/>
          <w:szCs w:val="22"/>
        </w:rPr>
        <w:tab/>
      </w:r>
      <w:r>
        <w:rPr>
          <w:noProof/>
        </w:rPr>
        <w:t>BasicsCard transactions</w:t>
      </w:r>
      <w:r>
        <w:rPr>
          <w:noProof/>
        </w:rPr>
        <w:tab/>
      </w:r>
      <w:r>
        <w:rPr>
          <w:noProof/>
        </w:rPr>
        <w:fldChar w:fldCharType="begin"/>
      </w:r>
      <w:r>
        <w:rPr>
          <w:noProof/>
        </w:rPr>
        <w:instrText xml:space="preserve"> PAGEREF _Toc403739045 \h </w:instrText>
      </w:r>
      <w:r>
        <w:rPr>
          <w:noProof/>
        </w:rPr>
      </w:r>
      <w:r>
        <w:rPr>
          <w:noProof/>
        </w:rPr>
        <w:fldChar w:fldCharType="separate"/>
      </w:r>
      <w:r w:rsidR="00F612EF">
        <w:rPr>
          <w:noProof/>
        </w:rPr>
        <w:t>127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6.3.3</w:t>
      </w:r>
      <w:r>
        <w:rPr>
          <w:rFonts w:asciiTheme="minorHAnsi" w:hAnsiTheme="minorHAnsi"/>
          <w:noProof/>
          <w:sz w:val="22"/>
          <w:szCs w:val="22"/>
        </w:rPr>
        <w:tab/>
      </w:r>
      <w:r>
        <w:rPr>
          <w:noProof/>
        </w:rPr>
        <w:t>Spending on BasicsCard</w:t>
      </w:r>
      <w:r>
        <w:rPr>
          <w:noProof/>
        </w:rPr>
        <w:tab/>
      </w:r>
      <w:r>
        <w:rPr>
          <w:noProof/>
        </w:rPr>
        <w:fldChar w:fldCharType="begin"/>
      </w:r>
      <w:r>
        <w:rPr>
          <w:noProof/>
        </w:rPr>
        <w:instrText xml:space="preserve"> PAGEREF _Toc403739046 \h </w:instrText>
      </w:r>
      <w:r>
        <w:rPr>
          <w:noProof/>
        </w:rPr>
      </w:r>
      <w:r>
        <w:rPr>
          <w:noProof/>
        </w:rPr>
        <w:fldChar w:fldCharType="separate"/>
      </w:r>
      <w:r w:rsidR="00F612EF">
        <w:rPr>
          <w:noProof/>
        </w:rPr>
        <w:t>129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6.3.4</w:t>
      </w:r>
      <w:r>
        <w:rPr>
          <w:rFonts w:asciiTheme="minorHAnsi" w:hAnsiTheme="minorHAnsi"/>
          <w:noProof/>
          <w:sz w:val="22"/>
          <w:szCs w:val="22"/>
        </w:rPr>
        <w:tab/>
      </w:r>
      <w:r>
        <w:rPr>
          <w:noProof/>
        </w:rPr>
        <w:t>Where BasicsCards are used</w:t>
      </w:r>
      <w:r>
        <w:rPr>
          <w:noProof/>
        </w:rPr>
        <w:tab/>
      </w:r>
      <w:r>
        <w:rPr>
          <w:noProof/>
        </w:rPr>
        <w:fldChar w:fldCharType="begin"/>
      </w:r>
      <w:r>
        <w:rPr>
          <w:noProof/>
        </w:rPr>
        <w:instrText xml:space="preserve"> PAGEREF _Toc403739047 \h </w:instrText>
      </w:r>
      <w:r>
        <w:rPr>
          <w:noProof/>
        </w:rPr>
      </w:r>
      <w:r>
        <w:rPr>
          <w:noProof/>
        </w:rPr>
        <w:fldChar w:fldCharType="separate"/>
      </w:r>
      <w:r w:rsidR="00F612EF">
        <w:rPr>
          <w:noProof/>
        </w:rPr>
        <w:t>130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6.3.5</w:t>
      </w:r>
      <w:r>
        <w:rPr>
          <w:rFonts w:asciiTheme="minorHAnsi" w:hAnsiTheme="minorHAnsi"/>
          <w:noProof/>
          <w:sz w:val="22"/>
          <w:szCs w:val="22"/>
        </w:rPr>
        <w:tab/>
      </w:r>
      <w:r>
        <w:rPr>
          <w:noProof/>
        </w:rPr>
        <w:t>The experience of using BasicsCard</w:t>
      </w:r>
      <w:r>
        <w:rPr>
          <w:noProof/>
        </w:rPr>
        <w:tab/>
      </w:r>
      <w:r>
        <w:rPr>
          <w:noProof/>
        </w:rPr>
        <w:fldChar w:fldCharType="begin"/>
      </w:r>
      <w:r>
        <w:rPr>
          <w:noProof/>
        </w:rPr>
        <w:instrText xml:space="preserve"> PAGEREF _Toc403739048 \h </w:instrText>
      </w:r>
      <w:r>
        <w:rPr>
          <w:noProof/>
        </w:rPr>
      </w:r>
      <w:r>
        <w:rPr>
          <w:noProof/>
        </w:rPr>
        <w:fldChar w:fldCharType="separate"/>
      </w:r>
      <w:r w:rsidR="00F612EF">
        <w:rPr>
          <w:noProof/>
        </w:rPr>
        <w:t>134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6.4</w:t>
      </w:r>
      <w:r>
        <w:rPr>
          <w:rFonts w:asciiTheme="minorHAnsi" w:hAnsiTheme="minorHAnsi"/>
          <w:sz w:val="22"/>
          <w:szCs w:val="22"/>
        </w:rPr>
        <w:tab/>
      </w:r>
      <w:r>
        <w:t>Spending at stores</w:t>
      </w:r>
      <w:r>
        <w:tab/>
      </w:r>
      <w:r>
        <w:fldChar w:fldCharType="begin"/>
      </w:r>
      <w:r>
        <w:instrText xml:space="preserve"> PAGEREF _Toc403739049 \h </w:instrText>
      </w:r>
      <w:r>
        <w:fldChar w:fldCharType="separate"/>
      </w:r>
      <w:r w:rsidR="00F612EF">
        <w:t>139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6.4.1</w:t>
      </w:r>
      <w:r>
        <w:rPr>
          <w:rFonts w:asciiTheme="minorHAnsi" w:hAnsiTheme="minorHAnsi"/>
          <w:noProof/>
          <w:sz w:val="22"/>
          <w:szCs w:val="22"/>
        </w:rPr>
        <w:tab/>
      </w:r>
      <w:r>
        <w:rPr>
          <w:noProof/>
        </w:rPr>
        <w:t>Major sales on BasicsCard</w:t>
      </w:r>
      <w:r>
        <w:rPr>
          <w:noProof/>
        </w:rPr>
        <w:tab/>
      </w:r>
      <w:r>
        <w:rPr>
          <w:noProof/>
        </w:rPr>
        <w:fldChar w:fldCharType="begin"/>
      </w:r>
      <w:r>
        <w:rPr>
          <w:noProof/>
        </w:rPr>
        <w:instrText xml:space="preserve"> PAGEREF _Toc403739050 \h </w:instrText>
      </w:r>
      <w:r>
        <w:rPr>
          <w:noProof/>
        </w:rPr>
      </w:r>
      <w:r>
        <w:rPr>
          <w:noProof/>
        </w:rPr>
        <w:fldChar w:fldCharType="separate"/>
      </w:r>
      <w:r w:rsidR="00F612EF">
        <w:rPr>
          <w:noProof/>
        </w:rPr>
        <w:t>139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6.4.2</w:t>
      </w:r>
      <w:r>
        <w:rPr>
          <w:rFonts w:asciiTheme="minorHAnsi" w:hAnsiTheme="minorHAnsi"/>
          <w:noProof/>
          <w:sz w:val="22"/>
          <w:szCs w:val="22"/>
        </w:rPr>
        <w:tab/>
      </w:r>
      <w:r>
        <w:rPr>
          <w:noProof/>
        </w:rPr>
        <w:t>The composition of BasicsCard Sales</w:t>
      </w:r>
      <w:r>
        <w:rPr>
          <w:noProof/>
        </w:rPr>
        <w:tab/>
      </w:r>
      <w:r>
        <w:rPr>
          <w:noProof/>
        </w:rPr>
        <w:fldChar w:fldCharType="begin"/>
      </w:r>
      <w:r>
        <w:rPr>
          <w:noProof/>
        </w:rPr>
        <w:instrText xml:space="preserve"> PAGEREF _Toc403739051 \h </w:instrText>
      </w:r>
      <w:r>
        <w:rPr>
          <w:noProof/>
        </w:rPr>
      </w:r>
      <w:r>
        <w:rPr>
          <w:noProof/>
        </w:rPr>
        <w:fldChar w:fldCharType="separate"/>
      </w:r>
      <w:r w:rsidR="00F612EF">
        <w:rPr>
          <w:noProof/>
        </w:rPr>
        <w:t>141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6.4.3</w:t>
      </w:r>
      <w:r>
        <w:rPr>
          <w:rFonts w:asciiTheme="minorHAnsi" w:hAnsiTheme="minorHAnsi"/>
          <w:noProof/>
          <w:sz w:val="22"/>
          <w:szCs w:val="22"/>
        </w:rPr>
        <w:tab/>
      </w:r>
      <w:r>
        <w:rPr>
          <w:noProof/>
        </w:rPr>
        <w:t>Spending over time – evidence of change</w:t>
      </w:r>
      <w:r>
        <w:rPr>
          <w:noProof/>
        </w:rPr>
        <w:tab/>
      </w:r>
      <w:r>
        <w:rPr>
          <w:noProof/>
        </w:rPr>
        <w:fldChar w:fldCharType="begin"/>
      </w:r>
      <w:r>
        <w:rPr>
          <w:noProof/>
        </w:rPr>
        <w:instrText xml:space="preserve"> PAGEREF _Toc403739052 \h </w:instrText>
      </w:r>
      <w:r>
        <w:rPr>
          <w:noProof/>
        </w:rPr>
      </w:r>
      <w:r>
        <w:rPr>
          <w:noProof/>
        </w:rPr>
        <w:fldChar w:fldCharType="separate"/>
      </w:r>
      <w:r w:rsidR="00F612EF">
        <w:rPr>
          <w:noProof/>
        </w:rPr>
        <w:t>144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6.4.4</w:t>
      </w:r>
      <w:r>
        <w:rPr>
          <w:rFonts w:asciiTheme="minorHAnsi" w:hAnsiTheme="minorHAnsi"/>
          <w:noProof/>
          <w:sz w:val="22"/>
          <w:szCs w:val="22"/>
        </w:rPr>
        <w:tab/>
      </w:r>
      <w:r>
        <w:rPr>
          <w:noProof/>
        </w:rPr>
        <w:t>BasicsCard failed transactions at the store level</w:t>
      </w:r>
      <w:r>
        <w:rPr>
          <w:noProof/>
        </w:rPr>
        <w:tab/>
      </w:r>
      <w:r>
        <w:rPr>
          <w:noProof/>
        </w:rPr>
        <w:fldChar w:fldCharType="begin"/>
      </w:r>
      <w:r>
        <w:rPr>
          <w:noProof/>
        </w:rPr>
        <w:instrText xml:space="preserve"> PAGEREF _Toc403739053 \h </w:instrText>
      </w:r>
      <w:r>
        <w:rPr>
          <w:noProof/>
        </w:rPr>
      </w:r>
      <w:r>
        <w:rPr>
          <w:noProof/>
        </w:rPr>
        <w:fldChar w:fldCharType="separate"/>
      </w:r>
      <w:r w:rsidR="00F612EF">
        <w:rPr>
          <w:noProof/>
        </w:rPr>
        <w:t>147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6.4.5</w:t>
      </w:r>
      <w:r>
        <w:rPr>
          <w:rFonts w:asciiTheme="minorHAnsi" w:hAnsiTheme="minorHAnsi"/>
          <w:noProof/>
          <w:sz w:val="22"/>
          <w:szCs w:val="22"/>
        </w:rPr>
        <w:tab/>
      </w:r>
      <w:r>
        <w:rPr>
          <w:noProof/>
        </w:rPr>
        <w:t>Summary of store-level findings</w:t>
      </w:r>
      <w:r>
        <w:rPr>
          <w:noProof/>
        </w:rPr>
        <w:tab/>
      </w:r>
      <w:r>
        <w:rPr>
          <w:noProof/>
        </w:rPr>
        <w:fldChar w:fldCharType="begin"/>
      </w:r>
      <w:r>
        <w:rPr>
          <w:noProof/>
        </w:rPr>
        <w:instrText xml:space="preserve"> PAGEREF _Toc403739054 \h </w:instrText>
      </w:r>
      <w:r>
        <w:rPr>
          <w:noProof/>
        </w:rPr>
      </w:r>
      <w:r>
        <w:rPr>
          <w:noProof/>
        </w:rPr>
        <w:fldChar w:fldCharType="separate"/>
      </w:r>
      <w:r w:rsidR="00F612EF">
        <w:rPr>
          <w:noProof/>
        </w:rPr>
        <w:t>148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6.5</w:t>
      </w:r>
      <w:r>
        <w:rPr>
          <w:rFonts w:asciiTheme="minorHAnsi" w:hAnsiTheme="minorHAnsi"/>
          <w:sz w:val="22"/>
          <w:szCs w:val="22"/>
        </w:rPr>
        <w:tab/>
      </w:r>
      <w:r>
        <w:t>Changing financial capabilities?</w:t>
      </w:r>
      <w:r>
        <w:tab/>
      </w:r>
      <w:r>
        <w:fldChar w:fldCharType="begin"/>
      </w:r>
      <w:r>
        <w:instrText xml:space="preserve"> PAGEREF _Toc403739055 \h </w:instrText>
      </w:r>
      <w:r>
        <w:fldChar w:fldCharType="separate"/>
      </w:r>
      <w:r w:rsidR="00F612EF">
        <w:t>148</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6.5.1</w:t>
      </w:r>
      <w:r>
        <w:rPr>
          <w:rFonts w:asciiTheme="minorHAnsi" w:hAnsiTheme="minorHAnsi"/>
          <w:noProof/>
          <w:sz w:val="22"/>
          <w:szCs w:val="22"/>
        </w:rPr>
        <w:tab/>
      </w:r>
      <w:r>
        <w:rPr>
          <w:noProof/>
        </w:rPr>
        <w:t>BasicsCard replacements</w:t>
      </w:r>
      <w:r>
        <w:rPr>
          <w:noProof/>
        </w:rPr>
        <w:tab/>
      </w:r>
      <w:r>
        <w:rPr>
          <w:noProof/>
        </w:rPr>
        <w:fldChar w:fldCharType="begin"/>
      </w:r>
      <w:r>
        <w:rPr>
          <w:noProof/>
        </w:rPr>
        <w:instrText xml:space="preserve"> PAGEREF _Toc403739056 \h </w:instrText>
      </w:r>
      <w:r>
        <w:rPr>
          <w:noProof/>
        </w:rPr>
      </w:r>
      <w:r>
        <w:rPr>
          <w:noProof/>
        </w:rPr>
        <w:fldChar w:fldCharType="separate"/>
      </w:r>
      <w:r w:rsidR="00F612EF">
        <w:rPr>
          <w:noProof/>
        </w:rPr>
        <w:t>149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6.5.2</w:t>
      </w:r>
      <w:r>
        <w:rPr>
          <w:rFonts w:asciiTheme="minorHAnsi" w:hAnsiTheme="minorHAnsi"/>
          <w:noProof/>
          <w:sz w:val="22"/>
          <w:szCs w:val="22"/>
        </w:rPr>
        <w:tab/>
      </w:r>
      <w:r>
        <w:rPr>
          <w:noProof/>
        </w:rPr>
        <w:t>Failed BasicsCard transactions</w:t>
      </w:r>
      <w:r>
        <w:rPr>
          <w:noProof/>
        </w:rPr>
        <w:tab/>
      </w:r>
      <w:r>
        <w:rPr>
          <w:noProof/>
        </w:rPr>
        <w:fldChar w:fldCharType="begin"/>
      </w:r>
      <w:r>
        <w:rPr>
          <w:noProof/>
        </w:rPr>
        <w:instrText xml:space="preserve"> PAGEREF _Toc403739057 \h </w:instrText>
      </w:r>
      <w:r>
        <w:rPr>
          <w:noProof/>
        </w:rPr>
      </w:r>
      <w:r>
        <w:rPr>
          <w:noProof/>
        </w:rPr>
        <w:fldChar w:fldCharType="separate"/>
      </w:r>
      <w:r w:rsidR="00F612EF">
        <w:rPr>
          <w:noProof/>
        </w:rPr>
        <w:t>154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6.5.3</w:t>
      </w:r>
      <w:r>
        <w:rPr>
          <w:rFonts w:asciiTheme="minorHAnsi" w:hAnsiTheme="minorHAnsi"/>
          <w:noProof/>
          <w:sz w:val="22"/>
          <w:szCs w:val="22"/>
        </w:rPr>
        <w:tab/>
      </w:r>
      <w:r>
        <w:rPr>
          <w:noProof/>
        </w:rPr>
        <w:t>Financial balances</w:t>
      </w:r>
      <w:r>
        <w:rPr>
          <w:noProof/>
        </w:rPr>
        <w:tab/>
      </w:r>
      <w:r>
        <w:rPr>
          <w:noProof/>
        </w:rPr>
        <w:fldChar w:fldCharType="begin"/>
      </w:r>
      <w:r>
        <w:rPr>
          <w:noProof/>
        </w:rPr>
        <w:instrText xml:space="preserve"> PAGEREF _Toc403739058 \h </w:instrText>
      </w:r>
      <w:r>
        <w:rPr>
          <w:noProof/>
        </w:rPr>
      </w:r>
      <w:r>
        <w:rPr>
          <w:noProof/>
        </w:rPr>
        <w:fldChar w:fldCharType="separate"/>
      </w:r>
      <w:r w:rsidR="00F612EF">
        <w:rPr>
          <w:noProof/>
        </w:rPr>
        <w:t>162</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6.6</w:t>
      </w:r>
      <w:r>
        <w:rPr>
          <w:rFonts w:asciiTheme="minorHAnsi" w:hAnsiTheme="minorHAnsi"/>
          <w:sz w:val="22"/>
          <w:szCs w:val="22"/>
        </w:rPr>
        <w:tab/>
      </w:r>
      <w:r>
        <w:t>Conclusion</w:t>
      </w:r>
      <w:r>
        <w:tab/>
      </w:r>
      <w:r>
        <w:fldChar w:fldCharType="begin"/>
      </w:r>
      <w:r>
        <w:instrText xml:space="preserve"> PAGEREF _Toc403739059 \h </w:instrText>
      </w:r>
      <w:r>
        <w:fldChar w:fldCharType="separate"/>
      </w:r>
      <w:r w:rsidR="00F612EF">
        <w:t>165</w:t>
      </w:r>
      <w:r>
        <w:fldChar w:fldCharType="end"/>
      </w:r>
    </w:p>
    <w:p w:rsidR="00DC1D42" w:rsidRDefault="00DC1D42" w:rsidP="00DC1D42">
      <w:pPr>
        <w:pStyle w:val="TOC1"/>
        <w:rPr>
          <w:rFonts w:asciiTheme="minorHAnsi" w:hAnsiTheme="minorHAnsi"/>
          <w:sz w:val="22"/>
          <w:szCs w:val="22"/>
        </w:rPr>
      </w:pPr>
      <w:r>
        <w:t>7</w:t>
      </w:r>
      <w:r>
        <w:rPr>
          <w:rFonts w:asciiTheme="minorHAnsi" w:hAnsiTheme="minorHAnsi"/>
          <w:sz w:val="22"/>
          <w:szCs w:val="22"/>
        </w:rPr>
        <w:tab/>
      </w:r>
      <w:r>
        <w:t>Views and experiences of those subject to income management</w:t>
      </w:r>
      <w:r>
        <w:tab/>
      </w:r>
      <w:r w:rsidR="008260A2">
        <w:tab/>
      </w:r>
      <w:r w:rsidR="008260A2">
        <w:tab/>
      </w:r>
      <w:r w:rsidR="008260A2">
        <w:tab/>
      </w:r>
      <w:r>
        <w:fldChar w:fldCharType="begin"/>
      </w:r>
      <w:r>
        <w:instrText xml:space="preserve"> PAGEREF _Toc403739060 \h </w:instrText>
      </w:r>
      <w:r>
        <w:fldChar w:fldCharType="separate"/>
      </w:r>
      <w:r w:rsidR="00F612EF">
        <w:t>168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7.1</w:t>
      </w:r>
      <w:r>
        <w:rPr>
          <w:rFonts w:asciiTheme="minorHAnsi" w:hAnsiTheme="minorHAnsi"/>
          <w:sz w:val="22"/>
          <w:szCs w:val="22"/>
        </w:rPr>
        <w:tab/>
      </w:r>
      <w:r>
        <w:t>Approach</w:t>
      </w:r>
      <w:r>
        <w:tab/>
      </w:r>
      <w:r>
        <w:fldChar w:fldCharType="begin"/>
      </w:r>
      <w:r>
        <w:instrText xml:space="preserve"> PAGEREF _Toc403739061 \h </w:instrText>
      </w:r>
      <w:r>
        <w:fldChar w:fldCharType="separate"/>
      </w:r>
      <w:r w:rsidR="00F612EF">
        <w:t>169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7.2</w:t>
      </w:r>
      <w:r>
        <w:rPr>
          <w:rFonts w:asciiTheme="minorHAnsi" w:hAnsiTheme="minorHAnsi"/>
          <w:sz w:val="22"/>
          <w:szCs w:val="22"/>
        </w:rPr>
        <w:tab/>
      </w:r>
      <w:r>
        <w:t>The LSNIM</w:t>
      </w:r>
      <w:r>
        <w:tab/>
      </w:r>
      <w:r>
        <w:fldChar w:fldCharType="begin"/>
      </w:r>
      <w:r>
        <w:instrText xml:space="preserve"> PAGEREF _Toc403739062 \h </w:instrText>
      </w:r>
      <w:r>
        <w:fldChar w:fldCharType="separate"/>
      </w:r>
      <w:r w:rsidR="00F612EF">
        <w:t>169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7.2.1</w:t>
      </w:r>
      <w:r>
        <w:rPr>
          <w:rFonts w:asciiTheme="minorHAnsi" w:hAnsiTheme="minorHAnsi"/>
          <w:noProof/>
          <w:sz w:val="22"/>
          <w:szCs w:val="22"/>
        </w:rPr>
        <w:tab/>
      </w:r>
      <w:r>
        <w:rPr>
          <w:noProof/>
        </w:rPr>
        <w:t>Characteristics of the LSNIM population</w:t>
      </w:r>
      <w:r>
        <w:rPr>
          <w:noProof/>
        </w:rPr>
        <w:tab/>
      </w:r>
      <w:r>
        <w:rPr>
          <w:noProof/>
        </w:rPr>
        <w:fldChar w:fldCharType="begin"/>
      </w:r>
      <w:r>
        <w:rPr>
          <w:noProof/>
        </w:rPr>
        <w:instrText xml:space="preserve"> PAGEREF _Toc403739063 \h </w:instrText>
      </w:r>
      <w:r>
        <w:rPr>
          <w:noProof/>
        </w:rPr>
      </w:r>
      <w:r>
        <w:rPr>
          <w:noProof/>
        </w:rPr>
        <w:fldChar w:fldCharType="separate"/>
      </w:r>
      <w:r w:rsidR="00F612EF">
        <w:rPr>
          <w:noProof/>
        </w:rPr>
        <w:t>171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7.3</w:t>
      </w:r>
      <w:r>
        <w:rPr>
          <w:rFonts w:asciiTheme="minorHAnsi" w:hAnsiTheme="minorHAnsi"/>
          <w:sz w:val="22"/>
          <w:szCs w:val="22"/>
        </w:rPr>
        <w:tab/>
      </w:r>
      <w:r>
        <w:t>The views and experiences</w:t>
      </w:r>
      <w:r>
        <w:tab/>
      </w:r>
      <w:r>
        <w:fldChar w:fldCharType="begin"/>
      </w:r>
      <w:r>
        <w:instrText xml:space="preserve"> PAGEREF _Toc403739064 \h </w:instrText>
      </w:r>
      <w:r>
        <w:fldChar w:fldCharType="separate"/>
      </w:r>
      <w:r w:rsidR="00F612EF">
        <w:t>171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7.3.1</w:t>
      </w:r>
      <w:r>
        <w:rPr>
          <w:rFonts w:asciiTheme="minorHAnsi" w:hAnsiTheme="minorHAnsi"/>
          <w:noProof/>
          <w:sz w:val="22"/>
          <w:szCs w:val="22"/>
        </w:rPr>
        <w:tab/>
      </w:r>
      <w:r>
        <w:rPr>
          <w:noProof/>
        </w:rPr>
        <w:t>Overall assessment of income management</w:t>
      </w:r>
      <w:r>
        <w:rPr>
          <w:noProof/>
        </w:rPr>
        <w:tab/>
      </w:r>
      <w:r>
        <w:rPr>
          <w:noProof/>
        </w:rPr>
        <w:fldChar w:fldCharType="begin"/>
      </w:r>
      <w:r>
        <w:rPr>
          <w:noProof/>
        </w:rPr>
        <w:instrText xml:space="preserve"> PAGEREF _Toc403739065 \h </w:instrText>
      </w:r>
      <w:r>
        <w:rPr>
          <w:noProof/>
        </w:rPr>
      </w:r>
      <w:r>
        <w:rPr>
          <w:noProof/>
        </w:rPr>
        <w:fldChar w:fldCharType="separate"/>
      </w:r>
      <w:r w:rsidR="00F612EF">
        <w:rPr>
          <w:noProof/>
        </w:rPr>
        <w:t>172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7.3.2</w:t>
      </w:r>
      <w:r>
        <w:rPr>
          <w:rFonts w:asciiTheme="minorHAnsi" w:hAnsiTheme="minorHAnsi"/>
          <w:noProof/>
          <w:sz w:val="22"/>
          <w:szCs w:val="22"/>
        </w:rPr>
        <w:tab/>
      </w:r>
      <w:r>
        <w:rPr>
          <w:noProof/>
        </w:rPr>
        <w:t>Current outcomes</w:t>
      </w:r>
      <w:r>
        <w:rPr>
          <w:noProof/>
        </w:rPr>
        <w:tab/>
      </w:r>
      <w:r>
        <w:rPr>
          <w:noProof/>
        </w:rPr>
        <w:fldChar w:fldCharType="begin"/>
      </w:r>
      <w:r>
        <w:rPr>
          <w:noProof/>
        </w:rPr>
        <w:instrText xml:space="preserve"> PAGEREF _Toc403739066 \h </w:instrText>
      </w:r>
      <w:r>
        <w:rPr>
          <w:noProof/>
        </w:rPr>
      </w:r>
      <w:r>
        <w:rPr>
          <w:noProof/>
        </w:rPr>
        <w:fldChar w:fldCharType="separate"/>
      </w:r>
      <w:r w:rsidR="00F612EF">
        <w:rPr>
          <w:noProof/>
        </w:rPr>
        <w:t>178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7.3.3</w:t>
      </w:r>
      <w:r>
        <w:rPr>
          <w:rFonts w:asciiTheme="minorHAnsi" w:hAnsiTheme="minorHAnsi"/>
          <w:noProof/>
          <w:sz w:val="22"/>
          <w:szCs w:val="22"/>
        </w:rPr>
        <w:tab/>
      </w:r>
      <w:r>
        <w:rPr>
          <w:noProof/>
        </w:rPr>
        <w:t>Experience of being on income management</w:t>
      </w:r>
      <w:r>
        <w:rPr>
          <w:noProof/>
        </w:rPr>
        <w:tab/>
      </w:r>
      <w:r>
        <w:rPr>
          <w:noProof/>
        </w:rPr>
        <w:fldChar w:fldCharType="begin"/>
      </w:r>
      <w:r>
        <w:rPr>
          <w:noProof/>
        </w:rPr>
        <w:instrText xml:space="preserve"> PAGEREF _Toc403739067 \h </w:instrText>
      </w:r>
      <w:r>
        <w:rPr>
          <w:noProof/>
        </w:rPr>
      </w:r>
      <w:r>
        <w:rPr>
          <w:noProof/>
        </w:rPr>
        <w:fldChar w:fldCharType="separate"/>
      </w:r>
      <w:r w:rsidR="00F612EF">
        <w:rPr>
          <w:noProof/>
        </w:rPr>
        <w:t>180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7.3.4</w:t>
      </w:r>
      <w:r>
        <w:rPr>
          <w:rFonts w:asciiTheme="minorHAnsi" w:hAnsiTheme="minorHAnsi"/>
          <w:noProof/>
          <w:sz w:val="22"/>
          <w:szCs w:val="22"/>
        </w:rPr>
        <w:tab/>
      </w:r>
      <w:r>
        <w:rPr>
          <w:noProof/>
        </w:rPr>
        <w:t>Summary of views and experiences as identified in the LSNIM</w:t>
      </w:r>
      <w:r>
        <w:rPr>
          <w:noProof/>
        </w:rPr>
        <w:tab/>
      </w:r>
      <w:r>
        <w:rPr>
          <w:noProof/>
        </w:rPr>
        <w:fldChar w:fldCharType="begin"/>
      </w:r>
      <w:r>
        <w:rPr>
          <w:noProof/>
        </w:rPr>
        <w:instrText xml:space="preserve"> PAGEREF _Toc403739068 \h </w:instrText>
      </w:r>
      <w:r>
        <w:rPr>
          <w:noProof/>
        </w:rPr>
      </w:r>
      <w:r>
        <w:rPr>
          <w:noProof/>
        </w:rPr>
        <w:fldChar w:fldCharType="separate"/>
      </w:r>
      <w:r w:rsidR="00F612EF">
        <w:rPr>
          <w:noProof/>
        </w:rPr>
        <w:t>184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7.4</w:t>
      </w:r>
      <w:r>
        <w:rPr>
          <w:rFonts w:asciiTheme="minorHAnsi" w:hAnsiTheme="minorHAnsi"/>
          <w:sz w:val="22"/>
          <w:szCs w:val="22"/>
        </w:rPr>
        <w:tab/>
      </w:r>
      <w:r>
        <w:t>Changes in outcomes and attitudes</w:t>
      </w:r>
      <w:r>
        <w:tab/>
      </w:r>
      <w:r>
        <w:fldChar w:fldCharType="begin"/>
      </w:r>
      <w:r>
        <w:instrText xml:space="preserve"> PAGEREF _Toc403739069 \h </w:instrText>
      </w:r>
      <w:r>
        <w:fldChar w:fldCharType="separate"/>
      </w:r>
      <w:r w:rsidR="00F612EF">
        <w:t>184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7.4.1</w:t>
      </w:r>
      <w:r>
        <w:rPr>
          <w:rFonts w:asciiTheme="minorHAnsi" w:hAnsiTheme="minorHAnsi"/>
          <w:noProof/>
          <w:sz w:val="22"/>
          <w:szCs w:val="22"/>
        </w:rPr>
        <w:tab/>
      </w:r>
      <w:r>
        <w:rPr>
          <w:noProof/>
        </w:rPr>
        <w:t>Impact on adverse behaviours</w:t>
      </w:r>
      <w:r>
        <w:rPr>
          <w:noProof/>
        </w:rPr>
        <w:tab/>
      </w:r>
      <w:r>
        <w:rPr>
          <w:noProof/>
        </w:rPr>
        <w:fldChar w:fldCharType="begin"/>
      </w:r>
      <w:r>
        <w:rPr>
          <w:noProof/>
        </w:rPr>
        <w:instrText xml:space="preserve"> PAGEREF _Toc403739070 \h </w:instrText>
      </w:r>
      <w:r>
        <w:rPr>
          <w:noProof/>
        </w:rPr>
      </w:r>
      <w:r>
        <w:rPr>
          <w:noProof/>
        </w:rPr>
        <w:fldChar w:fldCharType="separate"/>
      </w:r>
      <w:r w:rsidR="00F612EF">
        <w:rPr>
          <w:noProof/>
        </w:rPr>
        <w:t>185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7.4.2</w:t>
      </w:r>
      <w:r>
        <w:rPr>
          <w:rFonts w:asciiTheme="minorHAnsi" w:hAnsiTheme="minorHAnsi"/>
          <w:noProof/>
          <w:sz w:val="22"/>
          <w:szCs w:val="22"/>
        </w:rPr>
        <w:tab/>
      </w:r>
      <w:r>
        <w:rPr>
          <w:noProof/>
        </w:rPr>
        <w:t>Impact on community outcomes</w:t>
      </w:r>
      <w:r>
        <w:rPr>
          <w:noProof/>
        </w:rPr>
        <w:tab/>
      </w:r>
      <w:r>
        <w:rPr>
          <w:noProof/>
        </w:rPr>
        <w:fldChar w:fldCharType="begin"/>
      </w:r>
      <w:r>
        <w:rPr>
          <w:noProof/>
        </w:rPr>
        <w:instrText xml:space="preserve"> PAGEREF _Toc403739071 \h </w:instrText>
      </w:r>
      <w:r>
        <w:rPr>
          <w:noProof/>
        </w:rPr>
      </w:r>
      <w:r>
        <w:rPr>
          <w:noProof/>
        </w:rPr>
        <w:fldChar w:fldCharType="separate"/>
      </w:r>
      <w:r w:rsidR="00F612EF">
        <w:rPr>
          <w:noProof/>
        </w:rPr>
        <w:t>187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7.4.3</w:t>
      </w:r>
      <w:r>
        <w:rPr>
          <w:rFonts w:asciiTheme="minorHAnsi" w:hAnsiTheme="minorHAnsi"/>
          <w:noProof/>
          <w:sz w:val="22"/>
          <w:szCs w:val="22"/>
        </w:rPr>
        <w:tab/>
      </w:r>
      <w:r>
        <w:rPr>
          <w:noProof/>
        </w:rPr>
        <w:t>Impact on household financial wellbeing outcomes</w:t>
      </w:r>
      <w:r>
        <w:rPr>
          <w:noProof/>
        </w:rPr>
        <w:tab/>
      </w:r>
      <w:r>
        <w:rPr>
          <w:noProof/>
        </w:rPr>
        <w:fldChar w:fldCharType="begin"/>
      </w:r>
      <w:r>
        <w:rPr>
          <w:noProof/>
        </w:rPr>
        <w:instrText xml:space="preserve"> PAGEREF _Toc403739072 \h </w:instrText>
      </w:r>
      <w:r>
        <w:rPr>
          <w:noProof/>
        </w:rPr>
      </w:r>
      <w:r>
        <w:rPr>
          <w:noProof/>
        </w:rPr>
        <w:fldChar w:fldCharType="separate"/>
      </w:r>
      <w:r w:rsidR="00F612EF">
        <w:rPr>
          <w:noProof/>
        </w:rPr>
        <w:t>188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7.4.4</w:t>
      </w:r>
      <w:r>
        <w:rPr>
          <w:rFonts w:asciiTheme="minorHAnsi" w:hAnsiTheme="minorHAnsi"/>
          <w:noProof/>
          <w:sz w:val="22"/>
          <w:szCs w:val="22"/>
        </w:rPr>
        <w:tab/>
      </w:r>
      <w:r>
        <w:rPr>
          <w:noProof/>
        </w:rPr>
        <w:t>Changes in attitudes to income management</w:t>
      </w:r>
      <w:r>
        <w:rPr>
          <w:noProof/>
        </w:rPr>
        <w:tab/>
      </w:r>
      <w:r>
        <w:rPr>
          <w:noProof/>
        </w:rPr>
        <w:fldChar w:fldCharType="begin"/>
      </w:r>
      <w:r>
        <w:rPr>
          <w:noProof/>
        </w:rPr>
        <w:instrText xml:space="preserve"> PAGEREF _Toc403739073 \h </w:instrText>
      </w:r>
      <w:r>
        <w:rPr>
          <w:noProof/>
        </w:rPr>
      </w:r>
      <w:r>
        <w:rPr>
          <w:noProof/>
        </w:rPr>
        <w:fldChar w:fldCharType="separate"/>
      </w:r>
      <w:r w:rsidR="00F612EF">
        <w:rPr>
          <w:noProof/>
        </w:rPr>
        <w:t>190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7.4.5</w:t>
      </w:r>
      <w:r>
        <w:rPr>
          <w:rFonts w:asciiTheme="minorHAnsi" w:hAnsiTheme="minorHAnsi"/>
          <w:noProof/>
          <w:sz w:val="22"/>
          <w:szCs w:val="22"/>
        </w:rPr>
        <w:tab/>
      </w:r>
      <w:r>
        <w:rPr>
          <w:noProof/>
        </w:rPr>
        <w:t>Summary of personal and community outcomes</w:t>
      </w:r>
      <w:r>
        <w:rPr>
          <w:noProof/>
        </w:rPr>
        <w:tab/>
      </w:r>
      <w:r>
        <w:rPr>
          <w:noProof/>
        </w:rPr>
        <w:fldChar w:fldCharType="begin"/>
      </w:r>
      <w:r>
        <w:rPr>
          <w:noProof/>
        </w:rPr>
        <w:instrText xml:space="preserve"> PAGEREF _Toc403739074 \h </w:instrText>
      </w:r>
      <w:r>
        <w:rPr>
          <w:noProof/>
        </w:rPr>
      </w:r>
      <w:r>
        <w:rPr>
          <w:noProof/>
        </w:rPr>
        <w:fldChar w:fldCharType="separate"/>
      </w:r>
      <w:r w:rsidR="00F612EF">
        <w:rPr>
          <w:noProof/>
        </w:rPr>
        <w:t>191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7.5</w:t>
      </w:r>
      <w:r>
        <w:rPr>
          <w:rFonts w:asciiTheme="minorHAnsi" w:hAnsiTheme="minorHAnsi"/>
          <w:sz w:val="22"/>
          <w:szCs w:val="22"/>
        </w:rPr>
        <w:tab/>
      </w:r>
      <w:r>
        <w:t>Summary</w:t>
      </w:r>
      <w:r>
        <w:tab/>
      </w:r>
      <w:r>
        <w:fldChar w:fldCharType="begin"/>
      </w:r>
      <w:r>
        <w:instrText xml:space="preserve"> PAGEREF _Toc403739075 \h </w:instrText>
      </w:r>
      <w:r>
        <w:fldChar w:fldCharType="separate"/>
      </w:r>
      <w:r w:rsidR="00F612EF">
        <w:t>192</w:t>
      </w:r>
      <w:r>
        <w:fldChar w:fldCharType="end"/>
      </w:r>
    </w:p>
    <w:p w:rsidR="00DC1D42" w:rsidRDefault="00DC1D42" w:rsidP="00DC1D42">
      <w:pPr>
        <w:pStyle w:val="TOC1"/>
        <w:rPr>
          <w:rFonts w:asciiTheme="minorHAnsi" w:hAnsiTheme="minorHAnsi"/>
          <w:sz w:val="22"/>
          <w:szCs w:val="22"/>
        </w:rPr>
      </w:pPr>
      <w:r>
        <w:t>8</w:t>
      </w:r>
      <w:r>
        <w:rPr>
          <w:rFonts w:asciiTheme="minorHAnsi" w:hAnsiTheme="minorHAnsi"/>
          <w:sz w:val="22"/>
          <w:szCs w:val="22"/>
        </w:rPr>
        <w:tab/>
      </w:r>
      <w:r>
        <w:t>Views of people on income management – qualitative findings</w:t>
      </w:r>
      <w:r>
        <w:tab/>
      </w:r>
      <w:r>
        <w:tab/>
      </w:r>
      <w:r>
        <w:tab/>
      </w:r>
      <w:r>
        <w:tab/>
      </w:r>
      <w:r>
        <w:fldChar w:fldCharType="begin"/>
      </w:r>
      <w:r>
        <w:instrText xml:space="preserve"> PAGEREF _Toc403739076 \h </w:instrText>
      </w:r>
      <w:r>
        <w:fldChar w:fldCharType="separate"/>
      </w:r>
      <w:r w:rsidR="00F612EF">
        <w:t>194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8.1</w:t>
      </w:r>
      <w:r>
        <w:rPr>
          <w:rFonts w:asciiTheme="minorHAnsi" w:hAnsiTheme="minorHAnsi"/>
          <w:sz w:val="22"/>
          <w:szCs w:val="22"/>
        </w:rPr>
        <w:tab/>
      </w:r>
      <w:r>
        <w:t>Introduction</w:t>
      </w:r>
      <w:r>
        <w:tab/>
      </w:r>
      <w:r>
        <w:fldChar w:fldCharType="begin"/>
      </w:r>
      <w:r>
        <w:instrText xml:space="preserve"> PAGEREF _Toc403739077 \h </w:instrText>
      </w:r>
      <w:r>
        <w:fldChar w:fldCharType="separate"/>
      </w:r>
      <w:r w:rsidR="00F612EF">
        <w:t>194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8.2</w:t>
      </w:r>
      <w:r>
        <w:rPr>
          <w:rFonts w:asciiTheme="minorHAnsi" w:hAnsiTheme="minorHAnsi"/>
          <w:sz w:val="22"/>
          <w:szCs w:val="22"/>
        </w:rPr>
        <w:tab/>
      </w:r>
      <w:r>
        <w:t>Views and experiences</w:t>
      </w:r>
      <w:r>
        <w:tab/>
      </w:r>
      <w:r>
        <w:fldChar w:fldCharType="begin"/>
      </w:r>
      <w:r>
        <w:instrText xml:space="preserve"> PAGEREF _Toc403739078 \h </w:instrText>
      </w:r>
      <w:r>
        <w:fldChar w:fldCharType="separate"/>
      </w:r>
      <w:r w:rsidR="00F612EF">
        <w:t>195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lastRenderedPageBreak/>
        <w:t>8.2.1</w:t>
      </w:r>
      <w:r>
        <w:rPr>
          <w:rFonts w:asciiTheme="minorHAnsi" w:hAnsiTheme="minorHAnsi"/>
          <w:noProof/>
          <w:sz w:val="22"/>
          <w:szCs w:val="22"/>
        </w:rPr>
        <w:tab/>
      </w:r>
      <w:r>
        <w:rPr>
          <w:noProof/>
        </w:rPr>
        <w:t>Navigating the income management system</w:t>
      </w:r>
      <w:r>
        <w:rPr>
          <w:noProof/>
        </w:rPr>
        <w:tab/>
      </w:r>
      <w:r>
        <w:rPr>
          <w:noProof/>
        </w:rPr>
        <w:fldChar w:fldCharType="begin"/>
      </w:r>
      <w:r>
        <w:rPr>
          <w:noProof/>
        </w:rPr>
        <w:instrText xml:space="preserve"> PAGEREF _Toc403739079 \h </w:instrText>
      </w:r>
      <w:r>
        <w:rPr>
          <w:noProof/>
        </w:rPr>
      </w:r>
      <w:r>
        <w:rPr>
          <w:noProof/>
        </w:rPr>
        <w:fldChar w:fldCharType="separate"/>
      </w:r>
      <w:r w:rsidR="00F612EF">
        <w:rPr>
          <w:noProof/>
        </w:rPr>
        <w:t>195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8.2.2</w:t>
      </w:r>
      <w:r>
        <w:rPr>
          <w:rFonts w:asciiTheme="minorHAnsi" w:hAnsiTheme="minorHAnsi"/>
          <w:noProof/>
          <w:sz w:val="22"/>
          <w:szCs w:val="22"/>
        </w:rPr>
        <w:tab/>
      </w:r>
      <w:r>
        <w:rPr>
          <w:noProof/>
        </w:rPr>
        <w:t>Fairness of the income management process</w:t>
      </w:r>
      <w:r>
        <w:rPr>
          <w:noProof/>
        </w:rPr>
        <w:tab/>
      </w:r>
      <w:r>
        <w:rPr>
          <w:noProof/>
        </w:rPr>
        <w:fldChar w:fldCharType="begin"/>
      </w:r>
      <w:r>
        <w:rPr>
          <w:noProof/>
        </w:rPr>
        <w:instrText xml:space="preserve"> PAGEREF _Toc403739080 \h </w:instrText>
      </w:r>
      <w:r>
        <w:rPr>
          <w:noProof/>
        </w:rPr>
      </w:r>
      <w:r>
        <w:rPr>
          <w:noProof/>
        </w:rPr>
        <w:fldChar w:fldCharType="separate"/>
      </w:r>
      <w:r w:rsidR="00F612EF">
        <w:rPr>
          <w:noProof/>
        </w:rPr>
        <w:t>198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8.2.3</w:t>
      </w:r>
      <w:r>
        <w:rPr>
          <w:rFonts w:asciiTheme="minorHAnsi" w:hAnsiTheme="minorHAnsi"/>
          <w:noProof/>
          <w:sz w:val="22"/>
          <w:szCs w:val="22"/>
        </w:rPr>
        <w:tab/>
      </w:r>
      <w:r>
        <w:rPr>
          <w:noProof/>
        </w:rPr>
        <w:t>Money management and financial counselling</w:t>
      </w:r>
      <w:r>
        <w:rPr>
          <w:noProof/>
        </w:rPr>
        <w:tab/>
      </w:r>
      <w:r>
        <w:rPr>
          <w:noProof/>
        </w:rPr>
        <w:fldChar w:fldCharType="begin"/>
      </w:r>
      <w:r>
        <w:rPr>
          <w:noProof/>
        </w:rPr>
        <w:instrText xml:space="preserve"> PAGEREF _Toc403739081 \h </w:instrText>
      </w:r>
      <w:r>
        <w:rPr>
          <w:noProof/>
        </w:rPr>
      </w:r>
      <w:r>
        <w:rPr>
          <w:noProof/>
        </w:rPr>
        <w:fldChar w:fldCharType="separate"/>
      </w:r>
      <w:r w:rsidR="00F612EF">
        <w:rPr>
          <w:noProof/>
        </w:rPr>
        <w:t>199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8.2.4</w:t>
      </w:r>
      <w:r>
        <w:rPr>
          <w:rFonts w:asciiTheme="minorHAnsi" w:hAnsiTheme="minorHAnsi"/>
          <w:noProof/>
          <w:sz w:val="22"/>
          <w:szCs w:val="22"/>
        </w:rPr>
        <w:tab/>
      </w:r>
      <w:r>
        <w:rPr>
          <w:noProof/>
        </w:rPr>
        <w:t>Restrictions resulting from income management</w:t>
      </w:r>
      <w:r>
        <w:rPr>
          <w:noProof/>
        </w:rPr>
        <w:tab/>
      </w:r>
      <w:r>
        <w:rPr>
          <w:noProof/>
        </w:rPr>
        <w:fldChar w:fldCharType="begin"/>
      </w:r>
      <w:r>
        <w:rPr>
          <w:noProof/>
        </w:rPr>
        <w:instrText xml:space="preserve"> PAGEREF _Toc403739082 \h </w:instrText>
      </w:r>
      <w:r>
        <w:rPr>
          <w:noProof/>
        </w:rPr>
      </w:r>
      <w:r>
        <w:rPr>
          <w:noProof/>
        </w:rPr>
        <w:fldChar w:fldCharType="separate"/>
      </w:r>
      <w:r w:rsidR="00F612EF">
        <w:rPr>
          <w:noProof/>
        </w:rPr>
        <w:t>202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8.2.5</w:t>
      </w:r>
      <w:r>
        <w:rPr>
          <w:rFonts w:asciiTheme="minorHAnsi" w:hAnsiTheme="minorHAnsi"/>
          <w:noProof/>
          <w:sz w:val="22"/>
          <w:szCs w:val="22"/>
        </w:rPr>
        <w:tab/>
      </w:r>
      <w:r>
        <w:rPr>
          <w:noProof/>
        </w:rPr>
        <w:t>Changes in financial harassment (‘humbug’)</w:t>
      </w:r>
      <w:r>
        <w:rPr>
          <w:noProof/>
        </w:rPr>
        <w:tab/>
      </w:r>
      <w:r>
        <w:rPr>
          <w:noProof/>
        </w:rPr>
        <w:fldChar w:fldCharType="begin"/>
      </w:r>
      <w:r>
        <w:rPr>
          <w:noProof/>
        </w:rPr>
        <w:instrText xml:space="preserve"> PAGEREF _Toc403739083 \h </w:instrText>
      </w:r>
      <w:r>
        <w:rPr>
          <w:noProof/>
        </w:rPr>
      </w:r>
      <w:r>
        <w:rPr>
          <w:noProof/>
        </w:rPr>
        <w:fldChar w:fldCharType="separate"/>
      </w:r>
      <w:r w:rsidR="00F612EF">
        <w:rPr>
          <w:noProof/>
        </w:rPr>
        <w:t>203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8.2.6</w:t>
      </w:r>
      <w:r>
        <w:rPr>
          <w:rFonts w:asciiTheme="minorHAnsi" w:hAnsiTheme="minorHAnsi"/>
          <w:noProof/>
          <w:sz w:val="22"/>
          <w:szCs w:val="22"/>
        </w:rPr>
        <w:tab/>
      </w:r>
      <w:r>
        <w:rPr>
          <w:noProof/>
        </w:rPr>
        <w:t>Health and wellbeing</w:t>
      </w:r>
      <w:r>
        <w:rPr>
          <w:noProof/>
        </w:rPr>
        <w:tab/>
      </w:r>
      <w:r>
        <w:rPr>
          <w:noProof/>
        </w:rPr>
        <w:fldChar w:fldCharType="begin"/>
      </w:r>
      <w:r>
        <w:rPr>
          <w:noProof/>
        </w:rPr>
        <w:instrText xml:space="preserve"> PAGEREF _Toc403739084 \h </w:instrText>
      </w:r>
      <w:r>
        <w:rPr>
          <w:noProof/>
        </w:rPr>
      </w:r>
      <w:r>
        <w:rPr>
          <w:noProof/>
        </w:rPr>
        <w:fldChar w:fldCharType="separate"/>
      </w:r>
      <w:r w:rsidR="00F612EF">
        <w:rPr>
          <w:noProof/>
        </w:rPr>
        <w:t>205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8.2.7</w:t>
      </w:r>
      <w:r>
        <w:rPr>
          <w:rFonts w:asciiTheme="minorHAnsi" w:hAnsiTheme="minorHAnsi"/>
          <w:noProof/>
          <w:sz w:val="22"/>
          <w:szCs w:val="22"/>
        </w:rPr>
        <w:tab/>
      </w:r>
      <w:r>
        <w:rPr>
          <w:noProof/>
        </w:rPr>
        <w:t>Comparison sites</w:t>
      </w:r>
      <w:r>
        <w:rPr>
          <w:noProof/>
        </w:rPr>
        <w:tab/>
      </w:r>
      <w:r>
        <w:rPr>
          <w:noProof/>
        </w:rPr>
        <w:fldChar w:fldCharType="begin"/>
      </w:r>
      <w:r>
        <w:rPr>
          <w:noProof/>
        </w:rPr>
        <w:instrText xml:space="preserve"> PAGEREF _Toc403739085 \h </w:instrText>
      </w:r>
      <w:r>
        <w:rPr>
          <w:noProof/>
        </w:rPr>
      </w:r>
      <w:r>
        <w:rPr>
          <w:noProof/>
        </w:rPr>
        <w:fldChar w:fldCharType="separate"/>
      </w:r>
      <w:r w:rsidR="00F612EF">
        <w:rPr>
          <w:noProof/>
        </w:rPr>
        <w:t>208</w:t>
      </w:r>
      <w:r>
        <w:rPr>
          <w:noProof/>
        </w:rPr>
        <w:fldChar w:fldCharType="end"/>
      </w:r>
    </w:p>
    <w:p w:rsidR="00DC1D42" w:rsidRDefault="00DC1D42" w:rsidP="00DC1D42">
      <w:pPr>
        <w:pStyle w:val="TOC1"/>
        <w:rPr>
          <w:rFonts w:asciiTheme="minorHAnsi" w:hAnsiTheme="minorHAnsi"/>
          <w:sz w:val="22"/>
          <w:szCs w:val="22"/>
        </w:rPr>
      </w:pPr>
      <w:r>
        <w:t>9</w:t>
      </w:r>
      <w:r>
        <w:rPr>
          <w:rFonts w:asciiTheme="minorHAnsi" w:hAnsiTheme="minorHAnsi"/>
          <w:sz w:val="22"/>
          <w:szCs w:val="22"/>
        </w:rPr>
        <w:tab/>
      </w:r>
      <w:r>
        <w:t>The broader impacts of income management</w:t>
      </w:r>
      <w:r>
        <w:tab/>
      </w:r>
      <w:r>
        <w:fldChar w:fldCharType="begin"/>
      </w:r>
      <w:r>
        <w:instrText xml:space="preserve"> PAGEREF _Toc403739086 \h </w:instrText>
      </w:r>
      <w:r>
        <w:fldChar w:fldCharType="separate"/>
      </w:r>
      <w:r w:rsidR="00F612EF">
        <w:t>210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9.1</w:t>
      </w:r>
      <w:r>
        <w:rPr>
          <w:rFonts w:asciiTheme="minorHAnsi" w:hAnsiTheme="minorHAnsi"/>
          <w:sz w:val="22"/>
          <w:szCs w:val="22"/>
        </w:rPr>
        <w:tab/>
      </w:r>
      <w:r>
        <w:t>Introduction</w:t>
      </w:r>
      <w:r>
        <w:tab/>
      </w:r>
      <w:r>
        <w:fldChar w:fldCharType="begin"/>
      </w:r>
      <w:r>
        <w:instrText xml:space="preserve"> PAGEREF _Toc403739087 \h </w:instrText>
      </w:r>
      <w:r>
        <w:fldChar w:fldCharType="separate"/>
      </w:r>
      <w:r w:rsidR="00F612EF">
        <w:t>210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9.2</w:t>
      </w:r>
      <w:r>
        <w:rPr>
          <w:rFonts w:asciiTheme="minorHAnsi" w:hAnsiTheme="minorHAnsi"/>
          <w:sz w:val="22"/>
          <w:szCs w:val="22"/>
        </w:rPr>
        <w:tab/>
      </w:r>
      <w:r>
        <w:t>Child health and wellbeing in the Northern Territory</w:t>
      </w:r>
      <w:r>
        <w:tab/>
      </w:r>
      <w:r>
        <w:fldChar w:fldCharType="begin"/>
      </w:r>
      <w:r>
        <w:instrText xml:space="preserve"> PAGEREF _Toc403739088 \h </w:instrText>
      </w:r>
      <w:r>
        <w:fldChar w:fldCharType="separate"/>
      </w:r>
      <w:r w:rsidR="00F612EF">
        <w:t>211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9.2.1</w:t>
      </w:r>
      <w:r>
        <w:rPr>
          <w:rFonts w:asciiTheme="minorHAnsi" w:hAnsiTheme="minorHAnsi"/>
          <w:noProof/>
          <w:sz w:val="22"/>
          <w:szCs w:val="22"/>
        </w:rPr>
        <w:tab/>
      </w:r>
      <w:r>
        <w:rPr>
          <w:noProof/>
        </w:rPr>
        <w:t>Child health and wellbeing measures and data sources</w:t>
      </w:r>
      <w:r>
        <w:rPr>
          <w:noProof/>
        </w:rPr>
        <w:tab/>
      </w:r>
      <w:r>
        <w:rPr>
          <w:noProof/>
        </w:rPr>
        <w:fldChar w:fldCharType="begin"/>
      </w:r>
      <w:r>
        <w:rPr>
          <w:noProof/>
        </w:rPr>
        <w:instrText xml:space="preserve"> PAGEREF _Toc403739089 \h </w:instrText>
      </w:r>
      <w:r>
        <w:rPr>
          <w:noProof/>
        </w:rPr>
      </w:r>
      <w:r>
        <w:rPr>
          <w:noProof/>
        </w:rPr>
        <w:fldChar w:fldCharType="separate"/>
      </w:r>
      <w:r w:rsidR="00F612EF">
        <w:rPr>
          <w:noProof/>
        </w:rPr>
        <w:t>211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9.2.2</w:t>
      </w:r>
      <w:r>
        <w:rPr>
          <w:rFonts w:asciiTheme="minorHAnsi" w:hAnsiTheme="minorHAnsi"/>
          <w:noProof/>
          <w:sz w:val="22"/>
          <w:szCs w:val="22"/>
        </w:rPr>
        <w:tab/>
      </w:r>
      <w:r>
        <w:rPr>
          <w:noProof/>
        </w:rPr>
        <w:t>Developmental outcomes</w:t>
      </w:r>
      <w:r>
        <w:rPr>
          <w:noProof/>
        </w:rPr>
        <w:tab/>
      </w:r>
      <w:r>
        <w:rPr>
          <w:noProof/>
        </w:rPr>
        <w:fldChar w:fldCharType="begin"/>
      </w:r>
      <w:r>
        <w:rPr>
          <w:noProof/>
        </w:rPr>
        <w:instrText xml:space="preserve"> PAGEREF _Toc403739090 \h </w:instrText>
      </w:r>
      <w:r>
        <w:rPr>
          <w:noProof/>
        </w:rPr>
      </w:r>
      <w:r>
        <w:rPr>
          <w:noProof/>
        </w:rPr>
        <w:fldChar w:fldCharType="separate"/>
      </w:r>
      <w:r w:rsidR="00F612EF">
        <w:rPr>
          <w:noProof/>
        </w:rPr>
        <w:t>212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9.2.3</w:t>
      </w:r>
      <w:r>
        <w:rPr>
          <w:rFonts w:asciiTheme="minorHAnsi" w:hAnsiTheme="minorHAnsi"/>
          <w:noProof/>
          <w:sz w:val="22"/>
          <w:szCs w:val="22"/>
        </w:rPr>
        <w:tab/>
      </w:r>
      <w:r>
        <w:rPr>
          <w:noProof/>
        </w:rPr>
        <w:t>Learning outcomes</w:t>
      </w:r>
      <w:r>
        <w:rPr>
          <w:noProof/>
        </w:rPr>
        <w:tab/>
      </w:r>
      <w:r>
        <w:rPr>
          <w:noProof/>
        </w:rPr>
        <w:fldChar w:fldCharType="begin"/>
      </w:r>
      <w:r>
        <w:rPr>
          <w:noProof/>
        </w:rPr>
        <w:instrText xml:space="preserve"> PAGEREF _Toc403739091 \h </w:instrText>
      </w:r>
      <w:r>
        <w:rPr>
          <w:noProof/>
        </w:rPr>
      </w:r>
      <w:r>
        <w:rPr>
          <w:noProof/>
        </w:rPr>
        <w:fldChar w:fldCharType="separate"/>
      </w:r>
      <w:r w:rsidR="00F612EF">
        <w:rPr>
          <w:noProof/>
        </w:rPr>
        <w:t>214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9.2.4</w:t>
      </w:r>
      <w:r>
        <w:rPr>
          <w:rFonts w:asciiTheme="minorHAnsi" w:hAnsiTheme="minorHAnsi"/>
          <w:noProof/>
          <w:sz w:val="22"/>
          <w:szCs w:val="22"/>
        </w:rPr>
        <w:tab/>
      </w:r>
      <w:r>
        <w:rPr>
          <w:noProof/>
        </w:rPr>
        <w:t>School enrolment and attendance</w:t>
      </w:r>
      <w:r>
        <w:rPr>
          <w:noProof/>
        </w:rPr>
        <w:tab/>
      </w:r>
      <w:r>
        <w:rPr>
          <w:noProof/>
        </w:rPr>
        <w:fldChar w:fldCharType="begin"/>
      </w:r>
      <w:r>
        <w:rPr>
          <w:noProof/>
        </w:rPr>
        <w:instrText xml:space="preserve"> PAGEREF _Toc403739092 \h </w:instrText>
      </w:r>
      <w:r>
        <w:rPr>
          <w:noProof/>
        </w:rPr>
      </w:r>
      <w:r>
        <w:rPr>
          <w:noProof/>
        </w:rPr>
        <w:fldChar w:fldCharType="separate"/>
      </w:r>
      <w:r w:rsidR="00F612EF">
        <w:rPr>
          <w:noProof/>
        </w:rPr>
        <w:t>218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9.3</w:t>
      </w:r>
      <w:r>
        <w:rPr>
          <w:rFonts w:asciiTheme="minorHAnsi" w:hAnsiTheme="minorHAnsi"/>
          <w:sz w:val="22"/>
          <w:szCs w:val="22"/>
        </w:rPr>
        <w:tab/>
      </w:r>
      <w:r>
        <w:t>Child health and wellbeing</w:t>
      </w:r>
      <w:r>
        <w:tab/>
      </w:r>
      <w:r>
        <w:fldChar w:fldCharType="begin"/>
      </w:r>
      <w:r>
        <w:instrText xml:space="preserve"> PAGEREF _Toc403739093 \h </w:instrText>
      </w:r>
      <w:r>
        <w:fldChar w:fldCharType="separate"/>
      </w:r>
      <w:r w:rsidR="00F612EF">
        <w:t>222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9.3.1</w:t>
      </w:r>
      <w:r>
        <w:rPr>
          <w:rFonts w:asciiTheme="minorHAnsi" w:hAnsiTheme="minorHAnsi"/>
          <w:noProof/>
          <w:sz w:val="22"/>
          <w:szCs w:val="22"/>
        </w:rPr>
        <w:tab/>
      </w:r>
      <w:r>
        <w:rPr>
          <w:noProof/>
        </w:rPr>
        <w:t>Low birth weight</w:t>
      </w:r>
      <w:r>
        <w:rPr>
          <w:noProof/>
        </w:rPr>
        <w:tab/>
      </w:r>
      <w:r>
        <w:rPr>
          <w:noProof/>
        </w:rPr>
        <w:fldChar w:fldCharType="begin"/>
      </w:r>
      <w:r>
        <w:rPr>
          <w:noProof/>
        </w:rPr>
        <w:instrText xml:space="preserve"> PAGEREF _Toc403739094 \h </w:instrText>
      </w:r>
      <w:r>
        <w:rPr>
          <w:noProof/>
        </w:rPr>
      </w:r>
      <w:r>
        <w:rPr>
          <w:noProof/>
        </w:rPr>
        <w:fldChar w:fldCharType="separate"/>
      </w:r>
      <w:r w:rsidR="00F612EF">
        <w:rPr>
          <w:noProof/>
        </w:rPr>
        <w:t>222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9.3.2</w:t>
      </w:r>
      <w:r>
        <w:rPr>
          <w:rFonts w:asciiTheme="minorHAnsi" w:hAnsiTheme="minorHAnsi"/>
          <w:noProof/>
          <w:sz w:val="22"/>
          <w:szCs w:val="22"/>
        </w:rPr>
        <w:tab/>
      </w:r>
      <w:r>
        <w:rPr>
          <w:noProof/>
        </w:rPr>
        <w:t>Infant mortality</w:t>
      </w:r>
      <w:r>
        <w:rPr>
          <w:noProof/>
        </w:rPr>
        <w:tab/>
      </w:r>
      <w:r>
        <w:rPr>
          <w:noProof/>
        </w:rPr>
        <w:fldChar w:fldCharType="begin"/>
      </w:r>
      <w:r>
        <w:rPr>
          <w:noProof/>
        </w:rPr>
        <w:instrText xml:space="preserve"> PAGEREF _Toc403739095 \h </w:instrText>
      </w:r>
      <w:r>
        <w:rPr>
          <w:noProof/>
        </w:rPr>
      </w:r>
      <w:r>
        <w:rPr>
          <w:noProof/>
        </w:rPr>
        <w:fldChar w:fldCharType="separate"/>
      </w:r>
      <w:r w:rsidR="00F612EF">
        <w:rPr>
          <w:noProof/>
        </w:rPr>
        <w:t>222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9.3.3</w:t>
      </w:r>
      <w:r>
        <w:rPr>
          <w:rFonts w:asciiTheme="minorHAnsi" w:hAnsiTheme="minorHAnsi"/>
          <w:noProof/>
          <w:sz w:val="22"/>
          <w:szCs w:val="22"/>
        </w:rPr>
        <w:tab/>
      </w:r>
      <w:r>
        <w:rPr>
          <w:noProof/>
        </w:rPr>
        <w:t>Immunisation rates</w:t>
      </w:r>
      <w:r>
        <w:rPr>
          <w:noProof/>
        </w:rPr>
        <w:tab/>
      </w:r>
      <w:r>
        <w:rPr>
          <w:noProof/>
        </w:rPr>
        <w:fldChar w:fldCharType="begin"/>
      </w:r>
      <w:r>
        <w:rPr>
          <w:noProof/>
        </w:rPr>
        <w:instrText xml:space="preserve"> PAGEREF _Toc403739096 \h </w:instrText>
      </w:r>
      <w:r>
        <w:rPr>
          <w:noProof/>
        </w:rPr>
      </w:r>
      <w:r>
        <w:rPr>
          <w:noProof/>
        </w:rPr>
        <w:fldChar w:fldCharType="separate"/>
      </w:r>
      <w:r w:rsidR="00F612EF">
        <w:rPr>
          <w:noProof/>
        </w:rPr>
        <w:t>223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9.3.4</w:t>
      </w:r>
      <w:r>
        <w:rPr>
          <w:rFonts w:asciiTheme="minorHAnsi" w:hAnsiTheme="minorHAnsi"/>
          <w:noProof/>
          <w:sz w:val="22"/>
          <w:szCs w:val="22"/>
        </w:rPr>
        <w:tab/>
      </w:r>
      <w:r>
        <w:rPr>
          <w:noProof/>
        </w:rPr>
        <w:t>Injury related deaths</w:t>
      </w:r>
      <w:r>
        <w:rPr>
          <w:noProof/>
        </w:rPr>
        <w:tab/>
      </w:r>
      <w:r>
        <w:rPr>
          <w:noProof/>
        </w:rPr>
        <w:fldChar w:fldCharType="begin"/>
      </w:r>
      <w:r>
        <w:rPr>
          <w:noProof/>
        </w:rPr>
        <w:instrText xml:space="preserve"> PAGEREF _Toc403739097 \h </w:instrText>
      </w:r>
      <w:r>
        <w:rPr>
          <w:noProof/>
        </w:rPr>
      </w:r>
      <w:r>
        <w:rPr>
          <w:noProof/>
        </w:rPr>
        <w:fldChar w:fldCharType="separate"/>
      </w:r>
      <w:r w:rsidR="00F612EF">
        <w:rPr>
          <w:noProof/>
        </w:rPr>
        <w:t>224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9.3.5</w:t>
      </w:r>
      <w:r>
        <w:rPr>
          <w:rFonts w:asciiTheme="minorHAnsi" w:hAnsiTheme="minorHAnsi"/>
          <w:noProof/>
          <w:sz w:val="22"/>
          <w:szCs w:val="22"/>
        </w:rPr>
        <w:tab/>
      </w:r>
      <w:r>
        <w:rPr>
          <w:noProof/>
        </w:rPr>
        <w:t>Disability</w:t>
      </w:r>
      <w:r>
        <w:rPr>
          <w:noProof/>
        </w:rPr>
        <w:tab/>
      </w:r>
      <w:r>
        <w:rPr>
          <w:noProof/>
        </w:rPr>
        <w:fldChar w:fldCharType="begin"/>
      </w:r>
      <w:r>
        <w:rPr>
          <w:noProof/>
        </w:rPr>
        <w:instrText xml:space="preserve"> PAGEREF _Toc403739098 \h </w:instrText>
      </w:r>
      <w:r>
        <w:rPr>
          <w:noProof/>
        </w:rPr>
      </w:r>
      <w:r>
        <w:rPr>
          <w:noProof/>
        </w:rPr>
        <w:fldChar w:fldCharType="separate"/>
      </w:r>
      <w:r w:rsidR="00F612EF">
        <w:rPr>
          <w:noProof/>
        </w:rPr>
        <w:t>224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9.3.6</w:t>
      </w:r>
      <w:r>
        <w:rPr>
          <w:rFonts w:asciiTheme="minorHAnsi" w:hAnsiTheme="minorHAnsi"/>
          <w:noProof/>
          <w:sz w:val="22"/>
          <w:szCs w:val="22"/>
        </w:rPr>
        <w:tab/>
      </w:r>
      <w:r>
        <w:rPr>
          <w:noProof/>
        </w:rPr>
        <w:t>Diet</w:t>
      </w:r>
      <w:r>
        <w:rPr>
          <w:noProof/>
        </w:rPr>
        <w:tab/>
      </w:r>
      <w:r>
        <w:rPr>
          <w:noProof/>
        </w:rPr>
        <w:fldChar w:fldCharType="begin"/>
      </w:r>
      <w:r>
        <w:rPr>
          <w:noProof/>
        </w:rPr>
        <w:instrText xml:space="preserve"> PAGEREF _Toc403739099 \h </w:instrText>
      </w:r>
      <w:r>
        <w:rPr>
          <w:noProof/>
        </w:rPr>
      </w:r>
      <w:r>
        <w:rPr>
          <w:noProof/>
        </w:rPr>
        <w:fldChar w:fldCharType="separate"/>
      </w:r>
      <w:r w:rsidR="00F612EF">
        <w:rPr>
          <w:noProof/>
        </w:rPr>
        <w:t>225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9.3.7</w:t>
      </w:r>
      <w:r>
        <w:rPr>
          <w:rFonts w:asciiTheme="minorHAnsi" w:hAnsiTheme="minorHAnsi"/>
          <w:noProof/>
          <w:sz w:val="22"/>
          <w:szCs w:val="22"/>
        </w:rPr>
        <w:tab/>
      </w:r>
      <w:r>
        <w:rPr>
          <w:noProof/>
        </w:rPr>
        <w:t>Body Mass Index</w:t>
      </w:r>
      <w:r>
        <w:rPr>
          <w:noProof/>
        </w:rPr>
        <w:tab/>
      </w:r>
      <w:r>
        <w:rPr>
          <w:noProof/>
        </w:rPr>
        <w:fldChar w:fldCharType="begin"/>
      </w:r>
      <w:r>
        <w:rPr>
          <w:noProof/>
        </w:rPr>
        <w:instrText xml:space="preserve"> PAGEREF _Toc403739100 \h </w:instrText>
      </w:r>
      <w:r>
        <w:rPr>
          <w:noProof/>
        </w:rPr>
      </w:r>
      <w:r>
        <w:rPr>
          <w:noProof/>
        </w:rPr>
        <w:fldChar w:fldCharType="separate"/>
      </w:r>
      <w:r w:rsidR="00F612EF">
        <w:rPr>
          <w:noProof/>
        </w:rPr>
        <w:t>226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9.3.8</w:t>
      </w:r>
      <w:r>
        <w:rPr>
          <w:rFonts w:asciiTheme="minorHAnsi" w:hAnsiTheme="minorHAnsi"/>
          <w:noProof/>
          <w:sz w:val="22"/>
          <w:szCs w:val="22"/>
        </w:rPr>
        <w:tab/>
      </w:r>
      <w:r>
        <w:rPr>
          <w:noProof/>
        </w:rPr>
        <w:t>Hospitalisation rates of Indigenous children</w:t>
      </w:r>
      <w:r>
        <w:rPr>
          <w:noProof/>
        </w:rPr>
        <w:tab/>
      </w:r>
      <w:r>
        <w:rPr>
          <w:noProof/>
        </w:rPr>
        <w:fldChar w:fldCharType="begin"/>
      </w:r>
      <w:r>
        <w:rPr>
          <w:noProof/>
        </w:rPr>
        <w:instrText xml:space="preserve"> PAGEREF _Toc403739101 \h </w:instrText>
      </w:r>
      <w:r>
        <w:rPr>
          <w:noProof/>
        </w:rPr>
      </w:r>
      <w:r>
        <w:rPr>
          <w:noProof/>
        </w:rPr>
        <w:fldChar w:fldCharType="separate"/>
      </w:r>
      <w:r w:rsidR="00F612EF">
        <w:rPr>
          <w:noProof/>
        </w:rPr>
        <w:t>227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9.3.9</w:t>
      </w:r>
      <w:r>
        <w:rPr>
          <w:rFonts w:asciiTheme="minorHAnsi" w:hAnsiTheme="minorHAnsi"/>
          <w:noProof/>
          <w:sz w:val="22"/>
          <w:szCs w:val="22"/>
        </w:rPr>
        <w:tab/>
      </w:r>
      <w:r>
        <w:rPr>
          <w:noProof/>
        </w:rPr>
        <w:t>Child protection indicators</w:t>
      </w:r>
      <w:r>
        <w:rPr>
          <w:noProof/>
        </w:rPr>
        <w:tab/>
      </w:r>
      <w:r>
        <w:rPr>
          <w:noProof/>
        </w:rPr>
        <w:fldChar w:fldCharType="begin"/>
      </w:r>
      <w:r>
        <w:rPr>
          <w:noProof/>
        </w:rPr>
        <w:instrText xml:space="preserve"> PAGEREF _Toc403739102 \h </w:instrText>
      </w:r>
      <w:r>
        <w:rPr>
          <w:noProof/>
        </w:rPr>
      </w:r>
      <w:r>
        <w:rPr>
          <w:noProof/>
        </w:rPr>
        <w:fldChar w:fldCharType="separate"/>
      </w:r>
      <w:r w:rsidR="00F612EF">
        <w:rPr>
          <w:noProof/>
        </w:rPr>
        <w:t>227</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9.4</w:t>
      </w:r>
      <w:r>
        <w:rPr>
          <w:rFonts w:asciiTheme="minorHAnsi" w:hAnsiTheme="minorHAnsi"/>
          <w:sz w:val="22"/>
          <w:szCs w:val="22"/>
        </w:rPr>
        <w:tab/>
      </w:r>
      <w:r>
        <w:t>Impact on alcohol consumption and consequences</w:t>
      </w:r>
      <w:r>
        <w:tab/>
      </w:r>
      <w:r>
        <w:fldChar w:fldCharType="begin"/>
      </w:r>
      <w:r>
        <w:instrText xml:space="preserve"> PAGEREF _Toc403739103 \h </w:instrText>
      </w:r>
      <w:r>
        <w:fldChar w:fldCharType="separate"/>
      </w:r>
      <w:r w:rsidR="00F612EF">
        <w:t>229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9.4.1</w:t>
      </w:r>
      <w:r>
        <w:rPr>
          <w:rFonts w:asciiTheme="minorHAnsi" w:hAnsiTheme="minorHAnsi"/>
          <w:noProof/>
          <w:sz w:val="22"/>
          <w:szCs w:val="22"/>
        </w:rPr>
        <w:tab/>
      </w:r>
      <w:r>
        <w:rPr>
          <w:noProof/>
        </w:rPr>
        <w:t>Alcohol consumption per capita</w:t>
      </w:r>
      <w:r>
        <w:rPr>
          <w:noProof/>
        </w:rPr>
        <w:tab/>
      </w:r>
      <w:r>
        <w:rPr>
          <w:noProof/>
        </w:rPr>
        <w:fldChar w:fldCharType="begin"/>
      </w:r>
      <w:r>
        <w:rPr>
          <w:noProof/>
        </w:rPr>
        <w:instrText xml:space="preserve"> PAGEREF _Toc403739104 \h </w:instrText>
      </w:r>
      <w:r>
        <w:rPr>
          <w:noProof/>
        </w:rPr>
      </w:r>
      <w:r>
        <w:rPr>
          <w:noProof/>
        </w:rPr>
        <w:fldChar w:fldCharType="separate"/>
      </w:r>
      <w:r w:rsidR="00F612EF">
        <w:rPr>
          <w:noProof/>
        </w:rPr>
        <w:t>229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9.4.2</w:t>
      </w:r>
      <w:r>
        <w:rPr>
          <w:rFonts w:asciiTheme="minorHAnsi" w:hAnsiTheme="minorHAnsi"/>
          <w:noProof/>
          <w:sz w:val="22"/>
          <w:szCs w:val="22"/>
        </w:rPr>
        <w:tab/>
      </w:r>
      <w:r>
        <w:rPr>
          <w:noProof/>
        </w:rPr>
        <w:t>Alcohol-related presentations to emergency departments and public hospitals</w:t>
      </w:r>
      <w:r>
        <w:rPr>
          <w:noProof/>
        </w:rPr>
        <w:tab/>
      </w:r>
      <w:r>
        <w:rPr>
          <w:noProof/>
        </w:rPr>
        <w:fldChar w:fldCharType="begin"/>
      </w:r>
      <w:r>
        <w:rPr>
          <w:noProof/>
        </w:rPr>
        <w:instrText xml:space="preserve"> PAGEREF _Toc403739105 \h </w:instrText>
      </w:r>
      <w:r>
        <w:rPr>
          <w:noProof/>
        </w:rPr>
      </w:r>
      <w:r>
        <w:rPr>
          <w:noProof/>
        </w:rPr>
        <w:fldChar w:fldCharType="separate"/>
      </w:r>
      <w:r w:rsidR="00F612EF">
        <w:rPr>
          <w:noProof/>
        </w:rPr>
        <w:t>230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9.4.3</w:t>
      </w:r>
      <w:r>
        <w:rPr>
          <w:rFonts w:asciiTheme="minorHAnsi" w:hAnsiTheme="minorHAnsi"/>
          <w:noProof/>
          <w:sz w:val="22"/>
          <w:szCs w:val="22"/>
        </w:rPr>
        <w:tab/>
      </w:r>
      <w:r>
        <w:rPr>
          <w:noProof/>
        </w:rPr>
        <w:t>Self-reported consumption measures: tobacco and alcohol</w:t>
      </w:r>
      <w:r>
        <w:rPr>
          <w:noProof/>
        </w:rPr>
        <w:tab/>
      </w:r>
      <w:r>
        <w:rPr>
          <w:noProof/>
        </w:rPr>
        <w:fldChar w:fldCharType="begin"/>
      </w:r>
      <w:r>
        <w:rPr>
          <w:noProof/>
        </w:rPr>
        <w:instrText xml:space="preserve"> PAGEREF _Toc403739106 \h </w:instrText>
      </w:r>
      <w:r>
        <w:rPr>
          <w:noProof/>
        </w:rPr>
      </w:r>
      <w:r>
        <w:rPr>
          <w:noProof/>
        </w:rPr>
        <w:fldChar w:fldCharType="separate"/>
      </w:r>
      <w:r w:rsidR="00F612EF">
        <w:rPr>
          <w:noProof/>
        </w:rPr>
        <w:t>231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9.4.4</w:t>
      </w:r>
      <w:r>
        <w:rPr>
          <w:rFonts w:asciiTheme="minorHAnsi" w:hAnsiTheme="minorHAnsi"/>
          <w:noProof/>
          <w:sz w:val="22"/>
          <w:szCs w:val="22"/>
        </w:rPr>
        <w:tab/>
      </w:r>
      <w:r>
        <w:rPr>
          <w:noProof/>
        </w:rPr>
        <w:t>Crime and alcohol-related crime</w:t>
      </w:r>
      <w:r>
        <w:rPr>
          <w:noProof/>
        </w:rPr>
        <w:tab/>
      </w:r>
      <w:r>
        <w:rPr>
          <w:noProof/>
        </w:rPr>
        <w:fldChar w:fldCharType="begin"/>
      </w:r>
      <w:r>
        <w:rPr>
          <w:noProof/>
        </w:rPr>
        <w:instrText xml:space="preserve"> PAGEREF _Toc403739107 \h </w:instrText>
      </w:r>
      <w:r>
        <w:rPr>
          <w:noProof/>
        </w:rPr>
      </w:r>
      <w:r>
        <w:rPr>
          <w:noProof/>
        </w:rPr>
        <w:fldChar w:fldCharType="separate"/>
      </w:r>
      <w:r w:rsidR="00F612EF">
        <w:rPr>
          <w:noProof/>
        </w:rPr>
        <w:t>232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9.4.5</w:t>
      </w:r>
      <w:r>
        <w:rPr>
          <w:rFonts w:asciiTheme="minorHAnsi" w:hAnsiTheme="minorHAnsi"/>
          <w:noProof/>
          <w:sz w:val="22"/>
          <w:szCs w:val="22"/>
        </w:rPr>
        <w:tab/>
      </w:r>
      <w:r>
        <w:rPr>
          <w:noProof/>
        </w:rPr>
        <w:t>Imprisonment rates</w:t>
      </w:r>
      <w:r>
        <w:rPr>
          <w:noProof/>
        </w:rPr>
        <w:tab/>
      </w:r>
      <w:r>
        <w:rPr>
          <w:noProof/>
        </w:rPr>
        <w:fldChar w:fldCharType="begin"/>
      </w:r>
      <w:r>
        <w:rPr>
          <w:noProof/>
        </w:rPr>
        <w:instrText xml:space="preserve"> PAGEREF _Toc403739108 \h </w:instrText>
      </w:r>
      <w:r>
        <w:rPr>
          <w:noProof/>
        </w:rPr>
      </w:r>
      <w:r>
        <w:rPr>
          <w:noProof/>
        </w:rPr>
        <w:fldChar w:fldCharType="separate"/>
      </w:r>
      <w:r w:rsidR="00F612EF">
        <w:rPr>
          <w:noProof/>
        </w:rPr>
        <w:t>234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9.5</w:t>
      </w:r>
      <w:r>
        <w:rPr>
          <w:rFonts w:asciiTheme="minorHAnsi" w:hAnsiTheme="minorHAnsi"/>
          <w:sz w:val="22"/>
          <w:szCs w:val="22"/>
        </w:rPr>
        <w:tab/>
      </w:r>
      <w:r>
        <w:t>Summary</w:t>
      </w:r>
      <w:r>
        <w:tab/>
      </w:r>
      <w:r>
        <w:fldChar w:fldCharType="begin"/>
      </w:r>
      <w:r>
        <w:instrText xml:space="preserve"> PAGEREF _Toc403739109 \h </w:instrText>
      </w:r>
      <w:r>
        <w:fldChar w:fldCharType="separate"/>
      </w:r>
      <w:r w:rsidR="00F612EF">
        <w:t>236</w:t>
      </w:r>
      <w:r>
        <w:fldChar w:fldCharType="end"/>
      </w:r>
    </w:p>
    <w:p w:rsidR="00DC1D42" w:rsidRDefault="00DC1D42" w:rsidP="00DC1D42">
      <w:pPr>
        <w:pStyle w:val="TOC1"/>
        <w:rPr>
          <w:rFonts w:asciiTheme="minorHAnsi" w:hAnsiTheme="minorHAnsi"/>
          <w:sz w:val="22"/>
          <w:szCs w:val="22"/>
        </w:rPr>
      </w:pPr>
      <w:r>
        <w:t>10</w:t>
      </w:r>
      <w:r>
        <w:rPr>
          <w:rFonts w:asciiTheme="minorHAnsi" w:hAnsiTheme="minorHAnsi"/>
          <w:sz w:val="22"/>
          <w:szCs w:val="22"/>
        </w:rPr>
        <w:tab/>
      </w:r>
      <w:r>
        <w:t>The perspectives of intermediaries</w:t>
      </w:r>
      <w:r>
        <w:tab/>
      </w:r>
      <w:r>
        <w:fldChar w:fldCharType="begin"/>
      </w:r>
      <w:r>
        <w:instrText xml:space="preserve"> PAGEREF _Toc403739110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10.1</w:t>
      </w:r>
      <w:r>
        <w:rPr>
          <w:rFonts w:asciiTheme="minorHAnsi" w:hAnsiTheme="minorHAnsi"/>
          <w:sz w:val="22"/>
          <w:szCs w:val="22"/>
        </w:rPr>
        <w:tab/>
      </w:r>
      <w:r>
        <w:t>Introduction</w:t>
      </w:r>
      <w:r>
        <w:tab/>
      </w:r>
      <w:r>
        <w:fldChar w:fldCharType="begin"/>
      </w:r>
      <w:r>
        <w:instrText xml:space="preserve"> PAGEREF _Toc403739111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10.2</w:t>
      </w:r>
      <w:r>
        <w:rPr>
          <w:rFonts w:asciiTheme="minorHAnsi" w:hAnsiTheme="minorHAnsi"/>
          <w:sz w:val="22"/>
          <w:szCs w:val="22"/>
        </w:rPr>
        <w:tab/>
      </w:r>
      <w:r>
        <w:t>Methodology</w:t>
      </w:r>
      <w:r>
        <w:tab/>
      </w:r>
      <w:r>
        <w:fldChar w:fldCharType="begin"/>
      </w:r>
      <w:r>
        <w:instrText xml:space="preserve"> PAGEREF _Toc403739112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10.3</w:t>
      </w:r>
      <w:r>
        <w:rPr>
          <w:rFonts w:asciiTheme="minorHAnsi" w:hAnsiTheme="minorHAnsi"/>
          <w:sz w:val="22"/>
          <w:szCs w:val="22"/>
        </w:rPr>
        <w:tab/>
      </w:r>
      <w:r>
        <w:t>Operational and implementation issues</w:t>
      </w:r>
      <w:r>
        <w:tab/>
      </w:r>
      <w:r>
        <w:fldChar w:fldCharType="begin"/>
      </w:r>
      <w:r>
        <w:instrText xml:space="preserve"> PAGEREF _Toc403739113 \h </w:instrText>
      </w:r>
      <w:r>
        <w:fldChar w:fldCharType="separate"/>
      </w:r>
      <w:r w:rsidR="00F612EF">
        <w:t>239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10.3.1</w:t>
      </w:r>
      <w:r>
        <w:rPr>
          <w:rFonts w:asciiTheme="minorHAnsi" w:hAnsiTheme="minorHAnsi"/>
          <w:noProof/>
          <w:sz w:val="22"/>
          <w:szCs w:val="22"/>
        </w:rPr>
        <w:tab/>
      </w:r>
      <w:r>
        <w:rPr>
          <w:noProof/>
        </w:rPr>
        <w:t>Commencing income management</w:t>
      </w:r>
      <w:r>
        <w:rPr>
          <w:noProof/>
        </w:rPr>
        <w:tab/>
      </w:r>
      <w:r>
        <w:rPr>
          <w:noProof/>
        </w:rPr>
        <w:fldChar w:fldCharType="begin"/>
      </w:r>
      <w:r>
        <w:rPr>
          <w:noProof/>
        </w:rPr>
        <w:instrText xml:space="preserve"> PAGEREF _Toc403739114 \h </w:instrText>
      </w:r>
      <w:r>
        <w:rPr>
          <w:noProof/>
        </w:rPr>
      </w:r>
      <w:r>
        <w:rPr>
          <w:noProof/>
        </w:rPr>
        <w:fldChar w:fldCharType="separate"/>
      </w:r>
      <w:r w:rsidR="00F612EF">
        <w:rPr>
          <w:noProof/>
        </w:rPr>
        <w:t>239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10.3.2</w:t>
      </w:r>
      <w:r>
        <w:rPr>
          <w:rFonts w:asciiTheme="minorHAnsi" w:hAnsiTheme="minorHAnsi"/>
          <w:noProof/>
          <w:sz w:val="22"/>
          <w:szCs w:val="22"/>
        </w:rPr>
        <w:tab/>
      </w:r>
      <w:r>
        <w:rPr>
          <w:noProof/>
        </w:rPr>
        <w:t>Setting up income management – allocations</w:t>
      </w:r>
      <w:r>
        <w:rPr>
          <w:noProof/>
        </w:rPr>
        <w:tab/>
      </w:r>
      <w:r>
        <w:rPr>
          <w:noProof/>
        </w:rPr>
        <w:fldChar w:fldCharType="begin"/>
      </w:r>
      <w:r>
        <w:rPr>
          <w:noProof/>
        </w:rPr>
        <w:instrText xml:space="preserve"> PAGEREF _Toc403739115 \h </w:instrText>
      </w:r>
      <w:r>
        <w:rPr>
          <w:noProof/>
        </w:rPr>
      </w:r>
      <w:r>
        <w:rPr>
          <w:noProof/>
        </w:rPr>
        <w:fldChar w:fldCharType="separate"/>
      </w:r>
      <w:r w:rsidR="00F612EF">
        <w:rPr>
          <w:noProof/>
        </w:rPr>
        <w:t>240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10.3.3</w:t>
      </w:r>
      <w:r>
        <w:rPr>
          <w:rFonts w:asciiTheme="minorHAnsi" w:hAnsiTheme="minorHAnsi"/>
          <w:noProof/>
          <w:sz w:val="22"/>
          <w:szCs w:val="22"/>
        </w:rPr>
        <w:tab/>
      </w:r>
      <w:r>
        <w:rPr>
          <w:noProof/>
        </w:rPr>
        <w:t>Exemptions</w:t>
      </w:r>
      <w:r>
        <w:rPr>
          <w:noProof/>
        </w:rPr>
        <w:tab/>
      </w:r>
      <w:r>
        <w:rPr>
          <w:noProof/>
        </w:rPr>
        <w:fldChar w:fldCharType="begin"/>
      </w:r>
      <w:r>
        <w:rPr>
          <w:noProof/>
        </w:rPr>
        <w:instrText xml:space="preserve"> PAGEREF _Toc403739116 \h </w:instrText>
      </w:r>
      <w:r>
        <w:rPr>
          <w:noProof/>
        </w:rPr>
      </w:r>
      <w:r>
        <w:rPr>
          <w:noProof/>
        </w:rPr>
        <w:fldChar w:fldCharType="separate"/>
      </w:r>
      <w:r w:rsidR="00F612EF">
        <w:rPr>
          <w:noProof/>
        </w:rPr>
        <w:t>242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10.3.4</w:t>
      </w:r>
      <w:r>
        <w:rPr>
          <w:rFonts w:asciiTheme="minorHAnsi" w:hAnsiTheme="minorHAnsi"/>
          <w:noProof/>
          <w:sz w:val="22"/>
          <w:szCs w:val="22"/>
        </w:rPr>
        <w:tab/>
      </w:r>
      <w:r>
        <w:rPr>
          <w:noProof/>
        </w:rPr>
        <w:t>Use of BasicsCards</w:t>
      </w:r>
      <w:r>
        <w:rPr>
          <w:noProof/>
        </w:rPr>
        <w:tab/>
      </w:r>
      <w:r>
        <w:rPr>
          <w:noProof/>
        </w:rPr>
        <w:fldChar w:fldCharType="begin"/>
      </w:r>
      <w:r>
        <w:rPr>
          <w:noProof/>
        </w:rPr>
        <w:instrText xml:space="preserve"> PAGEREF _Toc403739117 \h </w:instrText>
      </w:r>
      <w:r>
        <w:rPr>
          <w:noProof/>
        </w:rPr>
      </w:r>
      <w:r>
        <w:rPr>
          <w:noProof/>
        </w:rPr>
        <w:fldChar w:fldCharType="separate"/>
      </w:r>
      <w:r w:rsidR="00F612EF">
        <w:rPr>
          <w:noProof/>
        </w:rPr>
        <w:t>244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10.3.5</w:t>
      </w:r>
      <w:r>
        <w:rPr>
          <w:rFonts w:asciiTheme="minorHAnsi" w:hAnsiTheme="minorHAnsi"/>
          <w:noProof/>
          <w:sz w:val="22"/>
          <w:szCs w:val="22"/>
        </w:rPr>
        <w:tab/>
      </w:r>
      <w:r>
        <w:rPr>
          <w:noProof/>
        </w:rPr>
        <w:t>Supporting people subject to income management – money management and financial counselling services</w:t>
      </w:r>
      <w:r>
        <w:rPr>
          <w:noProof/>
        </w:rPr>
        <w:tab/>
      </w:r>
      <w:r>
        <w:rPr>
          <w:noProof/>
        </w:rPr>
        <w:fldChar w:fldCharType="begin"/>
      </w:r>
      <w:r>
        <w:rPr>
          <w:noProof/>
        </w:rPr>
        <w:instrText xml:space="preserve"> PAGEREF _Toc403739118 \h </w:instrText>
      </w:r>
      <w:r>
        <w:rPr>
          <w:noProof/>
        </w:rPr>
      </w:r>
      <w:r>
        <w:rPr>
          <w:noProof/>
        </w:rPr>
        <w:fldChar w:fldCharType="separate"/>
      </w:r>
      <w:r w:rsidR="00F612EF">
        <w:rPr>
          <w:noProof/>
        </w:rPr>
        <w:t>245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10.3.6</w:t>
      </w:r>
      <w:r>
        <w:rPr>
          <w:rFonts w:asciiTheme="minorHAnsi" w:hAnsiTheme="minorHAnsi"/>
          <w:noProof/>
          <w:sz w:val="22"/>
          <w:szCs w:val="22"/>
        </w:rPr>
        <w:tab/>
      </w:r>
      <w:r>
        <w:rPr>
          <w:noProof/>
        </w:rPr>
        <w:t>Supporting people subject to income management – other services</w:t>
      </w:r>
      <w:r>
        <w:rPr>
          <w:noProof/>
        </w:rPr>
        <w:tab/>
      </w:r>
      <w:r>
        <w:rPr>
          <w:noProof/>
        </w:rPr>
        <w:fldChar w:fldCharType="begin"/>
      </w:r>
      <w:r>
        <w:rPr>
          <w:noProof/>
        </w:rPr>
        <w:instrText xml:space="preserve"> PAGEREF _Toc403739119 \h </w:instrText>
      </w:r>
      <w:r>
        <w:rPr>
          <w:noProof/>
        </w:rPr>
      </w:r>
      <w:r>
        <w:rPr>
          <w:noProof/>
        </w:rPr>
        <w:fldChar w:fldCharType="separate"/>
      </w:r>
      <w:r w:rsidR="00F612EF">
        <w:rPr>
          <w:noProof/>
        </w:rPr>
        <w:t>248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10.4</w:t>
      </w:r>
      <w:r>
        <w:rPr>
          <w:rFonts w:asciiTheme="minorHAnsi" w:hAnsiTheme="minorHAnsi"/>
          <w:sz w:val="22"/>
          <w:szCs w:val="22"/>
        </w:rPr>
        <w:tab/>
      </w:r>
      <w:r>
        <w:t>Perceived outcomes and impacts of income management</w:t>
      </w:r>
      <w:r>
        <w:tab/>
      </w:r>
      <w:r>
        <w:fldChar w:fldCharType="begin"/>
      </w:r>
      <w:r>
        <w:instrText xml:space="preserve"> PAGEREF _Toc403739120 \h </w:instrText>
      </w:r>
      <w:r>
        <w:fldChar w:fldCharType="separate"/>
      </w:r>
      <w:r w:rsidR="00F612EF">
        <w:t>249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10.4.1</w:t>
      </w:r>
      <w:r>
        <w:rPr>
          <w:rFonts w:asciiTheme="minorHAnsi" w:hAnsiTheme="minorHAnsi"/>
          <w:noProof/>
          <w:sz w:val="22"/>
          <w:szCs w:val="22"/>
        </w:rPr>
        <w:tab/>
      </w:r>
      <w:r>
        <w:rPr>
          <w:noProof/>
        </w:rPr>
        <w:t>Targeting of measures and differential impacts</w:t>
      </w:r>
      <w:r>
        <w:rPr>
          <w:noProof/>
        </w:rPr>
        <w:tab/>
      </w:r>
      <w:r>
        <w:rPr>
          <w:noProof/>
        </w:rPr>
        <w:fldChar w:fldCharType="begin"/>
      </w:r>
      <w:r>
        <w:rPr>
          <w:noProof/>
        </w:rPr>
        <w:instrText xml:space="preserve"> PAGEREF _Toc403739121 \h </w:instrText>
      </w:r>
      <w:r>
        <w:rPr>
          <w:noProof/>
        </w:rPr>
      </w:r>
      <w:r>
        <w:rPr>
          <w:noProof/>
        </w:rPr>
        <w:fldChar w:fldCharType="separate"/>
      </w:r>
      <w:r w:rsidR="00F612EF">
        <w:rPr>
          <w:noProof/>
        </w:rPr>
        <w:t>249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10.4.2</w:t>
      </w:r>
      <w:r>
        <w:rPr>
          <w:rFonts w:asciiTheme="minorHAnsi" w:hAnsiTheme="minorHAnsi"/>
          <w:noProof/>
          <w:sz w:val="22"/>
          <w:szCs w:val="22"/>
        </w:rPr>
        <w:tab/>
      </w:r>
      <w:r>
        <w:rPr>
          <w:noProof/>
        </w:rPr>
        <w:t>Income management as a budgeting tool</w:t>
      </w:r>
      <w:r>
        <w:rPr>
          <w:noProof/>
        </w:rPr>
        <w:tab/>
      </w:r>
      <w:r>
        <w:rPr>
          <w:noProof/>
        </w:rPr>
        <w:fldChar w:fldCharType="begin"/>
      </w:r>
      <w:r>
        <w:rPr>
          <w:noProof/>
        </w:rPr>
        <w:instrText xml:space="preserve"> PAGEREF _Toc403739122 \h </w:instrText>
      </w:r>
      <w:r>
        <w:rPr>
          <w:noProof/>
        </w:rPr>
      </w:r>
      <w:r>
        <w:rPr>
          <w:noProof/>
        </w:rPr>
        <w:fldChar w:fldCharType="separate"/>
      </w:r>
      <w:r w:rsidR="00F612EF">
        <w:rPr>
          <w:noProof/>
        </w:rPr>
        <w:t>251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10.4.3</w:t>
      </w:r>
      <w:r>
        <w:rPr>
          <w:rFonts w:asciiTheme="minorHAnsi" w:hAnsiTheme="minorHAnsi"/>
          <w:noProof/>
          <w:sz w:val="22"/>
          <w:szCs w:val="22"/>
        </w:rPr>
        <w:tab/>
      </w:r>
      <w:r>
        <w:rPr>
          <w:noProof/>
        </w:rPr>
        <w:t>Impacts of income management on financial exploitation</w:t>
      </w:r>
      <w:r>
        <w:rPr>
          <w:noProof/>
        </w:rPr>
        <w:tab/>
      </w:r>
      <w:r>
        <w:rPr>
          <w:noProof/>
        </w:rPr>
        <w:fldChar w:fldCharType="begin"/>
      </w:r>
      <w:r>
        <w:rPr>
          <w:noProof/>
        </w:rPr>
        <w:instrText xml:space="preserve"> PAGEREF _Toc403739123 \h </w:instrText>
      </w:r>
      <w:r>
        <w:rPr>
          <w:noProof/>
        </w:rPr>
      </w:r>
      <w:r>
        <w:rPr>
          <w:noProof/>
        </w:rPr>
        <w:fldChar w:fldCharType="separate"/>
      </w:r>
      <w:r w:rsidR="00F612EF">
        <w:rPr>
          <w:noProof/>
        </w:rPr>
        <w:t>251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10.4.4</w:t>
      </w:r>
      <w:r>
        <w:rPr>
          <w:rFonts w:asciiTheme="minorHAnsi" w:hAnsiTheme="minorHAnsi"/>
          <w:noProof/>
          <w:sz w:val="22"/>
          <w:szCs w:val="22"/>
        </w:rPr>
        <w:tab/>
      </w:r>
      <w:r>
        <w:rPr>
          <w:noProof/>
        </w:rPr>
        <w:t>Perceived impacts of income management on individuals and communities</w:t>
      </w:r>
      <w:r>
        <w:rPr>
          <w:noProof/>
        </w:rPr>
        <w:tab/>
      </w:r>
      <w:r>
        <w:rPr>
          <w:noProof/>
        </w:rPr>
        <w:fldChar w:fldCharType="begin"/>
      </w:r>
      <w:r>
        <w:rPr>
          <w:noProof/>
        </w:rPr>
        <w:instrText xml:space="preserve"> PAGEREF _Toc403739124 \h </w:instrText>
      </w:r>
      <w:r>
        <w:rPr>
          <w:noProof/>
        </w:rPr>
      </w:r>
      <w:r>
        <w:rPr>
          <w:noProof/>
        </w:rPr>
        <w:fldChar w:fldCharType="separate"/>
      </w:r>
      <w:r w:rsidR="00F612EF">
        <w:rPr>
          <w:noProof/>
        </w:rPr>
        <w:t>252</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10.5</w:t>
      </w:r>
      <w:r>
        <w:rPr>
          <w:rFonts w:asciiTheme="minorHAnsi" w:hAnsiTheme="minorHAnsi"/>
          <w:sz w:val="22"/>
          <w:szCs w:val="22"/>
        </w:rPr>
        <w:tab/>
      </w:r>
      <w:r>
        <w:t>Summary</w:t>
      </w:r>
      <w:r>
        <w:tab/>
      </w:r>
      <w:r>
        <w:fldChar w:fldCharType="begin"/>
      </w:r>
      <w:r>
        <w:instrText xml:space="preserve"> PAGEREF _Toc403739125 \h </w:instrText>
      </w:r>
      <w:r>
        <w:fldChar w:fldCharType="separate"/>
      </w:r>
      <w:r w:rsidR="00F612EF">
        <w:t>253</w:t>
      </w:r>
      <w:r>
        <w:fldChar w:fldCharType="end"/>
      </w:r>
    </w:p>
    <w:p w:rsidR="00DC1D42" w:rsidRDefault="00DC1D42" w:rsidP="00DC1D42">
      <w:pPr>
        <w:pStyle w:val="TOC1"/>
        <w:rPr>
          <w:rFonts w:asciiTheme="minorHAnsi" w:hAnsiTheme="minorHAnsi"/>
          <w:sz w:val="22"/>
          <w:szCs w:val="22"/>
        </w:rPr>
      </w:pPr>
      <w:r>
        <w:t>11</w:t>
      </w:r>
      <w:r>
        <w:rPr>
          <w:rFonts w:asciiTheme="minorHAnsi" w:hAnsiTheme="minorHAnsi"/>
          <w:sz w:val="22"/>
          <w:szCs w:val="22"/>
        </w:rPr>
        <w:tab/>
      </w:r>
      <w:r>
        <w:t>Voluntary Income Management</w:t>
      </w:r>
      <w:r>
        <w:tab/>
      </w:r>
      <w:r>
        <w:fldChar w:fldCharType="begin"/>
      </w:r>
      <w:r>
        <w:instrText xml:space="preserve"> PAGEREF _Toc403739126 \h </w:instrText>
      </w:r>
      <w:r>
        <w:fldChar w:fldCharType="separate"/>
      </w:r>
      <w:r w:rsidR="00F612EF">
        <w:t>256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11.1</w:t>
      </w:r>
      <w:r>
        <w:rPr>
          <w:rFonts w:asciiTheme="minorHAnsi" w:hAnsiTheme="minorHAnsi"/>
          <w:sz w:val="22"/>
          <w:szCs w:val="22"/>
        </w:rPr>
        <w:tab/>
      </w:r>
      <w:r>
        <w:t>Overview of the program</w:t>
      </w:r>
      <w:r>
        <w:tab/>
      </w:r>
      <w:r>
        <w:fldChar w:fldCharType="begin"/>
      </w:r>
      <w:r>
        <w:instrText xml:space="preserve"> PAGEREF _Toc403739127 \h </w:instrText>
      </w:r>
      <w:r>
        <w:fldChar w:fldCharType="separate"/>
      </w:r>
      <w:r w:rsidR="00F612EF">
        <w:t>256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11.1.1</w:t>
      </w:r>
      <w:r>
        <w:rPr>
          <w:rFonts w:asciiTheme="minorHAnsi" w:hAnsiTheme="minorHAnsi"/>
          <w:noProof/>
          <w:sz w:val="22"/>
          <w:szCs w:val="22"/>
        </w:rPr>
        <w:tab/>
      </w:r>
      <w:r>
        <w:rPr>
          <w:noProof/>
        </w:rPr>
        <w:t>Population characteristics</w:t>
      </w:r>
      <w:r>
        <w:rPr>
          <w:noProof/>
        </w:rPr>
        <w:tab/>
      </w:r>
      <w:r>
        <w:rPr>
          <w:noProof/>
        </w:rPr>
        <w:fldChar w:fldCharType="begin"/>
      </w:r>
      <w:r>
        <w:rPr>
          <w:noProof/>
        </w:rPr>
        <w:instrText xml:space="preserve"> PAGEREF _Toc403739128 \h </w:instrText>
      </w:r>
      <w:r>
        <w:rPr>
          <w:noProof/>
        </w:rPr>
      </w:r>
      <w:r>
        <w:rPr>
          <w:noProof/>
        </w:rPr>
        <w:fldChar w:fldCharType="separate"/>
      </w:r>
      <w:r w:rsidR="00F612EF">
        <w:rPr>
          <w:noProof/>
        </w:rPr>
        <w:t>256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lastRenderedPageBreak/>
        <w:t>11.1.2</w:t>
      </w:r>
      <w:r>
        <w:rPr>
          <w:rFonts w:asciiTheme="minorHAnsi" w:hAnsiTheme="minorHAnsi"/>
          <w:noProof/>
          <w:sz w:val="22"/>
          <w:szCs w:val="22"/>
        </w:rPr>
        <w:tab/>
      </w:r>
      <w:r>
        <w:rPr>
          <w:noProof/>
        </w:rPr>
        <w:t>Behaviours and outcomes</w:t>
      </w:r>
      <w:r>
        <w:rPr>
          <w:noProof/>
        </w:rPr>
        <w:tab/>
      </w:r>
      <w:r>
        <w:rPr>
          <w:noProof/>
        </w:rPr>
        <w:fldChar w:fldCharType="begin"/>
      </w:r>
      <w:r>
        <w:rPr>
          <w:noProof/>
        </w:rPr>
        <w:instrText xml:space="preserve"> PAGEREF _Toc403739129 \h </w:instrText>
      </w:r>
      <w:r>
        <w:rPr>
          <w:noProof/>
        </w:rPr>
      </w:r>
      <w:r>
        <w:rPr>
          <w:noProof/>
        </w:rPr>
        <w:fldChar w:fldCharType="separate"/>
      </w:r>
      <w:r w:rsidR="00F612EF">
        <w:rPr>
          <w:noProof/>
        </w:rPr>
        <w:t>259</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11.2</w:t>
      </w:r>
      <w:r>
        <w:rPr>
          <w:rFonts w:asciiTheme="minorHAnsi" w:hAnsiTheme="minorHAnsi"/>
          <w:sz w:val="22"/>
          <w:szCs w:val="22"/>
        </w:rPr>
        <w:tab/>
      </w:r>
      <w:r>
        <w:t>Motivation for being on Voluntary Income Management</w:t>
      </w:r>
      <w:r>
        <w:tab/>
      </w:r>
      <w:r>
        <w:fldChar w:fldCharType="begin"/>
      </w:r>
      <w:r>
        <w:instrText xml:space="preserve"> PAGEREF _Toc403739130 \h </w:instrText>
      </w:r>
      <w:r>
        <w:fldChar w:fldCharType="separate"/>
      </w:r>
      <w:r w:rsidR="00F612EF">
        <w:t>261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11.3</w:t>
      </w:r>
      <w:r>
        <w:rPr>
          <w:rFonts w:asciiTheme="minorHAnsi" w:hAnsiTheme="minorHAnsi"/>
          <w:sz w:val="22"/>
          <w:szCs w:val="22"/>
        </w:rPr>
        <w:tab/>
      </w:r>
      <w:r>
        <w:t>Conclusion</w:t>
      </w:r>
      <w:r>
        <w:tab/>
      </w:r>
      <w:r>
        <w:fldChar w:fldCharType="begin"/>
      </w:r>
      <w:r>
        <w:instrText xml:space="preserve"> PAGEREF _Toc403739131 \h </w:instrText>
      </w:r>
      <w:r>
        <w:fldChar w:fldCharType="separate"/>
      </w:r>
      <w:r w:rsidR="00F612EF">
        <w:t>262</w:t>
      </w:r>
      <w:r>
        <w:fldChar w:fldCharType="end"/>
      </w:r>
    </w:p>
    <w:p w:rsidR="00DC1D42" w:rsidRDefault="00DC1D42" w:rsidP="00DC1D42">
      <w:pPr>
        <w:pStyle w:val="TOC1"/>
        <w:rPr>
          <w:rFonts w:asciiTheme="minorHAnsi" w:hAnsiTheme="minorHAnsi"/>
          <w:sz w:val="22"/>
          <w:szCs w:val="22"/>
        </w:rPr>
      </w:pPr>
      <w:r>
        <w:t>12</w:t>
      </w:r>
      <w:r>
        <w:rPr>
          <w:rFonts w:asciiTheme="minorHAnsi" w:hAnsiTheme="minorHAnsi"/>
          <w:sz w:val="22"/>
          <w:szCs w:val="22"/>
        </w:rPr>
        <w:tab/>
      </w:r>
      <w:r>
        <w:t>Vulnerable Income Management</w:t>
      </w:r>
      <w:r>
        <w:tab/>
      </w:r>
      <w:r>
        <w:fldChar w:fldCharType="begin"/>
      </w:r>
      <w:r>
        <w:instrText xml:space="preserve"> PAGEREF _Toc403739132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12.1</w:t>
      </w:r>
      <w:r>
        <w:rPr>
          <w:rFonts w:asciiTheme="minorHAnsi" w:hAnsiTheme="minorHAnsi"/>
          <w:sz w:val="22"/>
          <w:szCs w:val="22"/>
        </w:rPr>
        <w:tab/>
      </w:r>
      <w:r>
        <w:t>Introduction</w:t>
      </w:r>
      <w:r>
        <w:tab/>
      </w:r>
      <w:r>
        <w:fldChar w:fldCharType="begin"/>
      </w:r>
      <w:r>
        <w:instrText xml:space="preserve"> PAGEREF _Toc403739133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12.2</w:t>
      </w:r>
      <w:r>
        <w:rPr>
          <w:rFonts w:asciiTheme="minorHAnsi" w:hAnsiTheme="minorHAnsi"/>
          <w:sz w:val="22"/>
          <w:szCs w:val="22"/>
        </w:rPr>
        <w:tab/>
      </w:r>
      <w:r>
        <w:t>Context</w:t>
      </w:r>
      <w:r>
        <w:tab/>
      </w:r>
      <w:r>
        <w:fldChar w:fldCharType="begin"/>
      </w:r>
      <w:r>
        <w:instrText xml:space="preserve"> PAGEREF _Toc403739134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12.3</w:t>
      </w:r>
      <w:r>
        <w:rPr>
          <w:rFonts w:asciiTheme="minorHAnsi" w:hAnsiTheme="minorHAnsi"/>
          <w:sz w:val="22"/>
          <w:szCs w:val="22"/>
        </w:rPr>
        <w:tab/>
      </w:r>
      <w:r>
        <w:t>Methodology</w:t>
      </w:r>
      <w:r>
        <w:tab/>
      </w:r>
      <w:r>
        <w:fldChar w:fldCharType="begin"/>
      </w:r>
      <w:r>
        <w:instrText xml:space="preserve"> PAGEREF _Toc403739135 \h </w:instrText>
      </w:r>
      <w:r>
        <w:fldChar w:fldCharType="separate"/>
      </w:r>
      <w:r w:rsidR="00F612EF">
        <w:t>266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12.4</w:t>
      </w:r>
      <w:r>
        <w:rPr>
          <w:rFonts w:asciiTheme="minorHAnsi" w:hAnsiTheme="minorHAnsi"/>
          <w:sz w:val="22"/>
          <w:szCs w:val="22"/>
        </w:rPr>
        <w:tab/>
      </w:r>
      <w:r>
        <w:t>Findings</w:t>
      </w:r>
      <w:r>
        <w:tab/>
      </w:r>
      <w:r>
        <w:fldChar w:fldCharType="begin"/>
      </w:r>
      <w:r>
        <w:instrText xml:space="preserve"> PAGEREF _Toc403739136 \h </w:instrText>
      </w:r>
      <w:r>
        <w:fldChar w:fldCharType="separate"/>
      </w:r>
      <w:r w:rsidR="00F612EF">
        <w:t>267</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12.4.1</w:t>
      </w:r>
      <w:r>
        <w:rPr>
          <w:rFonts w:asciiTheme="minorHAnsi" w:hAnsiTheme="minorHAnsi"/>
          <w:noProof/>
          <w:sz w:val="22"/>
          <w:szCs w:val="22"/>
        </w:rPr>
        <w:tab/>
      </w:r>
      <w:r>
        <w:rPr>
          <w:noProof/>
          <w:lang w:eastAsia="en-US"/>
        </w:rPr>
        <w:t>People on the Vulnerable Income Management measure</w:t>
      </w:r>
      <w:r>
        <w:rPr>
          <w:noProof/>
        </w:rPr>
        <w:tab/>
      </w:r>
      <w:r>
        <w:rPr>
          <w:noProof/>
        </w:rPr>
        <w:fldChar w:fldCharType="begin"/>
      </w:r>
      <w:r>
        <w:rPr>
          <w:noProof/>
        </w:rPr>
        <w:instrText xml:space="preserve"> PAGEREF _Toc403739137 \h </w:instrText>
      </w:r>
      <w:r>
        <w:rPr>
          <w:noProof/>
        </w:rPr>
      </w:r>
      <w:r>
        <w:rPr>
          <w:noProof/>
        </w:rPr>
        <w:fldChar w:fldCharType="separate"/>
      </w:r>
      <w:r w:rsidR="00F612EF">
        <w:rPr>
          <w:noProof/>
        </w:rPr>
        <w:t>267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12.4.2</w:t>
      </w:r>
      <w:r>
        <w:rPr>
          <w:rFonts w:asciiTheme="minorHAnsi" w:hAnsiTheme="minorHAnsi"/>
          <w:noProof/>
          <w:sz w:val="22"/>
          <w:szCs w:val="22"/>
        </w:rPr>
        <w:tab/>
      </w:r>
      <w:r>
        <w:rPr>
          <w:noProof/>
        </w:rPr>
        <w:t>Targeting</w:t>
      </w:r>
      <w:r>
        <w:rPr>
          <w:noProof/>
        </w:rPr>
        <w:tab/>
      </w:r>
      <w:r>
        <w:rPr>
          <w:noProof/>
        </w:rPr>
        <w:fldChar w:fldCharType="begin"/>
      </w:r>
      <w:r>
        <w:rPr>
          <w:noProof/>
        </w:rPr>
        <w:instrText xml:space="preserve"> PAGEREF _Toc403739138 \h </w:instrText>
      </w:r>
      <w:r>
        <w:rPr>
          <w:noProof/>
        </w:rPr>
      </w:r>
      <w:r>
        <w:rPr>
          <w:noProof/>
        </w:rPr>
        <w:fldChar w:fldCharType="separate"/>
      </w:r>
      <w:r w:rsidR="00F612EF">
        <w:rPr>
          <w:noProof/>
        </w:rPr>
        <w:t>269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12.4.3</w:t>
      </w:r>
      <w:r>
        <w:rPr>
          <w:rFonts w:asciiTheme="minorHAnsi" w:hAnsiTheme="minorHAnsi"/>
          <w:noProof/>
          <w:sz w:val="22"/>
          <w:szCs w:val="22"/>
        </w:rPr>
        <w:tab/>
      </w:r>
      <w:r>
        <w:rPr>
          <w:noProof/>
        </w:rPr>
        <w:t>Changes in decision-making practice since Stage One of the evaluation</w:t>
      </w:r>
      <w:r>
        <w:rPr>
          <w:noProof/>
        </w:rPr>
        <w:tab/>
      </w:r>
      <w:r>
        <w:rPr>
          <w:noProof/>
        </w:rPr>
        <w:fldChar w:fldCharType="begin"/>
      </w:r>
      <w:r>
        <w:rPr>
          <w:noProof/>
        </w:rPr>
        <w:instrText xml:space="preserve"> PAGEREF _Toc403739139 \h </w:instrText>
      </w:r>
      <w:r>
        <w:rPr>
          <w:noProof/>
        </w:rPr>
      </w:r>
      <w:r>
        <w:rPr>
          <w:noProof/>
        </w:rPr>
        <w:fldChar w:fldCharType="separate"/>
      </w:r>
      <w:r w:rsidR="00F612EF">
        <w:rPr>
          <w:noProof/>
        </w:rPr>
        <w:t>270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12.4.4</w:t>
      </w:r>
      <w:r>
        <w:rPr>
          <w:rFonts w:asciiTheme="minorHAnsi" w:hAnsiTheme="minorHAnsi"/>
          <w:noProof/>
          <w:sz w:val="22"/>
          <w:szCs w:val="22"/>
        </w:rPr>
        <w:tab/>
      </w:r>
      <w:r>
        <w:rPr>
          <w:noProof/>
        </w:rPr>
        <w:t>Sources of referrals for Vulnerable Income Management</w:t>
      </w:r>
      <w:r>
        <w:rPr>
          <w:noProof/>
        </w:rPr>
        <w:tab/>
      </w:r>
      <w:r>
        <w:rPr>
          <w:noProof/>
        </w:rPr>
        <w:fldChar w:fldCharType="begin"/>
      </w:r>
      <w:r>
        <w:rPr>
          <w:noProof/>
        </w:rPr>
        <w:instrText xml:space="preserve"> PAGEREF _Toc403739140 \h </w:instrText>
      </w:r>
      <w:r>
        <w:rPr>
          <w:noProof/>
        </w:rPr>
      </w:r>
      <w:r>
        <w:rPr>
          <w:noProof/>
        </w:rPr>
        <w:fldChar w:fldCharType="separate"/>
      </w:r>
      <w:r w:rsidR="00F612EF">
        <w:rPr>
          <w:noProof/>
        </w:rPr>
        <w:t>270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12.4.5</w:t>
      </w:r>
      <w:r>
        <w:rPr>
          <w:rFonts w:asciiTheme="minorHAnsi" w:hAnsiTheme="minorHAnsi"/>
          <w:noProof/>
          <w:sz w:val="22"/>
          <w:szCs w:val="22"/>
        </w:rPr>
        <w:tab/>
      </w:r>
      <w:r>
        <w:rPr>
          <w:noProof/>
        </w:rPr>
        <w:t>Assessment and review processes</w:t>
      </w:r>
      <w:r>
        <w:rPr>
          <w:noProof/>
        </w:rPr>
        <w:tab/>
      </w:r>
      <w:r>
        <w:rPr>
          <w:noProof/>
        </w:rPr>
        <w:fldChar w:fldCharType="begin"/>
      </w:r>
      <w:r>
        <w:rPr>
          <w:noProof/>
        </w:rPr>
        <w:instrText xml:space="preserve"> PAGEREF _Toc403739141 \h </w:instrText>
      </w:r>
      <w:r>
        <w:rPr>
          <w:noProof/>
        </w:rPr>
      </w:r>
      <w:r>
        <w:rPr>
          <w:noProof/>
        </w:rPr>
        <w:fldChar w:fldCharType="separate"/>
      </w:r>
      <w:r w:rsidR="00F612EF">
        <w:rPr>
          <w:noProof/>
        </w:rPr>
        <w:t>271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12.4.6</w:t>
      </w:r>
      <w:r>
        <w:rPr>
          <w:rFonts w:asciiTheme="minorHAnsi" w:hAnsiTheme="minorHAnsi"/>
          <w:noProof/>
          <w:sz w:val="22"/>
          <w:szCs w:val="22"/>
        </w:rPr>
        <w:tab/>
      </w:r>
      <w:r>
        <w:rPr>
          <w:noProof/>
        </w:rPr>
        <w:t>Outcomes for people on the vulnerable measure</w:t>
      </w:r>
      <w:r>
        <w:rPr>
          <w:noProof/>
        </w:rPr>
        <w:tab/>
      </w:r>
      <w:r>
        <w:rPr>
          <w:noProof/>
        </w:rPr>
        <w:fldChar w:fldCharType="begin"/>
      </w:r>
      <w:r>
        <w:rPr>
          <w:noProof/>
        </w:rPr>
        <w:instrText xml:space="preserve"> PAGEREF _Toc403739142 \h </w:instrText>
      </w:r>
      <w:r>
        <w:rPr>
          <w:noProof/>
        </w:rPr>
      </w:r>
      <w:r>
        <w:rPr>
          <w:noProof/>
        </w:rPr>
        <w:fldChar w:fldCharType="separate"/>
      </w:r>
      <w:r w:rsidR="00F612EF">
        <w:rPr>
          <w:noProof/>
        </w:rPr>
        <w:t>272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12.4.7</w:t>
      </w:r>
      <w:r>
        <w:rPr>
          <w:rFonts w:asciiTheme="minorHAnsi" w:hAnsiTheme="minorHAnsi"/>
          <w:noProof/>
          <w:sz w:val="22"/>
          <w:szCs w:val="22"/>
        </w:rPr>
        <w:tab/>
      </w:r>
      <w:r>
        <w:rPr>
          <w:noProof/>
        </w:rPr>
        <w:t>Services to support people on Vulnerable Income Management</w:t>
      </w:r>
      <w:r>
        <w:rPr>
          <w:noProof/>
        </w:rPr>
        <w:tab/>
      </w:r>
      <w:r>
        <w:rPr>
          <w:noProof/>
        </w:rPr>
        <w:fldChar w:fldCharType="begin"/>
      </w:r>
      <w:r>
        <w:rPr>
          <w:noProof/>
        </w:rPr>
        <w:instrText xml:space="preserve"> PAGEREF _Toc403739143 \h </w:instrText>
      </w:r>
      <w:r>
        <w:rPr>
          <w:noProof/>
        </w:rPr>
      </w:r>
      <w:r>
        <w:rPr>
          <w:noProof/>
        </w:rPr>
        <w:fldChar w:fldCharType="separate"/>
      </w:r>
      <w:r w:rsidR="00F612EF">
        <w:rPr>
          <w:noProof/>
        </w:rPr>
        <w:t>275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12.4.8</w:t>
      </w:r>
      <w:r>
        <w:rPr>
          <w:rFonts w:asciiTheme="minorHAnsi" w:hAnsiTheme="minorHAnsi"/>
          <w:noProof/>
          <w:sz w:val="22"/>
          <w:szCs w:val="22"/>
        </w:rPr>
        <w:tab/>
      </w:r>
      <w:r>
        <w:rPr>
          <w:noProof/>
        </w:rPr>
        <w:t>Informal support and family relationships</w:t>
      </w:r>
      <w:r>
        <w:rPr>
          <w:noProof/>
        </w:rPr>
        <w:tab/>
      </w:r>
      <w:r>
        <w:rPr>
          <w:noProof/>
        </w:rPr>
        <w:fldChar w:fldCharType="begin"/>
      </w:r>
      <w:r>
        <w:rPr>
          <w:noProof/>
        </w:rPr>
        <w:instrText xml:space="preserve"> PAGEREF _Toc403739144 \h </w:instrText>
      </w:r>
      <w:r>
        <w:rPr>
          <w:noProof/>
        </w:rPr>
      </w:r>
      <w:r>
        <w:rPr>
          <w:noProof/>
        </w:rPr>
        <w:fldChar w:fldCharType="separate"/>
      </w:r>
      <w:r w:rsidR="00F612EF">
        <w:rPr>
          <w:noProof/>
        </w:rPr>
        <w:t>276</w:t>
      </w:r>
      <w:r>
        <w:rPr>
          <w:noProof/>
        </w:rPr>
        <w:fldChar w:fldCharType="end"/>
      </w:r>
    </w:p>
    <w:p w:rsidR="00DC1D42" w:rsidRDefault="00DC1D42">
      <w:pPr>
        <w:pStyle w:val="TOC3"/>
        <w:rPr>
          <w:rFonts w:asciiTheme="minorHAnsi" w:hAnsiTheme="minorHAnsi"/>
          <w:noProof/>
          <w:sz w:val="22"/>
          <w:szCs w:val="22"/>
        </w:rPr>
      </w:pPr>
      <w:r w:rsidRPr="00CA3E10">
        <w:rPr>
          <w:noProof/>
          <w:lang w:eastAsia="en-US"/>
          <w14:scene3d>
            <w14:camera w14:prst="orthographicFront"/>
            <w14:lightRig w14:rig="threePt" w14:dir="t">
              <w14:rot w14:lat="0" w14:lon="0" w14:rev="0"/>
            </w14:lightRig>
          </w14:scene3d>
        </w:rPr>
        <w:t>12.4.9</w:t>
      </w:r>
      <w:r>
        <w:rPr>
          <w:rFonts w:asciiTheme="minorHAnsi" w:hAnsiTheme="minorHAnsi"/>
          <w:noProof/>
          <w:sz w:val="22"/>
          <w:szCs w:val="22"/>
        </w:rPr>
        <w:tab/>
      </w:r>
      <w:r>
        <w:rPr>
          <w:noProof/>
        </w:rPr>
        <w:t>Pathways</w:t>
      </w:r>
      <w:r>
        <w:rPr>
          <w:noProof/>
          <w:lang w:eastAsia="en-US"/>
        </w:rPr>
        <w:t xml:space="preserve"> off Vulnerable Income Management</w:t>
      </w:r>
      <w:r>
        <w:rPr>
          <w:noProof/>
        </w:rPr>
        <w:tab/>
      </w:r>
      <w:r>
        <w:rPr>
          <w:noProof/>
        </w:rPr>
        <w:fldChar w:fldCharType="begin"/>
      </w:r>
      <w:r>
        <w:rPr>
          <w:noProof/>
        </w:rPr>
        <w:instrText xml:space="preserve"> PAGEREF _Toc403739145 \h </w:instrText>
      </w:r>
      <w:r>
        <w:rPr>
          <w:noProof/>
        </w:rPr>
      </w:r>
      <w:r>
        <w:rPr>
          <w:noProof/>
        </w:rPr>
        <w:fldChar w:fldCharType="separate"/>
      </w:r>
      <w:r w:rsidR="00F612EF">
        <w:rPr>
          <w:noProof/>
        </w:rPr>
        <w:t>277</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12.5</w:t>
      </w:r>
      <w:r>
        <w:rPr>
          <w:rFonts w:asciiTheme="minorHAnsi" w:hAnsiTheme="minorHAnsi"/>
          <w:sz w:val="22"/>
          <w:szCs w:val="22"/>
        </w:rPr>
        <w:tab/>
      </w:r>
      <w:r>
        <w:t>Summary</w:t>
      </w:r>
      <w:r>
        <w:tab/>
      </w:r>
      <w:r>
        <w:fldChar w:fldCharType="begin"/>
      </w:r>
      <w:r>
        <w:instrText xml:space="preserve"> PAGEREF _Toc403739146 \h </w:instrText>
      </w:r>
      <w:r>
        <w:fldChar w:fldCharType="separate"/>
      </w:r>
      <w:r w:rsidR="00F612EF">
        <w:t>277</w:t>
      </w:r>
      <w:r>
        <w:fldChar w:fldCharType="end"/>
      </w:r>
    </w:p>
    <w:p w:rsidR="00DC1D42" w:rsidRDefault="00DC1D42" w:rsidP="00DC1D42">
      <w:pPr>
        <w:pStyle w:val="TOC1"/>
        <w:rPr>
          <w:rFonts w:asciiTheme="minorHAnsi" w:hAnsiTheme="minorHAnsi"/>
          <w:sz w:val="22"/>
          <w:szCs w:val="22"/>
        </w:rPr>
      </w:pPr>
      <w:r>
        <w:t>13</w:t>
      </w:r>
      <w:r>
        <w:rPr>
          <w:rFonts w:asciiTheme="minorHAnsi" w:hAnsiTheme="minorHAnsi"/>
          <w:sz w:val="22"/>
          <w:szCs w:val="22"/>
        </w:rPr>
        <w:tab/>
      </w:r>
      <w:r>
        <w:t>Child Protection Income Management</w:t>
      </w:r>
      <w:r>
        <w:tab/>
      </w:r>
      <w:r>
        <w:fldChar w:fldCharType="begin"/>
      </w:r>
      <w:r>
        <w:instrText xml:space="preserve"> PAGEREF _Toc403739147 \h </w:instrText>
      </w:r>
      <w:r>
        <w:fldChar w:fldCharType="separate"/>
      </w:r>
      <w:r w:rsidR="00F612EF">
        <w:t>280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13.1</w:t>
      </w:r>
      <w:r>
        <w:rPr>
          <w:rFonts w:asciiTheme="minorHAnsi" w:hAnsiTheme="minorHAnsi"/>
          <w:sz w:val="22"/>
          <w:szCs w:val="22"/>
        </w:rPr>
        <w:tab/>
      </w:r>
      <w:r>
        <w:t>Methodology and data sources</w:t>
      </w:r>
      <w:r>
        <w:tab/>
      </w:r>
      <w:r>
        <w:fldChar w:fldCharType="begin"/>
      </w:r>
      <w:r>
        <w:instrText xml:space="preserve"> PAGEREF _Toc403739148 \h </w:instrText>
      </w:r>
      <w:r>
        <w:fldChar w:fldCharType="separate"/>
      </w:r>
      <w:r w:rsidR="00F612EF">
        <w:t>281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13.2</w:t>
      </w:r>
      <w:r>
        <w:rPr>
          <w:rFonts w:asciiTheme="minorHAnsi" w:hAnsiTheme="minorHAnsi"/>
          <w:sz w:val="22"/>
          <w:szCs w:val="22"/>
        </w:rPr>
        <w:tab/>
      </w:r>
      <w:r>
        <w:t>Operation of Child Protection Income Management</w:t>
      </w:r>
      <w:r>
        <w:tab/>
      </w:r>
      <w:r>
        <w:fldChar w:fldCharType="begin"/>
      </w:r>
      <w:r>
        <w:instrText xml:space="preserve"> PAGEREF _Toc403739149 \h </w:instrText>
      </w:r>
      <w:r>
        <w:fldChar w:fldCharType="separate"/>
      </w:r>
      <w:r w:rsidR="00F612EF">
        <w:t>282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13.2.1</w:t>
      </w:r>
      <w:r>
        <w:rPr>
          <w:rFonts w:asciiTheme="minorHAnsi" w:hAnsiTheme="minorHAnsi"/>
          <w:noProof/>
          <w:sz w:val="22"/>
          <w:szCs w:val="22"/>
        </w:rPr>
        <w:tab/>
      </w:r>
      <w:r>
        <w:rPr>
          <w:noProof/>
        </w:rPr>
        <w:t>People on the Child Protection Income Management measure</w:t>
      </w:r>
      <w:r>
        <w:rPr>
          <w:noProof/>
        </w:rPr>
        <w:tab/>
      </w:r>
      <w:r>
        <w:rPr>
          <w:noProof/>
        </w:rPr>
        <w:fldChar w:fldCharType="begin"/>
      </w:r>
      <w:r>
        <w:rPr>
          <w:noProof/>
        </w:rPr>
        <w:instrText xml:space="preserve"> PAGEREF _Toc403739150 \h </w:instrText>
      </w:r>
      <w:r>
        <w:rPr>
          <w:noProof/>
        </w:rPr>
      </w:r>
      <w:r>
        <w:rPr>
          <w:noProof/>
        </w:rPr>
        <w:fldChar w:fldCharType="separate"/>
      </w:r>
      <w:r w:rsidR="00F612EF">
        <w:rPr>
          <w:noProof/>
        </w:rPr>
        <w:t>283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13.2.2</w:t>
      </w:r>
      <w:r>
        <w:rPr>
          <w:rFonts w:asciiTheme="minorHAnsi" w:hAnsiTheme="minorHAnsi"/>
          <w:noProof/>
          <w:sz w:val="22"/>
          <w:szCs w:val="22"/>
        </w:rPr>
        <w:tab/>
      </w:r>
      <w:r>
        <w:rPr>
          <w:noProof/>
        </w:rPr>
        <w:t>Understanding and implementation of Child Protection Income Management in the Northern Territory</w:t>
      </w:r>
      <w:r>
        <w:rPr>
          <w:noProof/>
        </w:rPr>
        <w:tab/>
      </w:r>
      <w:r>
        <w:rPr>
          <w:noProof/>
        </w:rPr>
        <w:fldChar w:fldCharType="begin"/>
      </w:r>
      <w:r>
        <w:rPr>
          <w:noProof/>
        </w:rPr>
        <w:instrText xml:space="preserve"> PAGEREF _Toc403739151 \h </w:instrText>
      </w:r>
      <w:r>
        <w:rPr>
          <w:noProof/>
        </w:rPr>
      </w:r>
      <w:r>
        <w:rPr>
          <w:noProof/>
        </w:rPr>
        <w:fldChar w:fldCharType="separate"/>
      </w:r>
      <w:r w:rsidR="00F612EF">
        <w:rPr>
          <w:noProof/>
        </w:rPr>
        <w:t>283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13.2.3</w:t>
      </w:r>
      <w:r>
        <w:rPr>
          <w:rFonts w:asciiTheme="minorHAnsi" w:hAnsiTheme="minorHAnsi"/>
          <w:noProof/>
          <w:sz w:val="22"/>
          <w:szCs w:val="22"/>
        </w:rPr>
        <w:tab/>
      </w:r>
      <w:r>
        <w:rPr>
          <w:noProof/>
        </w:rPr>
        <w:t>Characteristics of referrals to Child Protection Income Management</w:t>
      </w:r>
      <w:r>
        <w:rPr>
          <w:noProof/>
        </w:rPr>
        <w:tab/>
      </w:r>
      <w:r>
        <w:rPr>
          <w:noProof/>
        </w:rPr>
        <w:fldChar w:fldCharType="begin"/>
      </w:r>
      <w:r>
        <w:rPr>
          <w:noProof/>
        </w:rPr>
        <w:instrText xml:space="preserve"> PAGEREF _Toc403739152 \h </w:instrText>
      </w:r>
      <w:r>
        <w:rPr>
          <w:noProof/>
        </w:rPr>
      </w:r>
      <w:r>
        <w:rPr>
          <w:noProof/>
        </w:rPr>
        <w:fldChar w:fldCharType="separate"/>
      </w:r>
      <w:r w:rsidR="00F612EF">
        <w:rPr>
          <w:noProof/>
        </w:rPr>
        <w:t>286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13.2.4</w:t>
      </w:r>
      <w:r>
        <w:rPr>
          <w:rFonts w:asciiTheme="minorHAnsi" w:hAnsiTheme="minorHAnsi"/>
          <w:noProof/>
          <w:sz w:val="22"/>
          <w:szCs w:val="22"/>
        </w:rPr>
        <w:tab/>
      </w:r>
      <w:r>
        <w:rPr>
          <w:noProof/>
        </w:rPr>
        <w:t>Other supports and interventions for families referred to Child Protection Income Management</w:t>
      </w:r>
      <w:r>
        <w:rPr>
          <w:noProof/>
        </w:rPr>
        <w:tab/>
      </w:r>
      <w:r>
        <w:rPr>
          <w:noProof/>
        </w:rPr>
        <w:fldChar w:fldCharType="begin"/>
      </w:r>
      <w:r>
        <w:rPr>
          <w:noProof/>
        </w:rPr>
        <w:instrText xml:space="preserve"> PAGEREF _Toc403739153 \h </w:instrText>
      </w:r>
      <w:r>
        <w:rPr>
          <w:noProof/>
        </w:rPr>
      </w:r>
      <w:r>
        <w:rPr>
          <w:noProof/>
        </w:rPr>
        <w:fldChar w:fldCharType="separate"/>
      </w:r>
      <w:r w:rsidR="00F612EF">
        <w:rPr>
          <w:noProof/>
        </w:rPr>
        <w:t>287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13.2.5</w:t>
      </w:r>
      <w:r>
        <w:rPr>
          <w:rFonts w:asciiTheme="minorHAnsi" w:hAnsiTheme="minorHAnsi"/>
          <w:noProof/>
          <w:sz w:val="22"/>
          <w:szCs w:val="22"/>
        </w:rPr>
        <w:tab/>
      </w:r>
      <w:r>
        <w:rPr>
          <w:noProof/>
        </w:rPr>
        <w:t>Operational issues</w:t>
      </w:r>
      <w:r>
        <w:rPr>
          <w:noProof/>
        </w:rPr>
        <w:tab/>
      </w:r>
      <w:r>
        <w:rPr>
          <w:noProof/>
        </w:rPr>
        <w:fldChar w:fldCharType="begin"/>
      </w:r>
      <w:r>
        <w:rPr>
          <w:noProof/>
        </w:rPr>
        <w:instrText xml:space="preserve"> PAGEREF _Toc403739154 \h </w:instrText>
      </w:r>
      <w:r>
        <w:rPr>
          <w:noProof/>
        </w:rPr>
      </w:r>
      <w:r>
        <w:rPr>
          <w:noProof/>
        </w:rPr>
        <w:fldChar w:fldCharType="separate"/>
      </w:r>
      <w:r w:rsidR="00F612EF">
        <w:rPr>
          <w:noProof/>
        </w:rPr>
        <w:t>288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13.3</w:t>
      </w:r>
      <w:r>
        <w:rPr>
          <w:rFonts w:asciiTheme="minorHAnsi" w:hAnsiTheme="minorHAnsi"/>
          <w:sz w:val="22"/>
          <w:szCs w:val="22"/>
        </w:rPr>
        <w:tab/>
      </w:r>
      <w:r>
        <w:t>Impacts and outcomes associated with Child Protection Income Management</w:t>
      </w:r>
      <w:r>
        <w:tab/>
      </w:r>
      <w:r>
        <w:fldChar w:fldCharType="begin"/>
      </w:r>
      <w:r>
        <w:instrText xml:space="preserve"> PAGEREF _Toc403739155 \h </w:instrText>
      </w:r>
      <w:r>
        <w:fldChar w:fldCharType="separate"/>
      </w:r>
      <w:r w:rsidR="00F612EF">
        <w:t>289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13.4</w:t>
      </w:r>
      <w:r>
        <w:rPr>
          <w:rFonts w:asciiTheme="minorHAnsi" w:hAnsiTheme="minorHAnsi"/>
          <w:sz w:val="22"/>
          <w:szCs w:val="22"/>
        </w:rPr>
        <w:tab/>
      </w:r>
      <w:r>
        <w:t>Conclusion</w:t>
      </w:r>
      <w:r>
        <w:tab/>
      </w:r>
      <w:r>
        <w:fldChar w:fldCharType="begin"/>
      </w:r>
      <w:r>
        <w:instrText xml:space="preserve"> PAGEREF _Toc403739156 \h </w:instrText>
      </w:r>
      <w:r>
        <w:fldChar w:fldCharType="separate"/>
      </w:r>
      <w:r w:rsidR="00F612EF">
        <w:t>291</w:t>
      </w:r>
      <w:r>
        <w:fldChar w:fldCharType="end"/>
      </w:r>
    </w:p>
    <w:p w:rsidR="00DC1D42" w:rsidRDefault="00DC1D42" w:rsidP="00DC1D42">
      <w:pPr>
        <w:pStyle w:val="TOC1"/>
        <w:rPr>
          <w:rFonts w:asciiTheme="minorHAnsi" w:hAnsiTheme="minorHAnsi"/>
          <w:sz w:val="22"/>
          <w:szCs w:val="22"/>
        </w:rPr>
      </w:pPr>
      <w:r>
        <w:t>14</w:t>
      </w:r>
      <w:r>
        <w:rPr>
          <w:rFonts w:asciiTheme="minorHAnsi" w:hAnsiTheme="minorHAnsi"/>
          <w:sz w:val="22"/>
          <w:szCs w:val="22"/>
        </w:rPr>
        <w:tab/>
      </w:r>
      <w:r>
        <w:t>Findings against the evaluation framework</w:t>
      </w:r>
      <w:r>
        <w:tab/>
      </w:r>
      <w:r>
        <w:fldChar w:fldCharType="begin"/>
      </w:r>
      <w:r>
        <w:instrText xml:space="preserve"> PAGEREF _Toc403739157 \h </w:instrText>
      </w:r>
      <w:r>
        <w:fldChar w:fldCharType="separate"/>
      </w:r>
      <w:r w:rsidR="00F612EF">
        <w:t>294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14.1</w:t>
      </w:r>
      <w:r>
        <w:rPr>
          <w:rFonts w:asciiTheme="minorHAnsi" w:hAnsiTheme="minorHAnsi"/>
          <w:sz w:val="22"/>
          <w:szCs w:val="22"/>
        </w:rPr>
        <w:tab/>
      </w:r>
      <w:r>
        <w:t>Introduction</w:t>
      </w:r>
      <w:r>
        <w:tab/>
      </w:r>
      <w:r>
        <w:fldChar w:fldCharType="begin"/>
      </w:r>
      <w:r>
        <w:instrText xml:space="preserve"> PAGEREF _Toc403739158 \h </w:instrText>
      </w:r>
      <w:r>
        <w:fldChar w:fldCharType="separate"/>
      </w:r>
      <w:r w:rsidR="00F612EF">
        <w:t>294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14.1.1</w:t>
      </w:r>
      <w:r>
        <w:rPr>
          <w:rFonts w:asciiTheme="minorHAnsi" w:hAnsiTheme="minorHAnsi"/>
          <w:noProof/>
          <w:sz w:val="22"/>
          <w:szCs w:val="22"/>
        </w:rPr>
        <w:tab/>
      </w:r>
      <w:r>
        <w:rPr>
          <w:noProof/>
        </w:rPr>
        <w:t>The evaluation framework</w:t>
      </w:r>
      <w:r>
        <w:rPr>
          <w:noProof/>
        </w:rPr>
        <w:tab/>
      </w:r>
      <w:r>
        <w:rPr>
          <w:noProof/>
        </w:rPr>
        <w:fldChar w:fldCharType="begin"/>
      </w:r>
      <w:r>
        <w:rPr>
          <w:noProof/>
        </w:rPr>
        <w:instrText xml:space="preserve"> PAGEREF _Toc403739159 \h </w:instrText>
      </w:r>
      <w:r>
        <w:rPr>
          <w:noProof/>
        </w:rPr>
      </w:r>
      <w:r>
        <w:rPr>
          <w:noProof/>
        </w:rPr>
        <w:fldChar w:fldCharType="separate"/>
      </w:r>
      <w:r w:rsidR="00F612EF">
        <w:rPr>
          <w:noProof/>
        </w:rPr>
        <w:t>294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14.2</w:t>
      </w:r>
      <w:r>
        <w:rPr>
          <w:rFonts w:asciiTheme="minorHAnsi" w:hAnsiTheme="minorHAnsi"/>
          <w:sz w:val="22"/>
          <w:szCs w:val="22"/>
        </w:rPr>
        <w:tab/>
      </w:r>
      <w:r>
        <w:t>Overarching questions – Process evaluation</w:t>
      </w:r>
      <w:r>
        <w:tab/>
      </w:r>
      <w:r>
        <w:fldChar w:fldCharType="begin"/>
      </w:r>
      <w:r>
        <w:instrText xml:space="preserve"> PAGEREF _Toc403739160 \h </w:instrText>
      </w:r>
      <w:r>
        <w:fldChar w:fldCharType="separate"/>
      </w:r>
      <w:r w:rsidR="00F612EF">
        <w:t>295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14.3</w:t>
      </w:r>
      <w:r>
        <w:rPr>
          <w:rFonts w:asciiTheme="minorHAnsi" w:hAnsiTheme="minorHAnsi"/>
          <w:sz w:val="22"/>
          <w:szCs w:val="22"/>
        </w:rPr>
        <w:tab/>
      </w:r>
      <w:r>
        <w:t>Outcome evaluation</w:t>
      </w:r>
      <w:r>
        <w:tab/>
      </w:r>
      <w:r>
        <w:fldChar w:fldCharType="begin"/>
      </w:r>
      <w:r>
        <w:instrText xml:space="preserve"> PAGEREF _Toc403739161 \h </w:instrText>
      </w:r>
      <w:r>
        <w:fldChar w:fldCharType="separate"/>
      </w:r>
      <w:r w:rsidR="00F612EF">
        <w:t>302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14.3.1</w:t>
      </w:r>
      <w:r>
        <w:rPr>
          <w:rFonts w:asciiTheme="minorHAnsi" w:hAnsiTheme="minorHAnsi"/>
          <w:noProof/>
          <w:sz w:val="22"/>
          <w:szCs w:val="22"/>
        </w:rPr>
        <w:tab/>
      </w:r>
      <w:r>
        <w:rPr>
          <w:noProof/>
        </w:rPr>
        <w:t>The overall impact of income management</w:t>
      </w:r>
      <w:r>
        <w:rPr>
          <w:noProof/>
        </w:rPr>
        <w:tab/>
      </w:r>
      <w:r>
        <w:rPr>
          <w:noProof/>
        </w:rPr>
        <w:fldChar w:fldCharType="begin"/>
      </w:r>
      <w:r>
        <w:rPr>
          <w:noProof/>
        </w:rPr>
        <w:instrText xml:space="preserve"> PAGEREF _Toc403739162 \h </w:instrText>
      </w:r>
      <w:r>
        <w:rPr>
          <w:noProof/>
        </w:rPr>
      </w:r>
      <w:r>
        <w:rPr>
          <w:noProof/>
        </w:rPr>
        <w:fldChar w:fldCharType="separate"/>
      </w:r>
      <w:r w:rsidR="00F612EF">
        <w:rPr>
          <w:noProof/>
        </w:rPr>
        <w:t>302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14.3.2</w:t>
      </w:r>
      <w:r>
        <w:rPr>
          <w:rFonts w:asciiTheme="minorHAnsi" w:hAnsiTheme="minorHAnsi"/>
          <w:noProof/>
          <w:sz w:val="22"/>
          <w:szCs w:val="22"/>
        </w:rPr>
        <w:tab/>
      </w:r>
      <w:r>
        <w:rPr>
          <w:noProof/>
        </w:rPr>
        <w:t>How has income management impacted on subgroups?</w:t>
      </w:r>
      <w:r>
        <w:rPr>
          <w:noProof/>
        </w:rPr>
        <w:tab/>
      </w:r>
      <w:r>
        <w:rPr>
          <w:noProof/>
        </w:rPr>
        <w:fldChar w:fldCharType="begin"/>
      </w:r>
      <w:r>
        <w:rPr>
          <w:noProof/>
        </w:rPr>
        <w:instrText xml:space="preserve"> PAGEREF _Toc403739163 \h </w:instrText>
      </w:r>
      <w:r>
        <w:rPr>
          <w:noProof/>
        </w:rPr>
      </w:r>
      <w:r>
        <w:rPr>
          <w:noProof/>
        </w:rPr>
        <w:fldChar w:fldCharType="separate"/>
      </w:r>
      <w:r w:rsidR="00F612EF">
        <w:rPr>
          <w:noProof/>
        </w:rPr>
        <w:t>308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14.3.3</w:t>
      </w:r>
      <w:r>
        <w:rPr>
          <w:rFonts w:asciiTheme="minorHAnsi" w:hAnsiTheme="minorHAnsi"/>
          <w:noProof/>
          <w:sz w:val="22"/>
          <w:szCs w:val="22"/>
        </w:rPr>
        <w:tab/>
      </w:r>
      <w:r>
        <w:rPr>
          <w:noProof/>
        </w:rPr>
        <w:t>Broader questions</w:t>
      </w:r>
      <w:r>
        <w:rPr>
          <w:noProof/>
        </w:rPr>
        <w:tab/>
      </w:r>
      <w:r>
        <w:rPr>
          <w:noProof/>
        </w:rPr>
        <w:fldChar w:fldCharType="begin"/>
      </w:r>
      <w:r>
        <w:rPr>
          <w:noProof/>
        </w:rPr>
        <w:instrText xml:space="preserve"> PAGEREF _Toc403739164 \h </w:instrText>
      </w:r>
      <w:r>
        <w:rPr>
          <w:noProof/>
        </w:rPr>
      </w:r>
      <w:r>
        <w:rPr>
          <w:noProof/>
        </w:rPr>
        <w:fldChar w:fldCharType="separate"/>
      </w:r>
      <w:r w:rsidR="00F612EF">
        <w:rPr>
          <w:noProof/>
        </w:rPr>
        <w:t>310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14.4</w:t>
      </w:r>
      <w:r>
        <w:rPr>
          <w:rFonts w:asciiTheme="minorHAnsi" w:hAnsiTheme="minorHAnsi"/>
          <w:sz w:val="22"/>
          <w:szCs w:val="22"/>
        </w:rPr>
        <w:tab/>
      </w:r>
      <w:r>
        <w:t>Research questions for specific streams of the New Income Management model</w:t>
      </w:r>
      <w:r>
        <w:tab/>
      </w:r>
      <w:r>
        <w:fldChar w:fldCharType="begin"/>
      </w:r>
      <w:r>
        <w:instrText xml:space="preserve"> PAGEREF _Toc403739165 \h </w:instrText>
      </w:r>
      <w:r>
        <w:fldChar w:fldCharType="separate"/>
      </w:r>
      <w:r w:rsidR="00F612EF">
        <w:t>310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14.4.1</w:t>
      </w:r>
      <w:r>
        <w:rPr>
          <w:rFonts w:asciiTheme="minorHAnsi" w:hAnsiTheme="minorHAnsi"/>
          <w:noProof/>
          <w:sz w:val="22"/>
          <w:szCs w:val="22"/>
        </w:rPr>
        <w:tab/>
      </w:r>
      <w:r>
        <w:rPr>
          <w:noProof/>
        </w:rPr>
        <w:t>Questions specific to the Compulsory Income Management stream</w:t>
      </w:r>
      <w:r>
        <w:rPr>
          <w:noProof/>
        </w:rPr>
        <w:tab/>
      </w:r>
      <w:r>
        <w:rPr>
          <w:noProof/>
        </w:rPr>
        <w:fldChar w:fldCharType="begin"/>
      </w:r>
      <w:r>
        <w:rPr>
          <w:noProof/>
        </w:rPr>
        <w:instrText xml:space="preserve"> PAGEREF _Toc403739166 \h </w:instrText>
      </w:r>
      <w:r>
        <w:rPr>
          <w:noProof/>
        </w:rPr>
      </w:r>
      <w:r>
        <w:rPr>
          <w:noProof/>
        </w:rPr>
        <w:fldChar w:fldCharType="separate"/>
      </w:r>
      <w:r w:rsidR="00F612EF">
        <w:rPr>
          <w:noProof/>
        </w:rPr>
        <w:t>310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14.4.2</w:t>
      </w:r>
      <w:r>
        <w:rPr>
          <w:rFonts w:asciiTheme="minorHAnsi" w:hAnsiTheme="minorHAnsi"/>
          <w:noProof/>
          <w:sz w:val="22"/>
          <w:szCs w:val="22"/>
        </w:rPr>
        <w:tab/>
      </w:r>
      <w:r>
        <w:rPr>
          <w:noProof/>
        </w:rPr>
        <w:t>Questions specific to the vulnerable stream</w:t>
      </w:r>
      <w:r>
        <w:rPr>
          <w:noProof/>
        </w:rPr>
        <w:tab/>
      </w:r>
      <w:r>
        <w:rPr>
          <w:noProof/>
        </w:rPr>
        <w:fldChar w:fldCharType="begin"/>
      </w:r>
      <w:r>
        <w:rPr>
          <w:noProof/>
        </w:rPr>
        <w:instrText xml:space="preserve"> PAGEREF _Toc403739167 \h </w:instrText>
      </w:r>
      <w:r>
        <w:rPr>
          <w:noProof/>
        </w:rPr>
      </w:r>
      <w:r>
        <w:rPr>
          <w:noProof/>
        </w:rPr>
        <w:fldChar w:fldCharType="separate"/>
      </w:r>
      <w:r w:rsidR="00F612EF">
        <w:rPr>
          <w:noProof/>
        </w:rPr>
        <w:t>311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14.4.3</w:t>
      </w:r>
      <w:r>
        <w:rPr>
          <w:rFonts w:asciiTheme="minorHAnsi" w:hAnsiTheme="minorHAnsi"/>
          <w:noProof/>
          <w:sz w:val="22"/>
          <w:szCs w:val="22"/>
        </w:rPr>
        <w:tab/>
      </w:r>
      <w:r>
        <w:rPr>
          <w:noProof/>
        </w:rPr>
        <w:t>Questions specific to the voluntary stream</w:t>
      </w:r>
      <w:r>
        <w:rPr>
          <w:noProof/>
        </w:rPr>
        <w:tab/>
      </w:r>
      <w:r>
        <w:rPr>
          <w:noProof/>
        </w:rPr>
        <w:fldChar w:fldCharType="begin"/>
      </w:r>
      <w:r>
        <w:rPr>
          <w:noProof/>
        </w:rPr>
        <w:instrText xml:space="preserve"> PAGEREF _Toc403739168 \h </w:instrText>
      </w:r>
      <w:r>
        <w:rPr>
          <w:noProof/>
        </w:rPr>
      </w:r>
      <w:r>
        <w:rPr>
          <w:noProof/>
        </w:rPr>
        <w:fldChar w:fldCharType="separate"/>
      </w:r>
      <w:r w:rsidR="00F612EF">
        <w:rPr>
          <w:noProof/>
        </w:rPr>
        <w:t>312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14.4.4</w:t>
      </w:r>
      <w:r>
        <w:rPr>
          <w:rFonts w:asciiTheme="minorHAnsi" w:hAnsiTheme="minorHAnsi"/>
          <w:noProof/>
          <w:sz w:val="22"/>
          <w:szCs w:val="22"/>
        </w:rPr>
        <w:tab/>
      </w:r>
      <w:r>
        <w:rPr>
          <w:noProof/>
        </w:rPr>
        <w:t>Questions specific to the child protection stream</w:t>
      </w:r>
      <w:r>
        <w:rPr>
          <w:noProof/>
        </w:rPr>
        <w:tab/>
      </w:r>
      <w:r>
        <w:rPr>
          <w:noProof/>
        </w:rPr>
        <w:fldChar w:fldCharType="begin"/>
      </w:r>
      <w:r>
        <w:rPr>
          <w:noProof/>
        </w:rPr>
        <w:instrText xml:space="preserve"> PAGEREF _Toc403739169 \h </w:instrText>
      </w:r>
      <w:r>
        <w:rPr>
          <w:noProof/>
        </w:rPr>
      </w:r>
      <w:r>
        <w:rPr>
          <w:noProof/>
        </w:rPr>
        <w:fldChar w:fldCharType="separate"/>
      </w:r>
      <w:r w:rsidR="00F612EF">
        <w:rPr>
          <w:noProof/>
        </w:rPr>
        <w:t>313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14.5</w:t>
      </w:r>
      <w:r>
        <w:rPr>
          <w:rFonts w:asciiTheme="minorHAnsi" w:hAnsiTheme="minorHAnsi"/>
          <w:sz w:val="22"/>
          <w:szCs w:val="22"/>
        </w:rPr>
        <w:tab/>
      </w:r>
      <w:r>
        <w:t>Summary</w:t>
      </w:r>
      <w:r>
        <w:tab/>
      </w:r>
      <w:r>
        <w:fldChar w:fldCharType="begin"/>
      </w:r>
      <w:r>
        <w:instrText xml:space="preserve"> PAGEREF _Toc403739170 \h </w:instrText>
      </w:r>
      <w:r>
        <w:fldChar w:fldCharType="separate"/>
      </w:r>
      <w:r w:rsidR="00F612EF">
        <w:t>315</w:t>
      </w:r>
      <w:r>
        <w:fldChar w:fldCharType="end"/>
      </w:r>
    </w:p>
    <w:p w:rsidR="00DC1D42" w:rsidRDefault="00DC1D42" w:rsidP="00DC1D42">
      <w:pPr>
        <w:pStyle w:val="TOC1"/>
        <w:rPr>
          <w:rFonts w:asciiTheme="minorHAnsi" w:hAnsiTheme="minorHAnsi"/>
          <w:sz w:val="22"/>
          <w:szCs w:val="22"/>
        </w:rPr>
      </w:pPr>
      <w:r>
        <w:t>15</w:t>
      </w:r>
      <w:r>
        <w:rPr>
          <w:rFonts w:asciiTheme="minorHAnsi" w:hAnsiTheme="minorHAnsi"/>
          <w:sz w:val="22"/>
          <w:szCs w:val="22"/>
        </w:rPr>
        <w:tab/>
      </w:r>
      <w:r>
        <w:t>Conclusion</w:t>
      </w:r>
      <w:r>
        <w:tab/>
      </w:r>
      <w:r>
        <w:fldChar w:fldCharType="begin"/>
      </w:r>
      <w:r>
        <w:instrText xml:space="preserve"> PAGEREF _Toc403739171 \h </w:instrText>
      </w:r>
      <w:r>
        <w:fldChar w:fldCharType="separate"/>
      </w:r>
      <w:r w:rsidR="00F612EF">
        <w:t>316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15.1</w:t>
      </w:r>
      <w:r>
        <w:rPr>
          <w:rFonts w:asciiTheme="minorHAnsi" w:hAnsiTheme="minorHAnsi"/>
          <w:sz w:val="22"/>
          <w:szCs w:val="22"/>
        </w:rPr>
        <w:tab/>
      </w:r>
      <w:r>
        <w:t>Views and perceptions of income management</w:t>
      </w:r>
      <w:r>
        <w:tab/>
      </w:r>
      <w:r>
        <w:fldChar w:fldCharType="begin"/>
      </w:r>
      <w:r>
        <w:instrText xml:space="preserve"> PAGEREF _Toc403739172 \h </w:instrText>
      </w:r>
      <w:r>
        <w:fldChar w:fldCharType="separate"/>
      </w:r>
      <w:r w:rsidR="00F612EF">
        <w:t>316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15.2</w:t>
      </w:r>
      <w:r>
        <w:rPr>
          <w:rFonts w:asciiTheme="minorHAnsi" w:hAnsiTheme="minorHAnsi"/>
          <w:sz w:val="22"/>
          <w:szCs w:val="22"/>
        </w:rPr>
        <w:tab/>
      </w:r>
      <w:r>
        <w:t>Impact on adverse outcomes</w:t>
      </w:r>
      <w:r>
        <w:tab/>
      </w:r>
      <w:r>
        <w:fldChar w:fldCharType="begin"/>
      </w:r>
      <w:r>
        <w:instrText xml:space="preserve"> PAGEREF _Toc403739173 \h </w:instrText>
      </w:r>
      <w:r>
        <w:fldChar w:fldCharType="separate"/>
      </w:r>
      <w:r w:rsidR="00F612EF">
        <w:t>317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15.3</w:t>
      </w:r>
      <w:r>
        <w:rPr>
          <w:rFonts w:asciiTheme="minorHAnsi" w:hAnsiTheme="minorHAnsi"/>
          <w:sz w:val="22"/>
          <w:szCs w:val="22"/>
        </w:rPr>
        <w:tab/>
      </w:r>
      <w:r>
        <w:t>Improved capabilities</w:t>
      </w:r>
      <w:r>
        <w:tab/>
      </w:r>
      <w:r>
        <w:fldChar w:fldCharType="begin"/>
      </w:r>
      <w:r>
        <w:instrText xml:space="preserve"> PAGEREF _Toc403739174 \h </w:instrText>
      </w:r>
      <w:r>
        <w:fldChar w:fldCharType="separate"/>
      </w:r>
      <w:r w:rsidR="00F612EF">
        <w:t>319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15.4</w:t>
      </w:r>
      <w:r>
        <w:rPr>
          <w:rFonts w:asciiTheme="minorHAnsi" w:hAnsiTheme="minorHAnsi"/>
          <w:sz w:val="22"/>
          <w:szCs w:val="22"/>
        </w:rPr>
        <w:tab/>
      </w:r>
      <w:r>
        <w:t>Targeting</w:t>
      </w:r>
      <w:r>
        <w:tab/>
      </w:r>
      <w:r>
        <w:fldChar w:fldCharType="begin"/>
      </w:r>
      <w:r>
        <w:instrText xml:space="preserve"> PAGEREF _Toc403739175 \h </w:instrText>
      </w:r>
      <w:r>
        <w:fldChar w:fldCharType="separate"/>
      </w:r>
      <w:r w:rsidR="00F612EF">
        <w:t>320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15.5</w:t>
      </w:r>
      <w:r>
        <w:rPr>
          <w:rFonts w:asciiTheme="minorHAnsi" w:hAnsiTheme="minorHAnsi"/>
          <w:sz w:val="22"/>
          <w:szCs w:val="22"/>
        </w:rPr>
        <w:tab/>
      </w:r>
      <w:r>
        <w:t>Conclusion</w:t>
      </w:r>
      <w:r>
        <w:tab/>
      </w:r>
      <w:r>
        <w:fldChar w:fldCharType="begin"/>
      </w:r>
      <w:r>
        <w:instrText xml:space="preserve"> PAGEREF _Toc403739176 \h </w:instrText>
      </w:r>
      <w:r>
        <w:fldChar w:fldCharType="separate"/>
      </w:r>
      <w:r w:rsidR="00F612EF">
        <w:t>320</w:t>
      </w:r>
      <w:r>
        <w:fldChar w:fldCharType="end"/>
      </w:r>
    </w:p>
    <w:p w:rsidR="00DC1D42" w:rsidRDefault="00DC1D42" w:rsidP="00DC1D42">
      <w:pPr>
        <w:pStyle w:val="TOC1"/>
        <w:rPr>
          <w:rFonts w:asciiTheme="minorHAnsi" w:hAnsiTheme="minorHAnsi"/>
          <w:sz w:val="22"/>
          <w:szCs w:val="22"/>
        </w:rPr>
      </w:pPr>
      <w:r>
        <w:t>16</w:t>
      </w:r>
      <w:r>
        <w:rPr>
          <w:rFonts w:asciiTheme="minorHAnsi" w:hAnsiTheme="minorHAnsi"/>
          <w:sz w:val="22"/>
          <w:szCs w:val="22"/>
        </w:rPr>
        <w:tab/>
      </w:r>
      <w:r>
        <w:t>Epilogue – Reporting Back</w:t>
      </w:r>
      <w:r>
        <w:tab/>
      </w:r>
      <w:r>
        <w:fldChar w:fldCharType="begin"/>
      </w:r>
      <w:r>
        <w:instrText xml:space="preserve"> PAGEREF _Toc403739177 \h </w:instrText>
      </w:r>
      <w:r>
        <w:fldChar w:fldCharType="separate"/>
      </w:r>
      <w:r w:rsidR="00F612EF">
        <w:t>323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16.1</w:t>
      </w:r>
      <w:r>
        <w:rPr>
          <w:rFonts w:asciiTheme="minorHAnsi" w:hAnsiTheme="minorHAnsi"/>
          <w:sz w:val="22"/>
          <w:szCs w:val="22"/>
        </w:rPr>
        <w:tab/>
      </w:r>
      <w:r>
        <w:t>Perspectives on income management</w:t>
      </w:r>
      <w:r>
        <w:tab/>
      </w:r>
      <w:r>
        <w:fldChar w:fldCharType="begin"/>
      </w:r>
      <w:r>
        <w:instrText xml:space="preserve"> PAGEREF _Toc403739178 \h </w:instrText>
      </w:r>
      <w:r>
        <w:fldChar w:fldCharType="separate"/>
      </w:r>
      <w:r w:rsidR="00F612EF">
        <w:t>323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16.1.1</w:t>
      </w:r>
      <w:r>
        <w:rPr>
          <w:rFonts w:asciiTheme="minorHAnsi" w:hAnsiTheme="minorHAnsi"/>
          <w:noProof/>
          <w:sz w:val="22"/>
          <w:szCs w:val="22"/>
        </w:rPr>
        <w:tab/>
      </w:r>
      <w:r>
        <w:rPr>
          <w:noProof/>
        </w:rPr>
        <w:t>Response to major findings</w:t>
      </w:r>
      <w:r>
        <w:rPr>
          <w:noProof/>
        </w:rPr>
        <w:tab/>
      </w:r>
      <w:r>
        <w:rPr>
          <w:noProof/>
        </w:rPr>
        <w:fldChar w:fldCharType="begin"/>
      </w:r>
      <w:r>
        <w:rPr>
          <w:noProof/>
        </w:rPr>
        <w:instrText xml:space="preserve"> PAGEREF _Toc403739179 \h </w:instrText>
      </w:r>
      <w:r>
        <w:rPr>
          <w:noProof/>
        </w:rPr>
      </w:r>
      <w:r>
        <w:rPr>
          <w:noProof/>
        </w:rPr>
        <w:fldChar w:fldCharType="separate"/>
      </w:r>
      <w:r w:rsidR="00F612EF">
        <w:rPr>
          <w:noProof/>
        </w:rPr>
        <w:t>324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16.1.2</w:t>
      </w:r>
      <w:r>
        <w:rPr>
          <w:rFonts w:asciiTheme="minorHAnsi" w:hAnsiTheme="minorHAnsi"/>
          <w:noProof/>
          <w:sz w:val="22"/>
          <w:szCs w:val="22"/>
        </w:rPr>
        <w:tab/>
      </w:r>
      <w:r>
        <w:rPr>
          <w:noProof/>
        </w:rPr>
        <w:t>Other Income Management issues</w:t>
      </w:r>
      <w:r>
        <w:rPr>
          <w:noProof/>
        </w:rPr>
        <w:tab/>
      </w:r>
      <w:r>
        <w:rPr>
          <w:noProof/>
        </w:rPr>
        <w:fldChar w:fldCharType="begin"/>
      </w:r>
      <w:r>
        <w:rPr>
          <w:noProof/>
        </w:rPr>
        <w:instrText xml:space="preserve"> PAGEREF _Toc403739180 \h </w:instrText>
      </w:r>
      <w:r>
        <w:rPr>
          <w:noProof/>
        </w:rPr>
      </w:r>
      <w:r>
        <w:rPr>
          <w:noProof/>
        </w:rPr>
        <w:fldChar w:fldCharType="separate"/>
      </w:r>
      <w:r w:rsidR="00F612EF">
        <w:rPr>
          <w:noProof/>
        </w:rPr>
        <w:t>324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16.1.3</w:t>
      </w:r>
      <w:r>
        <w:rPr>
          <w:rFonts w:asciiTheme="minorHAnsi" w:hAnsiTheme="minorHAnsi"/>
          <w:noProof/>
          <w:sz w:val="22"/>
          <w:szCs w:val="22"/>
        </w:rPr>
        <w:tab/>
      </w:r>
      <w:r>
        <w:rPr>
          <w:noProof/>
        </w:rPr>
        <w:t>How individuals engage with Income Management</w:t>
      </w:r>
      <w:r>
        <w:rPr>
          <w:noProof/>
        </w:rPr>
        <w:tab/>
      </w:r>
      <w:r>
        <w:rPr>
          <w:noProof/>
        </w:rPr>
        <w:fldChar w:fldCharType="begin"/>
      </w:r>
      <w:r>
        <w:rPr>
          <w:noProof/>
        </w:rPr>
        <w:instrText xml:space="preserve"> PAGEREF _Toc403739181 \h </w:instrText>
      </w:r>
      <w:r>
        <w:rPr>
          <w:noProof/>
        </w:rPr>
      </w:r>
      <w:r>
        <w:rPr>
          <w:noProof/>
        </w:rPr>
        <w:fldChar w:fldCharType="separate"/>
      </w:r>
      <w:r w:rsidR="00F612EF">
        <w:rPr>
          <w:noProof/>
        </w:rPr>
        <w:t>325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16.1.4</w:t>
      </w:r>
      <w:r>
        <w:rPr>
          <w:rFonts w:asciiTheme="minorHAnsi" w:hAnsiTheme="minorHAnsi"/>
          <w:noProof/>
          <w:sz w:val="22"/>
          <w:szCs w:val="22"/>
        </w:rPr>
        <w:tab/>
      </w:r>
      <w:r>
        <w:rPr>
          <w:noProof/>
        </w:rPr>
        <w:t>Humbug and harassment</w:t>
      </w:r>
      <w:r>
        <w:rPr>
          <w:noProof/>
        </w:rPr>
        <w:tab/>
      </w:r>
      <w:r>
        <w:rPr>
          <w:noProof/>
        </w:rPr>
        <w:fldChar w:fldCharType="begin"/>
      </w:r>
      <w:r>
        <w:rPr>
          <w:noProof/>
        </w:rPr>
        <w:instrText xml:space="preserve"> PAGEREF _Toc403739182 \h </w:instrText>
      </w:r>
      <w:r>
        <w:rPr>
          <w:noProof/>
        </w:rPr>
      </w:r>
      <w:r>
        <w:rPr>
          <w:noProof/>
        </w:rPr>
        <w:fldChar w:fldCharType="separate"/>
      </w:r>
      <w:r w:rsidR="00F612EF">
        <w:rPr>
          <w:noProof/>
        </w:rPr>
        <w:t>325</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16.2</w:t>
      </w:r>
      <w:r>
        <w:rPr>
          <w:rFonts w:asciiTheme="minorHAnsi" w:hAnsiTheme="minorHAnsi"/>
          <w:sz w:val="22"/>
          <w:szCs w:val="22"/>
        </w:rPr>
        <w:tab/>
      </w:r>
      <w:r>
        <w:t>Income management and community priorities</w:t>
      </w:r>
      <w:r>
        <w:tab/>
      </w:r>
      <w:r>
        <w:fldChar w:fldCharType="begin"/>
      </w:r>
      <w:r>
        <w:instrText xml:space="preserve"> PAGEREF _Toc403739183 \h </w:instrText>
      </w:r>
      <w:r>
        <w:fldChar w:fldCharType="separate"/>
      </w:r>
      <w:r w:rsidR="00F612EF">
        <w:t>326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16.3</w:t>
      </w:r>
      <w:r>
        <w:rPr>
          <w:rFonts w:asciiTheme="minorHAnsi" w:hAnsiTheme="minorHAnsi"/>
          <w:sz w:val="22"/>
          <w:szCs w:val="22"/>
        </w:rPr>
        <w:tab/>
      </w:r>
      <w:r>
        <w:t>Summary</w:t>
      </w:r>
      <w:r>
        <w:tab/>
      </w:r>
      <w:r>
        <w:fldChar w:fldCharType="begin"/>
      </w:r>
      <w:r>
        <w:instrText xml:space="preserve"> PAGEREF _Toc403739184 \h </w:instrText>
      </w:r>
      <w:r>
        <w:fldChar w:fldCharType="separate"/>
      </w:r>
      <w:r w:rsidR="00F612EF">
        <w:t>327</w:t>
      </w:r>
      <w:r>
        <w:fldChar w:fldCharType="end"/>
      </w:r>
    </w:p>
    <w:p w:rsidR="00DC1D42" w:rsidRDefault="00DC1D42" w:rsidP="00DC1D42">
      <w:pPr>
        <w:pStyle w:val="TOC1"/>
        <w:rPr>
          <w:rFonts w:asciiTheme="minorHAnsi" w:hAnsiTheme="minorHAnsi"/>
          <w:sz w:val="22"/>
          <w:szCs w:val="22"/>
        </w:rPr>
      </w:pPr>
      <w:r>
        <w:t>References</w:t>
      </w:r>
      <w:r>
        <w:tab/>
      </w:r>
      <w:r>
        <w:fldChar w:fldCharType="begin"/>
      </w:r>
      <w:r>
        <w:instrText xml:space="preserve"> PAGEREF _Toc403739185 \h </w:instrText>
      </w:r>
      <w:r>
        <w:fldChar w:fldCharType="separate"/>
      </w:r>
      <w:r w:rsidR="00F612EF">
        <w:t>329</w:t>
      </w:r>
      <w:r>
        <w:fldChar w:fldCharType="end"/>
      </w:r>
    </w:p>
    <w:p w:rsidR="00DC1D42" w:rsidRDefault="00DC1D42" w:rsidP="00DC1D42">
      <w:pPr>
        <w:pStyle w:val="TOC1"/>
        <w:rPr>
          <w:rFonts w:asciiTheme="minorHAnsi" w:hAnsiTheme="minorHAnsi"/>
          <w:sz w:val="22"/>
          <w:szCs w:val="22"/>
        </w:rPr>
      </w:pPr>
      <w:r>
        <w:t>Appendices</w:t>
      </w:r>
      <w:r>
        <w:tab/>
      </w:r>
      <w:r>
        <w:fldChar w:fldCharType="begin"/>
      </w:r>
      <w:r>
        <w:instrText xml:space="preserve"> PAGEREF _Toc403739186 \h </w:instrText>
      </w:r>
      <w:r>
        <w:fldChar w:fldCharType="separate"/>
      </w:r>
      <w:r w:rsidR="00F612EF">
        <w:t>335</w:t>
      </w:r>
      <w:r>
        <w:fldChar w:fldCharType="end"/>
      </w:r>
    </w:p>
    <w:p w:rsidR="00DC1D42" w:rsidRDefault="00DC1D42" w:rsidP="00DC1D42">
      <w:pPr>
        <w:pStyle w:val="TOC1"/>
        <w:rPr>
          <w:rFonts w:asciiTheme="minorHAnsi" w:hAnsiTheme="minorHAnsi"/>
          <w:sz w:val="22"/>
          <w:szCs w:val="22"/>
        </w:rPr>
      </w:pPr>
      <w:r>
        <w:t>Appendix A: Financial Vulnerability Test for Exemptions</w:t>
      </w:r>
      <w:r>
        <w:tab/>
      </w:r>
      <w:r>
        <w:fldChar w:fldCharType="begin"/>
      </w:r>
      <w:r>
        <w:instrText xml:space="preserve"> PAGEREF _Toc403739187 \h </w:instrText>
      </w:r>
      <w:r>
        <w:fldChar w:fldCharType="separate"/>
      </w:r>
      <w:r w:rsidR="00F612EF">
        <w:t>337</w:t>
      </w:r>
      <w:r>
        <w:fldChar w:fldCharType="end"/>
      </w:r>
    </w:p>
    <w:p w:rsidR="00DC1D42" w:rsidRDefault="00DC1D42" w:rsidP="00DC1D42">
      <w:pPr>
        <w:pStyle w:val="TOC1"/>
        <w:rPr>
          <w:rFonts w:asciiTheme="minorHAnsi" w:hAnsiTheme="minorHAnsi"/>
          <w:sz w:val="22"/>
          <w:szCs w:val="22"/>
        </w:rPr>
      </w:pPr>
      <w:r>
        <w:t>Appendix B: LSNIM – Fieldwork Report</w:t>
      </w:r>
      <w:r>
        <w:tab/>
      </w:r>
      <w:r>
        <w:fldChar w:fldCharType="begin"/>
      </w:r>
      <w:r>
        <w:instrText xml:space="preserve"> PAGEREF _Toc403739188 \h </w:instrText>
      </w:r>
      <w:r>
        <w:fldChar w:fldCharType="separate"/>
      </w:r>
      <w:r w:rsidR="00F612EF">
        <w:t>341</w:t>
      </w:r>
      <w:r>
        <w:fldChar w:fldCharType="end"/>
      </w:r>
    </w:p>
    <w:p w:rsidR="00DC1D42" w:rsidRDefault="00DC1D42" w:rsidP="00DC1D42">
      <w:pPr>
        <w:pStyle w:val="TOC1"/>
        <w:rPr>
          <w:rFonts w:asciiTheme="minorHAnsi" w:hAnsiTheme="minorHAnsi"/>
          <w:sz w:val="22"/>
          <w:szCs w:val="22"/>
        </w:rPr>
      </w:pPr>
      <w:r>
        <w:t>Appendix C: LSNIM – Survey Instrument</w:t>
      </w:r>
      <w:r>
        <w:tab/>
      </w:r>
      <w:r>
        <w:fldChar w:fldCharType="begin"/>
      </w:r>
      <w:r>
        <w:instrText xml:space="preserve"> PAGEREF _Toc403739189 \h </w:instrText>
      </w:r>
      <w:r>
        <w:fldChar w:fldCharType="separate"/>
      </w:r>
      <w:r w:rsidR="00F612EF">
        <w:t>351</w:t>
      </w:r>
      <w:r>
        <w:fldChar w:fldCharType="end"/>
      </w:r>
    </w:p>
    <w:p w:rsidR="00DC1D42" w:rsidRDefault="00DC1D42" w:rsidP="00DC1D42">
      <w:pPr>
        <w:pStyle w:val="TOC1"/>
        <w:rPr>
          <w:rFonts w:asciiTheme="minorHAnsi" w:hAnsiTheme="minorHAnsi"/>
          <w:sz w:val="22"/>
          <w:szCs w:val="22"/>
        </w:rPr>
      </w:pPr>
      <w:r>
        <w:t>Appendix D: Geographic Regions</w:t>
      </w:r>
      <w:r>
        <w:tab/>
      </w:r>
      <w:r>
        <w:fldChar w:fldCharType="begin"/>
      </w:r>
      <w:r>
        <w:instrText xml:space="preserve"> PAGEREF _Toc403739190 \h </w:instrText>
      </w:r>
      <w:r>
        <w:fldChar w:fldCharType="separate"/>
      </w:r>
      <w:r w:rsidR="00F612EF">
        <w:t>369</w:t>
      </w:r>
      <w:r>
        <w:fldChar w:fldCharType="end"/>
      </w:r>
    </w:p>
    <w:p w:rsidR="00DC1D42" w:rsidRDefault="00DC1D42" w:rsidP="00DC1D42">
      <w:pPr>
        <w:pStyle w:val="TOC1"/>
        <w:rPr>
          <w:rFonts w:asciiTheme="minorHAnsi" w:hAnsiTheme="minorHAnsi"/>
          <w:sz w:val="22"/>
          <w:szCs w:val="22"/>
        </w:rPr>
      </w:pPr>
      <w:r>
        <w:t>Appendix E: Definition of priority needs and excluded goods</w:t>
      </w:r>
      <w:r>
        <w:tab/>
      </w:r>
      <w:r>
        <w:fldChar w:fldCharType="begin"/>
      </w:r>
      <w:r>
        <w:instrText xml:space="preserve"> PAGEREF _Toc403739191 \h </w:instrText>
      </w:r>
      <w:r>
        <w:fldChar w:fldCharType="separate"/>
      </w:r>
      <w:r w:rsidR="00F612EF">
        <w:t>371</w:t>
      </w:r>
      <w:r>
        <w:fldChar w:fldCharType="end"/>
      </w:r>
    </w:p>
    <w:p w:rsidR="00DC1D42" w:rsidRDefault="00DC1D42" w:rsidP="00DC1D42">
      <w:pPr>
        <w:pStyle w:val="TOC1"/>
        <w:rPr>
          <w:rFonts w:asciiTheme="minorHAnsi" w:hAnsiTheme="minorHAnsi"/>
          <w:sz w:val="22"/>
          <w:szCs w:val="22"/>
        </w:rPr>
      </w:pPr>
      <w:r>
        <w:t>Appendix F: Vulnerable Focus Group Questions</w:t>
      </w:r>
      <w:r>
        <w:tab/>
      </w:r>
      <w:r>
        <w:fldChar w:fldCharType="begin"/>
      </w:r>
      <w:r>
        <w:instrText xml:space="preserve"> PAGEREF _Toc403739192 \h </w:instrText>
      </w:r>
      <w:r>
        <w:fldChar w:fldCharType="separate"/>
      </w:r>
      <w:r w:rsidR="00F612EF">
        <w:t>373</w:t>
      </w:r>
      <w:r>
        <w:fldChar w:fldCharType="end"/>
      </w:r>
    </w:p>
    <w:p w:rsidR="00DC1D42" w:rsidRDefault="00DC1D42" w:rsidP="00DC1D42">
      <w:pPr>
        <w:pStyle w:val="TOC1"/>
        <w:rPr>
          <w:rFonts w:asciiTheme="minorHAnsi" w:hAnsiTheme="minorHAnsi"/>
          <w:sz w:val="22"/>
          <w:szCs w:val="22"/>
        </w:rPr>
      </w:pPr>
      <w:r>
        <w:t>Appendix G: Vulnerable File Review</w:t>
      </w:r>
      <w:r>
        <w:tab/>
      </w:r>
      <w:r>
        <w:fldChar w:fldCharType="begin"/>
      </w:r>
      <w:r>
        <w:instrText xml:space="preserve"> PAGEREF _Toc403739193 \h </w:instrText>
      </w:r>
      <w:r>
        <w:fldChar w:fldCharType="separate"/>
      </w:r>
      <w:r w:rsidR="00F612EF">
        <w:t>375</w:t>
      </w:r>
      <w:r>
        <w:fldChar w:fldCharType="end"/>
      </w:r>
    </w:p>
    <w:p w:rsidR="00FB0FB9" w:rsidRPr="00FE502F" w:rsidRDefault="00CB5352" w:rsidP="006654AE">
      <w:r>
        <w:rPr>
          <w:szCs w:val="24"/>
        </w:rPr>
        <w:fldChar w:fldCharType="end"/>
      </w:r>
    </w:p>
    <w:p w:rsidR="00DF6B91" w:rsidRPr="009655C3" w:rsidRDefault="00DF6B91" w:rsidP="006654AE">
      <w:pPr>
        <w:spacing w:line="276" w:lineRule="auto"/>
        <w:jc w:val="left"/>
      </w:pPr>
      <w:r w:rsidRPr="009655C3">
        <w:br w:type="page"/>
      </w:r>
    </w:p>
    <w:p w:rsidR="00B67369" w:rsidRPr="009655C3" w:rsidRDefault="00B67369" w:rsidP="006654AE">
      <w:pPr>
        <w:pStyle w:val="pretitle"/>
      </w:pPr>
      <w:bookmarkStart w:id="4" w:name="_Toc403738947"/>
      <w:r w:rsidRPr="009655C3">
        <w:lastRenderedPageBreak/>
        <w:t xml:space="preserve">Table of </w:t>
      </w:r>
      <w:r w:rsidRPr="002B019F">
        <w:t>Tables</w:t>
      </w:r>
      <w:bookmarkEnd w:id="4"/>
    </w:p>
    <w:p w:rsidR="008260A2" w:rsidRDefault="00B67369">
      <w:pPr>
        <w:pStyle w:val="TableofFigures"/>
        <w:rPr>
          <w:rFonts w:asciiTheme="minorHAnsi" w:hAnsiTheme="minorHAnsi"/>
          <w:noProof/>
          <w:sz w:val="22"/>
        </w:rPr>
      </w:pPr>
      <w:r w:rsidRPr="003D75FE">
        <w:fldChar w:fldCharType="begin"/>
      </w:r>
      <w:r w:rsidRPr="00DF38B2">
        <w:instrText xml:space="preserve"> TOC \c "Table" </w:instrText>
      </w:r>
      <w:r w:rsidRPr="003D75FE">
        <w:fldChar w:fldCharType="separate"/>
      </w:r>
      <w:r w:rsidR="008260A2">
        <w:rPr>
          <w:noProof/>
        </w:rPr>
        <w:t>Table 1</w:t>
      </w:r>
      <w:r w:rsidR="008260A2">
        <w:rPr>
          <w:noProof/>
        </w:rPr>
        <w:noBreakHyphen/>
        <w:t xml:space="preserve">1 </w:t>
      </w:r>
      <w:r w:rsidR="008260A2">
        <w:rPr>
          <w:rFonts w:asciiTheme="minorHAnsi" w:hAnsiTheme="minorHAnsi"/>
          <w:noProof/>
          <w:sz w:val="22"/>
        </w:rPr>
        <w:tab/>
      </w:r>
      <w:r w:rsidR="008260A2">
        <w:rPr>
          <w:noProof/>
        </w:rPr>
        <w:t>New Income Management – Questions in the evaluation framework</w:t>
      </w:r>
      <w:r w:rsidR="008260A2">
        <w:rPr>
          <w:noProof/>
        </w:rPr>
        <w:tab/>
      </w:r>
      <w:r w:rsidR="008260A2">
        <w:rPr>
          <w:noProof/>
        </w:rPr>
        <w:fldChar w:fldCharType="begin"/>
      </w:r>
      <w:r w:rsidR="008260A2">
        <w:rPr>
          <w:noProof/>
        </w:rPr>
        <w:instrText xml:space="preserve"> PAGEREF _Toc403739400 \h </w:instrText>
      </w:r>
      <w:r w:rsidR="008260A2">
        <w:rPr>
          <w:noProof/>
        </w:rPr>
      </w:r>
      <w:r w:rsidR="008260A2">
        <w:rPr>
          <w:noProof/>
        </w:rPr>
        <w:fldChar w:fldCharType="separate"/>
      </w:r>
      <w:r w:rsidR="00F612EF">
        <w:rPr>
          <w:noProof/>
        </w:rPr>
        <w:t>4</w:t>
      </w:r>
      <w:r w:rsidR="008260A2">
        <w:rPr>
          <w:noProof/>
        </w:rPr>
        <w:fldChar w:fldCharType="end"/>
      </w:r>
    </w:p>
    <w:p w:rsidR="008260A2" w:rsidRDefault="008260A2">
      <w:pPr>
        <w:pStyle w:val="TableofFigures"/>
        <w:rPr>
          <w:rFonts w:asciiTheme="minorHAnsi" w:hAnsiTheme="minorHAnsi"/>
          <w:noProof/>
          <w:sz w:val="22"/>
        </w:rPr>
      </w:pPr>
      <w:r>
        <w:rPr>
          <w:noProof/>
        </w:rPr>
        <w:t>Table 1</w:t>
      </w:r>
      <w:r>
        <w:rPr>
          <w:noProof/>
        </w:rPr>
        <w:noBreakHyphen/>
        <w:t xml:space="preserve">2 </w:t>
      </w:r>
      <w:r>
        <w:rPr>
          <w:rFonts w:asciiTheme="minorHAnsi" w:hAnsiTheme="minorHAnsi"/>
          <w:noProof/>
          <w:sz w:val="22"/>
        </w:rPr>
        <w:tab/>
      </w:r>
      <w:r>
        <w:rPr>
          <w:noProof/>
        </w:rPr>
        <w:t>Summary of current income management programs</w:t>
      </w:r>
      <w:r>
        <w:rPr>
          <w:noProof/>
        </w:rPr>
        <w:tab/>
      </w:r>
      <w:r>
        <w:rPr>
          <w:noProof/>
        </w:rPr>
        <w:fldChar w:fldCharType="begin"/>
      </w:r>
      <w:r>
        <w:rPr>
          <w:noProof/>
        </w:rPr>
        <w:instrText xml:space="preserve"> PAGEREF _Toc403739401 \h </w:instrText>
      </w:r>
      <w:r>
        <w:rPr>
          <w:noProof/>
        </w:rPr>
      </w:r>
      <w:r>
        <w:rPr>
          <w:noProof/>
        </w:rPr>
        <w:fldChar w:fldCharType="separate"/>
      </w:r>
      <w:r w:rsidR="00F612EF">
        <w:rPr>
          <w:noProof/>
        </w:rPr>
        <w:t>7</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1</w:t>
      </w:r>
      <w:r>
        <w:rPr>
          <w:rFonts w:asciiTheme="minorHAnsi" w:hAnsiTheme="minorHAnsi"/>
          <w:noProof/>
          <w:sz w:val="22"/>
        </w:rPr>
        <w:tab/>
      </w:r>
      <w:r>
        <w:rPr>
          <w:noProof/>
        </w:rPr>
        <w:t>NTER measures</w:t>
      </w:r>
      <w:r>
        <w:rPr>
          <w:noProof/>
        </w:rPr>
        <w:tab/>
      </w:r>
      <w:r>
        <w:rPr>
          <w:noProof/>
        </w:rPr>
        <w:fldChar w:fldCharType="begin"/>
      </w:r>
      <w:r>
        <w:rPr>
          <w:noProof/>
        </w:rPr>
        <w:instrText xml:space="preserve"> PAGEREF _Toc403739402 \h </w:instrText>
      </w:r>
      <w:r>
        <w:rPr>
          <w:noProof/>
        </w:rPr>
      </w:r>
      <w:r>
        <w:rPr>
          <w:noProof/>
        </w:rPr>
        <w:fldChar w:fldCharType="separate"/>
      </w:r>
      <w:r w:rsidR="00F612EF">
        <w:rPr>
          <w:noProof/>
        </w:rPr>
        <w:t>17</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2</w:t>
      </w:r>
      <w:r>
        <w:rPr>
          <w:rFonts w:asciiTheme="minorHAnsi" w:hAnsiTheme="minorHAnsi"/>
          <w:noProof/>
          <w:sz w:val="22"/>
        </w:rPr>
        <w:tab/>
      </w:r>
      <w:r>
        <w:rPr>
          <w:noProof/>
        </w:rPr>
        <w:t>Timeline for income management in the Northern Territory</w:t>
      </w:r>
      <w:r>
        <w:rPr>
          <w:noProof/>
        </w:rPr>
        <w:tab/>
      </w:r>
      <w:r>
        <w:rPr>
          <w:noProof/>
        </w:rPr>
        <w:fldChar w:fldCharType="begin"/>
      </w:r>
      <w:r>
        <w:rPr>
          <w:noProof/>
        </w:rPr>
        <w:instrText xml:space="preserve"> PAGEREF _Toc403739403 \h </w:instrText>
      </w:r>
      <w:r>
        <w:rPr>
          <w:noProof/>
        </w:rPr>
      </w:r>
      <w:r>
        <w:rPr>
          <w:noProof/>
        </w:rPr>
        <w:fldChar w:fldCharType="separate"/>
      </w:r>
      <w:r w:rsidR="00F612EF">
        <w:rPr>
          <w:noProof/>
        </w:rPr>
        <w:t>19</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 xml:space="preserve">3 </w:t>
      </w:r>
      <w:r>
        <w:rPr>
          <w:rFonts w:asciiTheme="minorHAnsi" w:hAnsiTheme="minorHAnsi"/>
          <w:noProof/>
          <w:sz w:val="22"/>
        </w:rPr>
        <w:tab/>
      </w:r>
      <w:r>
        <w:rPr>
          <w:noProof/>
        </w:rPr>
        <w:t>Australian Government payments that may be subject to income management</w:t>
      </w:r>
      <w:r>
        <w:rPr>
          <w:noProof/>
        </w:rPr>
        <w:tab/>
      </w:r>
      <w:r>
        <w:rPr>
          <w:noProof/>
        </w:rPr>
        <w:fldChar w:fldCharType="begin"/>
      </w:r>
      <w:r>
        <w:rPr>
          <w:noProof/>
        </w:rPr>
        <w:instrText xml:space="preserve"> PAGEREF _Toc403739404 \h </w:instrText>
      </w:r>
      <w:r>
        <w:rPr>
          <w:noProof/>
        </w:rPr>
      </w:r>
      <w:r>
        <w:rPr>
          <w:noProof/>
        </w:rPr>
        <w:fldChar w:fldCharType="separate"/>
      </w:r>
      <w:r w:rsidR="00F612EF">
        <w:rPr>
          <w:noProof/>
        </w:rPr>
        <w:t>22</w:t>
      </w:r>
      <w:r>
        <w:rPr>
          <w:noProof/>
        </w:rPr>
        <w:fldChar w:fldCharType="end"/>
      </w:r>
    </w:p>
    <w:p w:rsidR="008260A2" w:rsidRDefault="008260A2">
      <w:pPr>
        <w:pStyle w:val="TableofFigures"/>
        <w:rPr>
          <w:rFonts w:asciiTheme="minorHAnsi" w:hAnsiTheme="minorHAnsi"/>
          <w:noProof/>
          <w:sz w:val="22"/>
        </w:rPr>
      </w:pPr>
      <w:r>
        <w:rPr>
          <w:noProof/>
        </w:rPr>
        <w:t>Table 3</w:t>
      </w:r>
      <w:r>
        <w:rPr>
          <w:noProof/>
        </w:rPr>
        <w:noBreakHyphen/>
        <w:t>1</w:t>
      </w:r>
      <w:r>
        <w:rPr>
          <w:rFonts w:asciiTheme="minorHAnsi" w:hAnsiTheme="minorHAnsi"/>
          <w:noProof/>
          <w:sz w:val="22"/>
        </w:rPr>
        <w:tab/>
      </w:r>
      <w:r>
        <w:rPr>
          <w:noProof/>
        </w:rPr>
        <w:t>Summary of major evaluation components</w:t>
      </w:r>
      <w:r>
        <w:rPr>
          <w:noProof/>
        </w:rPr>
        <w:tab/>
      </w:r>
      <w:r>
        <w:rPr>
          <w:noProof/>
        </w:rPr>
        <w:fldChar w:fldCharType="begin"/>
      </w:r>
      <w:r>
        <w:rPr>
          <w:noProof/>
        </w:rPr>
        <w:instrText xml:space="preserve"> PAGEREF _Toc403739405 \h </w:instrText>
      </w:r>
      <w:r>
        <w:rPr>
          <w:noProof/>
        </w:rPr>
      </w:r>
      <w:r>
        <w:rPr>
          <w:noProof/>
        </w:rPr>
        <w:fldChar w:fldCharType="separate"/>
      </w:r>
      <w:r w:rsidR="00F612EF">
        <w:rPr>
          <w:noProof/>
        </w:rPr>
        <w:t>42</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w:t>
      </w:r>
      <w:r>
        <w:rPr>
          <w:rFonts w:asciiTheme="minorHAnsi" w:hAnsiTheme="minorHAnsi"/>
          <w:noProof/>
          <w:sz w:val="22"/>
        </w:rPr>
        <w:tab/>
      </w:r>
      <w:r>
        <w:rPr>
          <w:noProof/>
        </w:rPr>
        <w:t>Income managed population in Northern Territory by stream and Indigenous status, December 2013</w:t>
      </w:r>
      <w:r>
        <w:rPr>
          <w:noProof/>
        </w:rPr>
        <w:tab/>
      </w:r>
      <w:r>
        <w:rPr>
          <w:noProof/>
        </w:rPr>
        <w:fldChar w:fldCharType="begin"/>
      </w:r>
      <w:r>
        <w:rPr>
          <w:noProof/>
        </w:rPr>
        <w:instrText xml:space="preserve"> PAGEREF _Toc403739406 \h </w:instrText>
      </w:r>
      <w:r>
        <w:rPr>
          <w:noProof/>
        </w:rPr>
      </w:r>
      <w:r>
        <w:rPr>
          <w:noProof/>
        </w:rPr>
        <w:fldChar w:fldCharType="separate"/>
      </w:r>
      <w:r w:rsidR="00F612EF">
        <w:rPr>
          <w:noProof/>
        </w:rPr>
        <w:t>54</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2</w:t>
      </w:r>
      <w:r>
        <w:rPr>
          <w:rFonts w:asciiTheme="minorHAnsi" w:hAnsiTheme="minorHAnsi"/>
          <w:noProof/>
          <w:sz w:val="22"/>
        </w:rPr>
        <w:tab/>
      </w:r>
      <w:r>
        <w:rPr>
          <w:noProof/>
        </w:rPr>
        <w:t>Income managed population in Northern Territory by stream and gender, December 2013</w:t>
      </w:r>
      <w:r>
        <w:rPr>
          <w:noProof/>
        </w:rPr>
        <w:tab/>
      </w:r>
      <w:r>
        <w:rPr>
          <w:noProof/>
        </w:rPr>
        <w:fldChar w:fldCharType="begin"/>
      </w:r>
      <w:r>
        <w:rPr>
          <w:noProof/>
        </w:rPr>
        <w:instrText xml:space="preserve"> PAGEREF _Toc403739407 \h </w:instrText>
      </w:r>
      <w:r>
        <w:rPr>
          <w:noProof/>
        </w:rPr>
      </w:r>
      <w:r>
        <w:rPr>
          <w:noProof/>
        </w:rPr>
        <w:fldChar w:fldCharType="separate"/>
      </w:r>
      <w:r w:rsidR="00F612EF">
        <w:rPr>
          <w:noProof/>
        </w:rPr>
        <w:t>56</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3 </w:t>
      </w:r>
      <w:r>
        <w:rPr>
          <w:rFonts w:asciiTheme="minorHAnsi" w:hAnsiTheme="minorHAnsi"/>
          <w:noProof/>
          <w:sz w:val="22"/>
        </w:rPr>
        <w:tab/>
      </w:r>
      <w:r>
        <w:rPr>
          <w:noProof/>
        </w:rPr>
        <w:t>Family type of persons on income management in the Northern Territory by stream of income management, December 2013</w:t>
      </w:r>
      <w:r>
        <w:rPr>
          <w:noProof/>
        </w:rPr>
        <w:tab/>
      </w:r>
      <w:r>
        <w:rPr>
          <w:noProof/>
        </w:rPr>
        <w:fldChar w:fldCharType="begin"/>
      </w:r>
      <w:r>
        <w:rPr>
          <w:noProof/>
        </w:rPr>
        <w:instrText xml:space="preserve"> PAGEREF _Toc403739408 \h </w:instrText>
      </w:r>
      <w:r>
        <w:rPr>
          <w:noProof/>
        </w:rPr>
      </w:r>
      <w:r>
        <w:rPr>
          <w:noProof/>
        </w:rPr>
        <w:fldChar w:fldCharType="separate"/>
      </w:r>
      <w:r w:rsidR="00F612EF">
        <w:rPr>
          <w:noProof/>
        </w:rPr>
        <w:t>59</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4 </w:t>
      </w:r>
      <w:r>
        <w:rPr>
          <w:rFonts w:asciiTheme="minorHAnsi" w:hAnsiTheme="minorHAnsi"/>
          <w:noProof/>
          <w:sz w:val="22"/>
        </w:rPr>
        <w:tab/>
      </w:r>
      <w:r>
        <w:rPr>
          <w:noProof/>
        </w:rPr>
        <w:t>Family type by broad stream of income management and Indigenous status, NIM, December 2013</w:t>
      </w:r>
      <w:r>
        <w:rPr>
          <w:noProof/>
        </w:rPr>
        <w:tab/>
      </w:r>
      <w:r>
        <w:rPr>
          <w:noProof/>
        </w:rPr>
        <w:fldChar w:fldCharType="begin"/>
      </w:r>
      <w:r>
        <w:rPr>
          <w:noProof/>
        </w:rPr>
        <w:instrText xml:space="preserve"> PAGEREF _Toc403739409 \h </w:instrText>
      </w:r>
      <w:r>
        <w:rPr>
          <w:noProof/>
        </w:rPr>
      </w:r>
      <w:r>
        <w:rPr>
          <w:noProof/>
        </w:rPr>
        <w:fldChar w:fldCharType="separate"/>
      </w:r>
      <w:r w:rsidR="00F612EF">
        <w:rPr>
          <w:noProof/>
        </w:rPr>
        <w:t>60</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5</w:t>
      </w:r>
      <w:r>
        <w:rPr>
          <w:rFonts w:asciiTheme="minorHAnsi" w:hAnsiTheme="minorHAnsi"/>
          <w:noProof/>
          <w:sz w:val="22"/>
        </w:rPr>
        <w:tab/>
      </w:r>
      <w:r>
        <w:rPr>
          <w:noProof/>
        </w:rPr>
        <w:t>Number and age of children of people subject to income management in the Northern Territory by Indigenous status and type of income management, December 2013</w:t>
      </w:r>
      <w:r>
        <w:rPr>
          <w:noProof/>
        </w:rPr>
        <w:tab/>
      </w:r>
      <w:r>
        <w:rPr>
          <w:noProof/>
        </w:rPr>
        <w:fldChar w:fldCharType="begin"/>
      </w:r>
      <w:r>
        <w:rPr>
          <w:noProof/>
        </w:rPr>
        <w:instrText xml:space="preserve"> PAGEREF _Toc403739410 \h </w:instrText>
      </w:r>
      <w:r>
        <w:rPr>
          <w:noProof/>
        </w:rPr>
      </w:r>
      <w:r>
        <w:rPr>
          <w:noProof/>
        </w:rPr>
        <w:fldChar w:fldCharType="separate"/>
      </w:r>
      <w:r w:rsidR="00F612EF">
        <w:rPr>
          <w:noProof/>
        </w:rPr>
        <w:t>62</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6</w:t>
      </w:r>
      <w:r>
        <w:rPr>
          <w:rFonts w:asciiTheme="minorHAnsi" w:hAnsiTheme="minorHAnsi"/>
          <w:noProof/>
          <w:sz w:val="22"/>
        </w:rPr>
        <w:tab/>
      </w:r>
      <w:r>
        <w:rPr>
          <w:noProof/>
        </w:rPr>
        <w:t>Income management and income support receipt status of couples in which at least one member is subject to income management in the Northern Territory by whether have dependent children and Indigenous status, December 2013</w:t>
      </w:r>
      <w:r>
        <w:rPr>
          <w:noProof/>
        </w:rPr>
        <w:tab/>
      </w:r>
      <w:r>
        <w:rPr>
          <w:noProof/>
        </w:rPr>
        <w:fldChar w:fldCharType="begin"/>
      </w:r>
      <w:r>
        <w:rPr>
          <w:noProof/>
        </w:rPr>
        <w:instrText xml:space="preserve"> PAGEREF _Toc403739411 \h </w:instrText>
      </w:r>
      <w:r>
        <w:rPr>
          <w:noProof/>
        </w:rPr>
      </w:r>
      <w:r>
        <w:rPr>
          <w:noProof/>
        </w:rPr>
        <w:fldChar w:fldCharType="separate"/>
      </w:r>
      <w:r w:rsidR="00F612EF">
        <w:rPr>
          <w:noProof/>
        </w:rPr>
        <w:t>63</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7</w:t>
      </w:r>
      <w:r>
        <w:rPr>
          <w:rFonts w:asciiTheme="minorHAnsi" w:hAnsiTheme="minorHAnsi"/>
          <w:noProof/>
          <w:sz w:val="22"/>
        </w:rPr>
        <w:tab/>
      </w:r>
      <w:r>
        <w:rPr>
          <w:noProof/>
        </w:rPr>
        <w:t>Indigeneity and broad region of birth of people subject to income management in the Northern Territory, Compulsory and Voluntary Income Management, December 2013</w:t>
      </w:r>
      <w:r>
        <w:rPr>
          <w:noProof/>
        </w:rPr>
        <w:tab/>
      </w:r>
      <w:r>
        <w:rPr>
          <w:noProof/>
        </w:rPr>
        <w:fldChar w:fldCharType="begin"/>
      </w:r>
      <w:r>
        <w:rPr>
          <w:noProof/>
        </w:rPr>
        <w:instrText xml:space="preserve"> PAGEREF _Toc403739412 \h </w:instrText>
      </w:r>
      <w:r>
        <w:rPr>
          <w:noProof/>
        </w:rPr>
      </w:r>
      <w:r>
        <w:rPr>
          <w:noProof/>
        </w:rPr>
        <w:fldChar w:fldCharType="separate"/>
      </w:r>
      <w:r w:rsidR="00F612EF">
        <w:rPr>
          <w:noProof/>
        </w:rPr>
        <w:t>64</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8</w:t>
      </w:r>
      <w:r>
        <w:rPr>
          <w:rFonts w:asciiTheme="minorHAnsi" w:hAnsiTheme="minorHAnsi"/>
          <w:noProof/>
          <w:sz w:val="22"/>
        </w:rPr>
        <w:tab/>
      </w:r>
      <w:r>
        <w:rPr>
          <w:noProof/>
        </w:rPr>
        <w:t>Persons being income managed in the Northern Territory by Indigenous status and type of income support payment received, December 2013</w:t>
      </w:r>
      <w:r>
        <w:rPr>
          <w:noProof/>
        </w:rPr>
        <w:tab/>
      </w:r>
      <w:r>
        <w:rPr>
          <w:noProof/>
        </w:rPr>
        <w:fldChar w:fldCharType="begin"/>
      </w:r>
      <w:r>
        <w:rPr>
          <w:noProof/>
        </w:rPr>
        <w:instrText xml:space="preserve"> PAGEREF _Toc403739413 \h </w:instrText>
      </w:r>
      <w:r>
        <w:rPr>
          <w:noProof/>
        </w:rPr>
      </w:r>
      <w:r>
        <w:rPr>
          <w:noProof/>
        </w:rPr>
        <w:fldChar w:fldCharType="separate"/>
      </w:r>
      <w:r w:rsidR="00F612EF">
        <w:rPr>
          <w:noProof/>
        </w:rPr>
        <w:t>67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9</w:t>
      </w:r>
      <w:r>
        <w:rPr>
          <w:rFonts w:asciiTheme="minorHAnsi" w:hAnsiTheme="minorHAnsi"/>
          <w:noProof/>
          <w:sz w:val="22"/>
        </w:rPr>
        <w:tab/>
      </w:r>
      <w:r>
        <w:rPr>
          <w:noProof/>
        </w:rPr>
        <w:t>Persons being Income Managed in the Northern Territory by stream and major income support payment received, December 2013</w:t>
      </w:r>
      <w:r>
        <w:rPr>
          <w:noProof/>
        </w:rPr>
        <w:tab/>
      </w:r>
      <w:r>
        <w:rPr>
          <w:noProof/>
        </w:rPr>
        <w:fldChar w:fldCharType="begin"/>
      </w:r>
      <w:r>
        <w:rPr>
          <w:noProof/>
        </w:rPr>
        <w:instrText xml:space="preserve"> PAGEREF _Toc403739414 \h </w:instrText>
      </w:r>
      <w:r>
        <w:rPr>
          <w:noProof/>
        </w:rPr>
      </w:r>
      <w:r>
        <w:rPr>
          <w:noProof/>
        </w:rPr>
        <w:fldChar w:fldCharType="separate"/>
      </w:r>
      <w:r w:rsidR="00F612EF">
        <w:rPr>
          <w:noProof/>
        </w:rPr>
        <w:t>68</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10</w:t>
      </w:r>
      <w:r>
        <w:rPr>
          <w:rFonts w:asciiTheme="minorHAnsi" w:hAnsiTheme="minorHAnsi"/>
          <w:noProof/>
          <w:sz w:val="22"/>
        </w:rPr>
        <w:tab/>
      </w:r>
      <w:r>
        <w:rPr>
          <w:noProof/>
        </w:rPr>
        <w:t>Persons on income support and income management in the Northern Territory by gender and Indigenous status, December 2013</w:t>
      </w:r>
      <w:r>
        <w:rPr>
          <w:noProof/>
        </w:rPr>
        <w:tab/>
      </w:r>
      <w:r>
        <w:rPr>
          <w:noProof/>
        </w:rPr>
        <w:fldChar w:fldCharType="begin"/>
      </w:r>
      <w:r>
        <w:rPr>
          <w:noProof/>
        </w:rPr>
        <w:instrText xml:space="preserve"> PAGEREF _Toc403739415 \h </w:instrText>
      </w:r>
      <w:r>
        <w:rPr>
          <w:noProof/>
        </w:rPr>
      </w:r>
      <w:r>
        <w:rPr>
          <w:noProof/>
        </w:rPr>
        <w:fldChar w:fldCharType="separate"/>
      </w:r>
      <w:r w:rsidR="00F612EF">
        <w:rPr>
          <w:noProof/>
        </w:rPr>
        <w:t>69</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11</w:t>
      </w:r>
      <w:r>
        <w:rPr>
          <w:rFonts w:asciiTheme="minorHAnsi" w:hAnsiTheme="minorHAnsi"/>
          <w:noProof/>
          <w:sz w:val="22"/>
        </w:rPr>
        <w:tab/>
      </w:r>
      <w:r>
        <w:rPr>
          <w:noProof/>
        </w:rPr>
        <w:t>Income management rates by Indigenous status and location in the Northern Territory, December 2010 – December 2013</w:t>
      </w:r>
      <w:r>
        <w:rPr>
          <w:noProof/>
        </w:rPr>
        <w:tab/>
      </w:r>
      <w:r>
        <w:rPr>
          <w:noProof/>
        </w:rPr>
        <w:fldChar w:fldCharType="begin"/>
      </w:r>
      <w:r>
        <w:rPr>
          <w:noProof/>
        </w:rPr>
        <w:instrText xml:space="preserve"> PAGEREF _Toc403739416 \h </w:instrText>
      </w:r>
      <w:r>
        <w:rPr>
          <w:noProof/>
        </w:rPr>
      </w:r>
      <w:r>
        <w:rPr>
          <w:noProof/>
        </w:rPr>
        <w:fldChar w:fldCharType="separate"/>
      </w:r>
      <w:r w:rsidR="00F612EF">
        <w:rPr>
          <w:noProof/>
        </w:rPr>
        <w:t>71</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12</w:t>
      </w:r>
      <w:r>
        <w:rPr>
          <w:rFonts w:asciiTheme="minorHAnsi" w:hAnsiTheme="minorHAnsi"/>
          <w:noProof/>
          <w:sz w:val="22"/>
        </w:rPr>
        <w:tab/>
      </w:r>
      <w:r>
        <w:rPr>
          <w:noProof/>
        </w:rPr>
        <w:t>Estimated population rate of income management by Indigenous status in the Northern Territory, December 2013</w:t>
      </w:r>
      <w:r>
        <w:rPr>
          <w:noProof/>
        </w:rPr>
        <w:tab/>
      </w:r>
      <w:r>
        <w:rPr>
          <w:noProof/>
        </w:rPr>
        <w:fldChar w:fldCharType="begin"/>
      </w:r>
      <w:r>
        <w:rPr>
          <w:noProof/>
        </w:rPr>
        <w:instrText xml:space="preserve"> PAGEREF _Toc403739417 \h </w:instrText>
      </w:r>
      <w:r>
        <w:rPr>
          <w:noProof/>
        </w:rPr>
      </w:r>
      <w:r>
        <w:rPr>
          <w:noProof/>
        </w:rPr>
        <w:fldChar w:fldCharType="separate"/>
      </w:r>
      <w:r w:rsidR="00F612EF">
        <w:rPr>
          <w:noProof/>
        </w:rPr>
        <w:t>73</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13</w:t>
      </w:r>
      <w:r>
        <w:rPr>
          <w:rFonts w:asciiTheme="minorHAnsi" w:hAnsiTheme="minorHAnsi"/>
          <w:noProof/>
          <w:sz w:val="22"/>
        </w:rPr>
        <w:tab/>
      </w:r>
      <w:r>
        <w:rPr>
          <w:noProof/>
        </w:rPr>
        <w:t>Number of weeks on income management and proportion of time on income support subject to income management between August 2010 and December 2013, persons in the Northern Territory by Indigenous status</w:t>
      </w:r>
      <w:r>
        <w:rPr>
          <w:noProof/>
        </w:rPr>
        <w:tab/>
      </w:r>
      <w:r>
        <w:rPr>
          <w:noProof/>
        </w:rPr>
        <w:fldChar w:fldCharType="begin"/>
      </w:r>
      <w:r>
        <w:rPr>
          <w:noProof/>
        </w:rPr>
        <w:instrText xml:space="preserve"> PAGEREF _Toc403739418 \h </w:instrText>
      </w:r>
      <w:r>
        <w:rPr>
          <w:noProof/>
        </w:rPr>
      </w:r>
      <w:r>
        <w:rPr>
          <w:noProof/>
        </w:rPr>
        <w:fldChar w:fldCharType="separate"/>
      </w:r>
      <w:r w:rsidR="00F612EF">
        <w:rPr>
          <w:noProof/>
        </w:rPr>
        <w:t>75</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14</w:t>
      </w:r>
      <w:r>
        <w:rPr>
          <w:rFonts w:asciiTheme="minorHAnsi" w:hAnsiTheme="minorHAnsi"/>
          <w:noProof/>
          <w:sz w:val="22"/>
        </w:rPr>
        <w:tab/>
      </w:r>
      <w:r>
        <w:rPr>
          <w:noProof/>
        </w:rPr>
        <w:t>Income management status in December 2013 of people subject to NTER Income Management in July 2010</w:t>
      </w:r>
      <w:r>
        <w:rPr>
          <w:noProof/>
        </w:rPr>
        <w:tab/>
      </w:r>
      <w:r>
        <w:rPr>
          <w:noProof/>
        </w:rPr>
        <w:fldChar w:fldCharType="begin"/>
      </w:r>
      <w:r>
        <w:rPr>
          <w:noProof/>
        </w:rPr>
        <w:instrText xml:space="preserve"> PAGEREF _Toc403739419 \h </w:instrText>
      </w:r>
      <w:r>
        <w:rPr>
          <w:noProof/>
        </w:rPr>
      </w:r>
      <w:r>
        <w:rPr>
          <w:noProof/>
        </w:rPr>
        <w:fldChar w:fldCharType="separate"/>
      </w:r>
      <w:r w:rsidR="00F612EF">
        <w:rPr>
          <w:noProof/>
        </w:rPr>
        <w:t>77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15 </w:t>
      </w:r>
      <w:r>
        <w:rPr>
          <w:rFonts w:asciiTheme="minorHAnsi" w:hAnsiTheme="minorHAnsi"/>
          <w:noProof/>
          <w:sz w:val="22"/>
        </w:rPr>
        <w:tab/>
      </w:r>
      <w:r>
        <w:rPr>
          <w:noProof/>
        </w:rPr>
        <w:t>Transitions in income management status in the Northern Territory by Indigenous status, December 2012 to December 2013</w:t>
      </w:r>
      <w:r>
        <w:rPr>
          <w:noProof/>
        </w:rPr>
        <w:tab/>
      </w:r>
      <w:r>
        <w:rPr>
          <w:noProof/>
        </w:rPr>
        <w:fldChar w:fldCharType="begin"/>
      </w:r>
      <w:r>
        <w:rPr>
          <w:noProof/>
        </w:rPr>
        <w:instrText xml:space="preserve"> PAGEREF _Toc403739420 \h </w:instrText>
      </w:r>
      <w:r>
        <w:rPr>
          <w:noProof/>
        </w:rPr>
      </w:r>
      <w:r>
        <w:rPr>
          <w:noProof/>
        </w:rPr>
        <w:fldChar w:fldCharType="separate"/>
      </w:r>
      <w:r w:rsidR="00F612EF">
        <w:rPr>
          <w:noProof/>
        </w:rPr>
        <w:t>78</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16</w:t>
      </w:r>
      <w:r>
        <w:rPr>
          <w:rFonts w:asciiTheme="minorHAnsi" w:hAnsiTheme="minorHAnsi"/>
          <w:noProof/>
          <w:sz w:val="22"/>
        </w:rPr>
        <w:tab/>
      </w:r>
      <w:r>
        <w:rPr>
          <w:noProof/>
        </w:rPr>
        <w:t>Transitions between income management measures, persons in the Northern Territory between late 2010 to December 2013</w:t>
      </w:r>
      <w:r>
        <w:rPr>
          <w:noProof/>
        </w:rPr>
        <w:tab/>
      </w:r>
      <w:r>
        <w:rPr>
          <w:noProof/>
        </w:rPr>
        <w:fldChar w:fldCharType="begin"/>
      </w:r>
      <w:r>
        <w:rPr>
          <w:noProof/>
        </w:rPr>
        <w:instrText xml:space="preserve"> PAGEREF _Toc403739421 \h </w:instrText>
      </w:r>
      <w:r>
        <w:rPr>
          <w:noProof/>
        </w:rPr>
      </w:r>
      <w:r>
        <w:rPr>
          <w:noProof/>
        </w:rPr>
        <w:fldChar w:fldCharType="separate"/>
      </w:r>
      <w:r w:rsidR="00F612EF">
        <w:rPr>
          <w:noProof/>
        </w:rPr>
        <w:t>80</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17</w:t>
      </w:r>
      <w:r>
        <w:rPr>
          <w:rFonts w:asciiTheme="minorHAnsi" w:hAnsiTheme="minorHAnsi"/>
          <w:noProof/>
          <w:sz w:val="22"/>
        </w:rPr>
        <w:tab/>
      </w:r>
      <w:r>
        <w:rPr>
          <w:noProof/>
        </w:rPr>
        <w:t>Income support status of people exiting income management between January and December 2013 by Indigenous status and broad stream of income management</w:t>
      </w:r>
      <w:r>
        <w:rPr>
          <w:noProof/>
        </w:rPr>
        <w:tab/>
      </w:r>
      <w:r>
        <w:rPr>
          <w:noProof/>
        </w:rPr>
        <w:fldChar w:fldCharType="begin"/>
      </w:r>
      <w:r>
        <w:rPr>
          <w:noProof/>
        </w:rPr>
        <w:instrText xml:space="preserve"> PAGEREF _Toc403739422 \h </w:instrText>
      </w:r>
      <w:r>
        <w:rPr>
          <w:noProof/>
        </w:rPr>
      </w:r>
      <w:r>
        <w:rPr>
          <w:noProof/>
        </w:rPr>
        <w:fldChar w:fldCharType="separate"/>
      </w:r>
      <w:r w:rsidR="00F612EF">
        <w:rPr>
          <w:noProof/>
        </w:rPr>
        <w:t>86</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18</w:t>
      </w:r>
      <w:r>
        <w:rPr>
          <w:rFonts w:asciiTheme="minorHAnsi" w:hAnsiTheme="minorHAnsi"/>
          <w:noProof/>
          <w:sz w:val="22"/>
        </w:rPr>
        <w:tab/>
      </w:r>
      <w:r>
        <w:rPr>
          <w:noProof/>
        </w:rPr>
        <w:t>Exits from income management on the Northern Territory due to death by stream of income management and Indigenous status, late 2010 to December 2013</w:t>
      </w:r>
      <w:r>
        <w:rPr>
          <w:noProof/>
        </w:rPr>
        <w:tab/>
      </w:r>
      <w:r>
        <w:rPr>
          <w:noProof/>
        </w:rPr>
        <w:fldChar w:fldCharType="begin"/>
      </w:r>
      <w:r>
        <w:rPr>
          <w:noProof/>
        </w:rPr>
        <w:instrText xml:space="preserve"> PAGEREF _Toc403739423 \h </w:instrText>
      </w:r>
      <w:r>
        <w:rPr>
          <w:noProof/>
        </w:rPr>
      </w:r>
      <w:r>
        <w:rPr>
          <w:noProof/>
        </w:rPr>
        <w:fldChar w:fldCharType="separate"/>
      </w:r>
      <w:r w:rsidR="00F612EF">
        <w:rPr>
          <w:noProof/>
        </w:rPr>
        <w:t>87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19</w:t>
      </w:r>
      <w:r>
        <w:rPr>
          <w:rFonts w:asciiTheme="minorHAnsi" w:hAnsiTheme="minorHAnsi"/>
          <w:noProof/>
          <w:sz w:val="22"/>
        </w:rPr>
        <w:tab/>
      </w:r>
      <w:r>
        <w:rPr>
          <w:noProof/>
        </w:rPr>
        <w:t>Income management status of income support recipients in the Northern Territory who experience incarceration, 2010 to 2013</w:t>
      </w:r>
      <w:r>
        <w:rPr>
          <w:noProof/>
        </w:rPr>
        <w:tab/>
      </w:r>
      <w:r>
        <w:rPr>
          <w:noProof/>
        </w:rPr>
        <w:fldChar w:fldCharType="begin"/>
      </w:r>
      <w:r>
        <w:rPr>
          <w:noProof/>
        </w:rPr>
        <w:instrText xml:space="preserve"> PAGEREF _Toc403739424 \h </w:instrText>
      </w:r>
      <w:r>
        <w:rPr>
          <w:noProof/>
        </w:rPr>
      </w:r>
      <w:r>
        <w:rPr>
          <w:noProof/>
        </w:rPr>
        <w:fldChar w:fldCharType="separate"/>
      </w:r>
      <w:r w:rsidR="00F612EF">
        <w:rPr>
          <w:noProof/>
        </w:rPr>
        <w:t>88</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w:t>
      </w:r>
      <w:r>
        <w:rPr>
          <w:rFonts w:asciiTheme="minorHAnsi" w:hAnsiTheme="minorHAnsi"/>
          <w:noProof/>
          <w:sz w:val="22"/>
        </w:rPr>
        <w:tab/>
      </w:r>
      <w:r>
        <w:rPr>
          <w:noProof/>
        </w:rPr>
        <w:t>Exemption rates by selected characteristics by Indigenous identification and gender, NIM, December 2013</w:t>
      </w:r>
      <w:r>
        <w:rPr>
          <w:noProof/>
        </w:rPr>
        <w:tab/>
      </w:r>
      <w:r>
        <w:rPr>
          <w:noProof/>
        </w:rPr>
        <w:fldChar w:fldCharType="begin"/>
      </w:r>
      <w:r>
        <w:rPr>
          <w:noProof/>
        </w:rPr>
        <w:instrText xml:space="preserve"> PAGEREF _Toc403739425 \h </w:instrText>
      </w:r>
      <w:r>
        <w:rPr>
          <w:noProof/>
        </w:rPr>
      </w:r>
      <w:r>
        <w:rPr>
          <w:noProof/>
        </w:rPr>
        <w:fldChar w:fldCharType="separate"/>
      </w:r>
      <w:r w:rsidR="00F612EF">
        <w:rPr>
          <w:noProof/>
        </w:rPr>
        <w:t>102</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2</w:t>
      </w:r>
      <w:r>
        <w:rPr>
          <w:rFonts w:asciiTheme="minorHAnsi" w:hAnsiTheme="minorHAnsi"/>
          <w:noProof/>
          <w:sz w:val="22"/>
        </w:rPr>
        <w:tab/>
      </w:r>
      <w:r>
        <w:rPr>
          <w:noProof/>
        </w:rPr>
        <w:t>Persons with an exemption from income management in the Northern Territory, one year transitions, December 2012 and December 2013</w:t>
      </w:r>
      <w:r>
        <w:rPr>
          <w:noProof/>
        </w:rPr>
        <w:tab/>
      </w:r>
      <w:r>
        <w:rPr>
          <w:noProof/>
        </w:rPr>
        <w:fldChar w:fldCharType="begin"/>
      </w:r>
      <w:r>
        <w:rPr>
          <w:noProof/>
        </w:rPr>
        <w:instrText xml:space="preserve"> PAGEREF _Toc403739426 \h </w:instrText>
      </w:r>
      <w:r>
        <w:rPr>
          <w:noProof/>
        </w:rPr>
      </w:r>
      <w:r>
        <w:rPr>
          <w:noProof/>
        </w:rPr>
        <w:fldChar w:fldCharType="separate"/>
      </w:r>
      <w:r w:rsidR="00F612EF">
        <w:rPr>
          <w:noProof/>
        </w:rPr>
        <w:t>104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3</w:t>
      </w:r>
      <w:r>
        <w:rPr>
          <w:rFonts w:asciiTheme="minorHAnsi" w:hAnsiTheme="minorHAnsi"/>
          <w:noProof/>
          <w:sz w:val="22"/>
        </w:rPr>
        <w:tab/>
      </w:r>
      <w:r>
        <w:rPr>
          <w:noProof/>
        </w:rPr>
        <w:t>Exemptions, regression analysis of factors associated with obtaining an exemption, persons subject to, or with exemptions from, Compulsory Income Management in the Northern Territory, December 2013</w:t>
      </w:r>
      <w:r>
        <w:rPr>
          <w:noProof/>
        </w:rPr>
        <w:tab/>
      </w:r>
      <w:r>
        <w:rPr>
          <w:noProof/>
        </w:rPr>
        <w:fldChar w:fldCharType="begin"/>
      </w:r>
      <w:r>
        <w:rPr>
          <w:noProof/>
        </w:rPr>
        <w:instrText xml:space="preserve"> PAGEREF _Toc403739427 \h </w:instrText>
      </w:r>
      <w:r>
        <w:rPr>
          <w:noProof/>
        </w:rPr>
      </w:r>
      <w:r>
        <w:rPr>
          <w:noProof/>
        </w:rPr>
        <w:fldChar w:fldCharType="separate"/>
      </w:r>
      <w:r w:rsidR="00F612EF">
        <w:rPr>
          <w:noProof/>
        </w:rPr>
        <w:t>106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4</w:t>
      </w:r>
      <w:r>
        <w:rPr>
          <w:rFonts w:asciiTheme="minorHAnsi" w:hAnsiTheme="minorHAnsi"/>
          <w:noProof/>
          <w:sz w:val="22"/>
        </w:rPr>
        <w:tab/>
      </w:r>
      <w:r>
        <w:rPr>
          <w:noProof/>
        </w:rPr>
        <w:t xml:space="preserve">Two-stage hurdle regression model of whether an application is made and the success of this, marginal probability for Indigenous and non-Indigenous Australian-born population, by </w:t>
      </w:r>
      <w:r>
        <w:rPr>
          <w:noProof/>
        </w:rPr>
        <w:lastRenderedPageBreak/>
        <w:t>presence of children, persons subject to, or with exemptions from, Compulsory Income Management in the Northern Territory, December 2013</w:t>
      </w:r>
      <w:r>
        <w:rPr>
          <w:noProof/>
        </w:rPr>
        <w:tab/>
      </w:r>
      <w:r>
        <w:rPr>
          <w:noProof/>
        </w:rPr>
        <w:fldChar w:fldCharType="begin"/>
      </w:r>
      <w:r>
        <w:rPr>
          <w:noProof/>
        </w:rPr>
        <w:instrText xml:space="preserve"> PAGEREF _Toc403739428 \h </w:instrText>
      </w:r>
      <w:r>
        <w:rPr>
          <w:noProof/>
        </w:rPr>
      </w:r>
      <w:r>
        <w:rPr>
          <w:noProof/>
        </w:rPr>
        <w:fldChar w:fldCharType="separate"/>
      </w:r>
      <w:r w:rsidR="00F612EF">
        <w:rPr>
          <w:noProof/>
        </w:rPr>
        <w:t>107</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5 </w:t>
      </w:r>
      <w:r>
        <w:rPr>
          <w:rFonts w:asciiTheme="minorHAnsi" w:hAnsiTheme="minorHAnsi"/>
          <w:noProof/>
          <w:sz w:val="22"/>
        </w:rPr>
        <w:tab/>
      </w:r>
      <w:r>
        <w:rPr>
          <w:noProof/>
        </w:rPr>
        <w:t>Two-stage hurdle regression model of whether an application is made and the success of this, marginal probability for Indigenous and non-Indigenous Australian-born population with children, by broad region, persons subject to, or with exemptions from, Compulsory Income Management in the Northern Territory, December 2013</w:t>
      </w:r>
      <w:r>
        <w:rPr>
          <w:noProof/>
        </w:rPr>
        <w:tab/>
      </w:r>
      <w:r>
        <w:rPr>
          <w:noProof/>
        </w:rPr>
        <w:fldChar w:fldCharType="begin"/>
      </w:r>
      <w:r>
        <w:rPr>
          <w:noProof/>
        </w:rPr>
        <w:instrText xml:space="preserve"> PAGEREF _Toc403739429 \h </w:instrText>
      </w:r>
      <w:r>
        <w:rPr>
          <w:noProof/>
        </w:rPr>
      </w:r>
      <w:r>
        <w:rPr>
          <w:noProof/>
        </w:rPr>
        <w:fldChar w:fldCharType="separate"/>
      </w:r>
      <w:r w:rsidR="00F612EF">
        <w:rPr>
          <w:noProof/>
        </w:rPr>
        <w:t>108</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6</w:t>
      </w:r>
      <w:r>
        <w:rPr>
          <w:rFonts w:asciiTheme="minorHAnsi" w:hAnsiTheme="minorHAnsi"/>
          <w:noProof/>
          <w:sz w:val="22"/>
        </w:rPr>
        <w:tab/>
      </w:r>
      <w:r>
        <w:rPr>
          <w:noProof/>
        </w:rPr>
        <w:t>Views on the process of obtaining an exemption, LSNIM Wave 2, 2013</w:t>
      </w:r>
      <w:r>
        <w:rPr>
          <w:noProof/>
        </w:rPr>
        <w:tab/>
      </w:r>
      <w:r>
        <w:rPr>
          <w:noProof/>
        </w:rPr>
        <w:fldChar w:fldCharType="begin"/>
      </w:r>
      <w:r>
        <w:rPr>
          <w:noProof/>
        </w:rPr>
        <w:instrText xml:space="preserve"> PAGEREF _Toc403739430 \h </w:instrText>
      </w:r>
      <w:r>
        <w:rPr>
          <w:noProof/>
        </w:rPr>
      </w:r>
      <w:r>
        <w:rPr>
          <w:noProof/>
        </w:rPr>
        <w:fldChar w:fldCharType="separate"/>
      </w:r>
      <w:r w:rsidR="00F612EF">
        <w:rPr>
          <w:noProof/>
        </w:rPr>
        <w:t>110</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7 </w:t>
      </w:r>
      <w:r>
        <w:rPr>
          <w:rFonts w:asciiTheme="minorHAnsi" w:hAnsiTheme="minorHAnsi"/>
          <w:noProof/>
          <w:sz w:val="22"/>
        </w:rPr>
        <w:tab/>
      </w:r>
      <w:r>
        <w:rPr>
          <w:noProof/>
        </w:rPr>
        <w:t>More general views on exemptions, LSNIM Wave 2, 2013</w:t>
      </w:r>
      <w:r>
        <w:rPr>
          <w:noProof/>
        </w:rPr>
        <w:tab/>
      </w:r>
      <w:r>
        <w:rPr>
          <w:noProof/>
        </w:rPr>
        <w:fldChar w:fldCharType="begin"/>
      </w:r>
      <w:r>
        <w:rPr>
          <w:noProof/>
        </w:rPr>
        <w:instrText xml:space="preserve"> PAGEREF _Toc403739431 \h </w:instrText>
      </w:r>
      <w:r>
        <w:rPr>
          <w:noProof/>
        </w:rPr>
      </w:r>
      <w:r>
        <w:rPr>
          <w:noProof/>
        </w:rPr>
        <w:fldChar w:fldCharType="separate"/>
      </w:r>
      <w:r w:rsidR="00F612EF">
        <w:rPr>
          <w:noProof/>
        </w:rPr>
        <w:t>110</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8</w:t>
      </w:r>
      <w:r>
        <w:rPr>
          <w:rFonts w:asciiTheme="minorHAnsi" w:hAnsiTheme="minorHAnsi"/>
          <w:noProof/>
          <w:sz w:val="22"/>
        </w:rPr>
        <w:tab/>
      </w:r>
      <w:r>
        <w:rPr>
          <w:noProof/>
        </w:rPr>
        <w:t>People with an exemption from income management who had been on income management whether income management made it easier or harder, LSNIM, Wave 2, 2013</w:t>
      </w:r>
      <w:r>
        <w:rPr>
          <w:noProof/>
        </w:rPr>
        <w:tab/>
      </w:r>
      <w:r>
        <w:rPr>
          <w:noProof/>
        </w:rPr>
        <w:fldChar w:fldCharType="begin"/>
      </w:r>
      <w:r>
        <w:rPr>
          <w:noProof/>
        </w:rPr>
        <w:instrText xml:space="preserve"> PAGEREF _Toc403739432 \h </w:instrText>
      </w:r>
      <w:r>
        <w:rPr>
          <w:noProof/>
        </w:rPr>
      </w:r>
      <w:r>
        <w:rPr>
          <w:noProof/>
        </w:rPr>
        <w:fldChar w:fldCharType="separate"/>
      </w:r>
      <w:r w:rsidR="00F612EF">
        <w:rPr>
          <w:noProof/>
        </w:rPr>
        <w:t>111</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9</w:t>
      </w:r>
      <w:r>
        <w:rPr>
          <w:rFonts w:asciiTheme="minorHAnsi" w:hAnsiTheme="minorHAnsi"/>
          <w:noProof/>
          <w:sz w:val="22"/>
        </w:rPr>
        <w:tab/>
      </w:r>
      <w:r>
        <w:rPr>
          <w:noProof/>
        </w:rPr>
        <w:t>Persons who had tried to leave income management, experience of the process, LSNIM, Wave 2, 2013</w:t>
      </w:r>
      <w:r>
        <w:rPr>
          <w:noProof/>
        </w:rPr>
        <w:tab/>
      </w:r>
      <w:r>
        <w:rPr>
          <w:noProof/>
        </w:rPr>
        <w:fldChar w:fldCharType="begin"/>
      </w:r>
      <w:r>
        <w:rPr>
          <w:noProof/>
        </w:rPr>
        <w:instrText xml:space="preserve"> PAGEREF _Toc403739433 \h </w:instrText>
      </w:r>
      <w:r>
        <w:rPr>
          <w:noProof/>
        </w:rPr>
      </w:r>
      <w:r>
        <w:rPr>
          <w:noProof/>
        </w:rPr>
        <w:fldChar w:fldCharType="separate"/>
      </w:r>
      <w:r w:rsidR="00F612EF">
        <w:rPr>
          <w:noProof/>
        </w:rPr>
        <w:t>114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10 </w:t>
      </w:r>
      <w:r>
        <w:rPr>
          <w:rFonts w:asciiTheme="minorHAnsi" w:hAnsiTheme="minorHAnsi"/>
          <w:noProof/>
          <w:sz w:val="22"/>
        </w:rPr>
        <w:tab/>
      </w:r>
      <w:r>
        <w:rPr>
          <w:noProof/>
        </w:rPr>
        <w:t>Persons who had tried to leave income management, understanding of the reasons why they were rejected, LSNIM, Wave 2, 2013</w:t>
      </w:r>
      <w:r>
        <w:rPr>
          <w:noProof/>
        </w:rPr>
        <w:tab/>
      </w:r>
      <w:r>
        <w:rPr>
          <w:noProof/>
        </w:rPr>
        <w:fldChar w:fldCharType="begin"/>
      </w:r>
      <w:r>
        <w:rPr>
          <w:noProof/>
        </w:rPr>
        <w:instrText xml:space="preserve"> PAGEREF _Toc403739434 \h </w:instrText>
      </w:r>
      <w:r>
        <w:rPr>
          <w:noProof/>
        </w:rPr>
      </w:r>
      <w:r>
        <w:rPr>
          <w:noProof/>
        </w:rPr>
        <w:fldChar w:fldCharType="separate"/>
      </w:r>
      <w:r w:rsidR="00F612EF">
        <w:rPr>
          <w:noProof/>
        </w:rPr>
        <w:t>114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11</w:t>
      </w:r>
      <w:r>
        <w:rPr>
          <w:rFonts w:asciiTheme="minorHAnsi" w:hAnsiTheme="minorHAnsi"/>
          <w:noProof/>
          <w:sz w:val="22"/>
        </w:rPr>
        <w:tab/>
      </w:r>
      <w:r>
        <w:rPr>
          <w:noProof/>
        </w:rPr>
        <w:t>Persons who had tried to leave income management, meeting the requirements for employment, LSNIM, Wave 2, 2013</w:t>
      </w:r>
      <w:r>
        <w:rPr>
          <w:noProof/>
        </w:rPr>
        <w:tab/>
      </w:r>
      <w:r>
        <w:rPr>
          <w:noProof/>
        </w:rPr>
        <w:fldChar w:fldCharType="begin"/>
      </w:r>
      <w:r>
        <w:rPr>
          <w:noProof/>
        </w:rPr>
        <w:instrText xml:space="preserve"> PAGEREF _Toc403739435 \h </w:instrText>
      </w:r>
      <w:r>
        <w:rPr>
          <w:noProof/>
        </w:rPr>
      </w:r>
      <w:r>
        <w:rPr>
          <w:noProof/>
        </w:rPr>
        <w:fldChar w:fldCharType="separate"/>
      </w:r>
      <w:r w:rsidR="00F612EF">
        <w:rPr>
          <w:noProof/>
        </w:rPr>
        <w:t>115</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12</w:t>
      </w:r>
      <w:r>
        <w:rPr>
          <w:rFonts w:asciiTheme="minorHAnsi" w:hAnsiTheme="minorHAnsi"/>
          <w:noProof/>
          <w:sz w:val="22"/>
        </w:rPr>
        <w:tab/>
      </w:r>
      <w:r>
        <w:rPr>
          <w:noProof/>
        </w:rPr>
        <w:t>Persons who had tried to leave income management, misstatements of the exemption criteria, LSNIM, Wave 2, 2013</w:t>
      </w:r>
      <w:r>
        <w:rPr>
          <w:noProof/>
        </w:rPr>
        <w:tab/>
      </w:r>
      <w:r>
        <w:rPr>
          <w:noProof/>
        </w:rPr>
        <w:fldChar w:fldCharType="begin"/>
      </w:r>
      <w:r>
        <w:rPr>
          <w:noProof/>
        </w:rPr>
        <w:instrText xml:space="preserve"> PAGEREF _Toc403739436 \h </w:instrText>
      </w:r>
      <w:r>
        <w:rPr>
          <w:noProof/>
        </w:rPr>
      </w:r>
      <w:r>
        <w:rPr>
          <w:noProof/>
        </w:rPr>
        <w:fldChar w:fldCharType="separate"/>
      </w:r>
      <w:r w:rsidR="00F612EF">
        <w:rPr>
          <w:noProof/>
        </w:rPr>
        <w:t>116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13 </w:t>
      </w:r>
      <w:r>
        <w:rPr>
          <w:rFonts w:asciiTheme="minorHAnsi" w:hAnsiTheme="minorHAnsi"/>
          <w:noProof/>
          <w:sz w:val="22"/>
        </w:rPr>
        <w:tab/>
      </w:r>
      <w:r>
        <w:rPr>
          <w:noProof/>
        </w:rPr>
        <w:t>Persons who wanted to leave income management, lack of knowledge of exemptions, LSNIM, Wave 2, 2013</w:t>
      </w:r>
      <w:r>
        <w:rPr>
          <w:noProof/>
        </w:rPr>
        <w:tab/>
      </w:r>
      <w:r>
        <w:rPr>
          <w:noProof/>
        </w:rPr>
        <w:fldChar w:fldCharType="begin"/>
      </w:r>
      <w:r>
        <w:rPr>
          <w:noProof/>
        </w:rPr>
        <w:instrText xml:space="preserve"> PAGEREF _Toc403739437 \h </w:instrText>
      </w:r>
      <w:r>
        <w:rPr>
          <w:noProof/>
        </w:rPr>
      </w:r>
      <w:r>
        <w:rPr>
          <w:noProof/>
        </w:rPr>
        <w:fldChar w:fldCharType="separate"/>
      </w:r>
      <w:r w:rsidR="00F612EF">
        <w:rPr>
          <w:noProof/>
        </w:rPr>
        <w:t>116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14 </w:t>
      </w:r>
      <w:r>
        <w:rPr>
          <w:rFonts w:asciiTheme="minorHAnsi" w:hAnsiTheme="minorHAnsi"/>
          <w:noProof/>
          <w:sz w:val="22"/>
        </w:rPr>
        <w:tab/>
      </w:r>
      <w:r>
        <w:rPr>
          <w:noProof/>
        </w:rPr>
        <w:t>Appeals relating to income management, 2010 to 2013</w:t>
      </w:r>
      <w:r>
        <w:rPr>
          <w:noProof/>
        </w:rPr>
        <w:tab/>
      </w:r>
      <w:r>
        <w:rPr>
          <w:noProof/>
        </w:rPr>
        <w:fldChar w:fldCharType="begin"/>
      </w:r>
      <w:r>
        <w:rPr>
          <w:noProof/>
        </w:rPr>
        <w:instrText xml:space="preserve"> PAGEREF _Toc403739438 \h </w:instrText>
      </w:r>
      <w:r>
        <w:rPr>
          <w:noProof/>
        </w:rPr>
      </w:r>
      <w:r>
        <w:rPr>
          <w:noProof/>
        </w:rPr>
        <w:fldChar w:fldCharType="separate"/>
      </w:r>
      <w:r w:rsidR="00F612EF">
        <w:rPr>
          <w:noProof/>
        </w:rPr>
        <w:t>117</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15</w:t>
      </w:r>
      <w:r>
        <w:rPr>
          <w:rFonts w:asciiTheme="minorHAnsi" w:hAnsiTheme="minorHAnsi"/>
          <w:noProof/>
          <w:sz w:val="22"/>
        </w:rPr>
        <w:tab/>
      </w:r>
      <w:r>
        <w:rPr>
          <w:noProof/>
        </w:rPr>
        <w:t>Outcomes of appeals relating to income management by decision-making level, combined 2012 and 2013</w:t>
      </w:r>
      <w:r>
        <w:rPr>
          <w:noProof/>
        </w:rPr>
        <w:tab/>
      </w:r>
      <w:r>
        <w:rPr>
          <w:noProof/>
        </w:rPr>
        <w:fldChar w:fldCharType="begin"/>
      </w:r>
      <w:r>
        <w:rPr>
          <w:noProof/>
        </w:rPr>
        <w:instrText xml:space="preserve"> PAGEREF _Toc403739439 \h </w:instrText>
      </w:r>
      <w:r>
        <w:rPr>
          <w:noProof/>
        </w:rPr>
      </w:r>
      <w:r>
        <w:rPr>
          <w:noProof/>
        </w:rPr>
        <w:fldChar w:fldCharType="separate"/>
      </w:r>
      <w:r w:rsidR="00F612EF">
        <w:rPr>
          <w:noProof/>
        </w:rPr>
        <w:t>117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1 </w:t>
      </w:r>
      <w:r>
        <w:rPr>
          <w:rFonts w:asciiTheme="minorHAnsi" w:hAnsiTheme="minorHAnsi"/>
          <w:noProof/>
          <w:sz w:val="22"/>
        </w:rPr>
        <w:tab/>
      </w:r>
      <w:r>
        <w:rPr>
          <w:noProof/>
        </w:rPr>
        <w:t>Allocations of income managed funds to BasicsCard in the Northern Territory, October 2013</w:t>
      </w:r>
      <w:r>
        <w:rPr>
          <w:noProof/>
        </w:rPr>
        <w:tab/>
      </w:r>
      <w:r>
        <w:rPr>
          <w:noProof/>
        </w:rPr>
        <w:fldChar w:fldCharType="begin"/>
      </w:r>
      <w:r>
        <w:rPr>
          <w:noProof/>
        </w:rPr>
        <w:instrText xml:space="preserve"> PAGEREF _Toc403739440 \h </w:instrText>
      </w:r>
      <w:r>
        <w:rPr>
          <w:noProof/>
        </w:rPr>
      </w:r>
      <w:r>
        <w:rPr>
          <w:noProof/>
        </w:rPr>
        <w:fldChar w:fldCharType="separate"/>
      </w:r>
      <w:r w:rsidR="00F612EF">
        <w:rPr>
          <w:noProof/>
        </w:rPr>
        <w:t>121</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2:</w:t>
      </w:r>
      <w:r>
        <w:rPr>
          <w:rFonts w:asciiTheme="minorHAnsi" w:hAnsiTheme="minorHAnsi"/>
          <w:noProof/>
          <w:sz w:val="22"/>
        </w:rPr>
        <w:tab/>
      </w:r>
      <w:r>
        <w:rPr>
          <w:noProof/>
        </w:rPr>
        <w:t>Income managed funds allocation by type, NIM, October 2013</w:t>
      </w:r>
      <w:r>
        <w:rPr>
          <w:noProof/>
        </w:rPr>
        <w:tab/>
      </w:r>
      <w:r>
        <w:rPr>
          <w:noProof/>
        </w:rPr>
        <w:fldChar w:fldCharType="begin"/>
      </w:r>
      <w:r>
        <w:rPr>
          <w:noProof/>
        </w:rPr>
        <w:instrText xml:space="preserve"> PAGEREF _Toc403739441 \h </w:instrText>
      </w:r>
      <w:r>
        <w:rPr>
          <w:noProof/>
        </w:rPr>
      </w:r>
      <w:r>
        <w:rPr>
          <w:noProof/>
        </w:rPr>
        <w:fldChar w:fldCharType="separate"/>
      </w:r>
      <w:r w:rsidR="00F612EF">
        <w:rPr>
          <w:noProof/>
        </w:rPr>
        <w:t>124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3 </w:t>
      </w:r>
      <w:r>
        <w:rPr>
          <w:rFonts w:asciiTheme="minorHAnsi" w:hAnsiTheme="minorHAnsi"/>
          <w:noProof/>
          <w:sz w:val="22"/>
        </w:rPr>
        <w:tab/>
      </w:r>
      <w:r>
        <w:rPr>
          <w:noProof/>
        </w:rPr>
        <w:t>Use of Centrepay in addition to income management, NIM, October 2013</w:t>
      </w:r>
      <w:r>
        <w:rPr>
          <w:noProof/>
        </w:rPr>
        <w:tab/>
      </w:r>
      <w:r>
        <w:rPr>
          <w:noProof/>
        </w:rPr>
        <w:fldChar w:fldCharType="begin"/>
      </w:r>
      <w:r>
        <w:rPr>
          <w:noProof/>
        </w:rPr>
        <w:instrText xml:space="preserve"> PAGEREF _Toc403739442 \h </w:instrText>
      </w:r>
      <w:r>
        <w:rPr>
          <w:noProof/>
        </w:rPr>
      </w:r>
      <w:r>
        <w:rPr>
          <w:noProof/>
        </w:rPr>
        <w:fldChar w:fldCharType="separate"/>
      </w:r>
      <w:r w:rsidR="00F612EF">
        <w:rPr>
          <w:noProof/>
        </w:rPr>
        <w:t>125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4 </w:t>
      </w:r>
      <w:r>
        <w:rPr>
          <w:rFonts w:asciiTheme="minorHAnsi" w:hAnsiTheme="minorHAnsi"/>
          <w:noProof/>
          <w:sz w:val="22"/>
        </w:rPr>
        <w:tab/>
      </w:r>
      <w:r>
        <w:rPr>
          <w:noProof/>
        </w:rPr>
        <w:t>Number of replacement BasicsCards, by spells on income management, persons with a BasicsCard, NIM to end December 2013</w:t>
      </w:r>
      <w:r>
        <w:rPr>
          <w:noProof/>
        </w:rPr>
        <w:tab/>
      </w:r>
      <w:r>
        <w:rPr>
          <w:noProof/>
        </w:rPr>
        <w:fldChar w:fldCharType="begin"/>
      </w:r>
      <w:r>
        <w:rPr>
          <w:noProof/>
        </w:rPr>
        <w:instrText xml:space="preserve"> PAGEREF _Toc403739443 \h </w:instrText>
      </w:r>
      <w:r>
        <w:rPr>
          <w:noProof/>
        </w:rPr>
      </w:r>
      <w:r>
        <w:rPr>
          <w:noProof/>
        </w:rPr>
        <w:fldChar w:fldCharType="separate"/>
      </w:r>
      <w:r w:rsidR="00F612EF">
        <w:rPr>
          <w:noProof/>
        </w:rPr>
        <w:t>126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5</w:t>
      </w:r>
      <w:r>
        <w:rPr>
          <w:rFonts w:asciiTheme="minorHAnsi" w:hAnsiTheme="minorHAnsi"/>
          <w:noProof/>
          <w:sz w:val="22"/>
        </w:rPr>
        <w:tab/>
      </w:r>
      <w:r>
        <w:rPr>
          <w:noProof/>
        </w:rPr>
        <w:t>Number of replacement BasicsCards, persons by broad income management stream, NIM to end December 2013</w:t>
      </w:r>
      <w:r>
        <w:rPr>
          <w:noProof/>
        </w:rPr>
        <w:tab/>
      </w:r>
      <w:r>
        <w:rPr>
          <w:noProof/>
        </w:rPr>
        <w:fldChar w:fldCharType="begin"/>
      </w:r>
      <w:r>
        <w:rPr>
          <w:noProof/>
        </w:rPr>
        <w:instrText xml:space="preserve"> PAGEREF _Toc403739444 \h </w:instrText>
      </w:r>
      <w:r>
        <w:rPr>
          <w:noProof/>
        </w:rPr>
      </w:r>
      <w:r>
        <w:rPr>
          <w:noProof/>
        </w:rPr>
        <w:fldChar w:fldCharType="separate"/>
      </w:r>
      <w:r w:rsidR="00F612EF">
        <w:rPr>
          <w:noProof/>
        </w:rPr>
        <w:t>127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6</w:t>
      </w:r>
      <w:r>
        <w:rPr>
          <w:rFonts w:asciiTheme="minorHAnsi" w:hAnsiTheme="minorHAnsi"/>
          <w:noProof/>
          <w:sz w:val="22"/>
        </w:rPr>
        <w:tab/>
      </w:r>
      <w:r>
        <w:rPr>
          <w:noProof/>
        </w:rPr>
        <w:t>Characteristics of selected transactions, NIM 2013</w:t>
      </w:r>
      <w:r>
        <w:rPr>
          <w:noProof/>
        </w:rPr>
        <w:tab/>
      </w:r>
      <w:r>
        <w:rPr>
          <w:noProof/>
        </w:rPr>
        <w:fldChar w:fldCharType="begin"/>
      </w:r>
      <w:r>
        <w:rPr>
          <w:noProof/>
        </w:rPr>
        <w:instrText xml:space="preserve"> PAGEREF _Toc403739445 \h </w:instrText>
      </w:r>
      <w:r>
        <w:rPr>
          <w:noProof/>
        </w:rPr>
      </w:r>
      <w:r>
        <w:rPr>
          <w:noProof/>
        </w:rPr>
        <w:fldChar w:fldCharType="separate"/>
      </w:r>
      <w:r w:rsidR="00F612EF">
        <w:rPr>
          <w:noProof/>
        </w:rPr>
        <w:t>129</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7</w:t>
      </w:r>
      <w:r>
        <w:rPr>
          <w:rFonts w:asciiTheme="minorHAnsi" w:hAnsiTheme="minorHAnsi"/>
          <w:noProof/>
          <w:sz w:val="22"/>
        </w:rPr>
        <w:tab/>
      </w:r>
      <w:r>
        <w:rPr>
          <w:noProof/>
        </w:rPr>
        <w:t>Distribution of BasicsCard sales to people on income management in the Northern Territory by type of outlet and region, 2013</w:t>
      </w:r>
      <w:r>
        <w:rPr>
          <w:noProof/>
        </w:rPr>
        <w:tab/>
      </w:r>
      <w:r>
        <w:rPr>
          <w:noProof/>
        </w:rPr>
        <w:fldChar w:fldCharType="begin"/>
      </w:r>
      <w:r>
        <w:rPr>
          <w:noProof/>
        </w:rPr>
        <w:instrText xml:space="preserve"> PAGEREF _Toc403739446 \h </w:instrText>
      </w:r>
      <w:r>
        <w:rPr>
          <w:noProof/>
        </w:rPr>
      </w:r>
      <w:r>
        <w:rPr>
          <w:noProof/>
        </w:rPr>
        <w:fldChar w:fldCharType="separate"/>
      </w:r>
      <w:r w:rsidR="00F612EF">
        <w:rPr>
          <w:noProof/>
        </w:rPr>
        <w:t>132</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8</w:t>
      </w:r>
      <w:r>
        <w:rPr>
          <w:rFonts w:asciiTheme="minorHAnsi" w:hAnsiTheme="minorHAnsi"/>
          <w:noProof/>
          <w:sz w:val="22"/>
        </w:rPr>
        <w:tab/>
      </w:r>
      <w:r>
        <w:rPr>
          <w:noProof/>
        </w:rPr>
        <w:t>Distribution of BasicsCard sales to people on income management in the Northern Territory by type of outlet and main income management stream, 2013</w:t>
      </w:r>
      <w:r>
        <w:rPr>
          <w:noProof/>
        </w:rPr>
        <w:tab/>
      </w:r>
      <w:r>
        <w:rPr>
          <w:noProof/>
        </w:rPr>
        <w:fldChar w:fldCharType="begin"/>
      </w:r>
      <w:r>
        <w:rPr>
          <w:noProof/>
        </w:rPr>
        <w:instrText xml:space="preserve"> PAGEREF _Toc403739447 \h </w:instrText>
      </w:r>
      <w:r>
        <w:rPr>
          <w:noProof/>
        </w:rPr>
      </w:r>
      <w:r>
        <w:rPr>
          <w:noProof/>
        </w:rPr>
        <w:fldChar w:fldCharType="separate"/>
      </w:r>
      <w:r w:rsidR="00F612EF">
        <w:rPr>
          <w:noProof/>
        </w:rPr>
        <w:t>133</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9 </w:t>
      </w:r>
      <w:r>
        <w:rPr>
          <w:rFonts w:asciiTheme="minorHAnsi" w:hAnsiTheme="minorHAnsi"/>
          <w:noProof/>
          <w:sz w:val="22"/>
        </w:rPr>
        <w:tab/>
      </w:r>
      <w:r>
        <w:rPr>
          <w:noProof/>
        </w:rPr>
        <w:t>Proportion of BasicsCard sales to people on income management in the Northern Territory that fail due to inadequate funds, by type of outlet and region, 2013</w:t>
      </w:r>
      <w:r>
        <w:rPr>
          <w:noProof/>
        </w:rPr>
        <w:tab/>
      </w:r>
      <w:r>
        <w:rPr>
          <w:noProof/>
        </w:rPr>
        <w:fldChar w:fldCharType="begin"/>
      </w:r>
      <w:r>
        <w:rPr>
          <w:noProof/>
        </w:rPr>
        <w:instrText xml:space="preserve"> PAGEREF _Toc403739448 \h </w:instrText>
      </w:r>
      <w:r>
        <w:rPr>
          <w:noProof/>
        </w:rPr>
      </w:r>
      <w:r>
        <w:rPr>
          <w:noProof/>
        </w:rPr>
        <w:fldChar w:fldCharType="separate"/>
      </w:r>
      <w:r w:rsidR="00F612EF">
        <w:rPr>
          <w:noProof/>
        </w:rPr>
        <w:t>134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10</w:t>
      </w:r>
      <w:r>
        <w:rPr>
          <w:rFonts w:asciiTheme="minorHAnsi" w:hAnsiTheme="minorHAnsi"/>
          <w:noProof/>
          <w:sz w:val="22"/>
        </w:rPr>
        <w:tab/>
      </w:r>
      <w:r>
        <w:rPr>
          <w:noProof/>
        </w:rPr>
        <w:t>Ways of use of BasicsCard and related questions, LSNIM Wave 2, 2013</w:t>
      </w:r>
      <w:r>
        <w:rPr>
          <w:noProof/>
        </w:rPr>
        <w:tab/>
      </w:r>
      <w:r>
        <w:rPr>
          <w:noProof/>
        </w:rPr>
        <w:fldChar w:fldCharType="begin"/>
      </w:r>
      <w:r>
        <w:rPr>
          <w:noProof/>
        </w:rPr>
        <w:instrText xml:space="preserve"> PAGEREF _Toc403739449 \h </w:instrText>
      </w:r>
      <w:r>
        <w:rPr>
          <w:noProof/>
        </w:rPr>
      </w:r>
      <w:r>
        <w:rPr>
          <w:noProof/>
        </w:rPr>
        <w:fldChar w:fldCharType="separate"/>
      </w:r>
      <w:r w:rsidR="00F612EF">
        <w:rPr>
          <w:noProof/>
        </w:rPr>
        <w:t>135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11</w:t>
      </w:r>
      <w:r>
        <w:rPr>
          <w:rFonts w:asciiTheme="minorHAnsi" w:hAnsiTheme="minorHAnsi"/>
          <w:noProof/>
          <w:sz w:val="22"/>
        </w:rPr>
        <w:tab/>
      </w:r>
      <w:r>
        <w:rPr>
          <w:noProof/>
        </w:rPr>
        <w:t>Examples provided of cases where a respondent was either unable to buy an item or had to pay more because their available funds were on their BasicsCard, LSNIM Wave 2, 2013</w:t>
      </w:r>
      <w:r>
        <w:rPr>
          <w:noProof/>
        </w:rPr>
        <w:tab/>
      </w:r>
      <w:r>
        <w:rPr>
          <w:noProof/>
        </w:rPr>
        <w:fldChar w:fldCharType="begin"/>
      </w:r>
      <w:r>
        <w:rPr>
          <w:noProof/>
        </w:rPr>
        <w:instrText xml:space="preserve"> PAGEREF _Toc403739450 \h </w:instrText>
      </w:r>
      <w:r>
        <w:rPr>
          <w:noProof/>
        </w:rPr>
      </w:r>
      <w:r>
        <w:rPr>
          <w:noProof/>
        </w:rPr>
        <w:fldChar w:fldCharType="separate"/>
      </w:r>
      <w:r w:rsidR="00F612EF">
        <w:rPr>
          <w:noProof/>
        </w:rPr>
        <w:t>136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12:</w:t>
      </w:r>
      <w:r>
        <w:rPr>
          <w:rFonts w:asciiTheme="minorHAnsi" w:hAnsiTheme="minorHAnsi"/>
          <w:noProof/>
          <w:sz w:val="22"/>
        </w:rPr>
        <w:tab/>
      </w:r>
      <w:r>
        <w:rPr>
          <w:noProof/>
        </w:rPr>
        <w:t>Top-selling 20 individual items on BasicsCard at selected stores in the Northern Territory, 2013</w:t>
      </w:r>
      <w:r>
        <w:rPr>
          <w:noProof/>
        </w:rPr>
        <w:tab/>
      </w:r>
      <w:r>
        <w:rPr>
          <w:noProof/>
        </w:rPr>
        <w:fldChar w:fldCharType="begin"/>
      </w:r>
      <w:r>
        <w:rPr>
          <w:noProof/>
        </w:rPr>
        <w:instrText xml:space="preserve"> PAGEREF _Toc403739451 \h </w:instrText>
      </w:r>
      <w:r>
        <w:rPr>
          <w:noProof/>
        </w:rPr>
      </w:r>
      <w:r>
        <w:rPr>
          <w:noProof/>
        </w:rPr>
        <w:fldChar w:fldCharType="separate"/>
      </w:r>
      <w:r w:rsidR="00F612EF">
        <w:rPr>
          <w:noProof/>
        </w:rPr>
        <w:t>140</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13</w:t>
      </w:r>
      <w:r>
        <w:rPr>
          <w:rFonts w:asciiTheme="minorHAnsi" w:hAnsiTheme="minorHAnsi"/>
          <w:noProof/>
          <w:sz w:val="22"/>
        </w:rPr>
        <w:tab/>
      </w:r>
      <w:r>
        <w:rPr>
          <w:noProof/>
        </w:rPr>
        <w:t>Relative shares of BasicsCard and non-BasicsCard sales, excluding alcohol and tobacco at selected community stores, 2013</w:t>
      </w:r>
      <w:r>
        <w:rPr>
          <w:noProof/>
        </w:rPr>
        <w:tab/>
      </w:r>
      <w:r>
        <w:rPr>
          <w:noProof/>
        </w:rPr>
        <w:fldChar w:fldCharType="begin"/>
      </w:r>
      <w:r>
        <w:rPr>
          <w:noProof/>
        </w:rPr>
        <w:instrText xml:space="preserve"> PAGEREF _Toc403739452 \h </w:instrText>
      </w:r>
      <w:r>
        <w:rPr>
          <w:noProof/>
        </w:rPr>
      </w:r>
      <w:r>
        <w:rPr>
          <w:noProof/>
        </w:rPr>
        <w:fldChar w:fldCharType="separate"/>
      </w:r>
      <w:r w:rsidR="00F612EF">
        <w:rPr>
          <w:noProof/>
        </w:rPr>
        <w:t>142</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14 </w:t>
      </w:r>
      <w:r>
        <w:rPr>
          <w:rFonts w:asciiTheme="minorHAnsi" w:hAnsiTheme="minorHAnsi"/>
          <w:noProof/>
          <w:sz w:val="22"/>
        </w:rPr>
        <w:tab/>
      </w:r>
      <w:r>
        <w:rPr>
          <w:noProof/>
        </w:rPr>
        <w:t>Composition of sales, excluding tobacco, urban stores, 2013</w:t>
      </w:r>
      <w:r>
        <w:rPr>
          <w:noProof/>
        </w:rPr>
        <w:tab/>
      </w:r>
      <w:r>
        <w:rPr>
          <w:noProof/>
        </w:rPr>
        <w:fldChar w:fldCharType="begin"/>
      </w:r>
      <w:r>
        <w:rPr>
          <w:noProof/>
        </w:rPr>
        <w:instrText xml:space="preserve"> PAGEREF _Toc403739453 \h </w:instrText>
      </w:r>
      <w:r>
        <w:rPr>
          <w:noProof/>
        </w:rPr>
      </w:r>
      <w:r>
        <w:rPr>
          <w:noProof/>
        </w:rPr>
        <w:fldChar w:fldCharType="separate"/>
      </w:r>
      <w:r w:rsidR="00F612EF">
        <w:rPr>
          <w:noProof/>
        </w:rPr>
        <w:t>144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15</w:t>
      </w:r>
      <w:r>
        <w:rPr>
          <w:rFonts w:asciiTheme="minorHAnsi" w:hAnsiTheme="minorHAnsi"/>
          <w:noProof/>
          <w:sz w:val="22"/>
        </w:rPr>
        <w:tab/>
      </w:r>
      <w:r>
        <w:rPr>
          <w:noProof/>
        </w:rPr>
        <w:t>Spending on fruit and vegetables as a share of total food spending excluding restaurant meals, Household Expenditure Survey 2009–10</w:t>
      </w:r>
      <w:r>
        <w:rPr>
          <w:noProof/>
        </w:rPr>
        <w:tab/>
      </w:r>
      <w:r>
        <w:rPr>
          <w:noProof/>
        </w:rPr>
        <w:fldChar w:fldCharType="begin"/>
      </w:r>
      <w:r>
        <w:rPr>
          <w:noProof/>
        </w:rPr>
        <w:instrText xml:space="preserve"> PAGEREF _Toc403739454 \h </w:instrText>
      </w:r>
      <w:r>
        <w:rPr>
          <w:noProof/>
        </w:rPr>
      </w:r>
      <w:r>
        <w:rPr>
          <w:noProof/>
        </w:rPr>
        <w:fldChar w:fldCharType="separate"/>
      </w:r>
      <w:r w:rsidR="00F612EF">
        <w:rPr>
          <w:noProof/>
        </w:rPr>
        <w:t>147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16</w:t>
      </w:r>
      <w:r>
        <w:rPr>
          <w:rFonts w:asciiTheme="minorHAnsi" w:hAnsiTheme="minorHAnsi"/>
          <w:noProof/>
          <w:sz w:val="22"/>
        </w:rPr>
        <w:tab/>
      </w:r>
      <w:r>
        <w:rPr>
          <w:noProof/>
        </w:rPr>
        <w:t xml:space="preserve"> Regression analysis of the incidence of replacement of BasicsCards and transactions which fail due to insufficient funds, and changes over time, NIM</w:t>
      </w:r>
      <w:r>
        <w:rPr>
          <w:noProof/>
        </w:rPr>
        <w:tab/>
      </w:r>
      <w:r>
        <w:rPr>
          <w:noProof/>
        </w:rPr>
        <w:fldChar w:fldCharType="begin"/>
      </w:r>
      <w:r>
        <w:rPr>
          <w:noProof/>
        </w:rPr>
        <w:instrText xml:space="preserve"> PAGEREF _Toc403739455 \h </w:instrText>
      </w:r>
      <w:r>
        <w:rPr>
          <w:noProof/>
        </w:rPr>
      </w:r>
      <w:r>
        <w:rPr>
          <w:noProof/>
        </w:rPr>
        <w:fldChar w:fldCharType="separate"/>
      </w:r>
      <w:r w:rsidR="00F612EF">
        <w:rPr>
          <w:noProof/>
        </w:rPr>
        <w:t>151</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17</w:t>
      </w:r>
      <w:r>
        <w:rPr>
          <w:rFonts w:asciiTheme="minorHAnsi" w:hAnsiTheme="minorHAnsi"/>
          <w:noProof/>
          <w:sz w:val="22"/>
        </w:rPr>
        <w:tab/>
      </w:r>
      <w:r>
        <w:rPr>
          <w:noProof/>
        </w:rPr>
        <w:t>Proportion of transactions which fail due to insufficient funds, NIM, 2013</w:t>
      </w:r>
      <w:r>
        <w:rPr>
          <w:noProof/>
        </w:rPr>
        <w:tab/>
      </w:r>
      <w:r>
        <w:rPr>
          <w:noProof/>
        </w:rPr>
        <w:fldChar w:fldCharType="begin"/>
      </w:r>
      <w:r>
        <w:rPr>
          <w:noProof/>
        </w:rPr>
        <w:instrText xml:space="preserve"> PAGEREF _Toc403739456 \h </w:instrText>
      </w:r>
      <w:r>
        <w:rPr>
          <w:noProof/>
        </w:rPr>
      </w:r>
      <w:r>
        <w:rPr>
          <w:noProof/>
        </w:rPr>
        <w:fldChar w:fldCharType="separate"/>
      </w:r>
      <w:r w:rsidR="00F612EF">
        <w:rPr>
          <w:noProof/>
        </w:rPr>
        <w:t>155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18</w:t>
      </w:r>
      <w:r>
        <w:rPr>
          <w:rFonts w:asciiTheme="minorHAnsi" w:hAnsiTheme="minorHAnsi"/>
          <w:noProof/>
          <w:sz w:val="22"/>
        </w:rPr>
        <w:tab/>
      </w:r>
      <w:r>
        <w:rPr>
          <w:noProof/>
        </w:rPr>
        <w:t>Incidence of reducing purchases to have a successful transaction within five minutes of having a failed transaction, NIM, 2013</w:t>
      </w:r>
      <w:r>
        <w:rPr>
          <w:noProof/>
        </w:rPr>
        <w:tab/>
      </w:r>
      <w:r>
        <w:rPr>
          <w:noProof/>
        </w:rPr>
        <w:fldChar w:fldCharType="begin"/>
      </w:r>
      <w:r>
        <w:rPr>
          <w:noProof/>
        </w:rPr>
        <w:instrText xml:space="preserve"> PAGEREF _Toc403739457 \h </w:instrText>
      </w:r>
      <w:r>
        <w:rPr>
          <w:noProof/>
        </w:rPr>
      </w:r>
      <w:r>
        <w:rPr>
          <w:noProof/>
        </w:rPr>
        <w:fldChar w:fldCharType="separate"/>
      </w:r>
      <w:r w:rsidR="00F612EF">
        <w:rPr>
          <w:noProof/>
        </w:rPr>
        <w:t>156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19</w:t>
      </w:r>
      <w:r>
        <w:rPr>
          <w:rFonts w:asciiTheme="minorHAnsi" w:hAnsiTheme="minorHAnsi"/>
          <w:noProof/>
          <w:sz w:val="22"/>
        </w:rPr>
        <w:tab/>
      </w:r>
      <w:r>
        <w:rPr>
          <w:noProof/>
        </w:rPr>
        <w:t>‘Put back’ transactions, distributions of initial and final value and time taken, NIM, 2013</w:t>
      </w:r>
      <w:r>
        <w:rPr>
          <w:noProof/>
        </w:rPr>
        <w:tab/>
      </w:r>
      <w:r>
        <w:rPr>
          <w:noProof/>
        </w:rPr>
        <w:fldChar w:fldCharType="begin"/>
      </w:r>
      <w:r>
        <w:rPr>
          <w:noProof/>
        </w:rPr>
        <w:instrText xml:space="preserve"> PAGEREF _Toc403739458 \h </w:instrText>
      </w:r>
      <w:r>
        <w:rPr>
          <w:noProof/>
        </w:rPr>
      </w:r>
      <w:r>
        <w:rPr>
          <w:noProof/>
        </w:rPr>
        <w:fldChar w:fldCharType="separate"/>
      </w:r>
      <w:r w:rsidR="00F612EF">
        <w:rPr>
          <w:noProof/>
        </w:rPr>
        <w:t>157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20 </w:t>
      </w:r>
      <w:r>
        <w:rPr>
          <w:rFonts w:asciiTheme="minorHAnsi" w:hAnsiTheme="minorHAnsi"/>
          <w:noProof/>
          <w:sz w:val="22"/>
        </w:rPr>
        <w:tab/>
      </w:r>
      <w:r>
        <w:rPr>
          <w:noProof/>
        </w:rPr>
        <w:t>Changes in the rate of failed transactions by NIM cohort 2010 to 2013 for persons on income management in the Northern Territory, December 2013</w:t>
      </w:r>
      <w:r>
        <w:rPr>
          <w:noProof/>
        </w:rPr>
        <w:tab/>
      </w:r>
      <w:r>
        <w:rPr>
          <w:noProof/>
        </w:rPr>
        <w:fldChar w:fldCharType="begin"/>
      </w:r>
      <w:r>
        <w:rPr>
          <w:noProof/>
        </w:rPr>
        <w:instrText xml:space="preserve"> PAGEREF _Toc403739459 \h </w:instrText>
      </w:r>
      <w:r>
        <w:rPr>
          <w:noProof/>
        </w:rPr>
      </w:r>
      <w:r>
        <w:rPr>
          <w:noProof/>
        </w:rPr>
        <w:fldChar w:fldCharType="separate"/>
      </w:r>
      <w:r w:rsidR="00F612EF">
        <w:rPr>
          <w:noProof/>
        </w:rPr>
        <w:t>160</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21</w:t>
      </w:r>
      <w:r>
        <w:rPr>
          <w:rFonts w:asciiTheme="minorHAnsi" w:hAnsiTheme="minorHAnsi"/>
          <w:noProof/>
          <w:sz w:val="22"/>
        </w:rPr>
        <w:tab/>
      </w:r>
      <w:r>
        <w:rPr>
          <w:noProof/>
        </w:rPr>
        <w:t>Distribution of minimum balances in BasicsCard and income management Accounts, NIM, October 2011 and 2013</w:t>
      </w:r>
      <w:r>
        <w:rPr>
          <w:noProof/>
        </w:rPr>
        <w:tab/>
      </w:r>
      <w:r>
        <w:rPr>
          <w:noProof/>
        </w:rPr>
        <w:fldChar w:fldCharType="begin"/>
      </w:r>
      <w:r>
        <w:rPr>
          <w:noProof/>
        </w:rPr>
        <w:instrText xml:space="preserve"> PAGEREF _Toc403739460 \h </w:instrText>
      </w:r>
      <w:r>
        <w:rPr>
          <w:noProof/>
        </w:rPr>
      </w:r>
      <w:r>
        <w:rPr>
          <w:noProof/>
        </w:rPr>
        <w:fldChar w:fldCharType="separate"/>
      </w:r>
      <w:r w:rsidR="00F612EF">
        <w:rPr>
          <w:noProof/>
        </w:rPr>
        <w:t>163</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22 </w:t>
      </w:r>
      <w:r>
        <w:rPr>
          <w:rFonts w:asciiTheme="minorHAnsi" w:hAnsiTheme="minorHAnsi"/>
          <w:noProof/>
          <w:sz w:val="22"/>
        </w:rPr>
        <w:tab/>
      </w:r>
      <w:r>
        <w:rPr>
          <w:noProof/>
        </w:rPr>
        <w:t>Minimum balances, NIM, October 2011 and October 2013</w:t>
      </w:r>
      <w:r>
        <w:rPr>
          <w:noProof/>
        </w:rPr>
        <w:tab/>
      </w:r>
      <w:r>
        <w:rPr>
          <w:noProof/>
        </w:rPr>
        <w:fldChar w:fldCharType="begin"/>
      </w:r>
      <w:r>
        <w:rPr>
          <w:noProof/>
        </w:rPr>
        <w:instrText xml:space="preserve"> PAGEREF _Toc403739461 \h </w:instrText>
      </w:r>
      <w:r>
        <w:rPr>
          <w:noProof/>
        </w:rPr>
      </w:r>
      <w:r>
        <w:rPr>
          <w:noProof/>
        </w:rPr>
        <w:fldChar w:fldCharType="separate"/>
      </w:r>
      <w:r w:rsidR="00F612EF">
        <w:rPr>
          <w:noProof/>
        </w:rPr>
        <w:t>163</w:t>
      </w:r>
      <w:r>
        <w:rPr>
          <w:noProof/>
        </w:rPr>
        <w:fldChar w:fldCharType="end"/>
      </w:r>
    </w:p>
    <w:p w:rsidR="008260A2" w:rsidRDefault="008260A2">
      <w:pPr>
        <w:pStyle w:val="TableofFigures"/>
        <w:rPr>
          <w:rFonts w:asciiTheme="minorHAnsi" w:hAnsiTheme="minorHAnsi"/>
          <w:noProof/>
          <w:sz w:val="22"/>
        </w:rPr>
      </w:pPr>
      <w:r>
        <w:rPr>
          <w:noProof/>
        </w:rPr>
        <w:lastRenderedPageBreak/>
        <w:t>Table 6</w:t>
      </w:r>
      <w:r>
        <w:rPr>
          <w:noProof/>
        </w:rPr>
        <w:noBreakHyphen/>
        <w:t xml:space="preserve">23 </w:t>
      </w:r>
      <w:r>
        <w:rPr>
          <w:rFonts w:asciiTheme="minorHAnsi" w:hAnsiTheme="minorHAnsi"/>
          <w:noProof/>
          <w:sz w:val="22"/>
        </w:rPr>
        <w:tab/>
      </w:r>
      <w:r>
        <w:rPr>
          <w:noProof/>
        </w:rPr>
        <w:t>Proportion of time spent with a balance of less than $10, by broad income management streams, NIM, October 2011 and October 2013</w:t>
      </w:r>
      <w:r>
        <w:rPr>
          <w:noProof/>
        </w:rPr>
        <w:tab/>
      </w:r>
      <w:r>
        <w:rPr>
          <w:noProof/>
        </w:rPr>
        <w:fldChar w:fldCharType="begin"/>
      </w:r>
      <w:r>
        <w:rPr>
          <w:noProof/>
        </w:rPr>
        <w:instrText xml:space="preserve"> PAGEREF _Toc403739462 \h </w:instrText>
      </w:r>
      <w:r>
        <w:rPr>
          <w:noProof/>
        </w:rPr>
      </w:r>
      <w:r>
        <w:rPr>
          <w:noProof/>
        </w:rPr>
        <w:fldChar w:fldCharType="separate"/>
      </w:r>
      <w:r w:rsidR="00F612EF">
        <w:rPr>
          <w:noProof/>
        </w:rPr>
        <w:t>165</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1</w:t>
      </w:r>
      <w:r>
        <w:rPr>
          <w:rFonts w:asciiTheme="minorHAnsi" w:hAnsiTheme="minorHAnsi"/>
          <w:noProof/>
          <w:sz w:val="22"/>
        </w:rPr>
        <w:tab/>
      </w:r>
      <w:r>
        <w:rPr>
          <w:noProof/>
        </w:rPr>
        <w:t>LSNIM Quantitative Analysis Second Wave Population</w:t>
      </w:r>
      <w:r>
        <w:rPr>
          <w:noProof/>
        </w:rPr>
        <w:tab/>
      </w:r>
      <w:r>
        <w:rPr>
          <w:noProof/>
        </w:rPr>
        <w:fldChar w:fldCharType="begin"/>
      </w:r>
      <w:r>
        <w:rPr>
          <w:noProof/>
        </w:rPr>
        <w:instrText xml:space="preserve"> PAGEREF _Toc403739463 \h </w:instrText>
      </w:r>
      <w:r>
        <w:rPr>
          <w:noProof/>
        </w:rPr>
      </w:r>
      <w:r>
        <w:rPr>
          <w:noProof/>
        </w:rPr>
        <w:fldChar w:fldCharType="separate"/>
      </w:r>
      <w:r w:rsidR="00F612EF">
        <w:rPr>
          <w:noProof/>
        </w:rPr>
        <w:t>170</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2</w:t>
      </w:r>
      <w:r>
        <w:rPr>
          <w:rFonts w:asciiTheme="minorHAnsi" w:hAnsiTheme="minorHAnsi"/>
          <w:noProof/>
          <w:sz w:val="22"/>
        </w:rPr>
        <w:tab/>
      </w:r>
      <w:r>
        <w:rPr>
          <w:noProof/>
        </w:rPr>
        <w:t>Comparison of structure, LSNIM Wave 2 sample and Income managed population</w:t>
      </w:r>
      <w:r>
        <w:rPr>
          <w:noProof/>
        </w:rPr>
        <w:tab/>
      </w:r>
      <w:r>
        <w:rPr>
          <w:noProof/>
        </w:rPr>
        <w:fldChar w:fldCharType="begin"/>
      </w:r>
      <w:r>
        <w:rPr>
          <w:noProof/>
        </w:rPr>
        <w:instrText xml:space="preserve"> PAGEREF _Toc403739464 \h </w:instrText>
      </w:r>
      <w:r>
        <w:rPr>
          <w:noProof/>
        </w:rPr>
      </w:r>
      <w:r>
        <w:rPr>
          <w:noProof/>
        </w:rPr>
        <w:fldChar w:fldCharType="separate"/>
      </w:r>
      <w:r w:rsidR="00F612EF">
        <w:rPr>
          <w:noProof/>
        </w:rPr>
        <w:t>171</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3</w:t>
      </w:r>
      <w:r>
        <w:rPr>
          <w:rFonts w:asciiTheme="minorHAnsi" w:hAnsiTheme="minorHAnsi"/>
          <w:noProof/>
          <w:sz w:val="22"/>
        </w:rPr>
        <w:tab/>
      </w:r>
      <w:r>
        <w:rPr>
          <w:noProof/>
        </w:rPr>
        <w:t>Persons subject to Compulsory Income Management, aspirations in terms of remaining on or exiting the program in Waves 1 and 2 of the LSNIM (2011 and 2013), matched sample</w:t>
      </w:r>
      <w:r>
        <w:rPr>
          <w:noProof/>
        </w:rPr>
        <w:tab/>
      </w:r>
      <w:r>
        <w:rPr>
          <w:noProof/>
        </w:rPr>
        <w:fldChar w:fldCharType="begin"/>
      </w:r>
      <w:r>
        <w:rPr>
          <w:noProof/>
        </w:rPr>
        <w:instrText xml:space="preserve"> PAGEREF _Toc403739465 \h </w:instrText>
      </w:r>
      <w:r>
        <w:rPr>
          <w:noProof/>
        </w:rPr>
      </w:r>
      <w:r>
        <w:rPr>
          <w:noProof/>
        </w:rPr>
        <w:fldChar w:fldCharType="separate"/>
      </w:r>
      <w:r w:rsidR="00F612EF">
        <w:rPr>
          <w:noProof/>
        </w:rPr>
        <w:t>175</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4</w:t>
      </w:r>
      <w:r>
        <w:rPr>
          <w:rFonts w:asciiTheme="minorHAnsi" w:hAnsiTheme="minorHAnsi"/>
          <w:noProof/>
          <w:sz w:val="22"/>
        </w:rPr>
        <w:tab/>
      </w:r>
      <w:r>
        <w:rPr>
          <w:noProof/>
        </w:rPr>
        <w:t>Views as to whether or not all people should be subject to income management, LSNIM, Wave 2, 2013</w:t>
      </w:r>
      <w:r>
        <w:rPr>
          <w:noProof/>
        </w:rPr>
        <w:tab/>
      </w:r>
      <w:r>
        <w:rPr>
          <w:noProof/>
        </w:rPr>
        <w:fldChar w:fldCharType="begin"/>
      </w:r>
      <w:r>
        <w:rPr>
          <w:noProof/>
        </w:rPr>
        <w:instrText xml:space="preserve"> PAGEREF _Toc403739466 \h </w:instrText>
      </w:r>
      <w:r>
        <w:rPr>
          <w:noProof/>
        </w:rPr>
      </w:r>
      <w:r>
        <w:rPr>
          <w:noProof/>
        </w:rPr>
        <w:fldChar w:fldCharType="separate"/>
      </w:r>
      <w:r w:rsidR="00F612EF">
        <w:rPr>
          <w:noProof/>
        </w:rPr>
        <w:t>177</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5</w:t>
      </w:r>
      <w:r>
        <w:rPr>
          <w:rFonts w:asciiTheme="minorHAnsi" w:hAnsiTheme="minorHAnsi"/>
          <w:noProof/>
          <w:sz w:val="22"/>
        </w:rPr>
        <w:tab/>
      </w:r>
      <w:r>
        <w:rPr>
          <w:noProof/>
        </w:rPr>
        <w:t>Frequency of feeling about aspects of life while subject to income management, positive outcomes, LSNIM, Wave 2, 2013</w:t>
      </w:r>
      <w:r>
        <w:rPr>
          <w:noProof/>
        </w:rPr>
        <w:tab/>
      </w:r>
      <w:r>
        <w:rPr>
          <w:noProof/>
        </w:rPr>
        <w:fldChar w:fldCharType="begin"/>
      </w:r>
      <w:r>
        <w:rPr>
          <w:noProof/>
        </w:rPr>
        <w:instrText xml:space="preserve"> PAGEREF _Toc403739467 \h </w:instrText>
      </w:r>
      <w:r>
        <w:rPr>
          <w:noProof/>
        </w:rPr>
      </w:r>
      <w:r>
        <w:rPr>
          <w:noProof/>
        </w:rPr>
        <w:fldChar w:fldCharType="separate"/>
      </w:r>
      <w:r w:rsidR="00F612EF">
        <w:rPr>
          <w:noProof/>
        </w:rPr>
        <w:t>181</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6</w:t>
      </w:r>
      <w:r>
        <w:rPr>
          <w:rFonts w:asciiTheme="minorHAnsi" w:hAnsiTheme="minorHAnsi"/>
          <w:noProof/>
          <w:sz w:val="22"/>
        </w:rPr>
        <w:tab/>
      </w:r>
      <w:r>
        <w:rPr>
          <w:noProof/>
        </w:rPr>
        <w:t>Frequency of feeling about aspects of life while subject to income management, negative outcomes, LSNIM, Wave 2, 2013</w:t>
      </w:r>
      <w:r>
        <w:rPr>
          <w:noProof/>
        </w:rPr>
        <w:tab/>
      </w:r>
      <w:r>
        <w:rPr>
          <w:noProof/>
        </w:rPr>
        <w:fldChar w:fldCharType="begin"/>
      </w:r>
      <w:r>
        <w:rPr>
          <w:noProof/>
        </w:rPr>
        <w:instrText xml:space="preserve"> PAGEREF _Toc403739468 \h </w:instrText>
      </w:r>
      <w:r>
        <w:rPr>
          <w:noProof/>
        </w:rPr>
      </w:r>
      <w:r>
        <w:rPr>
          <w:noProof/>
        </w:rPr>
        <w:fldChar w:fldCharType="separate"/>
      </w:r>
      <w:r w:rsidR="00F612EF">
        <w:rPr>
          <w:noProof/>
        </w:rPr>
        <w:t>182</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7</w:t>
      </w:r>
      <w:r>
        <w:rPr>
          <w:rFonts w:asciiTheme="minorHAnsi" w:hAnsiTheme="minorHAnsi"/>
          <w:noProof/>
          <w:sz w:val="22"/>
        </w:rPr>
        <w:tab/>
      </w:r>
      <w:r>
        <w:rPr>
          <w:noProof/>
        </w:rPr>
        <w:t>Persons who have exited Compulsory Income Management, reflections on impact of being on the program, LSNIM, Wave 2, 2013</w:t>
      </w:r>
      <w:r>
        <w:rPr>
          <w:noProof/>
        </w:rPr>
        <w:tab/>
      </w:r>
      <w:r>
        <w:rPr>
          <w:noProof/>
        </w:rPr>
        <w:fldChar w:fldCharType="begin"/>
      </w:r>
      <w:r>
        <w:rPr>
          <w:noProof/>
        </w:rPr>
        <w:instrText xml:space="preserve"> PAGEREF _Toc403739469 \h </w:instrText>
      </w:r>
      <w:r>
        <w:rPr>
          <w:noProof/>
        </w:rPr>
      </w:r>
      <w:r>
        <w:rPr>
          <w:noProof/>
        </w:rPr>
        <w:fldChar w:fldCharType="separate"/>
      </w:r>
      <w:r w:rsidR="00F612EF">
        <w:rPr>
          <w:noProof/>
        </w:rPr>
        <w:t>183</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8</w:t>
      </w:r>
      <w:r>
        <w:rPr>
          <w:rFonts w:asciiTheme="minorHAnsi" w:hAnsiTheme="minorHAnsi"/>
          <w:noProof/>
          <w:sz w:val="22"/>
        </w:rPr>
        <w:tab/>
      </w:r>
      <w:r>
        <w:rPr>
          <w:noProof/>
        </w:rPr>
        <w:t>Difference in Difference analysis of whether or not alcohol, drugs and gambling are a family problem, change between Waves 1 and 2 of the LSNIM (2011 to 2013) for people subject to income management</w:t>
      </w:r>
      <w:r>
        <w:rPr>
          <w:noProof/>
        </w:rPr>
        <w:tab/>
      </w:r>
      <w:r>
        <w:rPr>
          <w:noProof/>
        </w:rPr>
        <w:fldChar w:fldCharType="begin"/>
      </w:r>
      <w:r>
        <w:rPr>
          <w:noProof/>
        </w:rPr>
        <w:instrText xml:space="preserve"> PAGEREF _Toc403739470 \h </w:instrText>
      </w:r>
      <w:r>
        <w:rPr>
          <w:noProof/>
        </w:rPr>
      </w:r>
      <w:r>
        <w:rPr>
          <w:noProof/>
        </w:rPr>
        <w:fldChar w:fldCharType="separate"/>
      </w:r>
      <w:r w:rsidR="00F612EF">
        <w:rPr>
          <w:noProof/>
        </w:rPr>
        <w:t>186</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 xml:space="preserve">9 </w:t>
      </w:r>
      <w:r>
        <w:rPr>
          <w:rFonts w:asciiTheme="minorHAnsi" w:hAnsiTheme="minorHAnsi"/>
          <w:noProof/>
          <w:sz w:val="22"/>
        </w:rPr>
        <w:tab/>
      </w:r>
      <w:r>
        <w:rPr>
          <w:noProof/>
        </w:rPr>
        <w:t>Difference in difference analysis of the perceived incidence of problems at the community/location level, change between Waves 1 and 2 of the LSNIM (2011 to 2013) for people subject to income management</w:t>
      </w:r>
      <w:r>
        <w:rPr>
          <w:noProof/>
        </w:rPr>
        <w:tab/>
      </w:r>
      <w:r>
        <w:rPr>
          <w:noProof/>
        </w:rPr>
        <w:fldChar w:fldCharType="begin"/>
      </w:r>
      <w:r>
        <w:rPr>
          <w:noProof/>
        </w:rPr>
        <w:instrText xml:space="preserve"> PAGEREF _Toc403739471 \h </w:instrText>
      </w:r>
      <w:r>
        <w:rPr>
          <w:noProof/>
        </w:rPr>
      </w:r>
      <w:r>
        <w:rPr>
          <w:noProof/>
        </w:rPr>
        <w:fldChar w:fldCharType="separate"/>
      </w:r>
      <w:r w:rsidR="00F612EF">
        <w:rPr>
          <w:noProof/>
        </w:rPr>
        <w:t>187</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 xml:space="preserve">10 </w:t>
      </w:r>
      <w:r>
        <w:rPr>
          <w:rFonts w:asciiTheme="minorHAnsi" w:hAnsiTheme="minorHAnsi"/>
          <w:noProof/>
          <w:sz w:val="22"/>
        </w:rPr>
        <w:tab/>
      </w:r>
      <w:r>
        <w:rPr>
          <w:noProof/>
        </w:rPr>
        <w:t>Difference in difference analysis of absence of specific adverse financial outcomes, before income management to Wave 2 (pre-income management, 2013)</w:t>
      </w:r>
      <w:r>
        <w:rPr>
          <w:noProof/>
        </w:rPr>
        <w:tab/>
      </w:r>
      <w:r>
        <w:rPr>
          <w:noProof/>
        </w:rPr>
        <w:fldChar w:fldCharType="begin"/>
      </w:r>
      <w:r>
        <w:rPr>
          <w:noProof/>
        </w:rPr>
        <w:instrText xml:space="preserve"> PAGEREF _Toc403739472 \h </w:instrText>
      </w:r>
      <w:r>
        <w:rPr>
          <w:noProof/>
        </w:rPr>
      </w:r>
      <w:r>
        <w:rPr>
          <w:noProof/>
        </w:rPr>
        <w:fldChar w:fldCharType="separate"/>
      </w:r>
      <w:r w:rsidR="00F612EF">
        <w:rPr>
          <w:noProof/>
        </w:rPr>
        <w:t>190</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11</w:t>
      </w:r>
      <w:r>
        <w:rPr>
          <w:rFonts w:asciiTheme="minorHAnsi" w:hAnsiTheme="minorHAnsi"/>
          <w:noProof/>
          <w:sz w:val="22"/>
        </w:rPr>
        <w:tab/>
      </w:r>
      <w:r>
        <w:rPr>
          <w:noProof/>
        </w:rPr>
        <w:t>Difference in difference analysis of feelings about income management, change between Waves 1 and 2 (2011, 2013)</w:t>
      </w:r>
      <w:r>
        <w:rPr>
          <w:noProof/>
        </w:rPr>
        <w:tab/>
      </w:r>
      <w:r>
        <w:rPr>
          <w:noProof/>
        </w:rPr>
        <w:fldChar w:fldCharType="begin"/>
      </w:r>
      <w:r>
        <w:rPr>
          <w:noProof/>
        </w:rPr>
        <w:instrText xml:space="preserve"> PAGEREF _Toc403739473 \h </w:instrText>
      </w:r>
      <w:r>
        <w:rPr>
          <w:noProof/>
        </w:rPr>
      </w:r>
      <w:r>
        <w:rPr>
          <w:noProof/>
        </w:rPr>
        <w:fldChar w:fldCharType="separate"/>
      </w:r>
      <w:r w:rsidR="00F612EF">
        <w:rPr>
          <w:noProof/>
        </w:rPr>
        <w:t>191</w:t>
      </w:r>
      <w:r>
        <w:rPr>
          <w:noProof/>
        </w:rPr>
        <w:fldChar w:fldCharType="end"/>
      </w:r>
    </w:p>
    <w:p w:rsidR="008260A2" w:rsidRDefault="008260A2">
      <w:pPr>
        <w:pStyle w:val="TableofFigures"/>
        <w:rPr>
          <w:rFonts w:asciiTheme="minorHAnsi" w:hAnsiTheme="minorHAnsi"/>
          <w:noProof/>
          <w:sz w:val="22"/>
        </w:rPr>
      </w:pPr>
      <w:r>
        <w:rPr>
          <w:noProof/>
        </w:rPr>
        <w:t>Table 8</w:t>
      </w:r>
      <w:r>
        <w:rPr>
          <w:noProof/>
        </w:rPr>
        <w:noBreakHyphen/>
        <w:t>1</w:t>
      </w:r>
      <w:r>
        <w:rPr>
          <w:rFonts w:asciiTheme="minorHAnsi" w:hAnsiTheme="minorHAnsi"/>
          <w:noProof/>
          <w:sz w:val="22"/>
        </w:rPr>
        <w:tab/>
      </w:r>
      <w:r>
        <w:rPr>
          <w:noProof/>
        </w:rPr>
        <w:t>Number of qualitative interviews, 2013 and 2014</w:t>
      </w:r>
      <w:r>
        <w:rPr>
          <w:noProof/>
        </w:rPr>
        <w:tab/>
      </w:r>
      <w:r>
        <w:rPr>
          <w:noProof/>
        </w:rPr>
        <w:fldChar w:fldCharType="begin"/>
      </w:r>
      <w:r>
        <w:rPr>
          <w:noProof/>
        </w:rPr>
        <w:instrText xml:space="preserve"> PAGEREF _Toc403739474 \h </w:instrText>
      </w:r>
      <w:r>
        <w:rPr>
          <w:noProof/>
        </w:rPr>
      </w:r>
      <w:r>
        <w:rPr>
          <w:noProof/>
        </w:rPr>
        <w:fldChar w:fldCharType="separate"/>
      </w:r>
      <w:r w:rsidR="00F612EF">
        <w:rPr>
          <w:noProof/>
        </w:rPr>
        <w:t>194</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1</w:t>
      </w:r>
      <w:r>
        <w:rPr>
          <w:rFonts w:asciiTheme="minorHAnsi" w:hAnsiTheme="minorHAnsi"/>
          <w:noProof/>
          <w:sz w:val="22"/>
        </w:rPr>
        <w:tab/>
      </w:r>
      <w:r>
        <w:rPr>
          <w:noProof/>
        </w:rPr>
        <w:t>Child health and wellbeing measures and data sources</w:t>
      </w:r>
      <w:r>
        <w:rPr>
          <w:noProof/>
        </w:rPr>
        <w:tab/>
      </w:r>
      <w:r>
        <w:rPr>
          <w:noProof/>
        </w:rPr>
        <w:fldChar w:fldCharType="begin"/>
      </w:r>
      <w:r>
        <w:rPr>
          <w:noProof/>
        </w:rPr>
        <w:instrText xml:space="preserve"> PAGEREF _Toc403739475 \h </w:instrText>
      </w:r>
      <w:r>
        <w:rPr>
          <w:noProof/>
        </w:rPr>
      </w:r>
      <w:r>
        <w:rPr>
          <w:noProof/>
        </w:rPr>
        <w:fldChar w:fldCharType="separate"/>
      </w:r>
      <w:r w:rsidR="00F612EF">
        <w:rPr>
          <w:noProof/>
        </w:rPr>
        <w:t>211</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2</w:t>
      </w:r>
      <w:r>
        <w:rPr>
          <w:rFonts w:asciiTheme="minorHAnsi" w:hAnsiTheme="minorHAnsi"/>
          <w:noProof/>
          <w:sz w:val="22"/>
        </w:rPr>
        <w:tab/>
      </w:r>
      <w:r>
        <w:rPr>
          <w:noProof/>
        </w:rPr>
        <w:t>Proportion of children developmentally vulnerable by AEDI domain, Northern Territory and Australia, 2009 and 2012</w:t>
      </w:r>
      <w:r>
        <w:rPr>
          <w:noProof/>
        </w:rPr>
        <w:tab/>
      </w:r>
      <w:r>
        <w:rPr>
          <w:noProof/>
        </w:rPr>
        <w:fldChar w:fldCharType="begin"/>
      </w:r>
      <w:r>
        <w:rPr>
          <w:noProof/>
        </w:rPr>
        <w:instrText xml:space="preserve"> PAGEREF _Toc403739476 \h </w:instrText>
      </w:r>
      <w:r>
        <w:rPr>
          <w:noProof/>
        </w:rPr>
      </w:r>
      <w:r>
        <w:rPr>
          <w:noProof/>
        </w:rPr>
        <w:fldChar w:fldCharType="separate"/>
      </w:r>
      <w:r w:rsidR="00F612EF">
        <w:rPr>
          <w:noProof/>
        </w:rPr>
        <w:t>212</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3</w:t>
      </w:r>
      <w:r>
        <w:rPr>
          <w:rFonts w:asciiTheme="minorHAnsi" w:hAnsiTheme="minorHAnsi"/>
          <w:noProof/>
          <w:sz w:val="22"/>
        </w:rPr>
        <w:tab/>
      </w:r>
      <w:r>
        <w:rPr>
          <w:noProof/>
        </w:rPr>
        <w:t>Achievement of Years 3, 5, 7 and 9 Indigenous students in the Northern Territory, NAPLAN, 2008–2013</w:t>
      </w:r>
      <w:r>
        <w:rPr>
          <w:noProof/>
        </w:rPr>
        <w:tab/>
      </w:r>
      <w:r>
        <w:rPr>
          <w:noProof/>
        </w:rPr>
        <w:fldChar w:fldCharType="begin"/>
      </w:r>
      <w:r>
        <w:rPr>
          <w:noProof/>
        </w:rPr>
        <w:instrText xml:space="preserve"> PAGEREF _Toc403739477 \h </w:instrText>
      </w:r>
      <w:r>
        <w:rPr>
          <w:noProof/>
        </w:rPr>
      </w:r>
      <w:r>
        <w:rPr>
          <w:noProof/>
        </w:rPr>
        <w:fldChar w:fldCharType="separate"/>
      </w:r>
      <w:r w:rsidR="00F612EF">
        <w:rPr>
          <w:noProof/>
        </w:rPr>
        <w:t>217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4</w:t>
      </w:r>
      <w:r>
        <w:rPr>
          <w:rFonts w:asciiTheme="minorHAnsi" w:hAnsiTheme="minorHAnsi"/>
          <w:noProof/>
          <w:sz w:val="22"/>
        </w:rPr>
        <w:tab/>
      </w:r>
      <w:r>
        <w:rPr>
          <w:noProof/>
        </w:rPr>
        <w:t>Achievement of Years 3, 5, 7 and 9 Indigenous students Australia, NAPLAN, 2008–2013</w:t>
      </w:r>
      <w:r>
        <w:rPr>
          <w:noProof/>
        </w:rPr>
        <w:tab/>
      </w:r>
      <w:r>
        <w:rPr>
          <w:noProof/>
        </w:rPr>
        <w:fldChar w:fldCharType="begin"/>
      </w:r>
      <w:r>
        <w:rPr>
          <w:noProof/>
        </w:rPr>
        <w:instrText xml:space="preserve"> PAGEREF _Toc403739478 \h </w:instrText>
      </w:r>
      <w:r>
        <w:rPr>
          <w:noProof/>
        </w:rPr>
      </w:r>
      <w:r>
        <w:rPr>
          <w:noProof/>
        </w:rPr>
        <w:fldChar w:fldCharType="separate"/>
      </w:r>
      <w:r w:rsidR="00F612EF">
        <w:rPr>
          <w:noProof/>
        </w:rPr>
        <w:t>218</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5</w:t>
      </w:r>
      <w:r>
        <w:rPr>
          <w:rFonts w:asciiTheme="minorHAnsi" w:hAnsiTheme="minorHAnsi"/>
          <w:noProof/>
          <w:sz w:val="22"/>
        </w:rPr>
        <w:tab/>
      </w:r>
      <w:r>
        <w:rPr>
          <w:noProof/>
        </w:rPr>
        <w:t>Proportion of children having a disability by gender and Indigenous status, Northern Territory and Australia, Census, 2006 and 2011</w:t>
      </w:r>
      <w:r>
        <w:rPr>
          <w:noProof/>
        </w:rPr>
        <w:tab/>
      </w:r>
      <w:r>
        <w:rPr>
          <w:noProof/>
        </w:rPr>
        <w:fldChar w:fldCharType="begin"/>
      </w:r>
      <w:r>
        <w:rPr>
          <w:noProof/>
        </w:rPr>
        <w:instrText xml:space="preserve"> PAGEREF _Toc403739479 \h </w:instrText>
      </w:r>
      <w:r>
        <w:rPr>
          <w:noProof/>
        </w:rPr>
      </w:r>
      <w:r>
        <w:rPr>
          <w:noProof/>
        </w:rPr>
        <w:fldChar w:fldCharType="separate"/>
      </w:r>
      <w:r w:rsidR="00F612EF">
        <w:rPr>
          <w:noProof/>
        </w:rPr>
        <w:t>225</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6</w:t>
      </w:r>
      <w:r>
        <w:rPr>
          <w:rFonts w:asciiTheme="minorHAnsi" w:hAnsiTheme="minorHAnsi"/>
          <w:noProof/>
          <w:sz w:val="22"/>
        </w:rPr>
        <w:tab/>
      </w:r>
      <w:r>
        <w:rPr>
          <w:noProof/>
        </w:rPr>
        <w:t>Diet of children aged 12 to 17 years, Indigenous by remoteness, Northern Territory, 2004-05 and 2012-13</w:t>
      </w:r>
      <w:r>
        <w:rPr>
          <w:noProof/>
        </w:rPr>
        <w:tab/>
      </w:r>
      <w:r>
        <w:rPr>
          <w:noProof/>
        </w:rPr>
        <w:fldChar w:fldCharType="begin"/>
      </w:r>
      <w:r>
        <w:rPr>
          <w:noProof/>
        </w:rPr>
        <w:instrText xml:space="preserve"> PAGEREF _Toc403739480 \h </w:instrText>
      </w:r>
      <w:r>
        <w:rPr>
          <w:noProof/>
        </w:rPr>
      </w:r>
      <w:r>
        <w:rPr>
          <w:noProof/>
        </w:rPr>
        <w:fldChar w:fldCharType="separate"/>
      </w:r>
      <w:r w:rsidR="00F612EF">
        <w:rPr>
          <w:noProof/>
        </w:rPr>
        <w:t>226</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7</w:t>
      </w:r>
      <w:r>
        <w:rPr>
          <w:rFonts w:asciiTheme="minorHAnsi" w:hAnsiTheme="minorHAnsi"/>
          <w:noProof/>
          <w:sz w:val="22"/>
        </w:rPr>
        <w:tab/>
      </w:r>
      <w:r>
        <w:rPr>
          <w:noProof/>
        </w:rPr>
        <w:t>Distribution of Body Mass Index for Indigenous children aged 15 to 17 years by gender, Northern Territory, 2004-05 and 2012-13</w:t>
      </w:r>
      <w:r>
        <w:rPr>
          <w:noProof/>
        </w:rPr>
        <w:tab/>
      </w:r>
      <w:r>
        <w:rPr>
          <w:noProof/>
        </w:rPr>
        <w:fldChar w:fldCharType="begin"/>
      </w:r>
      <w:r>
        <w:rPr>
          <w:noProof/>
        </w:rPr>
        <w:instrText xml:space="preserve"> PAGEREF _Toc403739481 \h </w:instrText>
      </w:r>
      <w:r>
        <w:rPr>
          <w:noProof/>
        </w:rPr>
      </w:r>
      <w:r>
        <w:rPr>
          <w:noProof/>
        </w:rPr>
        <w:fldChar w:fldCharType="separate"/>
      </w:r>
      <w:r w:rsidR="00F612EF">
        <w:rPr>
          <w:noProof/>
        </w:rPr>
        <w:t>227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8</w:t>
      </w:r>
      <w:r>
        <w:rPr>
          <w:rFonts w:asciiTheme="minorHAnsi" w:hAnsiTheme="minorHAnsi"/>
          <w:noProof/>
          <w:sz w:val="22"/>
        </w:rPr>
        <w:tab/>
      </w:r>
      <w:r>
        <w:rPr>
          <w:noProof/>
        </w:rPr>
        <w:t>Age-standardised hospitalisation rates of Indigenous children aged 0–14 years by diagnoses, Northern Territory, 2006-07–2010-11</w:t>
      </w:r>
      <w:r>
        <w:rPr>
          <w:noProof/>
        </w:rPr>
        <w:tab/>
      </w:r>
      <w:r>
        <w:rPr>
          <w:noProof/>
        </w:rPr>
        <w:fldChar w:fldCharType="begin"/>
      </w:r>
      <w:r>
        <w:rPr>
          <w:noProof/>
        </w:rPr>
        <w:instrText xml:space="preserve"> PAGEREF _Toc403739482 \h </w:instrText>
      </w:r>
      <w:r>
        <w:rPr>
          <w:noProof/>
        </w:rPr>
      </w:r>
      <w:r>
        <w:rPr>
          <w:noProof/>
        </w:rPr>
        <w:fldChar w:fldCharType="separate"/>
      </w:r>
      <w:r w:rsidR="00F612EF">
        <w:rPr>
          <w:noProof/>
        </w:rPr>
        <w:t>227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9</w:t>
      </w:r>
      <w:r>
        <w:rPr>
          <w:rFonts w:asciiTheme="minorHAnsi" w:hAnsiTheme="minorHAnsi"/>
          <w:noProof/>
          <w:sz w:val="22"/>
        </w:rPr>
        <w:tab/>
      </w:r>
      <w:r>
        <w:rPr>
          <w:noProof/>
        </w:rPr>
        <w:t>Child Protection Indicators, Northern Territory, 2006-07–2010-11</w:t>
      </w:r>
      <w:r>
        <w:rPr>
          <w:noProof/>
        </w:rPr>
        <w:tab/>
      </w:r>
      <w:r>
        <w:rPr>
          <w:noProof/>
        </w:rPr>
        <w:fldChar w:fldCharType="begin"/>
      </w:r>
      <w:r>
        <w:rPr>
          <w:noProof/>
        </w:rPr>
        <w:instrText xml:space="preserve"> PAGEREF _Toc403739483 \h </w:instrText>
      </w:r>
      <w:r>
        <w:rPr>
          <w:noProof/>
        </w:rPr>
      </w:r>
      <w:r>
        <w:rPr>
          <w:noProof/>
        </w:rPr>
        <w:fldChar w:fldCharType="separate"/>
      </w:r>
      <w:r w:rsidR="00F612EF">
        <w:rPr>
          <w:noProof/>
        </w:rPr>
        <w:t>228</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10</w:t>
      </w:r>
      <w:r>
        <w:rPr>
          <w:rFonts w:asciiTheme="minorHAnsi" w:hAnsiTheme="minorHAnsi"/>
          <w:noProof/>
          <w:sz w:val="22"/>
        </w:rPr>
        <w:tab/>
      </w:r>
      <w:r>
        <w:rPr>
          <w:noProof/>
        </w:rPr>
        <w:t>Rates of self-reported smoking and risky alcohol consumption by Indigenous adults in the Northern Territory, 2004-05 and 2012-13</w:t>
      </w:r>
      <w:r>
        <w:rPr>
          <w:noProof/>
        </w:rPr>
        <w:tab/>
      </w:r>
      <w:r>
        <w:rPr>
          <w:noProof/>
        </w:rPr>
        <w:fldChar w:fldCharType="begin"/>
      </w:r>
      <w:r>
        <w:rPr>
          <w:noProof/>
        </w:rPr>
        <w:instrText xml:space="preserve"> PAGEREF _Toc403739484 \h </w:instrText>
      </w:r>
      <w:r>
        <w:rPr>
          <w:noProof/>
        </w:rPr>
      </w:r>
      <w:r>
        <w:rPr>
          <w:noProof/>
        </w:rPr>
        <w:fldChar w:fldCharType="separate"/>
      </w:r>
      <w:r w:rsidR="00F612EF">
        <w:rPr>
          <w:noProof/>
        </w:rPr>
        <w:t>232</w:t>
      </w:r>
      <w:r>
        <w:rPr>
          <w:noProof/>
        </w:rPr>
        <w:fldChar w:fldCharType="end"/>
      </w:r>
    </w:p>
    <w:p w:rsidR="008260A2" w:rsidRDefault="008260A2">
      <w:pPr>
        <w:pStyle w:val="TableofFigures"/>
        <w:rPr>
          <w:rFonts w:asciiTheme="minorHAnsi" w:hAnsiTheme="minorHAnsi"/>
          <w:noProof/>
          <w:sz w:val="22"/>
        </w:rPr>
      </w:pPr>
      <w:r>
        <w:rPr>
          <w:noProof/>
        </w:rPr>
        <w:t>Table 11</w:t>
      </w:r>
      <w:r>
        <w:rPr>
          <w:noProof/>
        </w:rPr>
        <w:noBreakHyphen/>
        <w:t>1</w:t>
      </w:r>
      <w:r>
        <w:rPr>
          <w:rFonts w:asciiTheme="minorHAnsi" w:hAnsiTheme="minorHAnsi"/>
          <w:noProof/>
          <w:sz w:val="22"/>
        </w:rPr>
        <w:tab/>
      </w:r>
      <w:r>
        <w:rPr>
          <w:noProof/>
        </w:rPr>
        <w:t>Persons who have been on Voluntary Income Management or are currently on income management in the Northern Territory, whether ever been on Voluntary Income Management and current income management status, December 2013</w:t>
      </w:r>
      <w:r>
        <w:rPr>
          <w:noProof/>
        </w:rPr>
        <w:tab/>
      </w:r>
      <w:r>
        <w:rPr>
          <w:noProof/>
        </w:rPr>
        <w:fldChar w:fldCharType="begin"/>
      </w:r>
      <w:r>
        <w:rPr>
          <w:noProof/>
        </w:rPr>
        <w:instrText xml:space="preserve"> PAGEREF _Toc403739485 \h </w:instrText>
      </w:r>
      <w:r>
        <w:rPr>
          <w:noProof/>
        </w:rPr>
      </w:r>
      <w:r>
        <w:rPr>
          <w:noProof/>
        </w:rPr>
        <w:fldChar w:fldCharType="separate"/>
      </w:r>
      <w:r w:rsidR="00F612EF">
        <w:rPr>
          <w:noProof/>
        </w:rPr>
        <w:t>259</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 xml:space="preserve">1 </w:t>
      </w:r>
      <w:r>
        <w:rPr>
          <w:rFonts w:asciiTheme="minorHAnsi" w:hAnsiTheme="minorHAnsi"/>
          <w:noProof/>
          <w:sz w:val="22"/>
        </w:rPr>
        <w:tab/>
      </w:r>
      <w:r>
        <w:rPr>
          <w:noProof/>
        </w:rPr>
        <w:t>Types of data collected about the assessed Vulnerable Income Management measure</w:t>
      </w:r>
      <w:r>
        <w:rPr>
          <w:noProof/>
        </w:rPr>
        <w:tab/>
      </w:r>
      <w:r>
        <w:rPr>
          <w:noProof/>
        </w:rPr>
        <w:fldChar w:fldCharType="begin"/>
      </w:r>
      <w:r>
        <w:rPr>
          <w:noProof/>
        </w:rPr>
        <w:instrText xml:space="preserve"> PAGEREF _Toc403739486 \h </w:instrText>
      </w:r>
      <w:r>
        <w:rPr>
          <w:noProof/>
        </w:rPr>
      </w:r>
      <w:r>
        <w:rPr>
          <w:noProof/>
        </w:rPr>
        <w:fldChar w:fldCharType="separate"/>
      </w:r>
      <w:r w:rsidR="00F612EF">
        <w:rPr>
          <w:noProof/>
        </w:rPr>
        <w:t>266</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2</w:t>
      </w:r>
      <w:r>
        <w:rPr>
          <w:rFonts w:asciiTheme="minorHAnsi" w:hAnsiTheme="minorHAnsi"/>
          <w:noProof/>
          <w:sz w:val="22"/>
        </w:rPr>
        <w:tab/>
      </w:r>
      <w:r>
        <w:rPr>
          <w:noProof/>
        </w:rPr>
        <w:t>Demographic characteristics of the assessment report review sample</w:t>
      </w:r>
      <w:r>
        <w:rPr>
          <w:noProof/>
        </w:rPr>
        <w:tab/>
      </w:r>
      <w:r>
        <w:rPr>
          <w:noProof/>
        </w:rPr>
        <w:fldChar w:fldCharType="begin"/>
      </w:r>
      <w:r>
        <w:rPr>
          <w:noProof/>
        </w:rPr>
        <w:instrText xml:space="preserve"> PAGEREF _Toc403739487 \h </w:instrText>
      </w:r>
      <w:r>
        <w:rPr>
          <w:noProof/>
        </w:rPr>
      </w:r>
      <w:r>
        <w:rPr>
          <w:noProof/>
        </w:rPr>
        <w:fldChar w:fldCharType="separate"/>
      </w:r>
      <w:r w:rsidR="00F612EF">
        <w:rPr>
          <w:noProof/>
        </w:rPr>
        <w:t>267</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3</w:t>
      </w:r>
      <w:r>
        <w:rPr>
          <w:rFonts w:asciiTheme="minorHAnsi" w:hAnsiTheme="minorHAnsi"/>
          <w:noProof/>
          <w:sz w:val="22"/>
        </w:rPr>
        <w:tab/>
      </w:r>
      <w:r>
        <w:rPr>
          <w:noProof/>
        </w:rPr>
        <w:t>Vulnerabilities identified for people subject to assessments as part of the assessment review</w:t>
      </w:r>
      <w:r>
        <w:rPr>
          <w:noProof/>
        </w:rPr>
        <w:tab/>
      </w:r>
      <w:r>
        <w:rPr>
          <w:noProof/>
        </w:rPr>
        <w:fldChar w:fldCharType="begin"/>
      </w:r>
      <w:r>
        <w:rPr>
          <w:noProof/>
        </w:rPr>
        <w:instrText xml:space="preserve"> PAGEREF _Toc403739488 \h </w:instrText>
      </w:r>
      <w:r>
        <w:rPr>
          <w:noProof/>
        </w:rPr>
      </w:r>
      <w:r>
        <w:rPr>
          <w:noProof/>
        </w:rPr>
        <w:fldChar w:fldCharType="separate"/>
      </w:r>
      <w:r w:rsidR="00F612EF">
        <w:rPr>
          <w:noProof/>
        </w:rPr>
        <w:t>271</w:t>
      </w:r>
      <w:r>
        <w:rPr>
          <w:noProof/>
        </w:rPr>
        <w:fldChar w:fldCharType="end"/>
      </w:r>
    </w:p>
    <w:p w:rsidR="008260A2" w:rsidRDefault="008260A2">
      <w:pPr>
        <w:pStyle w:val="TableofFigures"/>
        <w:rPr>
          <w:rFonts w:asciiTheme="minorHAnsi" w:hAnsiTheme="minorHAnsi"/>
          <w:noProof/>
          <w:sz w:val="22"/>
        </w:rPr>
      </w:pPr>
      <w:r>
        <w:rPr>
          <w:noProof/>
        </w:rPr>
        <w:t>Table 13</w:t>
      </w:r>
      <w:r>
        <w:rPr>
          <w:noProof/>
        </w:rPr>
        <w:noBreakHyphen/>
        <w:t>1</w:t>
      </w:r>
      <w:r>
        <w:rPr>
          <w:rFonts w:asciiTheme="minorHAnsi" w:hAnsiTheme="minorHAnsi"/>
          <w:noProof/>
          <w:sz w:val="22"/>
        </w:rPr>
        <w:tab/>
      </w:r>
      <w:r>
        <w:rPr>
          <w:noProof/>
        </w:rPr>
        <w:t>IFSS staff perceptions of the impact of Child Protection Income Management on their clients</w:t>
      </w:r>
      <w:r>
        <w:rPr>
          <w:noProof/>
        </w:rPr>
        <w:tab/>
      </w:r>
      <w:r>
        <w:rPr>
          <w:noProof/>
        </w:rPr>
        <w:fldChar w:fldCharType="begin"/>
      </w:r>
      <w:r>
        <w:rPr>
          <w:noProof/>
        </w:rPr>
        <w:instrText xml:space="preserve"> PAGEREF _Toc403739489 \h </w:instrText>
      </w:r>
      <w:r>
        <w:rPr>
          <w:noProof/>
        </w:rPr>
      </w:r>
      <w:r>
        <w:rPr>
          <w:noProof/>
        </w:rPr>
        <w:fldChar w:fldCharType="separate"/>
      </w:r>
      <w:r w:rsidR="00F612EF">
        <w:rPr>
          <w:noProof/>
        </w:rPr>
        <w:t>291</w:t>
      </w:r>
      <w:r>
        <w:rPr>
          <w:noProof/>
        </w:rPr>
        <w:fldChar w:fldCharType="end"/>
      </w:r>
    </w:p>
    <w:p w:rsidR="008260A2" w:rsidRDefault="008260A2">
      <w:pPr>
        <w:pStyle w:val="TableofFigures"/>
        <w:rPr>
          <w:rFonts w:asciiTheme="minorHAnsi" w:hAnsiTheme="minorHAnsi"/>
          <w:noProof/>
          <w:sz w:val="22"/>
        </w:rPr>
      </w:pPr>
      <w:r>
        <w:rPr>
          <w:noProof/>
        </w:rPr>
        <w:t>Table 15</w:t>
      </w:r>
      <w:r>
        <w:rPr>
          <w:noProof/>
        </w:rPr>
        <w:noBreakHyphen/>
        <w:t>1</w:t>
      </w:r>
      <w:r>
        <w:rPr>
          <w:rFonts w:asciiTheme="minorHAnsi" w:hAnsiTheme="minorHAnsi"/>
          <w:noProof/>
          <w:sz w:val="22"/>
        </w:rPr>
        <w:tab/>
      </w:r>
      <w:r>
        <w:rPr>
          <w:noProof/>
        </w:rPr>
        <w:t>Summary of evidence of impact of income management on expenditure patterns, financial outcomes, and a range of individual and community level outcomes</w:t>
      </w:r>
      <w:r>
        <w:rPr>
          <w:noProof/>
        </w:rPr>
        <w:tab/>
      </w:r>
      <w:r>
        <w:rPr>
          <w:noProof/>
        </w:rPr>
        <w:fldChar w:fldCharType="begin"/>
      </w:r>
      <w:r>
        <w:rPr>
          <w:noProof/>
        </w:rPr>
        <w:instrText xml:space="preserve"> PAGEREF _Toc403739490 \h </w:instrText>
      </w:r>
      <w:r>
        <w:rPr>
          <w:noProof/>
        </w:rPr>
      </w:r>
      <w:r>
        <w:rPr>
          <w:noProof/>
        </w:rPr>
        <w:fldChar w:fldCharType="separate"/>
      </w:r>
      <w:r w:rsidR="00F612EF">
        <w:rPr>
          <w:noProof/>
        </w:rPr>
        <w:t>318</w:t>
      </w:r>
      <w:r>
        <w:rPr>
          <w:noProof/>
        </w:rPr>
        <w:fldChar w:fldCharType="end"/>
      </w:r>
    </w:p>
    <w:p w:rsidR="008260A2" w:rsidRDefault="008260A2">
      <w:pPr>
        <w:pStyle w:val="TableofFigures"/>
        <w:rPr>
          <w:rFonts w:asciiTheme="minorHAnsi" w:hAnsiTheme="minorHAnsi"/>
          <w:noProof/>
          <w:sz w:val="22"/>
        </w:rPr>
      </w:pPr>
      <w:r>
        <w:rPr>
          <w:noProof/>
        </w:rPr>
        <w:t>Table 15</w:t>
      </w:r>
      <w:r>
        <w:rPr>
          <w:noProof/>
        </w:rPr>
        <w:noBreakHyphen/>
        <w:t xml:space="preserve">2 </w:t>
      </w:r>
      <w:r>
        <w:rPr>
          <w:rFonts w:asciiTheme="minorHAnsi" w:hAnsiTheme="minorHAnsi"/>
          <w:noProof/>
          <w:sz w:val="22"/>
        </w:rPr>
        <w:tab/>
      </w:r>
      <w:r>
        <w:rPr>
          <w:noProof/>
        </w:rPr>
        <w:t>Summary of evidence of impact of income management on individual capabilities</w:t>
      </w:r>
      <w:r>
        <w:rPr>
          <w:noProof/>
        </w:rPr>
        <w:tab/>
      </w:r>
      <w:r>
        <w:rPr>
          <w:noProof/>
        </w:rPr>
        <w:fldChar w:fldCharType="begin"/>
      </w:r>
      <w:r>
        <w:rPr>
          <w:noProof/>
        </w:rPr>
        <w:instrText xml:space="preserve"> PAGEREF _Toc403739491 \h </w:instrText>
      </w:r>
      <w:r>
        <w:rPr>
          <w:noProof/>
        </w:rPr>
      </w:r>
      <w:r>
        <w:rPr>
          <w:noProof/>
        </w:rPr>
        <w:fldChar w:fldCharType="separate"/>
      </w:r>
      <w:r w:rsidR="00F612EF">
        <w:rPr>
          <w:noProof/>
        </w:rPr>
        <w:t>319</w:t>
      </w:r>
      <w:r>
        <w:rPr>
          <w:noProof/>
        </w:rPr>
        <w:fldChar w:fldCharType="end"/>
      </w:r>
    </w:p>
    <w:p w:rsidR="00B67369" w:rsidRPr="009655C3" w:rsidRDefault="00B67369" w:rsidP="006654AE">
      <w:pPr>
        <w:pStyle w:val="TableofFigures"/>
      </w:pPr>
      <w:r w:rsidRPr="003D75FE">
        <w:fldChar w:fldCharType="end"/>
      </w:r>
      <w:r w:rsidRPr="009655C3">
        <w:br w:type="page"/>
      </w:r>
    </w:p>
    <w:p w:rsidR="00DF6B91" w:rsidRPr="00DF38B2" w:rsidRDefault="00DF6B91" w:rsidP="006654AE">
      <w:pPr>
        <w:spacing w:line="276" w:lineRule="auto"/>
        <w:jc w:val="left"/>
      </w:pPr>
    </w:p>
    <w:p w:rsidR="00DF6B91" w:rsidRPr="00DF38B2" w:rsidRDefault="00DF6B91" w:rsidP="006654AE">
      <w:pPr>
        <w:sectPr w:rsidR="00DF6B91" w:rsidRPr="00DF38B2" w:rsidSect="00285084">
          <w:headerReference w:type="even" r:id="rId19"/>
          <w:headerReference w:type="default" r:id="rId20"/>
          <w:headerReference w:type="first" r:id="rId21"/>
          <w:pgSz w:w="11906" w:h="16838" w:code="9"/>
          <w:pgMar w:top="1247" w:right="1701" w:bottom="1134" w:left="1871" w:header="567" w:footer="340" w:gutter="0"/>
          <w:pgNumType w:fmt="lowerRoman"/>
          <w:cols w:space="708"/>
          <w:titlePg/>
          <w:docGrid w:linePitch="360"/>
        </w:sectPr>
      </w:pPr>
    </w:p>
    <w:p w:rsidR="00B67369" w:rsidRPr="00DF38B2" w:rsidRDefault="00B67369" w:rsidP="006654AE">
      <w:pPr>
        <w:pStyle w:val="pretitle"/>
      </w:pPr>
      <w:bookmarkStart w:id="5" w:name="_Toc403738948"/>
      <w:r w:rsidRPr="00DF38B2">
        <w:lastRenderedPageBreak/>
        <w:t xml:space="preserve">Table </w:t>
      </w:r>
      <w:r w:rsidRPr="002B019F">
        <w:t>of</w:t>
      </w:r>
      <w:r w:rsidRPr="00DF38B2">
        <w:t xml:space="preserve"> Figures</w:t>
      </w:r>
      <w:bookmarkEnd w:id="5"/>
    </w:p>
    <w:p w:rsidR="00FB0FB9" w:rsidRPr="00DF38B2" w:rsidRDefault="00FB0FB9" w:rsidP="006654AE">
      <w:pPr>
        <w:pStyle w:val="TableofFigures"/>
      </w:pPr>
    </w:p>
    <w:p w:rsidR="008260A2" w:rsidRDefault="00B67369">
      <w:pPr>
        <w:pStyle w:val="TableofFigures"/>
        <w:rPr>
          <w:rFonts w:asciiTheme="minorHAnsi" w:hAnsiTheme="minorHAnsi"/>
          <w:noProof/>
          <w:sz w:val="22"/>
        </w:rPr>
      </w:pPr>
      <w:r w:rsidRPr="003D75FE">
        <w:fldChar w:fldCharType="begin"/>
      </w:r>
      <w:r w:rsidRPr="00DF38B2">
        <w:instrText xml:space="preserve"> TOC \c "Figure" </w:instrText>
      </w:r>
      <w:r w:rsidRPr="003D75FE">
        <w:fldChar w:fldCharType="separate"/>
      </w:r>
      <w:r w:rsidR="008260A2">
        <w:rPr>
          <w:noProof/>
        </w:rPr>
        <w:t>Figure 2</w:t>
      </w:r>
      <w:r w:rsidR="008260A2">
        <w:rPr>
          <w:noProof/>
        </w:rPr>
        <w:noBreakHyphen/>
        <w:t>1</w:t>
      </w:r>
      <w:r w:rsidR="008260A2">
        <w:rPr>
          <w:rFonts w:asciiTheme="minorHAnsi" w:hAnsiTheme="minorHAnsi"/>
          <w:noProof/>
          <w:sz w:val="22"/>
        </w:rPr>
        <w:tab/>
      </w:r>
      <w:r w:rsidR="008260A2">
        <w:rPr>
          <w:noProof/>
        </w:rPr>
        <w:t>Map of NTER Prescribed Areas, Aboriginal (ALRA) land and community living areas</w:t>
      </w:r>
      <w:r w:rsidR="008260A2">
        <w:rPr>
          <w:noProof/>
        </w:rPr>
        <w:tab/>
      </w:r>
      <w:r w:rsidR="008260A2">
        <w:rPr>
          <w:noProof/>
        </w:rPr>
        <w:fldChar w:fldCharType="begin"/>
      </w:r>
      <w:r w:rsidR="008260A2">
        <w:rPr>
          <w:noProof/>
        </w:rPr>
        <w:instrText xml:space="preserve"> PAGEREF _Toc403739492 \h </w:instrText>
      </w:r>
      <w:r w:rsidR="008260A2">
        <w:rPr>
          <w:noProof/>
        </w:rPr>
      </w:r>
      <w:r w:rsidR="008260A2">
        <w:rPr>
          <w:noProof/>
        </w:rPr>
        <w:fldChar w:fldCharType="separate"/>
      </w:r>
      <w:r w:rsidR="00F612EF">
        <w:rPr>
          <w:noProof/>
        </w:rPr>
        <w:t>15</w:t>
      </w:r>
      <w:r w:rsidR="008260A2">
        <w:rPr>
          <w:noProof/>
        </w:rPr>
        <w:fldChar w:fldCharType="end"/>
      </w:r>
    </w:p>
    <w:p w:rsidR="008260A2" w:rsidRDefault="008260A2">
      <w:pPr>
        <w:pStyle w:val="TableofFigures"/>
        <w:rPr>
          <w:rFonts w:asciiTheme="minorHAnsi" w:hAnsiTheme="minorHAnsi"/>
          <w:noProof/>
          <w:sz w:val="22"/>
        </w:rPr>
      </w:pPr>
      <w:r>
        <w:rPr>
          <w:noProof/>
        </w:rPr>
        <w:t>Figure 2</w:t>
      </w:r>
      <w:r>
        <w:rPr>
          <w:noProof/>
        </w:rPr>
        <w:noBreakHyphen/>
        <w:t>2</w:t>
      </w:r>
      <w:r>
        <w:rPr>
          <w:rFonts w:asciiTheme="minorHAnsi" w:hAnsiTheme="minorHAnsi"/>
          <w:noProof/>
          <w:sz w:val="22"/>
        </w:rPr>
        <w:tab/>
      </w:r>
      <w:r>
        <w:rPr>
          <w:noProof/>
        </w:rPr>
        <w:t>Map of NTER Prescribed areas, town camps</w:t>
      </w:r>
      <w:r>
        <w:rPr>
          <w:noProof/>
        </w:rPr>
        <w:tab/>
      </w:r>
      <w:r>
        <w:rPr>
          <w:noProof/>
        </w:rPr>
        <w:fldChar w:fldCharType="begin"/>
      </w:r>
      <w:r>
        <w:rPr>
          <w:noProof/>
        </w:rPr>
        <w:instrText xml:space="preserve"> PAGEREF _Toc403739493 \h </w:instrText>
      </w:r>
      <w:r>
        <w:rPr>
          <w:noProof/>
        </w:rPr>
      </w:r>
      <w:r>
        <w:rPr>
          <w:noProof/>
        </w:rPr>
        <w:fldChar w:fldCharType="separate"/>
      </w:r>
      <w:r w:rsidR="00F612EF">
        <w:rPr>
          <w:noProof/>
        </w:rPr>
        <w:t>16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w:t>
      </w:r>
      <w:r>
        <w:rPr>
          <w:rFonts w:asciiTheme="minorHAnsi" w:hAnsiTheme="minorHAnsi"/>
          <w:noProof/>
          <w:sz w:val="22"/>
        </w:rPr>
        <w:tab/>
      </w:r>
      <w:r>
        <w:rPr>
          <w:noProof/>
        </w:rPr>
        <w:t>Number of people on income management in the Northern Territory by initiative, July 2010 to December 2013</w:t>
      </w:r>
      <w:r>
        <w:rPr>
          <w:noProof/>
        </w:rPr>
        <w:tab/>
      </w:r>
      <w:r>
        <w:rPr>
          <w:noProof/>
        </w:rPr>
        <w:fldChar w:fldCharType="begin"/>
      </w:r>
      <w:r>
        <w:rPr>
          <w:noProof/>
        </w:rPr>
        <w:instrText xml:space="preserve"> PAGEREF _Toc403739494 \h </w:instrText>
      </w:r>
      <w:r>
        <w:rPr>
          <w:noProof/>
        </w:rPr>
      </w:r>
      <w:r>
        <w:rPr>
          <w:noProof/>
        </w:rPr>
        <w:fldChar w:fldCharType="separate"/>
      </w:r>
      <w:r w:rsidR="00F612EF">
        <w:rPr>
          <w:noProof/>
        </w:rPr>
        <w:t>51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2 </w:t>
      </w:r>
      <w:r>
        <w:rPr>
          <w:rFonts w:asciiTheme="minorHAnsi" w:hAnsiTheme="minorHAnsi"/>
          <w:noProof/>
          <w:sz w:val="22"/>
        </w:rPr>
        <w:tab/>
      </w:r>
      <w:r>
        <w:rPr>
          <w:noProof/>
        </w:rPr>
        <w:t>Persons subject to income management in the Northern Territory by income management stream, December 2013</w:t>
      </w:r>
      <w:r>
        <w:rPr>
          <w:noProof/>
        </w:rPr>
        <w:tab/>
      </w:r>
      <w:r>
        <w:rPr>
          <w:noProof/>
        </w:rPr>
        <w:fldChar w:fldCharType="begin"/>
      </w:r>
      <w:r>
        <w:rPr>
          <w:noProof/>
        </w:rPr>
        <w:instrText xml:space="preserve"> PAGEREF _Toc403739495 \h </w:instrText>
      </w:r>
      <w:r>
        <w:rPr>
          <w:noProof/>
        </w:rPr>
      </w:r>
      <w:r>
        <w:rPr>
          <w:noProof/>
        </w:rPr>
        <w:fldChar w:fldCharType="separate"/>
      </w:r>
      <w:r w:rsidR="00F612EF">
        <w:rPr>
          <w:noProof/>
        </w:rPr>
        <w:t>51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w:t>
      </w:r>
      <w:r>
        <w:rPr>
          <w:rFonts w:asciiTheme="minorHAnsi" w:hAnsiTheme="minorHAnsi"/>
          <w:noProof/>
          <w:sz w:val="22"/>
        </w:rPr>
        <w:tab/>
      </w:r>
      <w:r>
        <w:rPr>
          <w:noProof/>
        </w:rPr>
        <w:t>Number of people on income management in the Northern Territory by selected initiatives, July 2010 to December 2013</w:t>
      </w:r>
      <w:r>
        <w:rPr>
          <w:noProof/>
        </w:rPr>
        <w:tab/>
      </w:r>
      <w:r>
        <w:rPr>
          <w:noProof/>
        </w:rPr>
        <w:fldChar w:fldCharType="begin"/>
      </w:r>
      <w:r>
        <w:rPr>
          <w:noProof/>
        </w:rPr>
        <w:instrText xml:space="preserve"> PAGEREF _Toc403739496 \h </w:instrText>
      </w:r>
      <w:r>
        <w:rPr>
          <w:noProof/>
        </w:rPr>
      </w:r>
      <w:r>
        <w:rPr>
          <w:noProof/>
        </w:rPr>
        <w:fldChar w:fldCharType="separate"/>
      </w:r>
      <w:r w:rsidR="00F612EF">
        <w:rPr>
          <w:noProof/>
        </w:rPr>
        <w:t>52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4</w:t>
      </w:r>
      <w:r>
        <w:rPr>
          <w:rFonts w:asciiTheme="minorHAnsi" w:hAnsiTheme="minorHAnsi"/>
          <w:noProof/>
          <w:sz w:val="22"/>
        </w:rPr>
        <w:tab/>
      </w:r>
      <w:r>
        <w:rPr>
          <w:noProof/>
        </w:rPr>
        <w:t>Number of people on income management in the Northern Territory: Composition of Vulnerable streams, July 2010 to December 2013</w:t>
      </w:r>
      <w:r>
        <w:rPr>
          <w:noProof/>
        </w:rPr>
        <w:tab/>
      </w:r>
      <w:r>
        <w:rPr>
          <w:noProof/>
        </w:rPr>
        <w:fldChar w:fldCharType="begin"/>
      </w:r>
      <w:r>
        <w:rPr>
          <w:noProof/>
        </w:rPr>
        <w:instrText xml:space="preserve"> PAGEREF _Toc403739497 \h </w:instrText>
      </w:r>
      <w:r>
        <w:rPr>
          <w:noProof/>
        </w:rPr>
      </w:r>
      <w:r>
        <w:rPr>
          <w:noProof/>
        </w:rPr>
        <w:fldChar w:fldCharType="separate"/>
      </w:r>
      <w:r w:rsidR="00F612EF">
        <w:rPr>
          <w:noProof/>
        </w:rPr>
        <w:t>53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5</w:t>
      </w:r>
      <w:r>
        <w:rPr>
          <w:rFonts w:asciiTheme="minorHAnsi" w:hAnsiTheme="minorHAnsi"/>
          <w:noProof/>
          <w:sz w:val="22"/>
        </w:rPr>
        <w:tab/>
      </w:r>
      <w:r>
        <w:rPr>
          <w:noProof/>
        </w:rPr>
        <w:t>Proportion of people on income management in the Northern Territory who are identified as Indigenous Australians, July 2010 to December 2013</w:t>
      </w:r>
      <w:r>
        <w:rPr>
          <w:noProof/>
        </w:rPr>
        <w:tab/>
      </w:r>
      <w:r>
        <w:rPr>
          <w:noProof/>
        </w:rPr>
        <w:fldChar w:fldCharType="begin"/>
      </w:r>
      <w:r>
        <w:rPr>
          <w:noProof/>
        </w:rPr>
        <w:instrText xml:space="preserve"> PAGEREF _Toc403739498 \h </w:instrText>
      </w:r>
      <w:r>
        <w:rPr>
          <w:noProof/>
        </w:rPr>
      </w:r>
      <w:r>
        <w:rPr>
          <w:noProof/>
        </w:rPr>
        <w:fldChar w:fldCharType="separate"/>
      </w:r>
      <w:r w:rsidR="00F612EF">
        <w:rPr>
          <w:noProof/>
        </w:rPr>
        <w:t>54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6 </w:t>
      </w:r>
      <w:r>
        <w:rPr>
          <w:rFonts w:asciiTheme="minorHAnsi" w:hAnsiTheme="minorHAnsi"/>
          <w:noProof/>
          <w:sz w:val="22"/>
        </w:rPr>
        <w:tab/>
      </w:r>
      <w:r>
        <w:rPr>
          <w:noProof/>
        </w:rPr>
        <w:t>Composition of people subject to income management in the Northern Territory by Indigenous status and main program, December 2013</w:t>
      </w:r>
      <w:r>
        <w:rPr>
          <w:noProof/>
        </w:rPr>
        <w:tab/>
      </w:r>
      <w:r>
        <w:rPr>
          <w:noProof/>
        </w:rPr>
        <w:fldChar w:fldCharType="begin"/>
      </w:r>
      <w:r>
        <w:rPr>
          <w:noProof/>
        </w:rPr>
        <w:instrText xml:space="preserve"> PAGEREF _Toc403739499 \h </w:instrText>
      </w:r>
      <w:r>
        <w:rPr>
          <w:noProof/>
        </w:rPr>
      </w:r>
      <w:r>
        <w:rPr>
          <w:noProof/>
        </w:rPr>
        <w:fldChar w:fldCharType="separate"/>
      </w:r>
      <w:r w:rsidR="00F612EF">
        <w:rPr>
          <w:noProof/>
        </w:rPr>
        <w:t>55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7</w:t>
      </w:r>
      <w:r>
        <w:rPr>
          <w:rFonts w:asciiTheme="minorHAnsi" w:hAnsiTheme="minorHAnsi"/>
          <w:noProof/>
          <w:sz w:val="22"/>
        </w:rPr>
        <w:tab/>
      </w:r>
      <w:r>
        <w:rPr>
          <w:noProof/>
        </w:rPr>
        <w:t>Women as a proportion of the population subject to income management in the Northern Territory, July 2010 to December 2013</w:t>
      </w:r>
      <w:r>
        <w:rPr>
          <w:noProof/>
        </w:rPr>
        <w:tab/>
      </w:r>
      <w:r>
        <w:rPr>
          <w:noProof/>
        </w:rPr>
        <w:fldChar w:fldCharType="begin"/>
      </w:r>
      <w:r>
        <w:rPr>
          <w:noProof/>
        </w:rPr>
        <w:instrText xml:space="preserve"> PAGEREF _Toc403739500 \h </w:instrText>
      </w:r>
      <w:r>
        <w:rPr>
          <w:noProof/>
        </w:rPr>
      </w:r>
      <w:r>
        <w:rPr>
          <w:noProof/>
        </w:rPr>
        <w:fldChar w:fldCharType="separate"/>
      </w:r>
      <w:r w:rsidR="00F612EF">
        <w:rPr>
          <w:noProof/>
        </w:rPr>
        <w:t>56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8 </w:t>
      </w:r>
      <w:r>
        <w:rPr>
          <w:rFonts w:asciiTheme="minorHAnsi" w:hAnsiTheme="minorHAnsi"/>
          <w:noProof/>
          <w:sz w:val="22"/>
        </w:rPr>
        <w:tab/>
      </w:r>
      <w:r>
        <w:rPr>
          <w:noProof/>
        </w:rPr>
        <w:t>Density plots of the age distribution of the income managed population in the Northern Territory by Indigenous status, December 2013</w:t>
      </w:r>
      <w:r>
        <w:rPr>
          <w:noProof/>
        </w:rPr>
        <w:tab/>
      </w:r>
      <w:r>
        <w:rPr>
          <w:noProof/>
        </w:rPr>
        <w:fldChar w:fldCharType="begin"/>
      </w:r>
      <w:r>
        <w:rPr>
          <w:noProof/>
        </w:rPr>
        <w:instrText xml:space="preserve"> PAGEREF _Toc403739501 \h </w:instrText>
      </w:r>
      <w:r>
        <w:rPr>
          <w:noProof/>
        </w:rPr>
      </w:r>
      <w:r>
        <w:rPr>
          <w:noProof/>
        </w:rPr>
        <w:fldChar w:fldCharType="separate"/>
      </w:r>
      <w:r w:rsidR="00F612EF">
        <w:rPr>
          <w:noProof/>
        </w:rPr>
        <w:t>57</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9</w:t>
      </w:r>
      <w:r>
        <w:rPr>
          <w:rFonts w:asciiTheme="minorHAnsi" w:hAnsiTheme="minorHAnsi"/>
          <w:noProof/>
          <w:sz w:val="22"/>
        </w:rPr>
        <w:tab/>
      </w:r>
      <w:r>
        <w:rPr>
          <w:noProof/>
        </w:rPr>
        <w:t>Age distribution of people subject to income management in the Northern Territory by Indigenous status and broad stream of income management, December 2013</w:t>
      </w:r>
      <w:r>
        <w:rPr>
          <w:noProof/>
        </w:rPr>
        <w:tab/>
      </w:r>
      <w:r>
        <w:rPr>
          <w:noProof/>
        </w:rPr>
        <w:fldChar w:fldCharType="begin"/>
      </w:r>
      <w:r>
        <w:rPr>
          <w:noProof/>
        </w:rPr>
        <w:instrText xml:space="preserve"> PAGEREF _Toc403739502 \h </w:instrText>
      </w:r>
      <w:r>
        <w:rPr>
          <w:noProof/>
        </w:rPr>
      </w:r>
      <w:r>
        <w:rPr>
          <w:noProof/>
        </w:rPr>
        <w:fldChar w:fldCharType="separate"/>
      </w:r>
      <w:r w:rsidR="00F612EF">
        <w:rPr>
          <w:noProof/>
        </w:rPr>
        <w:t>58</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10</w:t>
      </w:r>
      <w:r>
        <w:rPr>
          <w:rFonts w:asciiTheme="minorHAnsi" w:hAnsiTheme="minorHAnsi"/>
          <w:noProof/>
          <w:sz w:val="22"/>
        </w:rPr>
        <w:tab/>
      </w:r>
      <w:r>
        <w:rPr>
          <w:noProof/>
        </w:rPr>
        <w:t>Number of dependent children by stream of income management, NIM, December 2013</w:t>
      </w:r>
      <w:r>
        <w:rPr>
          <w:noProof/>
        </w:rPr>
        <w:tab/>
      </w:r>
      <w:r>
        <w:rPr>
          <w:noProof/>
        </w:rPr>
        <w:fldChar w:fldCharType="begin"/>
      </w:r>
      <w:r>
        <w:rPr>
          <w:noProof/>
        </w:rPr>
        <w:instrText xml:space="preserve"> PAGEREF _Toc403739503 \h </w:instrText>
      </w:r>
      <w:r>
        <w:rPr>
          <w:noProof/>
        </w:rPr>
      </w:r>
      <w:r>
        <w:rPr>
          <w:noProof/>
        </w:rPr>
        <w:fldChar w:fldCharType="separate"/>
      </w:r>
      <w:r w:rsidR="00F612EF">
        <w:rPr>
          <w:noProof/>
        </w:rPr>
        <w:t>61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11</w:t>
      </w:r>
      <w:r>
        <w:rPr>
          <w:rFonts w:asciiTheme="minorHAnsi" w:hAnsiTheme="minorHAnsi"/>
          <w:noProof/>
          <w:sz w:val="22"/>
        </w:rPr>
        <w:tab/>
      </w:r>
      <w:r>
        <w:rPr>
          <w:noProof/>
        </w:rPr>
        <w:t>Income management and income support receipt status of couples in which at least one member is subject to income management in the Northern Territory, December 2013</w:t>
      </w:r>
      <w:r>
        <w:rPr>
          <w:noProof/>
        </w:rPr>
        <w:tab/>
      </w:r>
      <w:r>
        <w:rPr>
          <w:noProof/>
        </w:rPr>
        <w:fldChar w:fldCharType="begin"/>
      </w:r>
      <w:r>
        <w:rPr>
          <w:noProof/>
        </w:rPr>
        <w:instrText xml:space="preserve"> PAGEREF _Toc403739504 \h </w:instrText>
      </w:r>
      <w:r>
        <w:rPr>
          <w:noProof/>
        </w:rPr>
      </w:r>
      <w:r>
        <w:rPr>
          <w:noProof/>
        </w:rPr>
        <w:fldChar w:fldCharType="separate"/>
      </w:r>
      <w:r w:rsidR="00F612EF">
        <w:rPr>
          <w:noProof/>
        </w:rPr>
        <w:t>63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12</w:t>
      </w:r>
      <w:r>
        <w:rPr>
          <w:rFonts w:asciiTheme="minorHAnsi" w:hAnsiTheme="minorHAnsi"/>
          <w:noProof/>
          <w:sz w:val="22"/>
        </w:rPr>
        <w:tab/>
      </w:r>
      <w:r>
        <w:rPr>
          <w:noProof/>
        </w:rPr>
        <w:t>Geographic regions used in the NIM evaluation</w:t>
      </w:r>
      <w:r>
        <w:rPr>
          <w:noProof/>
        </w:rPr>
        <w:tab/>
      </w:r>
      <w:r>
        <w:rPr>
          <w:noProof/>
        </w:rPr>
        <w:fldChar w:fldCharType="begin"/>
      </w:r>
      <w:r>
        <w:rPr>
          <w:noProof/>
        </w:rPr>
        <w:instrText xml:space="preserve"> PAGEREF _Toc403739505 \h </w:instrText>
      </w:r>
      <w:r>
        <w:rPr>
          <w:noProof/>
        </w:rPr>
      </w:r>
      <w:r>
        <w:rPr>
          <w:noProof/>
        </w:rPr>
        <w:fldChar w:fldCharType="separate"/>
      </w:r>
      <w:r w:rsidR="00F612EF">
        <w:rPr>
          <w:noProof/>
        </w:rPr>
        <w:t>65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13</w:t>
      </w:r>
      <w:r>
        <w:rPr>
          <w:rFonts w:asciiTheme="minorHAnsi" w:hAnsiTheme="minorHAnsi"/>
          <w:noProof/>
          <w:sz w:val="22"/>
        </w:rPr>
        <w:tab/>
      </w:r>
      <w:r>
        <w:rPr>
          <w:noProof/>
        </w:rPr>
        <w:t>Number of people subject to income management in the Northern Territory by region and Indigenous identification, 2010–2013</w:t>
      </w:r>
      <w:r>
        <w:rPr>
          <w:noProof/>
        </w:rPr>
        <w:tab/>
      </w:r>
      <w:r>
        <w:rPr>
          <w:noProof/>
        </w:rPr>
        <w:fldChar w:fldCharType="begin"/>
      </w:r>
      <w:r>
        <w:rPr>
          <w:noProof/>
        </w:rPr>
        <w:instrText xml:space="preserve"> PAGEREF _Toc403739506 \h </w:instrText>
      </w:r>
      <w:r>
        <w:rPr>
          <w:noProof/>
        </w:rPr>
      </w:r>
      <w:r>
        <w:rPr>
          <w:noProof/>
        </w:rPr>
        <w:fldChar w:fldCharType="separate"/>
      </w:r>
      <w:r w:rsidR="00F612EF">
        <w:rPr>
          <w:noProof/>
        </w:rPr>
        <w:t>66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14</w:t>
      </w:r>
      <w:r>
        <w:rPr>
          <w:rFonts w:asciiTheme="minorHAnsi" w:hAnsiTheme="minorHAnsi"/>
          <w:noProof/>
          <w:sz w:val="22"/>
        </w:rPr>
        <w:tab/>
      </w:r>
      <w:r>
        <w:rPr>
          <w:noProof/>
        </w:rPr>
        <w:t>Proportion of income support recipients in the Northern Territory subject to income management by gender and Indigenous status, August 2010 to December 2013</w:t>
      </w:r>
      <w:r>
        <w:rPr>
          <w:noProof/>
        </w:rPr>
        <w:tab/>
      </w:r>
      <w:r>
        <w:rPr>
          <w:noProof/>
        </w:rPr>
        <w:fldChar w:fldCharType="begin"/>
      </w:r>
      <w:r>
        <w:rPr>
          <w:noProof/>
        </w:rPr>
        <w:instrText xml:space="preserve"> PAGEREF _Toc403739507 \h </w:instrText>
      </w:r>
      <w:r>
        <w:rPr>
          <w:noProof/>
        </w:rPr>
      </w:r>
      <w:r>
        <w:rPr>
          <w:noProof/>
        </w:rPr>
        <w:fldChar w:fldCharType="separate"/>
      </w:r>
      <w:r w:rsidR="00F612EF">
        <w:rPr>
          <w:noProof/>
        </w:rPr>
        <w:t>69</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15</w:t>
      </w:r>
      <w:r>
        <w:rPr>
          <w:rFonts w:asciiTheme="minorHAnsi" w:hAnsiTheme="minorHAnsi"/>
          <w:noProof/>
          <w:sz w:val="22"/>
        </w:rPr>
        <w:tab/>
      </w:r>
      <w:r>
        <w:rPr>
          <w:noProof/>
        </w:rPr>
        <w:t>Proportion of people on income support subject to income management in the Northern Territory by Indigenous status and age group, December 2011 and December 2013 (%)</w:t>
      </w:r>
      <w:r>
        <w:rPr>
          <w:noProof/>
        </w:rPr>
        <w:tab/>
      </w:r>
      <w:r>
        <w:rPr>
          <w:noProof/>
        </w:rPr>
        <w:fldChar w:fldCharType="begin"/>
      </w:r>
      <w:r>
        <w:rPr>
          <w:noProof/>
        </w:rPr>
        <w:instrText xml:space="preserve"> PAGEREF _Toc403739508 \h </w:instrText>
      </w:r>
      <w:r>
        <w:rPr>
          <w:noProof/>
        </w:rPr>
      </w:r>
      <w:r>
        <w:rPr>
          <w:noProof/>
        </w:rPr>
        <w:fldChar w:fldCharType="separate"/>
      </w:r>
      <w:r w:rsidR="00F612EF">
        <w:rPr>
          <w:noProof/>
        </w:rPr>
        <w:t>70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16 </w:t>
      </w:r>
      <w:r>
        <w:rPr>
          <w:rFonts w:asciiTheme="minorHAnsi" w:hAnsiTheme="minorHAnsi"/>
          <w:noProof/>
          <w:sz w:val="22"/>
        </w:rPr>
        <w:tab/>
      </w:r>
      <w:r>
        <w:rPr>
          <w:noProof/>
        </w:rPr>
        <w:t>Proportion of transfer payments income managed by socio-economic status of location (SA2) in the Northern Territory, December 2013</w:t>
      </w:r>
      <w:r>
        <w:rPr>
          <w:noProof/>
        </w:rPr>
        <w:tab/>
      </w:r>
      <w:r>
        <w:rPr>
          <w:noProof/>
        </w:rPr>
        <w:fldChar w:fldCharType="begin"/>
      </w:r>
      <w:r>
        <w:rPr>
          <w:noProof/>
        </w:rPr>
        <w:instrText xml:space="preserve"> PAGEREF _Toc403739509 \h </w:instrText>
      </w:r>
      <w:r>
        <w:rPr>
          <w:noProof/>
        </w:rPr>
      </w:r>
      <w:r>
        <w:rPr>
          <w:noProof/>
        </w:rPr>
        <w:fldChar w:fldCharType="separate"/>
      </w:r>
      <w:r w:rsidR="00F612EF">
        <w:rPr>
          <w:noProof/>
        </w:rPr>
        <w:t>72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17</w:t>
      </w:r>
      <w:r>
        <w:rPr>
          <w:rFonts w:asciiTheme="minorHAnsi" w:hAnsiTheme="minorHAnsi"/>
          <w:noProof/>
          <w:sz w:val="22"/>
        </w:rPr>
        <w:tab/>
      </w:r>
      <w:r>
        <w:rPr>
          <w:noProof/>
        </w:rPr>
        <w:t>Flows onto and off Compulsory Income Management in the Northern Territory, 2010–2013</w:t>
      </w:r>
      <w:r>
        <w:rPr>
          <w:noProof/>
        </w:rPr>
        <w:tab/>
      </w:r>
      <w:r>
        <w:rPr>
          <w:noProof/>
        </w:rPr>
        <w:fldChar w:fldCharType="begin"/>
      </w:r>
      <w:r>
        <w:rPr>
          <w:noProof/>
        </w:rPr>
        <w:instrText xml:space="preserve"> PAGEREF _Toc403739510 \h </w:instrText>
      </w:r>
      <w:r>
        <w:rPr>
          <w:noProof/>
        </w:rPr>
      </w:r>
      <w:r>
        <w:rPr>
          <w:noProof/>
        </w:rPr>
        <w:fldChar w:fldCharType="separate"/>
      </w:r>
      <w:r w:rsidR="00F612EF">
        <w:rPr>
          <w:noProof/>
        </w:rPr>
        <w:t>73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18</w:t>
      </w:r>
      <w:r>
        <w:rPr>
          <w:rFonts w:asciiTheme="minorHAnsi" w:hAnsiTheme="minorHAnsi"/>
          <w:noProof/>
          <w:sz w:val="22"/>
        </w:rPr>
        <w:tab/>
      </w:r>
      <w:r>
        <w:rPr>
          <w:noProof/>
        </w:rPr>
        <w:t>Flows onto and off Voluntary Income Management in the Northern Territory, 2010–2013</w:t>
      </w:r>
      <w:r>
        <w:rPr>
          <w:noProof/>
        </w:rPr>
        <w:tab/>
      </w:r>
      <w:r>
        <w:rPr>
          <w:noProof/>
        </w:rPr>
        <w:fldChar w:fldCharType="begin"/>
      </w:r>
      <w:r>
        <w:rPr>
          <w:noProof/>
        </w:rPr>
        <w:instrText xml:space="preserve"> PAGEREF _Toc403739511 \h </w:instrText>
      </w:r>
      <w:r>
        <w:rPr>
          <w:noProof/>
        </w:rPr>
      </w:r>
      <w:r>
        <w:rPr>
          <w:noProof/>
        </w:rPr>
        <w:fldChar w:fldCharType="separate"/>
      </w:r>
      <w:r w:rsidR="00F612EF">
        <w:rPr>
          <w:noProof/>
        </w:rPr>
        <w:t>74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19</w:t>
      </w:r>
      <w:r>
        <w:rPr>
          <w:rFonts w:asciiTheme="minorHAnsi" w:hAnsiTheme="minorHAnsi"/>
          <w:noProof/>
          <w:sz w:val="22"/>
        </w:rPr>
        <w:tab/>
      </w:r>
      <w:r>
        <w:rPr>
          <w:noProof/>
        </w:rPr>
        <w:t>Length of time subject to income management and proportion time on income support in the Northern Territory between August 2010 and December 2013, by age</w:t>
      </w:r>
      <w:r>
        <w:rPr>
          <w:noProof/>
        </w:rPr>
        <w:tab/>
      </w:r>
      <w:r>
        <w:rPr>
          <w:noProof/>
        </w:rPr>
        <w:fldChar w:fldCharType="begin"/>
      </w:r>
      <w:r>
        <w:rPr>
          <w:noProof/>
        </w:rPr>
        <w:instrText xml:space="preserve"> PAGEREF _Toc403739512 \h </w:instrText>
      </w:r>
      <w:r>
        <w:rPr>
          <w:noProof/>
        </w:rPr>
      </w:r>
      <w:r>
        <w:rPr>
          <w:noProof/>
        </w:rPr>
        <w:fldChar w:fldCharType="separate"/>
      </w:r>
      <w:r w:rsidR="00F612EF">
        <w:rPr>
          <w:noProof/>
        </w:rPr>
        <w:t>75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20</w:t>
      </w:r>
      <w:r>
        <w:rPr>
          <w:rFonts w:asciiTheme="minorHAnsi" w:hAnsiTheme="minorHAnsi"/>
          <w:noProof/>
          <w:sz w:val="22"/>
        </w:rPr>
        <w:tab/>
      </w:r>
      <w:r>
        <w:rPr>
          <w:noProof/>
        </w:rPr>
        <w:t>Proportion of time on income support subject to income management between August 2010 and December 2013, by when first on New Income Management in the Northern Territory and Indigenous status</w:t>
      </w:r>
      <w:r>
        <w:rPr>
          <w:noProof/>
        </w:rPr>
        <w:tab/>
      </w:r>
      <w:r>
        <w:rPr>
          <w:noProof/>
        </w:rPr>
        <w:fldChar w:fldCharType="begin"/>
      </w:r>
      <w:r>
        <w:rPr>
          <w:noProof/>
        </w:rPr>
        <w:instrText xml:space="preserve"> PAGEREF _Toc403739513 \h </w:instrText>
      </w:r>
      <w:r>
        <w:rPr>
          <w:noProof/>
        </w:rPr>
      </w:r>
      <w:r>
        <w:rPr>
          <w:noProof/>
        </w:rPr>
        <w:fldChar w:fldCharType="separate"/>
      </w:r>
      <w:r w:rsidR="00F612EF">
        <w:rPr>
          <w:noProof/>
        </w:rPr>
        <w:t>76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21</w:t>
      </w:r>
      <w:r>
        <w:rPr>
          <w:rFonts w:asciiTheme="minorHAnsi" w:hAnsiTheme="minorHAnsi"/>
          <w:noProof/>
          <w:sz w:val="22"/>
        </w:rPr>
        <w:tab/>
      </w:r>
      <w:r>
        <w:rPr>
          <w:noProof/>
        </w:rPr>
        <w:t>Number of spells of income management between August 2010 and December 2013 persons in the Northern Territory by Indigenous identification</w:t>
      </w:r>
      <w:r>
        <w:rPr>
          <w:noProof/>
        </w:rPr>
        <w:tab/>
      </w:r>
      <w:r>
        <w:rPr>
          <w:noProof/>
        </w:rPr>
        <w:fldChar w:fldCharType="begin"/>
      </w:r>
      <w:r>
        <w:rPr>
          <w:noProof/>
        </w:rPr>
        <w:instrText xml:space="preserve"> PAGEREF _Toc403739514 \h </w:instrText>
      </w:r>
      <w:r>
        <w:rPr>
          <w:noProof/>
        </w:rPr>
      </w:r>
      <w:r>
        <w:rPr>
          <w:noProof/>
        </w:rPr>
        <w:fldChar w:fldCharType="separate"/>
      </w:r>
      <w:r w:rsidR="00F612EF">
        <w:rPr>
          <w:noProof/>
        </w:rPr>
        <w:t>78</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22 </w:t>
      </w:r>
      <w:r>
        <w:rPr>
          <w:rFonts w:asciiTheme="minorHAnsi" w:hAnsiTheme="minorHAnsi"/>
          <w:noProof/>
          <w:sz w:val="22"/>
        </w:rPr>
        <w:tab/>
      </w:r>
      <w:r>
        <w:rPr>
          <w:noProof/>
        </w:rPr>
        <w:t>Month first subject to income management, persons on income management in the Northern Territory as at 20 December 2013</w:t>
      </w:r>
      <w:r>
        <w:rPr>
          <w:noProof/>
        </w:rPr>
        <w:tab/>
      </w:r>
      <w:r>
        <w:rPr>
          <w:noProof/>
        </w:rPr>
        <w:fldChar w:fldCharType="begin"/>
      </w:r>
      <w:r>
        <w:rPr>
          <w:noProof/>
        </w:rPr>
        <w:instrText xml:space="preserve"> PAGEREF _Toc403739515 \h </w:instrText>
      </w:r>
      <w:r>
        <w:rPr>
          <w:noProof/>
        </w:rPr>
      </w:r>
      <w:r>
        <w:rPr>
          <w:noProof/>
        </w:rPr>
        <w:fldChar w:fldCharType="separate"/>
      </w:r>
      <w:r w:rsidR="00F612EF">
        <w:rPr>
          <w:noProof/>
        </w:rPr>
        <w:t>81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23</w:t>
      </w:r>
      <w:r>
        <w:rPr>
          <w:rFonts w:asciiTheme="minorHAnsi" w:hAnsiTheme="minorHAnsi"/>
          <w:noProof/>
          <w:sz w:val="22"/>
        </w:rPr>
        <w:tab/>
      </w:r>
      <w:r>
        <w:rPr>
          <w:noProof/>
        </w:rPr>
        <w:t>Duration analysis: Kaplan-Meier survival function by type of income management, New Income Management</w:t>
      </w:r>
      <w:r>
        <w:rPr>
          <w:noProof/>
        </w:rPr>
        <w:tab/>
      </w:r>
      <w:r>
        <w:rPr>
          <w:noProof/>
        </w:rPr>
        <w:fldChar w:fldCharType="begin"/>
      </w:r>
      <w:r>
        <w:rPr>
          <w:noProof/>
        </w:rPr>
        <w:instrText xml:space="preserve"> PAGEREF _Toc403739516 \h </w:instrText>
      </w:r>
      <w:r>
        <w:rPr>
          <w:noProof/>
        </w:rPr>
      </w:r>
      <w:r>
        <w:rPr>
          <w:noProof/>
        </w:rPr>
        <w:fldChar w:fldCharType="separate"/>
      </w:r>
      <w:r w:rsidR="00F612EF">
        <w:rPr>
          <w:noProof/>
        </w:rPr>
        <w:t>82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24</w:t>
      </w:r>
      <w:r>
        <w:rPr>
          <w:rFonts w:asciiTheme="minorHAnsi" w:hAnsiTheme="minorHAnsi"/>
          <w:noProof/>
          <w:sz w:val="22"/>
        </w:rPr>
        <w:tab/>
      </w:r>
      <w:r>
        <w:rPr>
          <w:noProof/>
        </w:rPr>
        <w:t>Duration analysis: Kaplan-Meier survival function by Indigenous status (including those who receive an exemption prior to being income managed), New Income Management</w:t>
      </w:r>
      <w:r>
        <w:rPr>
          <w:noProof/>
        </w:rPr>
        <w:tab/>
      </w:r>
      <w:r>
        <w:rPr>
          <w:noProof/>
        </w:rPr>
        <w:fldChar w:fldCharType="begin"/>
      </w:r>
      <w:r>
        <w:rPr>
          <w:noProof/>
        </w:rPr>
        <w:instrText xml:space="preserve"> PAGEREF _Toc403739517 \h </w:instrText>
      </w:r>
      <w:r>
        <w:rPr>
          <w:noProof/>
        </w:rPr>
      </w:r>
      <w:r>
        <w:rPr>
          <w:noProof/>
        </w:rPr>
        <w:fldChar w:fldCharType="separate"/>
      </w:r>
      <w:r w:rsidR="00F612EF">
        <w:rPr>
          <w:noProof/>
        </w:rPr>
        <w:t>83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25</w:t>
      </w:r>
      <w:r>
        <w:rPr>
          <w:rFonts w:asciiTheme="minorHAnsi" w:hAnsiTheme="minorHAnsi"/>
          <w:noProof/>
          <w:sz w:val="22"/>
        </w:rPr>
        <w:tab/>
      </w:r>
      <w:r>
        <w:rPr>
          <w:noProof/>
        </w:rPr>
        <w:t>Ratio of non-Indigenous to Indigenous exit rate from income management by length of time on income management, New Income Management</w:t>
      </w:r>
      <w:r>
        <w:rPr>
          <w:noProof/>
        </w:rPr>
        <w:tab/>
      </w:r>
      <w:r>
        <w:rPr>
          <w:noProof/>
        </w:rPr>
        <w:fldChar w:fldCharType="begin"/>
      </w:r>
      <w:r>
        <w:rPr>
          <w:noProof/>
        </w:rPr>
        <w:instrText xml:space="preserve"> PAGEREF _Toc403739518 \h </w:instrText>
      </w:r>
      <w:r>
        <w:rPr>
          <w:noProof/>
        </w:rPr>
      </w:r>
      <w:r>
        <w:rPr>
          <w:noProof/>
        </w:rPr>
        <w:fldChar w:fldCharType="separate"/>
      </w:r>
      <w:r w:rsidR="00F612EF">
        <w:rPr>
          <w:noProof/>
        </w:rPr>
        <w:t>84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26</w:t>
      </w:r>
      <w:r>
        <w:rPr>
          <w:rFonts w:asciiTheme="minorHAnsi" w:hAnsiTheme="minorHAnsi"/>
          <w:noProof/>
          <w:sz w:val="22"/>
        </w:rPr>
        <w:tab/>
      </w:r>
      <w:r>
        <w:rPr>
          <w:noProof/>
        </w:rPr>
        <w:t>Duration analysis: Kaplan-Meier survival function by gender, New Income Management</w:t>
      </w:r>
      <w:r>
        <w:rPr>
          <w:noProof/>
        </w:rPr>
        <w:tab/>
      </w:r>
      <w:r>
        <w:rPr>
          <w:noProof/>
        </w:rPr>
        <w:fldChar w:fldCharType="begin"/>
      </w:r>
      <w:r>
        <w:rPr>
          <w:noProof/>
        </w:rPr>
        <w:instrText xml:space="preserve"> PAGEREF _Toc403739519 \h </w:instrText>
      </w:r>
      <w:r>
        <w:rPr>
          <w:noProof/>
        </w:rPr>
      </w:r>
      <w:r>
        <w:rPr>
          <w:noProof/>
        </w:rPr>
        <w:fldChar w:fldCharType="separate"/>
      </w:r>
      <w:r w:rsidR="00F612EF">
        <w:rPr>
          <w:noProof/>
        </w:rPr>
        <w:t>84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27</w:t>
      </w:r>
      <w:r>
        <w:rPr>
          <w:rFonts w:asciiTheme="minorHAnsi" w:hAnsiTheme="minorHAnsi"/>
          <w:noProof/>
          <w:sz w:val="22"/>
        </w:rPr>
        <w:tab/>
      </w:r>
      <w:r>
        <w:rPr>
          <w:noProof/>
        </w:rPr>
        <w:t>Income support status of people exiting income management in the Northern Territory between January and December 2013</w:t>
      </w:r>
      <w:r>
        <w:rPr>
          <w:noProof/>
        </w:rPr>
        <w:tab/>
      </w:r>
      <w:r>
        <w:rPr>
          <w:noProof/>
        </w:rPr>
        <w:fldChar w:fldCharType="begin"/>
      </w:r>
      <w:r>
        <w:rPr>
          <w:noProof/>
        </w:rPr>
        <w:instrText xml:space="preserve"> PAGEREF _Toc403739520 \h </w:instrText>
      </w:r>
      <w:r>
        <w:rPr>
          <w:noProof/>
        </w:rPr>
      </w:r>
      <w:r>
        <w:rPr>
          <w:noProof/>
        </w:rPr>
        <w:fldChar w:fldCharType="separate"/>
      </w:r>
      <w:r w:rsidR="00F612EF">
        <w:rPr>
          <w:noProof/>
        </w:rPr>
        <w:t>85</w:t>
      </w:r>
      <w:r>
        <w:rPr>
          <w:noProof/>
        </w:rPr>
        <w:fldChar w:fldCharType="end"/>
      </w:r>
    </w:p>
    <w:p w:rsidR="008260A2" w:rsidRDefault="008260A2">
      <w:pPr>
        <w:pStyle w:val="TableofFigures"/>
        <w:rPr>
          <w:rFonts w:asciiTheme="minorHAnsi" w:hAnsiTheme="minorHAnsi"/>
          <w:noProof/>
          <w:sz w:val="22"/>
        </w:rPr>
      </w:pPr>
      <w:r>
        <w:rPr>
          <w:noProof/>
        </w:rPr>
        <w:lastRenderedPageBreak/>
        <w:t>Figure 4</w:t>
      </w:r>
      <w:r>
        <w:rPr>
          <w:noProof/>
        </w:rPr>
        <w:noBreakHyphen/>
        <w:t xml:space="preserve">28 </w:t>
      </w:r>
      <w:r>
        <w:rPr>
          <w:rFonts w:asciiTheme="minorHAnsi" w:hAnsiTheme="minorHAnsi"/>
          <w:noProof/>
          <w:sz w:val="22"/>
        </w:rPr>
        <w:tab/>
      </w:r>
      <w:r>
        <w:rPr>
          <w:noProof/>
        </w:rPr>
        <w:t>Number of clients provided services by Money Management Service providers in the Northern Territory, 2009–2013</w:t>
      </w:r>
      <w:r>
        <w:rPr>
          <w:noProof/>
        </w:rPr>
        <w:tab/>
      </w:r>
      <w:r>
        <w:rPr>
          <w:noProof/>
        </w:rPr>
        <w:fldChar w:fldCharType="begin"/>
      </w:r>
      <w:r>
        <w:rPr>
          <w:noProof/>
        </w:rPr>
        <w:instrText xml:space="preserve"> PAGEREF _Toc403739521 \h </w:instrText>
      </w:r>
      <w:r>
        <w:rPr>
          <w:noProof/>
        </w:rPr>
      </w:r>
      <w:r>
        <w:rPr>
          <w:noProof/>
        </w:rPr>
        <w:fldChar w:fldCharType="separate"/>
      </w:r>
      <w:r w:rsidR="00F612EF">
        <w:rPr>
          <w:noProof/>
        </w:rPr>
        <w:t>89</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29</w:t>
      </w:r>
      <w:r>
        <w:rPr>
          <w:rFonts w:asciiTheme="minorHAnsi" w:hAnsiTheme="minorHAnsi"/>
          <w:noProof/>
          <w:sz w:val="22"/>
        </w:rPr>
        <w:tab/>
      </w:r>
      <w:r>
        <w:rPr>
          <w:noProof/>
        </w:rPr>
        <w:t>Numbers assisted by Money Management Service providers by type of income management in the Northern Territory, 2010–2013</w:t>
      </w:r>
      <w:r>
        <w:rPr>
          <w:noProof/>
        </w:rPr>
        <w:tab/>
      </w:r>
      <w:r>
        <w:rPr>
          <w:noProof/>
        </w:rPr>
        <w:fldChar w:fldCharType="begin"/>
      </w:r>
      <w:r>
        <w:rPr>
          <w:noProof/>
        </w:rPr>
        <w:instrText xml:space="preserve"> PAGEREF _Toc403739522 \h </w:instrText>
      </w:r>
      <w:r>
        <w:rPr>
          <w:noProof/>
        </w:rPr>
      </w:r>
      <w:r>
        <w:rPr>
          <w:noProof/>
        </w:rPr>
        <w:fldChar w:fldCharType="separate"/>
      </w:r>
      <w:r w:rsidR="00F612EF">
        <w:rPr>
          <w:noProof/>
        </w:rPr>
        <w:t>90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30</w:t>
      </w:r>
      <w:r>
        <w:rPr>
          <w:rFonts w:asciiTheme="minorHAnsi" w:hAnsiTheme="minorHAnsi"/>
          <w:noProof/>
          <w:sz w:val="22"/>
        </w:rPr>
        <w:tab/>
      </w:r>
      <w:r>
        <w:rPr>
          <w:noProof/>
        </w:rPr>
        <w:t>Number of workshops run by Money Management Services in the Northern Territory, 2009–2013</w:t>
      </w:r>
      <w:r>
        <w:rPr>
          <w:noProof/>
        </w:rPr>
        <w:tab/>
      </w:r>
      <w:r>
        <w:rPr>
          <w:noProof/>
        </w:rPr>
        <w:fldChar w:fldCharType="begin"/>
      </w:r>
      <w:r>
        <w:rPr>
          <w:noProof/>
        </w:rPr>
        <w:instrText xml:space="preserve"> PAGEREF _Toc403739523 \h </w:instrText>
      </w:r>
      <w:r>
        <w:rPr>
          <w:noProof/>
        </w:rPr>
      </w:r>
      <w:r>
        <w:rPr>
          <w:noProof/>
        </w:rPr>
        <w:fldChar w:fldCharType="separate"/>
      </w:r>
      <w:r w:rsidR="00F612EF">
        <w:rPr>
          <w:noProof/>
        </w:rPr>
        <w:t>90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31</w:t>
      </w:r>
      <w:r>
        <w:rPr>
          <w:rFonts w:asciiTheme="minorHAnsi" w:hAnsiTheme="minorHAnsi"/>
          <w:noProof/>
          <w:sz w:val="22"/>
        </w:rPr>
        <w:tab/>
      </w:r>
      <w:r>
        <w:rPr>
          <w:noProof/>
        </w:rPr>
        <w:t>Number of clients attending Approved Money Management courses in the Northern Territory, 2010–2013</w:t>
      </w:r>
      <w:r>
        <w:rPr>
          <w:noProof/>
        </w:rPr>
        <w:tab/>
      </w:r>
      <w:r>
        <w:rPr>
          <w:noProof/>
        </w:rPr>
        <w:fldChar w:fldCharType="begin"/>
      </w:r>
      <w:r>
        <w:rPr>
          <w:noProof/>
        </w:rPr>
        <w:instrText xml:space="preserve"> PAGEREF _Toc403739524 \h </w:instrText>
      </w:r>
      <w:r>
        <w:rPr>
          <w:noProof/>
        </w:rPr>
      </w:r>
      <w:r>
        <w:rPr>
          <w:noProof/>
        </w:rPr>
        <w:fldChar w:fldCharType="separate"/>
      </w:r>
      <w:r w:rsidR="00F612EF">
        <w:rPr>
          <w:noProof/>
        </w:rPr>
        <w:t>91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32</w:t>
      </w:r>
      <w:r>
        <w:rPr>
          <w:rFonts w:asciiTheme="minorHAnsi" w:hAnsiTheme="minorHAnsi"/>
          <w:noProof/>
          <w:sz w:val="22"/>
        </w:rPr>
        <w:tab/>
      </w:r>
      <w:r>
        <w:rPr>
          <w:noProof/>
        </w:rPr>
        <w:t>Knowledge and use of money management and financial counselling services in the Northern Territory, by broad type of location, LSNIM, Wave 2, 2013</w:t>
      </w:r>
      <w:r>
        <w:rPr>
          <w:noProof/>
        </w:rPr>
        <w:tab/>
      </w:r>
      <w:r>
        <w:rPr>
          <w:noProof/>
        </w:rPr>
        <w:fldChar w:fldCharType="begin"/>
      </w:r>
      <w:r>
        <w:rPr>
          <w:noProof/>
        </w:rPr>
        <w:instrText xml:space="preserve"> PAGEREF _Toc403739525 \h </w:instrText>
      </w:r>
      <w:r>
        <w:rPr>
          <w:noProof/>
        </w:rPr>
      </w:r>
      <w:r>
        <w:rPr>
          <w:noProof/>
        </w:rPr>
        <w:fldChar w:fldCharType="separate"/>
      </w:r>
      <w:r w:rsidR="00F612EF">
        <w:rPr>
          <w:noProof/>
        </w:rPr>
        <w:t>92</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1</w:t>
      </w:r>
      <w:r>
        <w:rPr>
          <w:rFonts w:asciiTheme="minorHAnsi" w:hAnsiTheme="minorHAnsi"/>
          <w:noProof/>
          <w:sz w:val="22"/>
        </w:rPr>
        <w:tab/>
      </w:r>
      <w:r>
        <w:rPr>
          <w:noProof/>
        </w:rPr>
        <w:t>Numbers exempt, out of scope exempt and exemption rate, NIM, 2010 to 2013</w:t>
      </w:r>
      <w:r>
        <w:rPr>
          <w:noProof/>
        </w:rPr>
        <w:tab/>
      </w:r>
      <w:r>
        <w:rPr>
          <w:noProof/>
        </w:rPr>
        <w:fldChar w:fldCharType="begin"/>
      </w:r>
      <w:r>
        <w:rPr>
          <w:noProof/>
        </w:rPr>
        <w:instrText xml:space="preserve"> PAGEREF _Toc403739526 \h </w:instrText>
      </w:r>
      <w:r>
        <w:rPr>
          <w:noProof/>
        </w:rPr>
      </w:r>
      <w:r>
        <w:rPr>
          <w:noProof/>
        </w:rPr>
        <w:fldChar w:fldCharType="separate"/>
      </w:r>
      <w:r w:rsidR="00F612EF">
        <w:rPr>
          <w:noProof/>
        </w:rPr>
        <w:t>97</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2</w:t>
      </w:r>
      <w:r>
        <w:rPr>
          <w:rFonts w:asciiTheme="minorHAnsi" w:hAnsiTheme="minorHAnsi"/>
          <w:noProof/>
          <w:sz w:val="22"/>
        </w:rPr>
        <w:tab/>
      </w:r>
      <w:r>
        <w:rPr>
          <w:noProof/>
        </w:rPr>
        <w:t>Exemption rate by gender and Indigenous status, NIM, December 2010 to December 2013</w:t>
      </w:r>
      <w:r>
        <w:rPr>
          <w:noProof/>
        </w:rPr>
        <w:tab/>
      </w:r>
      <w:r>
        <w:rPr>
          <w:noProof/>
        </w:rPr>
        <w:fldChar w:fldCharType="begin"/>
      </w:r>
      <w:r>
        <w:rPr>
          <w:noProof/>
        </w:rPr>
        <w:instrText xml:space="preserve"> PAGEREF _Toc403739527 \h </w:instrText>
      </w:r>
      <w:r>
        <w:rPr>
          <w:noProof/>
        </w:rPr>
      </w:r>
      <w:r>
        <w:rPr>
          <w:noProof/>
        </w:rPr>
        <w:fldChar w:fldCharType="separate"/>
      </w:r>
      <w:r w:rsidR="00F612EF">
        <w:rPr>
          <w:noProof/>
        </w:rPr>
        <w:t>98</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3</w:t>
      </w:r>
      <w:r>
        <w:rPr>
          <w:rFonts w:asciiTheme="minorHAnsi" w:hAnsiTheme="minorHAnsi"/>
          <w:noProof/>
          <w:sz w:val="22"/>
        </w:rPr>
        <w:tab/>
      </w:r>
      <w:r>
        <w:rPr>
          <w:noProof/>
        </w:rPr>
        <w:t>First exemption, rejection or withdrawal by month, NIM, August 2010 to December 2013</w:t>
      </w:r>
      <w:r>
        <w:rPr>
          <w:noProof/>
        </w:rPr>
        <w:tab/>
      </w:r>
      <w:r>
        <w:rPr>
          <w:noProof/>
        </w:rPr>
        <w:fldChar w:fldCharType="begin"/>
      </w:r>
      <w:r>
        <w:rPr>
          <w:noProof/>
        </w:rPr>
        <w:instrText xml:space="preserve"> PAGEREF _Toc403739528 \h </w:instrText>
      </w:r>
      <w:r>
        <w:rPr>
          <w:noProof/>
        </w:rPr>
      </w:r>
      <w:r>
        <w:rPr>
          <w:noProof/>
        </w:rPr>
        <w:fldChar w:fldCharType="separate"/>
      </w:r>
      <w:r w:rsidR="00F612EF">
        <w:rPr>
          <w:noProof/>
        </w:rPr>
        <w:t>99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4</w:t>
      </w:r>
      <w:r>
        <w:rPr>
          <w:rFonts w:asciiTheme="minorHAnsi" w:hAnsiTheme="minorHAnsi"/>
          <w:noProof/>
          <w:sz w:val="22"/>
        </w:rPr>
        <w:tab/>
      </w:r>
      <w:r>
        <w:rPr>
          <w:noProof/>
        </w:rPr>
        <w:t>Exemption rate by gender, broad region of birth and Indigenous status, NIM, December 2013</w:t>
      </w:r>
      <w:r>
        <w:rPr>
          <w:noProof/>
        </w:rPr>
        <w:tab/>
      </w:r>
      <w:r>
        <w:rPr>
          <w:noProof/>
        </w:rPr>
        <w:fldChar w:fldCharType="begin"/>
      </w:r>
      <w:r>
        <w:rPr>
          <w:noProof/>
        </w:rPr>
        <w:instrText xml:space="preserve"> PAGEREF _Toc403739529 \h </w:instrText>
      </w:r>
      <w:r>
        <w:rPr>
          <w:noProof/>
        </w:rPr>
      </w:r>
      <w:r>
        <w:rPr>
          <w:noProof/>
        </w:rPr>
        <w:fldChar w:fldCharType="separate"/>
      </w:r>
      <w:r w:rsidR="00F612EF">
        <w:rPr>
          <w:noProof/>
        </w:rPr>
        <w:t>99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5</w:t>
      </w:r>
      <w:r>
        <w:rPr>
          <w:rFonts w:asciiTheme="minorHAnsi" w:hAnsiTheme="minorHAnsi"/>
          <w:noProof/>
          <w:sz w:val="22"/>
        </w:rPr>
        <w:tab/>
      </w:r>
      <w:r>
        <w:rPr>
          <w:noProof/>
        </w:rPr>
        <w:t>Time on income management prior to obtaining an exemption, all persons who have obtained an exemption from income management in the Northern Territory, population with an exemption in December 2013</w:t>
      </w:r>
      <w:r>
        <w:rPr>
          <w:noProof/>
        </w:rPr>
        <w:tab/>
      </w:r>
      <w:r>
        <w:rPr>
          <w:noProof/>
        </w:rPr>
        <w:fldChar w:fldCharType="begin"/>
      </w:r>
      <w:r>
        <w:rPr>
          <w:noProof/>
        </w:rPr>
        <w:instrText xml:space="preserve"> PAGEREF _Toc403739530 \h </w:instrText>
      </w:r>
      <w:r>
        <w:rPr>
          <w:noProof/>
        </w:rPr>
      </w:r>
      <w:r>
        <w:rPr>
          <w:noProof/>
        </w:rPr>
        <w:fldChar w:fldCharType="separate"/>
      </w:r>
      <w:r w:rsidR="00F612EF">
        <w:rPr>
          <w:noProof/>
        </w:rPr>
        <w:t>103</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6</w:t>
      </w:r>
      <w:r>
        <w:rPr>
          <w:rFonts w:asciiTheme="minorHAnsi" w:hAnsiTheme="minorHAnsi"/>
          <w:noProof/>
          <w:sz w:val="22"/>
        </w:rPr>
        <w:tab/>
      </w:r>
      <w:r>
        <w:rPr>
          <w:noProof/>
        </w:rPr>
        <w:t>People with an exemption from income management, main and any reason why they sought an exemption, LSNIM, Wave 2, 2013</w:t>
      </w:r>
      <w:r>
        <w:rPr>
          <w:noProof/>
        </w:rPr>
        <w:tab/>
      </w:r>
      <w:r>
        <w:rPr>
          <w:noProof/>
        </w:rPr>
        <w:fldChar w:fldCharType="begin"/>
      </w:r>
      <w:r>
        <w:rPr>
          <w:noProof/>
        </w:rPr>
        <w:instrText xml:space="preserve"> PAGEREF _Toc403739531 \h </w:instrText>
      </w:r>
      <w:r>
        <w:rPr>
          <w:noProof/>
        </w:rPr>
      </w:r>
      <w:r>
        <w:rPr>
          <w:noProof/>
        </w:rPr>
        <w:fldChar w:fldCharType="separate"/>
      </w:r>
      <w:r w:rsidR="00F612EF">
        <w:rPr>
          <w:noProof/>
        </w:rPr>
        <w:t>109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7</w:t>
      </w:r>
      <w:r>
        <w:rPr>
          <w:rFonts w:asciiTheme="minorHAnsi" w:hAnsiTheme="minorHAnsi"/>
          <w:noProof/>
          <w:sz w:val="22"/>
        </w:rPr>
        <w:tab/>
      </w:r>
      <w:r>
        <w:rPr>
          <w:noProof/>
        </w:rPr>
        <w:t>People with an exemption from income management who had been on income management response to ‘income management was good for me’, LSNIM, Wave 2, 2013</w:t>
      </w:r>
      <w:r>
        <w:rPr>
          <w:noProof/>
        </w:rPr>
        <w:tab/>
      </w:r>
      <w:r>
        <w:rPr>
          <w:noProof/>
        </w:rPr>
        <w:fldChar w:fldCharType="begin"/>
      </w:r>
      <w:r>
        <w:rPr>
          <w:noProof/>
        </w:rPr>
        <w:instrText xml:space="preserve"> PAGEREF _Toc403739532 \h </w:instrText>
      </w:r>
      <w:r>
        <w:rPr>
          <w:noProof/>
        </w:rPr>
      </w:r>
      <w:r>
        <w:rPr>
          <w:noProof/>
        </w:rPr>
        <w:fldChar w:fldCharType="separate"/>
      </w:r>
      <w:r w:rsidR="00F612EF">
        <w:rPr>
          <w:noProof/>
        </w:rPr>
        <w:t>111</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 xml:space="preserve">8 </w:t>
      </w:r>
      <w:r>
        <w:rPr>
          <w:rFonts w:asciiTheme="minorHAnsi" w:hAnsiTheme="minorHAnsi"/>
          <w:noProof/>
          <w:sz w:val="22"/>
        </w:rPr>
        <w:tab/>
      </w:r>
      <w:r>
        <w:rPr>
          <w:noProof/>
        </w:rPr>
        <w:t>Persons who had tried to leave income management, main and other reasons for seeking to exit, LSNIM, Wave 2, 2013</w:t>
      </w:r>
      <w:r>
        <w:rPr>
          <w:noProof/>
        </w:rPr>
        <w:tab/>
      </w:r>
      <w:r>
        <w:rPr>
          <w:noProof/>
        </w:rPr>
        <w:fldChar w:fldCharType="begin"/>
      </w:r>
      <w:r>
        <w:rPr>
          <w:noProof/>
        </w:rPr>
        <w:instrText xml:space="preserve"> PAGEREF _Toc403739533 \h </w:instrText>
      </w:r>
      <w:r>
        <w:rPr>
          <w:noProof/>
        </w:rPr>
      </w:r>
      <w:r>
        <w:rPr>
          <w:noProof/>
        </w:rPr>
        <w:fldChar w:fldCharType="separate"/>
      </w:r>
      <w:r w:rsidR="00F612EF">
        <w:rPr>
          <w:noProof/>
        </w:rPr>
        <w:t>112</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 xml:space="preserve">9 </w:t>
      </w:r>
      <w:r>
        <w:rPr>
          <w:rFonts w:asciiTheme="minorHAnsi" w:hAnsiTheme="minorHAnsi"/>
          <w:noProof/>
          <w:sz w:val="22"/>
        </w:rPr>
        <w:tab/>
      </w:r>
      <w:r>
        <w:rPr>
          <w:noProof/>
        </w:rPr>
        <w:t>Persons who had tried to leave income management, understanding of reasons why their application was refused, LSNIM, Wave 2, 2013</w:t>
      </w:r>
      <w:r>
        <w:rPr>
          <w:noProof/>
        </w:rPr>
        <w:tab/>
      </w:r>
      <w:r>
        <w:rPr>
          <w:noProof/>
        </w:rPr>
        <w:fldChar w:fldCharType="begin"/>
      </w:r>
      <w:r>
        <w:rPr>
          <w:noProof/>
        </w:rPr>
        <w:instrText xml:space="preserve"> PAGEREF _Toc403739534 \h </w:instrText>
      </w:r>
      <w:r>
        <w:rPr>
          <w:noProof/>
        </w:rPr>
      </w:r>
      <w:r>
        <w:rPr>
          <w:noProof/>
        </w:rPr>
        <w:fldChar w:fldCharType="separate"/>
      </w:r>
      <w:r w:rsidR="00F612EF">
        <w:rPr>
          <w:noProof/>
        </w:rPr>
        <w:t>113</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10</w:t>
      </w:r>
      <w:r>
        <w:rPr>
          <w:rFonts w:asciiTheme="minorHAnsi" w:hAnsiTheme="minorHAnsi"/>
          <w:noProof/>
          <w:sz w:val="22"/>
        </w:rPr>
        <w:tab/>
      </w:r>
      <w:r>
        <w:rPr>
          <w:noProof/>
        </w:rPr>
        <w:t>Extracts from standard Centrelink letters on the provision of information in support of an application for exemption</w:t>
      </w:r>
      <w:r>
        <w:rPr>
          <w:noProof/>
        </w:rPr>
        <w:tab/>
      </w:r>
      <w:r>
        <w:rPr>
          <w:noProof/>
        </w:rPr>
        <w:fldChar w:fldCharType="begin"/>
      </w:r>
      <w:r>
        <w:rPr>
          <w:noProof/>
        </w:rPr>
        <w:instrText xml:space="preserve"> PAGEREF _Toc403739535 \h </w:instrText>
      </w:r>
      <w:r>
        <w:rPr>
          <w:noProof/>
        </w:rPr>
      </w:r>
      <w:r>
        <w:rPr>
          <w:noProof/>
        </w:rPr>
        <w:fldChar w:fldCharType="separate"/>
      </w:r>
      <w:r w:rsidR="00F612EF">
        <w:rPr>
          <w:noProof/>
        </w:rPr>
        <w:t>115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 </w:t>
      </w:r>
      <w:r>
        <w:rPr>
          <w:rFonts w:asciiTheme="minorHAnsi" w:hAnsiTheme="minorHAnsi"/>
          <w:noProof/>
          <w:sz w:val="22"/>
        </w:rPr>
        <w:tab/>
      </w:r>
      <w:r>
        <w:rPr>
          <w:noProof/>
        </w:rPr>
        <w:t>Proportion of people subject to income management in the Northern Territory with an allocation to a BasicsCard by duration of time on income management in their first year on the program, October 2013</w:t>
      </w:r>
      <w:r>
        <w:rPr>
          <w:noProof/>
        </w:rPr>
        <w:tab/>
      </w:r>
      <w:r>
        <w:rPr>
          <w:noProof/>
        </w:rPr>
        <w:fldChar w:fldCharType="begin"/>
      </w:r>
      <w:r>
        <w:rPr>
          <w:noProof/>
        </w:rPr>
        <w:instrText xml:space="preserve"> PAGEREF _Toc403739536 \h </w:instrText>
      </w:r>
      <w:r>
        <w:rPr>
          <w:noProof/>
        </w:rPr>
      </w:r>
      <w:r>
        <w:rPr>
          <w:noProof/>
        </w:rPr>
        <w:fldChar w:fldCharType="separate"/>
      </w:r>
      <w:r w:rsidR="00F612EF">
        <w:rPr>
          <w:noProof/>
        </w:rPr>
        <w:t>122</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2 </w:t>
      </w:r>
      <w:r>
        <w:rPr>
          <w:rFonts w:asciiTheme="minorHAnsi" w:hAnsiTheme="minorHAnsi"/>
          <w:noProof/>
          <w:sz w:val="22"/>
        </w:rPr>
        <w:tab/>
      </w:r>
      <w:r>
        <w:rPr>
          <w:noProof/>
        </w:rPr>
        <w:t>The BasicsCard</w:t>
      </w:r>
      <w:r>
        <w:rPr>
          <w:noProof/>
        </w:rPr>
        <w:tab/>
      </w:r>
      <w:r>
        <w:rPr>
          <w:noProof/>
        </w:rPr>
        <w:fldChar w:fldCharType="begin"/>
      </w:r>
      <w:r>
        <w:rPr>
          <w:noProof/>
        </w:rPr>
        <w:instrText xml:space="preserve"> PAGEREF _Toc403739537 \h </w:instrText>
      </w:r>
      <w:r>
        <w:rPr>
          <w:noProof/>
        </w:rPr>
      </w:r>
      <w:r>
        <w:rPr>
          <w:noProof/>
        </w:rPr>
        <w:fldChar w:fldCharType="separate"/>
      </w:r>
      <w:r w:rsidR="00F612EF">
        <w:rPr>
          <w:noProof/>
        </w:rPr>
        <w:t>126</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3</w:t>
      </w:r>
      <w:r>
        <w:rPr>
          <w:rFonts w:asciiTheme="minorHAnsi" w:hAnsiTheme="minorHAnsi"/>
          <w:noProof/>
          <w:sz w:val="22"/>
        </w:rPr>
        <w:tab/>
      </w:r>
      <w:r>
        <w:rPr>
          <w:noProof/>
        </w:rPr>
        <w:t>Composition of BasicsCard transactions by Indigenous identification, NIM 2013</w:t>
      </w:r>
      <w:r>
        <w:rPr>
          <w:noProof/>
        </w:rPr>
        <w:tab/>
      </w:r>
      <w:r>
        <w:rPr>
          <w:noProof/>
        </w:rPr>
        <w:fldChar w:fldCharType="begin"/>
      </w:r>
      <w:r>
        <w:rPr>
          <w:noProof/>
        </w:rPr>
        <w:instrText xml:space="preserve"> PAGEREF _Toc403739538 \h </w:instrText>
      </w:r>
      <w:r>
        <w:rPr>
          <w:noProof/>
        </w:rPr>
      </w:r>
      <w:r>
        <w:rPr>
          <w:noProof/>
        </w:rPr>
        <w:fldChar w:fldCharType="separate"/>
      </w:r>
      <w:r w:rsidR="00F612EF">
        <w:rPr>
          <w:noProof/>
        </w:rPr>
        <w:t>128</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4</w:t>
      </w:r>
      <w:r>
        <w:rPr>
          <w:rFonts w:asciiTheme="minorHAnsi" w:hAnsiTheme="minorHAnsi"/>
          <w:noProof/>
          <w:sz w:val="22"/>
        </w:rPr>
        <w:tab/>
      </w:r>
      <w:r>
        <w:rPr>
          <w:noProof/>
        </w:rPr>
        <w:t>Persons on income management in the Northern Territory, total BasicsCard spending by month, June 2010 to December 2013</w:t>
      </w:r>
      <w:r>
        <w:rPr>
          <w:noProof/>
        </w:rPr>
        <w:tab/>
      </w:r>
      <w:r>
        <w:rPr>
          <w:noProof/>
        </w:rPr>
        <w:fldChar w:fldCharType="begin"/>
      </w:r>
      <w:r>
        <w:rPr>
          <w:noProof/>
        </w:rPr>
        <w:instrText xml:space="preserve"> PAGEREF _Toc403739539 \h </w:instrText>
      </w:r>
      <w:r>
        <w:rPr>
          <w:noProof/>
        </w:rPr>
      </w:r>
      <w:r>
        <w:rPr>
          <w:noProof/>
        </w:rPr>
        <w:fldChar w:fldCharType="separate"/>
      </w:r>
      <w:r w:rsidR="00F612EF">
        <w:rPr>
          <w:noProof/>
        </w:rPr>
        <w:t>129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5</w:t>
      </w:r>
      <w:r>
        <w:rPr>
          <w:rFonts w:asciiTheme="minorHAnsi" w:hAnsiTheme="minorHAnsi"/>
          <w:noProof/>
          <w:sz w:val="22"/>
        </w:rPr>
        <w:tab/>
      </w:r>
      <w:r>
        <w:rPr>
          <w:noProof/>
        </w:rPr>
        <w:t>Composition of value of BasicsCard sales to persons on income management in the Northern Territory by broad classification of stores, sales by month, June 2010 to December 2013</w:t>
      </w:r>
      <w:r>
        <w:rPr>
          <w:noProof/>
        </w:rPr>
        <w:tab/>
      </w:r>
      <w:r>
        <w:rPr>
          <w:noProof/>
        </w:rPr>
        <w:fldChar w:fldCharType="begin"/>
      </w:r>
      <w:r>
        <w:rPr>
          <w:noProof/>
        </w:rPr>
        <w:instrText xml:space="preserve"> PAGEREF _Toc403739540 \h </w:instrText>
      </w:r>
      <w:r>
        <w:rPr>
          <w:noProof/>
        </w:rPr>
      </w:r>
      <w:r>
        <w:rPr>
          <w:noProof/>
        </w:rPr>
        <w:fldChar w:fldCharType="separate"/>
      </w:r>
      <w:r w:rsidR="00F612EF">
        <w:rPr>
          <w:noProof/>
        </w:rPr>
        <w:t>131</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6</w:t>
      </w:r>
      <w:r>
        <w:rPr>
          <w:rFonts w:asciiTheme="minorHAnsi" w:hAnsiTheme="minorHAnsi"/>
          <w:noProof/>
          <w:sz w:val="22"/>
        </w:rPr>
        <w:tab/>
      </w:r>
      <w:r>
        <w:rPr>
          <w:noProof/>
        </w:rPr>
        <w:t>Selected community stores, proportion of total expenditure on fruit and vegetables and tobacco, April 2009 to October 2013</w:t>
      </w:r>
      <w:r>
        <w:rPr>
          <w:noProof/>
        </w:rPr>
        <w:tab/>
      </w:r>
      <w:r>
        <w:rPr>
          <w:noProof/>
        </w:rPr>
        <w:fldChar w:fldCharType="begin"/>
      </w:r>
      <w:r>
        <w:rPr>
          <w:noProof/>
        </w:rPr>
        <w:instrText xml:space="preserve"> PAGEREF _Toc403739541 \h </w:instrText>
      </w:r>
      <w:r>
        <w:rPr>
          <w:noProof/>
        </w:rPr>
      </w:r>
      <w:r>
        <w:rPr>
          <w:noProof/>
        </w:rPr>
        <w:fldChar w:fldCharType="separate"/>
      </w:r>
      <w:r w:rsidR="00F612EF">
        <w:rPr>
          <w:noProof/>
        </w:rPr>
        <w:t>145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7 </w:t>
      </w:r>
      <w:r>
        <w:rPr>
          <w:rFonts w:asciiTheme="minorHAnsi" w:hAnsiTheme="minorHAnsi"/>
          <w:noProof/>
          <w:sz w:val="22"/>
        </w:rPr>
        <w:tab/>
      </w:r>
      <w:r>
        <w:rPr>
          <w:noProof/>
        </w:rPr>
        <w:t>Selected community stores, tobacco price and estimated volume of sales, August 2009 to October 2013</w:t>
      </w:r>
      <w:r>
        <w:rPr>
          <w:noProof/>
        </w:rPr>
        <w:tab/>
      </w:r>
      <w:r>
        <w:rPr>
          <w:noProof/>
        </w:rPr>
        <w:fldChar w:fldCharType="begin"/>
      </w:r>
      <w:r>
        <w:rPr>
          <w:noProof/>
        </w:rPr>
        <w:instrText xml:space="preserve"> PAGEREF _Toc403739542 \h </w:instrText>
      </w:r>
      <w:r>
        <w:rPr>
          <w:noProof/>
        </w:rPr>
      </w:r>
      <w:r>
        <w:rPr>
          <w:noProof/>
        </w:rPr>
        <w:fldChar w:fldCharType="separate"/>
      </w:r>
      <w:r w:rsidR="00F612EF">
        <w:rPr>
          <w:noProof/>
        </w:rPr>
        <w:t>145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8</w:t>
      </w:r>
      <w:r>
        <w:rPr>
          <w:rFonts w:asciiTheme="minorHAnsi" w:hAnsiTheme="minorHAnsi"/>
          <w:noProof/>
          <w:sz w:val="22"/>
        </w:rPr>
        <w:tab/>
      </w:r>
      <w:r>
        <w:rPr>
          <w:noProof/>
        </w:rPr>
        <w:t>Availability and quality of fruit and vegetables in Northern Territory remote stores, 2000–2013</w:t>
      </w:r>
      <w:r>
        <w:rPr>
          <w:noProof/>
        </w:rPr>
        <w:tab/>
      </w:r>
      <w:r>
        <w:rPr>
          <w:noProof/>
        </w:rPr>
        <w:fldChar w:fldCharType="begin"/>
      </w:r>
      <w:r>
        <w:rPr>
          <w:noProof/>
        </w:rPr>
        <w:instrText xml:space="preserve"> PAGEREF _Toc403739543 \h </w:instrText>
      </w:r>
      <w:r>
        <w:rPr>
          <w:noProof/>
        </w:rPr>
      </w:r>
      <w:r>
        <w:rPr>
          <w:noProof/>
        </w:rPr>
        <w:fldChar w:fldCharType="separate"/>
      </w:r>
      <w:r w:rsidR="00F612EF">
        <w:rPr>
          <w:noProof/>
        </w:rPr>
        <w:t>146</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9 </w:t>
      </w:r>
      <w:r>
        <w:rPr>
          <w:rFonts w:asciiTheme="minorHAnsi" w:hAnsiTheme="minorHAnsi"/>
          <w:noProof/>
          <w:sz w:val="22"/>
        </w:rPr>
        <w:tab/>
      </w:r>
      <w:r>
        <w:rPr>
          <w:noProof/>
        </w:rPr>
        <w:t>Replacement BasicsCards, number issued and rate of replacement per month, NIM, September 2009 to December 2013</w:t>
      </w:r>
      <w:r>
        <w:rPr>
          <w:noProof/>
        </w:rPr>
        <w:tab/>
      </w:r>
      <w:r>
        <w:rPr>
          <w:noProof/>
        </w:rPr>
        <w:fldChar w:fldCharType="begin"/>
      </w:r>
      <w:r>
        <w:rPr>
          <w:noProof/>
        </w:rPr>
        <w:instrText xml:space="preserve"> PAGEREF _Toc403739544 \h </w:instrText>
      </w:r>
      <w:r>
        <w:rPr>
          <w:noProof/>
        </w:rPr>
      </w:r>
      <w:r>
        <w:rPr>
          <w:noProof/>
        </w:rPr>
        <w:fldChar w:fldCharType="separate"/>
      </w:r>
      <w:r w:rsidR="00F612EF">
        <w:rPr>
          <w:noProof/>
        </w:rPr>
        <w:t>149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10 </w:t>
      </w:r>
      <w:r>
        <w:rPr>
          <w:rFonts w:asciiTheme="minorHAnsi" w:hAnsiTheme="minorHAnsi"/>
          <w:noProof/>
          <w:sz w:val="22"/>
        </w:rPr>
        <w:tab/>
      </w:r>
      <w:r>
        <w:rPr>
          <w:noProof/>
        </w:rPr>
        <w:t>Monthly rate of failed transactions due to inadequate balances by entry cohort, persons on income management in the Northern Territory in December 2013, June 2010 to December 2013</w:t>
      </w:r>
      <w:r>
        <w:rPr>
          <w:noProof/>
        </w:rPr>
        <w:tab/>
      </w:r>
      <w:r>
        <w:rPr>
          <w:noProof/>
        </w:rPr>
        <w:fldChar w:fldCharType="begin"/>
      </w:r>
      <w:r>
        <w:rPr>
          <w:noProof/>
        </w:rPr>
        <w:instrText xml:space="preserve"> PAGEREF _Toc403739545 \h </w:instrText>
      </w:r>
      <w:r>
        <w:rPr>
          <w:noProof/>
        </w:rPr>
      </w:r>
      <w:r>
        <w:rPr>
          <w:noProof/>
        </w:rPr>
        <w:fldChar w:fldCharType="separate"/>
      </w:r>
      <w:r w:rsidR="00F612EF">
        <w:rPr>
          <w:noProof/>
        </w:rPr>
        <w:t>159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11 </w:t>
      </w:r>
      <w:r>
        <w:rPr>
          <w:rFonts w:asciiTheme="minorHAnsi" w:hAnsiTheme="minorHAnsi"/>
          <w:noProof/>
          <w:sz w:val="22"/>
        </w:rPr>
        <w:tab/>
      </w:r>
      <w:r>
        <w:rPr>
          <w:noProof/>
        </w:rPr>
        <w:t>Proportion of time spent with a balance of less than $10, NIM, October 2011 and October 2013</w:t>
      </w:r>
      <w:r>
        <w:rPr>
          <w:noProof/>
        </w:rPr>
        <w:tab/>
      </w:r>
      <w:r>
        <w:rPr>
          <w:noProof/>
        </w:rPr>
        <w:fldChar w:fldCharType="begin"/>
      </w:r>
      <w:r>
        <w:rPr>
          <w:noProof/>
        </w:rPr>
        <w:instrText xml:space="preserve"> PAGEREF _Toc403739546 \h </w:instrText>
      </w:r>
      <w:r>
        <w:rPr>
          <w:noProof/>
        </w:rPr>
      </w:r>
      <w:r>
        <w:rPr>
          <w:noProof/>
        </w:rPr>
        <w:fldChar w:fldCharType="separate"/>
      </w:r>
      <w:r w:rsidR="00F612EF">
        <w:rPr>
          <w:noProof/>
        </w:rPr>
        <w:t>164</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 xml:space="preserve">1 </w:t>
      </w:r>
      <w:r>
        <w:rPr>
          <w:rFonts w:asciiTheme="minorHAnsi" w:hAnsiTheme="minorHAnsi"/>
          <w:noProof/>
          <w:sz w:val="22"/>
        </w:rPr>
        <w:tab/>
      </w:r>
      <w:r>
        <w:rPr>
          <w:noProof/>
        </w:rPr>
        <w:t xml:space="preserve"> Overall do you think income management has made things better for you?, people currently on income management, LSNIM, Wave 2, 2013</w:t>
      </w:r>
      <w:r>
        <w:rPr>
          <w:noProof/>
        </w:rPr>
        <w:tab/>
      </w:r>
      <w:r>
        <w:rPr>
          <w:noProof/>
        </w:rPr>
        <w:fldChar w:fldCharType="begin"/>
      </w:r>
      <w:r>
        <w:rPr>
          <w:noProof/>
        </w:rPr>
        <w:instrText xml:space="preserve"> PAGEREF _Toc403739547 \h </w:instrText>
      </w:r>
      <w:r>
        <w:rPr>
          <w:noProof/>
        </w:rPr>
      </w:r>
      <w:r>
        <w:rPr>
          <w:noProof/>
        </w:rPr>
        <w:fldChar w:fldCharType="separate"/>
      </w:r>
      <w:r w:rsidR="00F612EF">
        <w:rPr>
          <w:noProof/>
        </w:rPr>
        <w:t>172</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2</w:t>
      </w:r>
      <w:r>
        <w:rPr>
          <w:rFonts w:asciiTheme="minorHAnsi" w:hAnsiTheme="minorHAnsi"/>
          <w:noProof/>
          <w:sz w:val="22"/>
        </w:rPr>
        <w:tab/>
      </w:r>
      <w:r>
        <w:rPr>
          <w:noProof/>
        </w:rPr>
        <w:t>Objective for income management, persons currently on income management, proportion expressing a desire to ‘get off’ or unsure, LSNIM, Wave 2, 2013</w:t>
      </w:r>
      <w:r>
        <w:rPr>
          <w:noProof/>
        </w:rPr>
        <w:tab/>
      </w:r>
      <w:r>
        <w:rPr>
          <w:noProof/>
        </w:rPr>
        <w:fldChar w:fldCharType="begin"/>
      </w:r>
      <w:r>
        <w:rPr>
          <w:noProof/>
        </w:rPr>
        <w:instrText xml:space="preserve"> PAGEREF _Toc403739548 \h </w:instrText>
      </w:r>
      <w:r>
        <w:rPr>
          <w:noProof/>
        </w:rPr>
      </w:r>
      <w:r>
        <w:rPr>
          <w:noProof/>
        </w:rPr>
        <w:fldChar w:fldCharType="separate"/>
      </w:r>
      <w:r w:rsidR="00F612EF">
        <w:rPr>
          <w:noProof/>
        </w:rPr>
        <w:t>173</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3</w:t>
      </w:r>
      <w:r>
        <w:rPr>
          <w:rFonts w:asciiTheme="minorHAnsi" w:hAnsiTheme="minorHAnsi"/>
          <w:noProof/>
          <w:sz w:val="22"/>
        </w:rPr>
        <w:tab/>
      </w:r>
      <w:r>
        <w:rPr>
          <w:noProof/>
        </w:rPr>
        <w:t>Indigenous respondents subject to Compulsory Income Management, aims for remaining on income management and whether income management has made life better or worse, LSNIM, Wave 2, 2013</w:t>
      </w:r>
      <w:r>
        <w:rPr>
          <w:noProof/>
        </w:rPr>
        <w:tab/>
      </w:r>
      <w:r>
        <w:rPr>
          <w:noProof/>
        </w:rPr>
        <w:fldChar w:fldCharType="begin"/>
      </w:r>
      <w:r>
        <w:rPr>
          <w:noProof/>
        </w:rPr>
        <w:instrText xml:space="preserve"> PAGEREF _Toc403739549 \h </w:instrText>
      </w:r>
      <w:r>
        <w:rPr>
          <w:noProof/>
        </w:rPr>
      </w:r>
      <w:r>
        <w:rPr>
          <w:noProof/>
        </w:rPr>
        <w:fldChar w:fldCharType="separate"/>
      </w:r>
      <w:r w:rsidR="00F612EF">
        <w:rPr>
          <w:noProof/>
        </w:rPr>
        <w:t>174</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4</w:t>
      </w:r>
      <w:r>
        <w:rPr>
          <w:rFonts w:asciiTheme="minorHAnsi" w:hAnsiTheme="minorHAnsi"/>
          <w:noProof/>
          <w:sz w:val="22"/>
        </w:rPr>
        <w:tab/>
      </w:r>
      <w:r>
        <w:rPr>
          <w:noProof/>
        </w:rPr>
        <w:t>Persons on Compulsory Income Management who wish to remain on, reasons why, LSNIM, Wave 2, 2013</w:t>
      </w:r>
      <w:r>
        <w:rPr>
          <w:noProof/>
        </w:rPr>
        <w:tab/>
      </w:r>
      <w:r>
        <w:rPr>
          <w:noProof/>
        </w:rPr>
        <w:fldChar w:fldCharType="begin"/>
      </w:r>
      <w:r>
        <w:rPr>
          <w:noProof/>
        </w:rPr>
        <w:instrText xml:space="preserve"> PAGEREF _Toc403739550 \h </w:instrText>
      </w:r>
      <w:r>
        <w:rPr>
          <w:noProof/>
        </w:rPr>
      </w:r>
      <w:r>
        <w:rPr>
          <w:noProof/>
        </w:rPr>
        <w:fldChar w:fldCharType="separate"/>
      </w:r>
      <w:r w:rsidR="00F612EF">
        <w:rPr>
          <w:noProof/>
        </w:rPr>
        <w:t>175</w:t>
      </w:r>
      <w:r>
        <w:rPr>
          <w:noProof/>
        </w:rPr>
        <w:fldChar w:fldCharType="end"/>
      </w:r>
    </w:p>
    <w:p w:rsidR="008260A2" w:rsidRDefault="008260A2">
      <w:pPr>
        <w:pStyle w:val="TableofFigures"/>
        <w:rPr>
          <w:rFonts w:asciiTheme="minorHAnsi" w:hAnsiTheme="minorHAnsi"/>
          <w:noProof/>
          <w:sz w:val="22"/>
        </w:rPr>
      </w:pPr>
      <w:r>
        <w:rPr>
          <w:noProof/>
        </w:rPr>
        <w:lastRenderedPageBreak/>
        <w:t>Figure 7</w:t>
      </w:r>
      <w:r>
        <w:rPr>
          <w:noProof/>
        </w:rPr>
        <w:noBreakHyphen/>
        <w:t>5</w:t>
      </w:r>
      <w:r>
        <w:rPr>
          <w:rFonts w:asciiTheme="minorHAnsi" w:hAnsiTheme="minorHAnsi"/>
          <w:noProof/>
          <w:sz w:val="22"/>
        </w:rPr>
        <w:tab/>
      </w:r>
      <w:r>
        <w:rPr>
          <w:noProof/>
        </w:rPr>
        <w:t>Persons on Compulsory Income Management who wish to exit, reasons why, LSNIM, Wave 2, 2013</w:t>
      </w:r>
      <w:r>
        <w:rPr>
          <w:noProof/>
        </w:rPr>
        <w:tab/>
      </w:r>
      <w:r>
        <w:rPr>
          <w:noProof/>
        </w:rPr>
        <w:fldChar w:fldCharType="begin"/>
      </w:r>
      <w:r>
        <w:rPr>
          <w:noProof/>
        </w:rPr>
        <w:instrText xml:space="preserve"> PAGEREF _Toc403739551 \h </w:instrText>
      </w:r>
      <w:r>
        <w:rPr>
          <w:noProof/>
        </w:rPr>
      </w:r>
      <w:r>
        <w:rPr>
          <w:noProof/>
        </w:rPr>
        <w:fldChar w:fldCharType="separate"/>
      </w:r>
      <w:r w:rsidR="00F612EF">
        <w:rPr>
          <w:noProof/>
        </w:rPr>
        <w:t>176</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6</w:t>
      </w:r>
      <w:r>
        <w:rPr>
          <w:rFonts w:asciiTheme="minorHAnsi" w:hAnsiTheme="minorHAnsi"/>
          <w:noProof/>
          <w:sz w:val="22"/>
        </w:rPr>
        <w:tab/>
      </w:r>
      <w:r>
        <w:rPr>
          <w:noProof/>
        </w:rPr>
        <w:t>Whether they would recommend income management to others, LSNIM, Wave 2, 2013</w:t>
      </w:r>
      <w:r>
        <w:rPr>
          <w:noProof/>
        </w:rPr>
        <w:tab/>
      </w:r>
      <w:r>
        <w:rPr>
          <w:noProof/>
        </w:rPr>
        <w:fldChar w:fldCharType="begin"/>
      </w:r>
      <w:r>
        <w:rPr>
          <w:noProof/>
        </w:rPr>
        <w:instrText xml:space="preserve"> PAGEREF _Toc403739552 \h </w:instrText>
      </w:r>
      <w:r>
        <w:rPr>
          <w:noProof/>
        </w:rPr>
      </w:r>
      <w:r>
        <w:rPr>
          <w:noProof/>
        </w:rPr>
        <w:fldChar w:fldCharType="separate"/>
      </w:r>
      <w:r w:rsidR="00F612EF">
        <w:rPr>
          <w:noProof/>
        </w:rPr>
        <w:t>178</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7</w:t>
      </w:r>
      <w:r>
        <w:rPr>
          <w:rFonts w:asciiTheme="minorHAnsi" w:hAnsiTheme="minorHAnsi"/>
          <w:noProof/>
          <w:sz w:val="22"/>
        </w:rPr>
        <w:tab/>
      </w:r>
      <w:r>
        <w:rPr>
          <w:noProof/>
        </w:rPr>
        <w:t>Persons subject to income management, incidence of selected adverse financial outcomes, LSNIM, Wave 2, 2013</w:t>
      </w:r>
      <w:r>
        <w:rPr>
          <w:noProof/>
        </w:rPr>
        <w:tab/>
      </w:r>
      <w:r>
        <w:rPr>
          <w:noProof/>
        </w:rPr>
        <w:fldChar w:fldCharType="begin"/>
      </w:r>
      <w:r>
        <w:rPr>
          <w:noProof/>
        </w:rPr>
        <w:instrText xml:space="preserve"> PAGEREF _Toc403739553 \h </w:instrText>
      </w:r>
      <w:r>
        <w:rPr>
          <w:noProof/>
        </w:rPr>
      </w:r>
      <w:r>
        <w:rPr>
          <w:noProof/>
        </w:rPr>
        <w:fldChar w:fldCharType="separate"/>
      </w:r>
      <w:r w:rsidR="00F612EF">
        <w:rPr>
          <w:noProof/>
        </w:rPr>
        <w:t>179</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8</w:t>
      </w:r>
      <w:r>
        <w:rPr>
          <w:rFonts w:asciiTheme="minorHAnsi" w:hAnsiTheme="minorHAnsi"/>
          <w:noProof/>
          <w:sz w:val="22"/>
        </w:rPr>
        <w:tab/>
      </w:r>
      <w:r>
        <w:rPr>
          <w:noProof/>
        </w:rPr>
        <w:t>Persons who have exited Compulsory Income Management, reflections on impact of being on the program, LSNIM, Wave 2, 2013</w:t>
      </w:r>
      <w:r>
        <w:rPr>
          <w:noProof/>
        </w:rPr>
        <w:tab/>
      </w:r>
      <w:r>
        <w:rPr>
          <w:noProof/>
        </w:rPr>
        <w:fldChar w:fldCharType="begin"/>
      </w:r>
      <w:r>
        <w:rPr>
          <w:noProof/>
        </w:rPr>
        <w:instrText xml:space="preserve"> PAGEREF _Toc403739554 \h </w:instrText>
      </w:r>
      <w:r>
        <w:rPr>
          <w:noProof/>
        </w:rPr>
      </w:r>
      <w:r>
        <w:rPr>
          <w:noProof/>
        </w:rPr>
        <w:fldChar w:fldCharType="separate"/>
      </w:r>
      <w:r w:rsidR="00F612EF">
        <w:rPr>
          <w:noProof/>
        </w:rPr>
        <w:t>183</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9</w:t>
      </w:r>
      <w:r>
        <w:rPr>
          <w:rFonts w:asciiTheme="minorHAnsi" w:hAnsiTheme="minorHAnsi"/>
          <w:noProof/>
          <w:sz w:val="22"/>
        </w:rPr>
        <w:tab/>
      </w:r>
      <w:r>
        <w:rPr>
          <w:noProof/>
        </w:rPr>
        <w:t>Change in incidence of not running out of food, relative to control group, before income management to Wave 1, and Wave 1 to Wave 2 (pre-income management 2011, 2013)</w:t>
      </w:r>
      <w:r>
        <w:rPr>
          <w:noProof/>
        </w:rPr>
        <w:tab/>
      </w:r>
      <w:r>
        <w:rPr>
          <w:noProof/>
        </w:rPr>
        <w:fldChar w:fldCharType="begin"/>
      </w:r>
      <w:r>
        <w:rPr>
          <w:noProof/>
        </w:rPr>
        <w:instrText xml:space="preserve"> PAGEREF _Toc403739555 \h </w:instrText>
      </w:r>
      <w:r>
        <w:rPr>
          <w:noProof/>
        </w:rPr>
      </w:r>
      <w:r>
        <w:rPr>
          <w:noProof/>
        </w:rPr>
        <w:fldChar w:fldCharType="separate"/>
      </w:r>
      <w:r w:rsidR="00F612EF">
        <w:rPr>
          <w:noProof/>
        </w:rPr>
        <w:t>188</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10</w:t>
      </w:r>
      <w:r>
        <w:rPr>
          <w:rFonts w:asciiTheme="minorHAnsi" w:hAnsiTheme="minorHAnsi"/>
          <w:noProof/>
          <w:sz w:val="22"/>
        </w:rPr>
        <w:tab/>
      </w:r>
      <w:r>
        <w:rPr>
          <w:noProof/>
        </w:rPr>
        <w:t>Change in incidence of not having financial problems due to having given money to others, relative to control group, before income management to Wave 1 and Wave 1 to Wave 2, (pre-income management, 2011, 2013)</w:t>
      </w:r>
      <w:r>
        <w:rPr>
          <w:noProof/>
        </w:rPr>
        <w:tab/>
      </w:r>
      <w:r>
        <w:rPr>
          <w:noProof/>
        </w:rPr>
        <w:fldChar w:fldCharType="begin"/>
      </w:r>
      <w:r>
        <w:rPr>
          <w:noProof/>
        </w:rPr>
        <w:instrText xml:space="preserve"> PAGEREF _Toc403739556 \h </w:instrText>
      </w:r>
      <w:r>
        <w:rPr>
          <w:noProof/>
        </w:rPr>
      </w:r>
      <w:r>
        <w:rPr>
          <w:noProof/>
        </w:rPr>
        <w:fldChar w:fldCharType="separate"/>
      </w:r>
      <w:r w:rsidR="00F612EF">
        <w:rPr>
          <w:noProof/>
        </w:rPr>
        <w:t>189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w:t>
      </w:r>
      <w:r>
        <w:rPr>
          <w:rFonts w:asciiTheme="minorHAnsi" w:hAnsiTheme="minorHAnsi"/>
          <w:noProof/>
          <w:sz w:val="22"/>
        </w:rPr>
        <w:tab/>
      </w:r>
      <w:r>
        <w:rPr>
          <w:noProof/>
        </w:rPr>
        <w:t>Proportional change in improvement by AEDI domain, Northern Territory and Australia between 2009 and 2012</w:t>
      </w:r>
      <w:r>
        <w:rPr>
          <w:noProof/>
        </w:rPr>
        <w:tab/>
      </w:r>
      <w:r>
        <w:rPr>
          <w:noProof/>
        </w:rPr>
        <w:fldChar w:fldCharType="begin"/>
      </w:r>
      <w:r>
        <w:rPr>
          <w:noProof/>
        </w:rPr>
        <w:instrText xml:space="preserve"> PAGEREF _Toc403739557 \h </w:instrText>
      </w:r>
      <w:r>
        <w:rPr>
          <w:noProof/>
        </w:rPr>
      </w:r>
      <w:r>
        <w:rPr>
          <w:noProof/>
        </w:rPr>
        <w:fldChar w:fldCharType="separate"/>
      </w:r>
      <w:r w:rsidR="00F612EF">
        <w:rPr>
          <w:noProof/>
        </w:rPr>
        <w:t>213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w:t>
      </w:r>
      <w:r>
        <w:rPr>
          <w:rFonts w:asciiTheme="minorHAnsi" w:hAnsiTheme="minorHAnsi"/>
          <w:noProof/>
          <w:sz w:val="22"/>
        </w:rPr>
        <w:tab/>
      </w:r>
      <w:r>
        <w:rPr>
          <w:noProof/>
        </w:rPr>
        <w:t>Percentage change between 2009 and 2012 in proportion of children who are developmentally vulnerable by AEDI domain by region and Indigenous status</w:t>
      </w:r>
      <w:r>
        <w:rPr>
          <w:noProof/>
        </w:rPr>
        <w:tab/>
      </w:r>
      <w:r>
        <w:rPr>
          <w:noProof/>
        </w:rPr>
        <w:fldChar w:fldCharType="begin"/>
      </w:r>
      <w:r>
        <w:rPr>
          <w:noProof/>
        </w:rPr>
        <w:instrText xml:space="preserve"> PAGEREF _Toc403739558 \h </w:instrText>
      </w:r>
      <w:r>
        <w:rPr>
          <w:noProof/>
        </w:rPr>
      </w:r>
      <w:r>
        <w:rPr>
          <w:noProof/>
        </w:rPr>
        <w:fldChar w:fldCharType="separate"/>
      </w:r>
      <w:r w:rsidR="00F612EF">
        <w:rPr>
          <w:noProof/>
        </w:rPr>
        <w:t>213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3</w:t>
      </w:r>
      <w:r>
        <w:rPr>
          <w:rFonts w:asciiTheme="minorHAnsi" w:hAnsiTheme="minorHAnsi"/>
          <w:noProof/>
          <w:sz w:val="22"/>
        </w:rPr>
        <w:tab/>
      </w:r>
      <w:r>
        <w:rPr>
          <w:noProof/>
        </w:rPr>
        <w:t>Proportion of children with numeracy at or above the national standard, by Indigenous status, NAPLAN, 2008–2013</w:t>
      </w:r>
      <w:r>
        <w:rPr>
          <w:noProof/>
        </w:rPr>
        <w:tab/>
      </w:r>
      <w:r>
        <w:rPr>
          <w:noProof/>
        </w:rPr>
        <w:fldChar w:fldCharType="begin"/>
      </w:r>
      <w:r>
        <w:rPr>
          <w:noProof/>
        </w:rPr>
        <w:instrText xml:space="preserve"> PAGEREF _Toc403739559 \h </w:instrText>
      </w:r>
      <w:r>
        <w:rPr>
          <w:noProof/>
        </w:rPr>
      </w:r>
      <w:r>
        <w:rPr>
          <w:noProof/>
        </w:rPr>
        <w:fldChar w:fldCharType="separate"/>
      </w:r>
      <w:r w:rsidR="00F612EF">
        <w:rPr>
          <w:noProof/>
        </w:rPr>
        <w:t>214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4</w:t>
      </w:r>
      <w:r>
        <w:rPr>
          <w:rFonts w:asciiTheme="minorHAnsi" w:hAnsiTheme="minorHAnsi"/>
          <w:noProof/>
          <w:sz w:val="22"/>
        </w:rPr>
        <w:tab/>
      </w:r>
      <w:r>
        <w:rPr>
          <w:noProof/>
        </w:rPr>
        <w:t>Proportion of children with reading at or above the national standard, by Indigenous status, NAPLAN, 2008–2013</w:t>
      </w:r>
      <w:r>
        <w:rPr>
          <w:noProof/>
        </w:rPr>
        <w:tab/>
      </w:r>
      <w:r>
        <w:rPr>
          <w:noProof/>
        </w:rPr>
        <w:fldChar w:fldCharType="begin"/>
      </w:r>
      <w:r>
        <w:rPr>
          <w:noProof/>
        </w:rPr>
        <w:instrText xml:space="preserve"> PAGEREF _Toc403739560 \h </w:instrText>
      </w:r>
      <w:r>
        <w:rPr>
          <w:noProof/>
        </w:rPr>
      </w:r>
      <w:r>
        <w:rPr>
          <w:noProof/>
        </w:rPr>
        <w:fldChar w:fldCharType="separate"/>
      </w:r>
      <w:r w:rsidR="00F612EF">
        <w:rPr>
          <w:noProof/>
        </w:rPr>
        <w:t>215</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5</w:t>
      </w:r>
      <w:r>
        <w:rPr>
          <w:rFonts w:asciiTheme="minorHAnsi" w:hAnsiTheme="minorHAnsi"/>
          <w:noProof/>
          <w:sz w:val="22"/>
        </w:rPr>
        <w:tab/>
      </w:r>
      <w:r>
        <w:rPr>
          <w:noProof/>
        </w:rPr>
        <w:t>Proportion of children with grammar at or above the national standard, by Indigenous status, NAPLAN, 2008–2013</w:t>
      </w:r>
      <w:r>
        <w:rPr>
          <w:noProof/>
        </w:rPr>
        <w:tab/>
      </w:r>
      <w:r>
        <w:rPr>
          <w:noProof/>
        </w:rPr>
        <w:fldChar w:fldCharType="begin"/>
      </w:r>
      <w:r>
        <w:rPr>
          <w:noProof/>
        </w:rPr>
        <w:instrText xml:space="preserve"> PAGEREF _Toc403739561 \h </w:instrText>
      </w:r>
      <w:r>
        <w:rPr>
          <w:noProof/>
        </w:rPr>
      </w:r>
      <w:r>
        <w:rPr>
          <w:noProof/>
        </w:rPr>
        <w:fldChar w:fldCharType="separate"/>
      </w:r>
      <w:r w:rsidR="00F612EF">
        <w:rPr>
          <w:noProof/>
        </w:rPr>
        <w:t>216</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6</w:t>
      </w:r>
      <w:r>
        <w:rPr>
          <w:rFonts w:asciiTheme="minorHAnsi" w:hAnsiTheme="minorHAnsi"/>
          <w:noProof/>
          <w:sz w:val="22"/>
        </w:rPr>
        <w:tab/>
      </w:r>
      <w:r>
        <w:rPr>
          <w:noProof/>
        </w:rPr>
        <w:t>Proportion of children with spelling at or above the national standard, by Indigenous status, NAPLAN, 2008–2013</w:t>
      </w:r>
      <w:r>
        <w:rPr>
          <w:noProof/>
        </w:rPr>
        <w:tab/>
      </w:r>
      <w:r>
        <w:rPr>
          <w:noProof/>
        </w:rPr>
        <w:fldChar w:fldCharType="begin"/>
      </w:r>
      <w:r>
        <w:rPr>
          <w:noProof/>
        </w:rPr>
        <w:instrText xml:space="preserve"> PAGEREF _Toc403739562 \h </w:instrText>
      </w:r>
      <w:r>
        <w:rPr>
          <w:noProof/>
        </w:rPr>
      </w:r>
      <w:r>
        <w:rPr>
          <w:noProof/>
        </w:rPr>
        <w:fldChar w:fldCharType="separate"/>
      </w:r>
      <w:r w:rsidR="00F612EF">
        <w:rPr>
          <w:noProof/>
        </w:rPr>
        <w:t>216</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 xml:space="preserve">7 </w:t>
      </w:r>
      <w:r>
        <w:rPr>
          <w:rFonts w:asciiTheme="minorHAnsi" w:hAnsiTheme="minorHAnsi"/>
          <w:noProof/>
          <w:sz w:val="22"/>
        </w:rPr>
        <w:tab/>
      </w:r>
      <w:r>
        <w:rPr>
          <w:noProof/>
        </w:rPr>
        <w:t>Enrolment and attendance rate by Indigenous status of children, Northern Territory Total, 2009–2012</w:t>
      </w:r>
      <w:r>
        <w:rPr>
          <w:noProof/>
        </w:rPr>
        <w:tab/>
      </w:r>
      <w:r>
        <w:rPr>
          <w:noProof/>
        </w:rPr>
        <w:fldChar w:fldCharType="begin"/>
      </w:r>
      <w:r>
        <w:rPr>
          <w:noProof/>
        </w:rPr>
        <w:instrText xml:space="preserve"> PAGEREF _Toc403739563 \h </w:instrText>
      </w:r>
      <w:r>
        <w:rPr>
          <w:noProof/>
        </w:rPr>
      </w:r>
      <w:r>
        <w:rPr>
          <w:noProof/>
        </w:rPr>
        <w:fldChar w:fldCharType="separate"/>
      </w:r>
      <w:r w:rsidR="00F612EF">
        <w:rPr>
          <w:noProof/>
        </w:rPr>
        <w:t>219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8</w:t>
      </w:r>
      <w:r>
        <w:rPr>
          <w:rFonts w:asciiTheme="minorHAnsi" w:hAnsiTheme="minorHAnsi"/>
          <w:noProof/>
          <w:sz w:val="22"/>
        </w:rPr>
        <w:tab/>
      </w:r>
      <w:r>
        <w:rPr>
          <w:noProof/>
        </w:rPr>
        <w:t>Enrolment levels and attendance rates in provincial schools in the Northern Territory by Indigenous status of children, 2009–2012</w:t>
      </w:r>
      <w:r>
        <w:rPr>
          <w:noProof/>
        </w:rPr>
        <w:tab/>
      </w:r>
      <w:r>
        <w:rPr>
          <w:noProof/>
        </w:rPr>
        <w:fldChar w:fldCharType="begin"/>
      </w:r>
      <w:r>
        <w:rPr>
          <w:noProof/>
        </w:rPr>
        <w:instrText xml:space="preserve"> PAGEREF _Toc403739564 \h </w:instrText>
      </w:r>
      <w:r>
        <w:rPr>
          <w:noProof/>
        </w:rPr>
      </w:r>
      <w:r>
        <w:rPr>
          <w:noProof/>
        </w:rPr>
        <w:fldChar w:fldCharType="separate"/>
      </w:r>
      <w:r w:rsidR="00F612EF">
        <w:rPr>
          <w:noProof/>
        </w:rPr>
        <w:t>220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9</w:t>
      </w:r>
      <w:r>
        <w:rPr>
          <w:rFonts w:asciiTheme="minorHAnsi" w:hAnsiTheme="minorHAnsi"/>
          <w:noProof/>
          <w:sz w:val="22"/>
        </w:rPr>
        <w:tab/>
      </w:r>
      <w:r>
        <w:rPr>
          <w:noProof/>
        </w:rPr>
        <w:t>Enrolment levels and attendance rates in remote schools in the Northern Territory by Indigenous status of children, 2009–2012</w:t>
      </w:r>
      <w:r>
        <w:rPr>
          <w:noProof/>
        </w:rPr>
        <w:tab/>
      </w:r>
      <w:r>
        <w:rPr>
          <w:noProof/>
        </w:rPr>
        <w:fldChar w:fldCharType="begin"/>
      </w:r>
      <w:r>
        <w:rPr>
          <w:noProof/>
        </w:rPr>
        <w:instrText xml:space="preserve"> PAGEREF _Toc403739565 \h </w:instrText>
      </w:r>
      <w:r>
        <w:rPr>
          <w:noProof/>
        </w:rPr>
      </w:r>
      <w:r>
        <w:rPr>
          <w:noProof/>
        </w:rPr>
        <w:fldChar w:fldCharType="separate"/>
      </w:r>
      <w:r w:rsidR="00F612EF">
        <w:rPr>
          <w:noProof/>
        </w:rPr>
        <w:t>220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10</w:t>
      </w:r>
      <w:r>
        <w:rPr>
          <w:rFonts w:asciiTheme="minorHAnsi" w:hAnsiTheme="minorHAnsi"/>
          <w:noProof/>
          <w:sz w:val="22"/>
        </w:rPr>
        <w:tab/>
      </w:r>
      <w:r>
        <w:rPr>
          <w:noProof/>
        </w:rPr>
        <w:t>Enrolment levels and attendance rates in very remote schools in the Northern Territory by Indigenous status of children, 2009–2012</w:t>
      </w:r>
      <w:r>
        <w:rPr>
          <w:noProof/>
        </w:rPr>
        <w:tab/>
      </w:r>
      <w:r>
        <w:rPr>
          <w:noProof/>
        </w:rPr>
        <w:fldChar w:fldCharType="begin"/>
      </w:r>
      <w:r>
        <w:rPr>
          <w:noProof/>
        </w:rPr>
        <w:instrText xml:space="preserve"> PAGEREF _Toc403739566 \h </w:instrText>
      </w:r>
      <w:r>
        <w:rPr>
          <w:noProof/>
        </w:rPr>
      </w:r>
      <w:r>
        <w:rPr>
          <w:noProof/>
        </w:rPr>
        <w:fldChar w:fldCharType="separate"/>
      </w:r>
      <w:r w:rsidR="00F612EF">
        <w:rPr>
          <w:noProof/>
        </w:rPr>
        <w:t>221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11</w:t>
      </w:r>
      <w:r>
        <w:rPr>
          <w:rFonts w:asciiTheme="minorHAnsi" w:hAnsiTheme="minorHAnsi"/>
          <w:noProof/>
          <w:sz w:val="22"/>
        </w:rPr>
        <w:tab/>
      </w:r>
      <w:r>
        <w:rPr>
          <w:noProof/>
        </w:rPr>
        <w:t>School participation rates children 15-years of age or younger, Northern Territory and Australia, 2006–2013</w:t>
      </w:r>
      <w:r>
        <w:rPr>
          <w:noProof/>
        </w:rPr>
        <w:tab/>
      </w:r>
      <w:r>
        <w:rPr>
          <w:noProof/>
        </w:rPr>
        <w:fldChar w:fldCharType="begin"/>
      </w:r>
      <w:r>
        <w:rPr>
          <w:noProof/>
        </w:rPr>
        <w:instrText xml:space="preserve"> PAGEREF _Toc403739567 \h </w:instrText>
      </w:r>
      <w:r>
        <w:rPr>
          <w:noProof/>
        </w:rPr>
      </w:r>
      <w:r>
        <w:rPr>
          <w:noProof/>
        </w:rPr>
        <w:fldChar w:fldCharType="separate"/>
      </w:r>
      <w:r w:rsidR="00F612EF">
        <w:rPr>
          <w:noProof/>
        </w:rPr>
        <w:t>221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12</w:t>
      </w:r>
      <w:r>
        <w:rPr>
          <w:rFonts w:asciiTheme="minorHAnsi" w:hAnsiTheme="minorHAnsi"/>
          <w:noProof/>
          <w:sz w:val="22"/>
        </w:rPr>
        <w:tab/>
      </w:r>
      <w:r>
        <w:rPr>
          <w:noProof/>
        </w:rPr>
        <w:t>Low birth weight infants as a proportion of births, Indigenous status of mothers, Northern Territory and Australia, 2006–2011</w:t>
      </w:r>
      <w:r>
        <w:rPr>
          <w:noProof/>
        </w:rPr>
        <w:tab/>
      </w:r>
      <w:r>
        <w:rPr>
          <w:noProof/>
        </w:rPr>
        <w:fldChar w:fldCharType="begin"/>
      </w:r>
      <w:r>
        <w:rPr>
          <w:noProof/>
        </w:rPr>
        <w:instrText xml:space="preserve"> PAGEREF _Toc403739568 \h </w:instrText>
      </w:r>
      <w:r>
        <w:rPr>
          <w:noProof/>
        </w:rPr>
      </w:r>
      <w:r>
        <w:rPr>
          <w:noProof/>
        </w:rPr>
        <w:fldChar w:fldCharType="separate"/>
      </w:r>
      <w:r w:rsidR="00F612EF">
        <w:rPr>
          <w:noProof/>
        </w:rPr>
        <w:t>222</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13</w:t>
      </w:r>
      <w:r>
        <w:rPr>
          <w:rFonts w:asciiTheme="minorHAnsi" w:hAnsiTheme="minorHAnsi"/>
          <w:noProof/>
          <w:sz w:val="22"/>
        </w:rPr>
        <w:tab/>
      </w:r>
      <w:r>
        <w:rPr>
          <w:noProof/>
        </w:rPr>
        <w:t>Infant mortality rate (deaths per 100,000 live births) by Indigenous status, Northern Territory and Australia, 2006–2012</w:t>
      </w:r>
      <w:r>
        <w:rPr>
          <w:noProof/>
        </w:rPr>
        <w:tab/>
      </w:r>
      <w:r>
        <w:rPr>
          <w:noProof/>
        </w:rPr>
        <w:fldChar w:fldCharType="begin"/>
      </w:r>
      <w:r>
        <w:rPr>
          <w:noProof/>
        </w:rPr>
        <w:instrText xml:space="preserve"> PAGEREF _Toc403739569 \h </w:instrText>
      </w:r>
      <w:r>
        <w:rPr>
          <w:noProof/>
        </w:rPr>
      </w:r>
      <w:r>
        <w:rPr>
          <w:noProof/>
        </w:rPr>
        <w:fldChar w:fldCharType="separate"/>
      </w:r>
      <w:r w:rsidR="00F612EF">
        <w:rPr>
          <w:noProof/>
        </w:rPr>
        <w:t>223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14</w:t>
      </w:r>
      <w:r>
        <w:rPr>
          <w:rFonts w:asciiTheme="minorHAnsi" w:hAnsiTheme="minorHAnsi"/>
          <w:noProof/>
          <w:sz w:val="22"/>
        </w:rPr>
        <w:tab/>
      </w:r>
      <w:r>
        <w:rPr>
          <w:noProof/>
        </w:rPr>
        <w:t>Child immunisation rates by Indigenous status, Northern Territory and Australia, 2008–2012</w:t>
      </w:r>
      <w:r>
        <w:rPr>
          <w:noProof/>
        </w:rPr>
        <w:tab/>
      </w:r>
      <w:r>
        <w:rPr>
          <w:noProof/>
        </w:rPr>
        <w:fldChar w:fldCharType="begin"/>
      </w:r>
      <w:r>
        <w:rPr>
          <w:noProof/>
        </w:rPr>
        <w:instrText xml:space="preserve"> PAGEREF _Toc403739570 \h </w:instrText>
      </w:r>
      <w:r>
        <w:rPr>
          <w:noProof/>
        </w:rPr>
      </w:r>
      <w:r>
        <w:rPr>
          <w:noProof/>
        </w:rPr>
        <w:fldChar w:fldCharType="separate"/>
      </w:r>
      <w:r w:rsidR="00F612EF">
        <w:rPr>
          <w:noProof/>
        </w:rPr>
        <w:t>224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15</w:t>
      </w:r>
      <w:r>
        <w:rPr>
          <w:rFonts w:asciiTheme="minorHAnsi" w:hAnsiTheme="minorHAnsi"/>
          <w:noProof/>
          <w:sz w:val="22"/>
        </w:rPr>
        <w:tab/>
      </w:r>
      <w:r>
        <w:rPr>
          <w:noProof/>
        </w:rPr>
        <w:t>Child deaths due to injury, per 100,000 children, by Indigenous status, Northern Territory and Australia, 2004-06–2009-11</w:t>
      </w:r>
      <w:r>
        <w:rPr>
          <w:noProof/>
        </w:rPr>
        <w:tab/>
      </w:r>
      <w:r>
        <w:rPr>
          <w:noProof/>
        </w:rPr>
        <w:fldChar w:fldCharType="begin"/>
      </w:r>
      <w:r>
        <w:rPr>
          <w:noProof/>
        </w:rPr>
        <w:instrText xml:space="preserve"> PAGEREF _Toc403739571 \h </w:instrText>
      </w:r>
      <w:r>
        <w:rPr>
          <w:noProof/>
        </w:rPr>
      </w:r>
      <w:r>
        <w:rPr>
          <w:noProof/>
        </w:rPr>
        <w:fldChar w:fldCharType="separate"/>
      </w:r>
      <w:r w:rsidR="00F612EF">
        <w:rPr>
          <w:noProof/>
        </w:rPr>
        <w:t>224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16</w:t>
      </w:r>
      <w:r>
        <w:rPr>
          <w:rFonts w:asciiTheme="minorHAnsi" w:hAnsiTheme="minorHAnsi"/>
          <w:noProof/>
          <w:sz w:val="22"/>
        </w:rPr>
        <w:tab/>
      </w:r>
      <w:r>
        <w:rPr>
          <w:noProof/>
        </w:rPr>
        <w:t>Child protection substantiations per 1,000 children, Northern Territory and Australia, 2007–2012</w:t>
      </w:r>
      <w:r>
        <w:rPr>
          <w:noProof/>
        </w:rPr>
        <w:tab/>
      </w:r>
      <w:r>
        <w:rPr>
          <w:noProof/>
        </w:rPr>
        <w:fldChar w:fldCharType="begin"/>
      </w:r>
      <w:r>
        <w:rPr>
          <w:noProof/>
        </w:rPr>
        <w:instrText xml:space="preserve"> PAGEREF _Toc403739572 \h </w:instrText>
      </w:r>
      <w:r>
        <w:rPr>
          <w:noProof/>
        </w:rPr>
      </w:r>
      <w:r>
        <w:rPr>
          <w:noProof/>
        </w:rPr>
        <w:fldChar w:fldCharType="separate"/>
      </w:r>
      <w:r w:rsidR="00F612EF">
        <w:rPr>
          <w:noProof/>
        </w:rPr>
        <w:t>228</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17</w:t>
      </w:r>
      <w:r>
        <w:rPr>
          <w:rFonts w:asciiTheme="minorHAnsi" w:hAnsiTheme="minorHAnsi"/>
          <w:noProof/>
          <w:sz w:val="22"/>
        </w:rPr>
        <w:tab/>
      </w:r>
      <w:r>
        <w:rPr>
          <w:noProof/>
        </w:rPr>
        <w:t>Alcohol consumption per capita in the Northern Territory, 2002–2012</w:t>
      </w:r>
      <w:r>
        <w:rPr>
          <w:noProof/>
        </w:rPr>
        <w:tab/>
      </w:r>
      <w:r>
        <w:rPr>
          <w:noProof/>
        </w:rPr>
        <w:fldChar w:fldCharType="begin"/>
      </w:r>
      <w:r>
        <w:rPr>
          <w:noProof/>
        </w:rPr>
        <w:instrText xml:space="preserve"> PAGEREF _Toc403739573 \h </w:instrText>
      </w:r>
      <w:r>
        <w:rPr>
          <w:noProof/>
        </w:rPr>
      </w:r>
      <w:r>
        <w:rPr>
          <w:noProof/>
        </w:rPr>
        <w:fldChar w:fldCharType="separate"/>
      </w:r>
      <w:r w:rsidR="00F612EF">
        <w:rPr>
          <w:noProof/>
        </w:rPr>
        <w:t>229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18</w:t>
      </w:r>
      <w:r>
        <w:rPr>
          <w:rFonts w:asciiTheme="minorHAnsi" w:hAnsiTheme="minorHAnsi"/>
          <w:noProof/>
          <w:sz w:val="22"/>
        </w:rPr>
        <w:tab/>
      </w:r>
      <w:r>
        <w:rPr>
          <w:noProof/>
        </w:rPr>
        <w:t>Wholesale alcohol supply in the Northern Territory by region, 2002–2012</w:t>
      </w:r>
      <w:r>
        <w:rPr>
          <w:noProof/>
        </w:rPr>
        <w:tab/>
      </w:r>
      <w:r>
        <w:rPr>
          <w:noProof/>
        </w:rPr>
        <w:fldChar w:fldCharType="begin"/>
      </w:r>
      <w:r>
        <w:rPr>
          <w:noProof/>
        </w:rPr>
        <w:instrText xml:space="preserve"> PAGEREF _Toc403739574 \h </w:instrText>
      </w:r>
      <w:r>
        <w:rPr>
          <w:noProof/>
        </w:rPr>
      </w:r>
      <w:r>
        <w:rPr>
          <w:noProof/>
        </w:rPr>
        <w:fldChar w:fldCharType="separate"/>
      </w:r>
      <w:r w:rsidR="00F612EF">
        <w:rPr>
          <w:noProof/>
        </w:rPr>
        <w:t>230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19</w:t>
      </w:r>
      <w:r>
        <w:rPr>
          <w:rFonts w:asciiTheme="minorHAnsi" w:hAnsiTheme="minorHAnsi"/>
          <w:noProof/>
          <w:sz w:val="22"/>
        </w:rPr>
        <w:tab/>
      </w:r>
      <w:r>
        <w:rPr>
          <w:noProof/>
        </w:rPr>
        <w:t>Alcohol-related emergency department presentations and admissions by Indigenous status, Northern Territory, 2005–2013</w:t>
      </w:r>
      <w:r>
        <w:rPr>
          <w:noProof/>
        </w:rPr>
        <w:tab/>
      </w:r>
      <w:r>
        <w:rPr>
          <w:noProof/>
        </w:rPr>
        <w:fldChar w:fldCharType="begin"/>
      </w:r>
      <w:r>
        <w:rPr>
          <w:noProof/>
        </w:rPr>
        <w:instrText xml:space="preserve"> PAGEREF _Toc403739575 \h </w:instrText>
      </w:r>
      <w:r>
        <w:rPr>
          <w:noProof/>
        </w:rPr>
      </w:r>
      <w:r>
        <w:rPr>
          <w:noProof/>
        </w:rPr>
        <w:fldChar w:fldCharType="separate"/>
      </w:r>
      <w:r w:rsidR="00F612EF">
        <w:rPr>
          <w:noProof/>
        </w:rPr>
        <w:t>231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20</w:t>
      </w:r>
      <w:r>
        <w:rPr>
          <w:rFonts w:asciiTheme="minorHAnsi" w:hAnsiTheme="minorHAnsi"/>
          <w:noProof/>
          <w:sz w:val="22"/>
        </w:rPr>
        <w:tab/>
      </w:r>
      <w:r>
        <w:rPr>
          <w:noProof/>
        </w:rPr>
        <w:t>Alcohol-related emergency department presentations and admissions by public hospital, Northern Territory, 2005–2013</w:t>
      </w:r>
      <w:r>
        <w:rPr>
          <w:noProof/>
        </w:rPr>
        <w:tab/>
      </w:r>
      <w:r>
        <w:rPr>
          <w:noProof/>
        </w:rPr>
        <w:fldChar w:fldCharType="begin"/>
      </w:r>
      <w:r>
        <w:rPr>
          <w:noProof/>
        </w:rPr>
        <w:instrText xml:space="preserve"> PAGEREF _Toc403739576 \h </w:instrText>
      </w:r>
      <w:r>
        <w:rPr>
          <w:noProof/>
        </w:rPr>
      </w:r>
      <w:r>
        <w:rPr>
          <w:noProof/>
        </w:rPr>
        <w:fldChar w:fldCharType="separate"/>
      </w:r>
      <w:r w:rsidR="00F612EF">
        <w:rPr>
          <w:noProof/>
        </w:rPr>
        <w:t>231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21</w:t>
      </w:r>
      <w:r>
        <w:rPr>
          <w:rFonts w:asciiTheme="minorHAnsi" w:hAnsiTheme="minorHAnsi"/>
          <w:noProof/>
          <w:sz w:val="22"/>
        </w:rPr>
        <w:tab/>
      </w:r>
      <w:r>
        <w:rPr>
          <w:noProof/>
        </w:rPr>
        <w:t>Indigenous alcohol–related assault victims by sex and nature of alcohol involvement, Northern Territory, 2007-08 to 2011-12</w:t>
      </w:r>
      <w:r>
        <w:rPr>
          <w:noProof/>
        </w:rPr>
        <w:tab/>
      </w:r>
      <w:r>
        <w:rPr>
          <w:noProof/>
        </w:rPr>
        <w:fldChar w:fldCharType="begin"/>
      </w:r>
      <w:r>
        <w:rPr>
          <w:noProof/>
        </w:rPr>
        <w:instrText xml:space="preserve"> PAGEREF _Toc403739577 \h </w:instrText>
      </w:r>
      <w:r>
        <w:rPr>
          <w:noProof/>
        </w:rPr>
      </w:r>
      <w:r>
        <w:rPr>
          <w:noProof/>
        </w:rPr>
        <w:fldChar w:fldCharType="separate"/>
      </w:r>
      <w:r w:rsidR="00F612EF">
        <w:rPr>
          <w:noProof/>
        </w:rPr>
        <w:t>233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22</w:t>
      </w:r>
      <w:r>
        <w:rPr>
          <w:rFonts w:asciiTheme="minorHAnsi" w:hAnsiTheme="minorHAnsi"/>
          <w:noProof/>
          <w:sz w:val="22"/>
        </w:rPr>
        <w:tab/>
      </w:r>
      <w:r>
        <w:rPr>
          <w:noProof/>
        </w:rPr>
        <w:t>Assault victimisation rates by Indigenous status and sex, Northern Territory, 2007-08 to 2011-12</w:t>
      </w:r>
      <w:r>
        <w:rPr>
          <w:noProof/>
        </w:rPr>
        <w:tab/>
      </w:r>
      <w:r>
        <w:rPr>
          <w:noProof/>
        </w:rPr>
        <w:fldChar w:fldCharType="begin"/>
      </w:r>
      <w:r>
        <w:rPr>
          <w:noProof/>
        </w:rPr>
        <w:instrText xml:space="preserve"> PAGEREF _Toc403739578 \h </w:instrText>
      </w:r>
      <w:r>
        <w:rPr>
          <w:noProof/>
        </w:rPr>
      </w:r>
      <w:r>
        <w:rPr>
          <w:noProof/>
        </w:rPr>
        <w:fldChar w:fldCharType="separate"/>
      </w:r>
      <w:r w:rsidR="00F612EF">
        <w:rPr>
          <w:noProof/>
        </w:rPr>
        <w:t>233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23</w:t>
      </w:r>
      <w:r>
        <w:rPr>
          <w:rFonts w:asciiTheme="minorHAnsi" w:hAnsiTheme="minorHAnsi"/>
          <w:noProof/>
          <w:sz w:val="22"/>
        </w:rPr>
        <w:tab/>
      </w:r>
      <w:r>
        <w:rPr>
          <w:noProof/>
        </w:rPr>
        <w:t>Quarterly assault offences by alcohol involvement and domestic violence association, Northern Territory, 2011 to 2013</w:t>
      </w:r>
      <w:r>
        <w:rPr>
          <w:noProof/>
        </w:rPr>
        <w:tab/>
      </w:r>
      <w:r>
        <w:rPr>
          <w:noProof/>
        </w:rPr>
        <w:fldChar w:fldCharType="begin"/>
      </w:r>
      <w:r>
        <w:rPr>
          <w:noProof/>
        </w:rPr>
        <w:instrText xml:space="preserve"> PAGEREF _Toc403739579 \h </w:instrText>
      </w:r>
      <w:r>
        <w:rPr>
          <w:noProof/>
        </w:rPr>
      </w:r>
      <w:r>
        <w:rPr>
          <w:noProof/>
        </w:rPr>
        <w:fldChar w:fldCharType="separate"/>
      </w:r>
      <w:r w:rsidR="00F612EF">
        <w:rPr>
          <w:noProof/>
        </w:rPr>
        <w:t>234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24</w:t>
      </w:r>
      <w:r>
        <w:rPr>
          <w:rFonts w:asciiTheme="minorHAnsi" w:hAnsiTheme="minorHAnsi"/>
          <w:noProof/>
          <w:sz w:val="22"/>
        </w:rPr>
        <w:tab/>
      </w:r>
      <w:r>
        <w:rPr>
          <w:noProof/>
        </w:rPr>
        <w:t>Imprisonment rate by Indigenous status (rate per 100,000 adult population) Northern Territory and Australia, 2002–2012</w:t>
      </w:r>
      <w:r>
        <w:rPr>
          <w:noProof/>
        </w:rPr>
        <w:tab/>
      </w:r>
      <w:r>
        <w:rPr>
          <w:noProof/>
        </w:rPr>
        <w:fldChar w:fldCharType="begin"/>
      </w:r>
      <w:r>
        <w:rPr>
          <w:noProof/>
        </w:rPr>
        <w:instrText xml:space="preserve"> PAGEREF _Toc403739580 \h </w:instrText>
      </w:r>
      <w:r>
        <w:rPr>
          <w:noProof/>
        </w:rPr>
      </w:r>
      <w:r>
        <w:rPr>
          <w:noProof/>
        </w:rPr>
        <w:fldChar w:fldCharType="separate"/>
      </w:r>
      <w:r w:rsidR="00F612EF">
        <w:rPr>
          <w:noProof/>
        </w:rPr>
        <w:t>235</w:t>
      </w:r>
      <w:r>
        <w:rPr>
          <w:noProof/>
        </w:rPr>
        <w:fldChar w:fldCharType="end"/>
      </w:r>
    </w:p>
    <w:p w:rsidR="008260A2" w:rsidRDefault="008260A2">
      <w:pPr>
        <w:pStyle w:val="TableofFigures"/>
        <w:rPr>
          <w:rFonts w:asciiTheme="minorHAnsi" w:hAnsiTheme="minorHAnsi"/>
          <w:noProof/>
          <w:sz w:val="22"/>
        </w:rPr>
      </w:pPr>
      <w:r>
        <w:rPr>
          <w:noProof/>
        </w:rPr>
        <w:lastRenderedPageBreak/>
        <w:t>Figure 9</w:t>
      </w:r>
      <w:r>
        <w:rPr>
          <w:noProof/>
        </w:rPr>
        <w:noBreakHyphen/>
        <w:t>25</w:t>
      </w:r>
      <w:r>
        <w:rPr>
          <w:rFonts w:asciiTheme="minorHAnsi" w:hAnsiTheme="minorHAnsi"/>
          <w:noProof/>
          <w:sz w:val="22"/>
        </w:rPr>
        <w:tab/>
      </w:r>
      <w:r>
        <w:rPr>
          <w:noProof/>
        </w:rPr>
        <w:t>Age-standardised imprisonment rate by Indigenous status (rate per 100,000 adult population), Northern Territory and Australia, 2002–2012</w:t>
      </w:r>
      <w:r>
        <w:rPr>
          <w:noProof/>
        </w:rPr>
        <w:tab/>
      </w:r>
      <w:r>
        <w:rPr>
          <w:noProof/>
        </w:rPr>
        <w:fldChar w:fldCharType="begin"/>
      </w:r>
      <w:r>
        <w:rPr>
          <w:noProof/>
        </w:rPr>
        <w:instrText xml:space="preserve"> PAGEREF _Toc403739581 \h </w:instrText>
      </w:r>
      <w:r>
        <w:rPr>
          <w:noProof/>
        </w:rPr>
      </w:r>
      <w:r>
        <w:rPr>
          <w:noProof/>
        </w:rPr>
        <w:fldChar w:fldCharType="separate"/>
      </w:r>
      <w:r w:rsidR="00F612EF">
        <w:rPr>
          <w:noProof/>
        </w:rPr>
        <w:t>235</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 xml:space="preserve">1 </w:t>
      </w:r>
      <w:r>
        <w:rPr>
          <w:rFonts w:asciiTheme="minorHAnsi" w:hAnsiTheme="minorHAnsi"/>
          <w:noProof/>
          <w:sz w:val="22"/>
        </w:rPr>
        <w:tab/>
      </w:r>
      <w:r>
        <w:rPr>
          <w:noProof/>
        </w:rPr>
        <w:t>Comparative age composition of people on Voluntary Income Management and other income management streams in the Northern Territory, December 2013</w:t>
      </w:r>
      <w:r>
        <w:rPr>
          <w:noProof/>
        </w:rPr>
        <w:tab/>
      </w:r>
      <w:r>
        <w:rPr>
          <w:noProof/>
        </w:rPr>
        <w:fldChar w:fldCharType="begin"/>
      </w:r>
      <w:r>
        <w:rPr>
          <w:noProof/>
        </w:rPr>
        <w:instrText xml:space="preserve"> PAGEREF _Toc403739582 \h </w:instrText>
      </w:r>
      <w:r>
        <w:rPr>
          <w:noProof/>
        </w:rPr>
      </w:r>
      <w:r>
        <w:rPr>
          <w:noProof/>
        </w:rPr>
        <w:fldChar w:fldCharType="separate"/>
      </w:r>
      <w:r w:rsidR="00F612EF">
        <w:rPr>
          <w:noProof/>
        </w:rPr>
        <w:t>257</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2</w:t>
      </w:r>
      <w:r>
        <w:rPr>
          <w:rFonts w:asciiTheme="minorHAnsi" w:hAnsiTheme="minorHAnsi"/>
          <w:noProof/>
          <w:sz w:val="22"/>
        </w:rPr>
        <w:tab/>
      </w:r>
      <w:r>
        <w:rPr>
          <w:noProof/>
        </w:rPr>
        <w:t>Proportion of people on income management in the Northern Territory on Voluntary Income Management by region, December 2013</w:t>
      </w:r>
      <w:r>
        <w:rPr>
          <w:noProof/>
        </w:rPr>
        <w:tab/>
      </w:r>
      <w:r>
        <w:rPr>
          <w:noProof/>
        </w:rPr>
        <w:fldChar w:fldCharType="begin"/>
      </w:r>
      <w:r>
        <w:rPr>
          <w:noProof/>
        </w:rPr>
        <w:instrText xml:space="preserve"> PAGEREF _Toc403739583 \h </w:instrText>
      </w:r>
      <w:r>
        <w:rPr>
          <w:noProof/>
        </w:rPr>
      </w:r>
      <w:r>
        <w:rPr>
          <w:noProof/>
        </w:rPr>
        <w:fldChar w:fldCharType="separate"/>
      </w:r>
      <w:r w:rsidR="00F612EF">
        <w:rPr>
          <w:noProof/>
        </w:rPr>
        <w:t>258</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 xml:space="preserve">3 </w:t>
      </w:r>
      <w:r>
        <w:rPr>
          <w:rFonts w:asciiTheme="minorHAnsi" w:hAnsiTheme="minorHAnsi"/>
          <w:noProof/>
          <w:sz w:val="22"/>
        </w:rPr>
        <w:tab/>
      </w:r>
      <w:r>
        <w:rPr>
          <w:noProof/>
        </w:rPr>
        <w:t>People on Voluntary Income Management, main and all reasons for wishing to remain on the program, LSNIM Wave 2, 2013</w:t>
      </w:r>
      <w:r>
        <w:rPr>
          <w:noProof/>
        </w:rPr>
        <w:tab/>
      </w:r>
      <w:r>
        <w:rPr>
          <w:noProof/>
        </w:rPr>
        <w:fldChar w:fldCharType="begin"/>
      </w:r>
      <w:r>
        <w:rPr>
          <w:noProof/>
        </w:rPr>
        <w:instrText xml:space="preserve"> PAGEREF _Toc403739584 \h </w:instrText>
      </w:r>
      <w:r>
        <w:rPr>
          <w:noProof/>
        </w:rPr>
      </w:r>
      <w:r>
        <w:rPr>
          <w:noProof/>
        </w:rPr>
        <w:fldChar w:fldCharType="separate"/>
      </w:r>
      <w:r w:rsidR="00F612EF">
        <w:rPr>
          <w:noProof/>
        </w:rPr>
        <w:t>262</w:t>
      </w:r>
      <w:r>
        <w:rPr>
          <w:noProof/>
        </w:rPr>
        <w:fldChar w:fldCharType="end"/>
      </w:r>
    </w:p>
    <w:p w:rsidR="008260A2" w:rsidRDefault="008260A2">
      <w:pPr>
        <w:pStyle w:val="TableofFigures"/>
        <w:rPr>
          <w:rFonts w:asciiTheme="minorHAnsi" w:hAnsiTheme="minorHAnsi"/>
          <w:noProof/>
          <w:sz w:val="22"/>
        </w:rPr>
      </w:pPr>
      <w:r>
        <w:rPr>
          <w:noProof/>
        </w:rPr>
        <w:t>Figure 12</w:t>
      </w:r>
      <w:r>
        <w:rPr>
          <w:noProof/>
        </w:rPr>
        <w:noBreakHyphen/>
        <w:t>1</w:t>
      </w:r>
      <w:r>
        <w:rPr>
          <w:rFonts w:asciiTheme="minorHAnsi" w:hAnsiTheme="minorHAnsi"/>
          <w:noProof/>
          <w:sz w:val="22"/>
        </w:rPr>
        <w:tab/>
      </w:r>
      <w:r w:rsidRPr="00EC1827">
        <w:rPr>
          <w:rFonts w:eastAsiaTheme="minorHAnsi"/>
          <w:noProof/>
          <w:lang w:eastAsia="en-US"/>
        </w:rPr>
        <w:t>Number of people on Vulnerable Income Management in the Northern Territory by type of measure, September 2010 to December 2013</w:t>
      </w:r>
      <w:r>
        <w:rPr>
          <w:noProof/>
        </w:rPr>
        <w:tab/>
      </w:r>
      <w:r>
        <w:rPr>
          <w:noProof/>
        </w:rPr>
        <w:fldChar w:fldCharType="begin"/>
      </w:r>
      <w:r>
        <w:rPr>
          <w:noProof/>
        </w:rPr>
        <w:instrText xml:space="preserve"> PAGEREF _Toc403739585 \h </w:instrText>
      </w:r>
      <w:r>
        <w:rPr>
          <w:noProof/>
        </w:rPr>
      </w:r>
      <w:r>
        <w:rPr>
          <w:noProof/>
        </w:rPr>
        <w:fldChar w:fldCharType="separate"/>
      </w:r>
      <w:r w:rsidR="00F612EF">
        <w:rPr>
          <w:noProof/>
        </w:rPr>
        <w:t>268</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 xml:space="preserve">2 </w:t>
      </w:r>
      <w:r>
        <w:rPr>
          <w:rFonts w:asciiTheme="minorHAnsi" w:hAnsiTheme="minorHAnsi"/>
          <w:noProof/>
          <w:sz w:val="22"/>
        </w:rPr>
        <w:tab/>
      </w:r>
      <w:r w:rsidRPr="00EC1827">
        <w:rPr>
          <w:rFonts w:eastAsiaTheme="minorHAnsi"/>
          <w:noProof/>
          <w:lang w:eastAsia="en-US"/>
        </w:rPr>
        <w:t>Number of people on Assessed Vulnerable Income Management in the Northern Territory, September 2010 to December 2013</w:t>
      </w:r>
      <w:r>
        <w:rPr>
          <w:noProof/>
        </w:rPr>
        <w:tab/>
      </w:r>
      <w:r>
        <w:rPr>
          <w:noProof/>
        </w:rPr>
        <w:fldChar w:fldCharType="begin"/>
      </w:r>
      <w:r>
        <w:rPr>
          <w:noProof/>
        </w:rPr>
        <w:instrText xml:space="preserve"> PAGEREF _Toc403739586 \h </w:instrText>
      </w:r>
      <w:r>
        <w:rPr>
          <w:noProof/>
        </w:rPr>
      </w:r>
      <w:r>
        <w:rPr>
          <w:noProof/>
        </w:rPr>
        <w:fldChar w:fldCharType="separate"/>
      </w:r>
      <w:r w:rsidR="00F612EF">
        <w:rPr>
          <w:noProof/>
        </w:rPr>
        <w:t>268</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 xml:space="preserve">3 </w:t>
      </w:r>
      <w:r>
        <w:rPr>
          <w:rFonts w:asciiTheme="minorHAnsi" w:hAnsiTheme="minorHAnsi"/>
          <w:noProof/>
          <w:sz w:val="22"/>
        </w:rPr>
        <w:tab/>
      </w:r>
      <w:r w:rsidRPr="00EC1827">
        <w:rPr>
          <w:rFonts w:eastAsiaTheme="minorHAnsi"/>
          <w:noProof/>
          <w:lang w:eastAsia="en-US"/>
        </w:rPr>
        <w:t xml:space="preserve">Age </w:t>
      </w:r>
      <w:r>
        <w:rPr>
          <w:noProof/>
        </w:rPr>
        <w:t>distribution of people</w:t>
      </w:r>
      <w:r w:rsidRPr="00EC1827">
        <w:rPr>
          <w:rFonts w:eastAsiaTheme="minorHAnsi"/>
          <w:noProof/>
          <w:lang w:eastAsia="en-US"/>
        </w:rPr>
        <w:t xml:space="preserve"> on assessed Vulnerable Income Management in the Northern Territory, December </w:t>
      </w:r>
      <w:r>
        <w:rPr>
          <w:noProof/>
        </w:rPr>
        <w:t>2013</w:t>
      </w:r>
      <w:r>
        <w:rPr>
          <w:noProof/>
        </w:rPr>
        <w:tab/>
      </w:r>
      <w:r>
        <w:rPr>
          <w:noProof/>
        </w:rPr>
        <w:fldChar w:fldCharType="begin"/>
      </w:r>
      <w:r>
        <w:rPr>
          <w:noProof/>
        </w:rPr>
        <w:instrText xml:space="preserve"> PAGEREF _Toc403739587 \h </w:instrText>
      </w:r>
      <w:r>
        <w:rPr>
          <w:noProof/>
        </w:rPr>
      </w:r>
      <w:r>
        <w:rPr>
          <w:noProof/>
        </w:rPr>
        <w:fldChar w:fldCharType="separate"/>
      </w:r>
      <w:r w:rsidR="00F612EF">
        <w:rPr>
          <w:noProof/>
        </w:rPr>
        <w:t>269</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4 Income support payment type of people on assessed Vulnerable Income Management in the Northern Territory, September 2010 to December 2013</w:t>
      </w:r>
      <w:r>
        <w:rPr>
          <w:noProof/>
        </w:rPr>
        <w:tab/>
      </w:r>
      <w:r>
        <w:rPr>
          <w:noProof/>
        </w:rPr>
        <w:fldChar w:fldCharType="begin"/>
      </w:r>
      <w:r>
        <w:rPr>
          <w:noProof/>
        </w:rPr>
        <w:instrText xml:space="preserve"> PAGEREF _Toc403739588 \h </w:instrText>
      </w:r>
      <w:r>
        <w:rPr>
          <w:noProof/>
        </w:rPr>
      </w:r>
      <w:r>
        <w:rPr>
          <w:noProof/>
        </w:rPr>
        <w:fldChar w:fldCharType="separate"/>
      </w:r>
      <w:r w:rsidR="00F612EF">
        <w:rPr>
          <w:noProof/>
        </w:rPr>
        <w:t>269</w:t>
      </w:r>
      <w:r>
        <w:rPr>
          <w:noProof/>
        </w:rPr>
        <w:fldChar w:fldCharType="end"/>
      </w:r>
    </w:p>
    <w:p w:rsidR="00DF6B91" w:rsidRPr="00FE502F" w:rsidRDefault="00B67369" w:rsidP="006654AE">
      <w:pPr>
        <w:pStyle w:val="TableofFigures"/>
      </w:pPr>
      <w:r w:rsidRPr="003D75FE">
        <w:fldChar w:fldCharType="end"/>
      </w:r>
    </w:p>
    <w:p w:rsidR="004B7836" w:rsidRPr="00DF38B2" w:rsidRDefault="004B7836" w:rsidP="006654AE">
      <w:pPr>
        <w:spacing w:line="276" w:lineRule="auto"/>
        <w:jc w:val="left"/>
        <w:sectPr w:rsidR="004B7836" w:rsidRPr="00DF38B2" w:rsidSect="00285084">
          <w:pgSz w:w="11906" w:h="16838" w:code="9"/>
          <w:pgMar w:top="1247" w:right="1701" w:bottom="1134" w:left="1871" w:header="567" w:footer="340" w:gutter="0"/>
          <w:pgNumType w:fmt="lowerRoman"/>
          <w:cols w:space="708"/>
          <w:titlePg/>
          <w:docGrid w:linePitch="360"/>
        </w:sectPr>
      </w:pPr>
    </w:p>
    <w:p w:rsidR="004B7836" w:rsidRPr="00DF38B2" w:rsidRDefault="004B7836" w:rsidP="006654AE">
      <w:pPr>
        <w:pStyle w:val="pretitle"/>
      </w:pPr>
      <w:bookmarkStart w:id="6" w:name="_Toc403738949"/>
      <w:r w:rsidRPr="002B019F">
        <w:lastRenderedPageBreak/>
        <w:t>Glossary</w:t>
      </w:r>
      <w:bookmarkEnd w:id="6"/>
    </w:p>
    <w:p w:rsidR="001D189F" w:rsidRPr="00DF38B2" w:rsidRDefault="001D189F" w:rsidP="006654AE">
      <w:pPr>
        <w:pStyle w:val="tabletextleft"/>
      </w:pPr>
    </w:p>
    <w:tbl>
      <w:tblPr>
        <w:tblW w:w="8520" w:type="dxa"/>
        <w:tblInd w:w="93" w:type="dxa"/>
        <w:tblLook w:val="04A0" w:firstRow="1" w:lastRow="0" w:firstColumn="1" w:lastColumn="0" w:noHBand="0" w:noVBand="1"/>
      </w:tblPr>
      <w:tblGrid>
        <w:gridCol w:w="1178"/>
        <w:gridCol w:w="7342"/>
      </w:tblGrid>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ABS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Bureau of Statistics</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AEDI</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Australian Early Development Index</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AIFS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Institute of Family Studies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AIHW</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Institute of Health and Welfare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ALPA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Arnhem Land Progress Aboriginal Corporation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ALRA</w:t>
            </w:r>
          </w:p>
        </w:tc>
        <w:tc>
          <w:tcPr>
            <w:tcW w:w="7342" w:type="dxa"/>
            <w:tcBorders>
              <w:top w:val="nil"/>
              <w:left w:val="nil"/>
              <w:bottom w:val="nil"/>
              <w:right w:val="nil"/>
            </w:tcBorders>
            <w:shd w:val="clear" w:color="auto" w:fill="auto"/>
            <w:noWrap/>
            <w:hideMark/>
          </w:tcPr>
          <w:p w:rsidR="00804838" w:rsidRPr="00913C91" w:rsidRDefault="00804838" w:rsidP="006654AE">
            <w:pPr>
              <w:pStyle w:val="tabletextleft"/>
              <w:jc w:val="left"/>
              <w:rPr>
                <w:rFonts w:eastAsia="Times New Roman"/>
                <w:i/>
              </w:rPr>
            </w:pPr>
            <w:r w:rsidRPr="00913C91">
              <w:rPr>
                <w:rFonts w:eastAsia="Times New Roman"/>
                <w:i/>
              </w:rPr>
              <w:t>Aboriginal Land Rights (Northern Territory) Act 1976 (</w:t>
            </w:r>
            <w:proofErr w:type="spellStart"/>
            <w:r w:rsidRPr="00913C91">
              <w:rPr>
                <w:rFonts w:eastAsia="Times New Roman"/>
                <w:i/>
              </w:rPr>
              <w:t>Cwth</w:t>
            </w:r>
            <w:proofErr w:type="spellEnd"/>
            <w:r w:rsidRPr="00913C91">
              <w:rPr>
                <w:rFonts w:eastAsia="Times New Roman"/>
                <w:i/>
              </w:rPr>
              <w: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DF38B2">
              <w:rPr>
                <w:rFonts w:eastAsia="Times New Roman"/>
              </w:rPr>
              <w:t>ANU</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DF38B2">
              <w:rPr>
                <w:rFonts w:eastAsia="Times New Roman"/>
              </w:rPr>
              <w:t>Australian National University</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Default="0090611E" w:rsidP="006654AE">
            <w:pPr>
              <w:pStyle w:val="tabletextleft"/>
              <w:jc w:val="left"/>
              <w:rPr>
                <w:rFonts w:eastAsia="Times New Roman"/>
              </w:rPr>
            </w:pPr>
            <w:r>
              <w:rPr>
                <w:rFonts w:eastAsia="Times New Roman"/>
              </w:rPr>
              <w:t>APY</w:t>
            </w:r>
          </w:p>
        </w:tc>
        <w:tc>
          <w:tcPr>
            <w:tcW w:w="7342" w:type="dxa"/>
            <w:tcBorders>
              <w:top w:val="nil"/>
              <w:left w:val="nil"/>
              <w:bottom w:val="nil"/>
              <w:right w:val="nil"/>
            </w:tcBorders>
            <w:shd w:val="clear" w:color="auto" w:fill="auto"/>
            <w:noWrap/>
          </w:tcPr>
          <w:p w:rsidR="0090611E" w:rsidRDefault="0090611E" w:rsidP="006654AE">
            <w:pPr>
              <w:pStyle w:val="tabletextleft"/>
              <w:jc w:val="left"/>
              <w:rPr>
                <w:rFonts w:eastAsia="Times New Roman"/>
              </w:rPr>
            </w:pPr>
            <w:r w:rsidRPr="0090611E">
              <w:rPr>
                <w:rFonts w:eastAsia="Times New Roman"/>
              </w:rPr>
              <w:t>Anangu Pitjantjatjara Yankunytjatjara</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ARO</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Authorised Review Officer</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ATM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Automatic Teller Machine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BMI</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Body Mass Index</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CDEP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Community Development Employment Projects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Compulsory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CLC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Central Lands Council</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CP</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Centrepay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CPIM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Child Protection Income Management</w:t>
            </w:r>
          </w:p>
        </w:tc>
      </w:tr>
      <w:tr w:rsidR="00333CEA" w:rsidRPr="00DF38B2" w:rsidTr="000654F4">
        <w:trPr>
          <w:trHeight w:val="288"/>
        </w:trPr>
        <w:tc>
          <w:tcPr>
            <w:tcW w:w="1178" w:type="dxa"/>
            <w:tcBorders>
              <w:top w:val="nil"/>
              <w:left w:val="nil"/>
              <w:bottom w:val="nil"/>
              <w:right w:val="nil"/>
            </w:tcBorders>
            <w:shd w:val="clear" w:color="auto" w:fill="auto"/>
            <w:noWrap/>
          </w:tcPr>
          <w:p w:rsidR="00333CEA" w:rsidRPr="00DF38B2" w:rsidRDefault="00333CEA" w:rsidP="006654AE">
            <w:pPr>
              <w:pStyle w:val="tabletextleft"/>
              <w:jc w:val="left"/>
              <w:rPr>
                <w:rFonts w:eastAsia="Times New Roman"/>
              </w:rPr>
            </w:pPr>
            <w:r>
              <w:rPr>
                <w:rFonts w:eastAsia="Times New Roman"/>
              </w:rPr>
              <w:t>CSC</w:t>
            </w:r>
          </w:p>
        </w:tc>
        <w:tc>
          <w:tcPr>
            <w:tcW w:w="7342" w:type="dxa"/>
            <w:tcBorders>
              <w:top w:val="nil"/>
              <w:left w:val="nil"/>
              <w:bottom w:val="nil"/>
              <w:right w:val="nil"/>
            </w:tcBorders>
            <w:shd w:val="clear" w:color="auto" w:fill="auto"/>
            <w:noWrap/>
          </w:tcPr>
          <w:p w:rsidR="00333CEA" w:rsidRPr="00DF38B2" w:rsidRDefault="00333CEA" w:rsidP="006654AE">
            <w:pPr>
              <w:pStyle w:val="tabletextleft"/>
              <w:jc w:val="left"/>
              <w:rPr>
                <w:rFonts w:eastAsia="Times New Roman"/>
              </w:rPr>
            </w:pPr>
            <w:r>
              <w:rPr>
                <w:rFonts w:eastAsia="Times New Roman"/>
              </w:rPr>
              <w:t>(Centrelink) Customer Service Centre</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CYWRT</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Cape York Welfare Reform Trial</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DCF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Northern Territory Department of Children and Families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DEEWR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Government Department of Education, Employment and Workplace Relations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DEY</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Disengaged Youth </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DHS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Department of Human Services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DSP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Disability Support Pension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DSS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Commonwealth Department of Social Services (formerly the Department of Family, Housing, Community Services and Indigenous Affairs</w:t>
            </w:r>
            <w:r>
              <w:rPr>
                <w:rFonts w:eastAsia="Times New Roman"/>
              </w:rPr>
              <w: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EFTPOS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Electronic Funds Transfer Point of Sale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ESB</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English Speaking Background</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FaHCSIA</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Government Department of Families, Housing and Community Services and Indigenous Affairs (Former - see DSS)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FMP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Financial Management Program</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FRC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Family Responsibilities Commission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FTB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Family Tax Benefit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HAAC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Home and community care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HEC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Household Expenditure Classification</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HES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Household Expenditure Survey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IFSS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Intensive Family Support Services</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IHS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Inverse Hyperbolic Sine (data transformation)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Support</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KDE</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Kernel Density Estimate (a statistical technique)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LSNIM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Longitudinal Survey of New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LTWPR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Long-term Welfare Payment Recipient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MSP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Matched Savings Scheme (Income Management) Payment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NAPLAN</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National Assessment Program - Literacy and Numeracy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NESB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Non-English Speaking Background</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NGO</w:t>
            </w:r>
          </w:p>
        </w:tc>
        <w:tc>
          <w:tcPr>
            <w:tcW w:w="7342" w:type="dxa"/>
            <w:tcBorders>
              <w:top w:val="nil"/>
              <w:left w:val="nil"/>
              <w:bottom w:val="nil"/>
              <w:right w:val="nil"/>
            </w:tcBorders>
            <w:shd w:val="clear" w:color="auto" w:fill="auto"/>
            <w:noWrap/>
            <w:hideMark/>
          </w:tcPr>
          <w:p w:rsidR="00804838" w:rsidRPr="00DF38B2" w:rsidRDefault="00C61A58" w:rsidP="006654AE">
            <w:pPr>
              <w:pStyle w:val="tabletextleft"/>
              <w:jc w:val="left"/>
              <w:rPr>
                <w:rFonts w:eastAsia="Times New Roman"/>
              </w:rPr>
            </w:pPr>
            <w:r>
              <w:rPr>
                <w:rFonts w:eastAsia="Times New Roman"/>
              </w:rPr>
              <w:t>Non-g</w:t>
            </w:r>
            <w:r w:rsidR="00804838" w:rsidRPr="00DF38B2">
              <w:rPr>
                <w:rFonts w:eastAsia="Times New Roman"/>
              </w:rPr>
              <w:t>overnment Organisation</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lastRenderedPageBreak/>
              <w:t>NHMRC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National Health and Medical Research Council</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New Income Management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624BDC">
              <w:rPr>
                <w:rFonts w:eastAsia="Times New Roman"/>
              </w:rPr>
              <w:t>NPARIH</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624BDC">
              <w:rPr>
                <w:rFonts w:eastAsia="Times New Roman"/>
              </w:rPr>
              <w:t>National Partnership Agreement on Remo</w:t>
            </w:r>
            <w:r>
              <w:rPr>
                <w:rFonts w:eastAsia="Times New Roman"/>
              </w:rPr>
              <w:t xml:space="preserve">te Indigenous Housing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NPY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proofErr w:type="spellStart"/>
            <w:r w:rsidRPr="00DF38B2">
              <w:rPr>
                <w:rFonts w:eastAsia="Times New Roman"/>
              </w:rPr>
              <w:t>Ngaanyatjarra</w:t>
            </w:r>
            <w:proofErr w:type="spellEnd"/>
            <w:r w:rsidRPr="00DF38B2">
              <w:rPr>
                <w:rFonts w:eastAsia="Times New Roman"/>
              </w:rPr>
              <w:t xml:space="preserve"> Pitjantjatjara </w:t>
            </w:r>
            <w:proofErr w:type="spellStart"/>
            <w:r w:rsidRPr="00DF38B2">
              <w:rPr>
                <w:rFonts w:eastAsia="Times New Roman"/>
              </w:rPr>
              <w:t>Yankunytjatjara</w:t>
            </w:r>
            <w:proofErr w:type="spellEnd"/>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Northern Territory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NTER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Northern Territory Emergency Response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NTER 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management under the Northern Territory Emergency Response</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OOS</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Out of Scope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PPP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Parenting Payment Partnered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PPS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Parenting Payment Single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RDS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Rent Deduction Scheme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rhs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Right hand scale in figures which use a primary and secondary vertical axis. (Indicates which items are plotted against the secondary axis.)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SEAM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9655C3">
              <w:rPr>
                <w:rFonts w:eastAsia="Times New Roman"/>
              </w:rPr>
              <w:t>School Enrolment and Attendance</w:t>
            </w:r>
            <w:r w:rsidRPr="00DF38B2">
              <w:rPr>
                <w:rFonts w:eastAsia="Times New Roman"/>
              </w:rPr>
              <w:t xml:space="preserve"> Measure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SPAR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Supporting People at Risk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SPRC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Social Policy Research Centre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UTLAH</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Unreasonable to Live at Home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Voluntary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VWPR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Vulnerable Welfare Payment Recipient </w:t>
            </w:r>
          </w:p>
        </w:tc>
      </w:tr>
    </w:tbl>
    <w:p w:rsidR="00FB0FB9" w:rsidRPr="00DF38B2" w:rsidRDefault="00FB0FB9" w:rsidP="006654AE">
      <w:pPr>
        <w:spacing w:line="276" w:lineRule="auto"/>
        <w:jc w:val="left"/>
      </w:pPr>
    </w:p>
    <w:p w:rsidR="00FB0FB9" w:rsidRPr="00DF38B2" w:rsidRDefault="00FB0FB9" w:rsidP="006654AE">
      <w:pPr>
        <w:sectPr w:rsidR="00FB0FB9" w:rsidRPr="00DF38B2" w:rsidSect="00285084">
          <w:pgSz w:w="11906" w:h="16838" w:code="9"/>
          <w:pgMar w:top="1247" w:right="1701" w:bottom="1134" w:left="1871" w:header="567" w:footer="340" w:gutter="0"/>
          <w:pgNumType w:fmt="lowerRoman"/>
          <w:cols w:space="708"/>
          <w:titlePg/>
          <w:docGrid w:linePitch="360"/>
        </w:sectPr>
      </w:pPr>
    </w:p>
    <w:p w:rsidR="00FB0FB9" w:rsidRPr="00DF38B2" w:rsidRDefault="00FB0FB9" w:rsidP="004F3A3D">
      <w:pPr>
        <w:pStyle w:val="unumchpt"/>
      </w:pPr>
      <w:bookmarkStart w:id="7" w:name="_Toc403738950"/>
      <w:r w:rsidRPr="00DF38B2">
        <w:lastRenderedPageBreak/>
        <w:t>Executive Summary</w:t>
      </w:r>
      <w:bookmarkEnd w:id="7"/>
    </w:p>
    <w:p w:rsidR="00823476" w:rsidRDefault="00823476" w:rsidP="00AD7572">
      <w:pPr>
        <w:pStyle w:val="h4l2"/>
        <w:spacing w:before="1134"/>
      </w:pPr>
      <w:r>
        <w:t>Background</w:t>
      </w:r>
    </w:p>
    <w:p w:rsidR="00BD347F" w:rsidRPr="00BD347F" w:rsidRDefault="00BD347F" w:rsidP="006654AE">
      <w:r w:rsidRPr="00BD347F">
        <w:t>A relatively recent development in the Australian social security system has been the introduction of policies of income management for some people in receipt of income support payments. The policy limits the amount of income support paid to people as an unconditional cash transfer and imposes restrictions on how the remaining – sometimes termed ‘quarantined’ – funds can be spent. Income management was designed to ensure that these funds are spent on essential ‘basic’ items and to limit the amount of income that can be spent on tobacco, alcohol, pornography, and gambling.</w:t>
      </w:r>
    </w:p>
    <w:p w:rsidR="00BD347F" w:rsidRPr="00BD347F" w:rsidRDefault="00BD347F" w:rsidP="006654AE">
      <w:r w:rsidRPr="00BD347F">
        <w:t xml:space="preserve">Income management was first introduced in the Northern Territory in 2007 as part of the Federal Government’s Northern Territory Emergency Response (NTER). The main form of income management currently in place is “New Income Management”, which was introduced in the second half of 2010 to replace the NTER Income Management program and operates only in the Northern Territory. </w:t>
      </w:r>
    </w:p>
    <w:p w:rsidR="00BD347F" w:rsidRPr="00BD347F" w:rsidRDefault="00BD347F" w:rsidP="006654AE">
      <w:r w:rsidRPr="00BD347F">
        <w:t xml:space="preserve">New Income Management consists of a number of subprograms or streams. These are differentiated by: the criteria for determining </w:t>
      </w:r>
      <w:proofErr w:type="gramStart"/>
      <w:r w:rsidRPr="00BD347F">
        <w:t>who</w:t>
      </w:r>
      <w:proofErr w:type="gramEnd"/>
      <w:r w:rsidRPr="00BD347F">
        <w:t xml:space="preserve"> will be income managed; the proportion of income which is subject to income management; whether the person has access to exemptions from the program; and whether they receive any additional payment for participating in the program. </w:t>
      </w:r>
    </w:p>
    <w:p w:rsidR="00BD347F" w:rsidRPr="00BD347F" w:rsidRDefault="00BD347F" w:rsidP="006654AE">
      <w:r w:rsidRPr="00BD347F">
        <w:t xml:space="preserve">The first major stream comprises the Long Term Welfare Payment Recipient and Disengaged Youth measures (together </w:t>
      </w:r>
      <w:r w:rsidR="00413655">
        <w:t>referred to in this report</w:t>
      </w:r>
      <w:r w:rsidR="00413655" w:rsidRPr="00BD347F">
        <w:t xml:space="preserve"> </w:t>
      </w:r>
      <w:r w:rsidRPr="00BD347F">
        <w:t xml:space="preserve">as Compulsory Income Management), which applies compulsorily to people who have been in receipt of certain income support payments for more than a specified period. People placed on this form of </w:t>
      </w:r>
      <w:r w:rsidR="0062659D">
        <w:t>i</w:t>
      </w:r>
      <w:r w:rsidRPr="00BD347F">
        <w:t xml:space="preserve">ncome </w:t>
      </w:r>
      <w:r w:rsidR="0062659D">
        <w:t>m</w:t>
      </w:r>
      <w:r w:rsidRPr="00BD347F">
        <w:t>anagement are able to apply for an exemption. Exemptions cannot be gained from the other forms of New Income Management.</w:t>
      </w:r>
    </w:p>
    <w:p w:rsidR="00BD347F" w:rsidRPr="00BD347F" w:rsidRDefault="00BD347F" w:rsidP="006654AE">
      <w:r w:rsidRPr="00BD347F">
        <w:t>The second major stream, Voluntary Income Management, allows people who want to be on income management and are not on any of the forms of compulsory income management to participate in the program. The other income management measures operating in the Northern Territory are all relatively small and are applied on a compulsory basis. They include various forms of Vulnerable Income Management – some forms involve people being assessed by Centrelink as being vulnerable and others automatically being assessed as being vulnerable because of the types of income support payments they receive – and Child Protection Income Management, and Supporting People at Risk income management, to which people are referred by Northern Territory Government authorities.</w:t>
      </w:r>
    </w:p>
    <w:p w:rsidR="00BD347F" w:rsidRPr="00BD347F" w:rsidRDefault="00BD347F" w:rsidP="006654AE">
      <w:r w:rsidRPr="00BD347F">
        <w:t xml:space="preserve">While income management has been implemented in a number of other locations in Australia, it is only in the Northern Territory that the program is primarily composed of a compulsory component, which is simply linked to duration on payments and is implemented on such a large scale. </w:t>
      </w:r>
    </w:p>
    <w:p w:rsidR="00BD347F" w:rsidRPr="00BD347F" w:rsidRDefault="00BD347F" w:rsidP="006654AE">
      <w:r w:rsidRPr="00BD347F">
        <w:t xml:space="preserve">Income management is operationalised largely through the use of the BasicsCard, which is an EFTPOS card that can be used in approved stores and services to buy non-prohibited goods and cannot be used to withdraw cash. </w:t>
      </w:r>
    </w:p>
    <w:p w:rsidR="00BD347F" w:rsidRPr="00BD347F" w:rsidRDefault="00BD347F" w:rsidP="006654AE">
      <w:r w:rsidRPr="00BD347F">
        <w:t>In 2010, the then Australian Government Department of Families, Housing, Community Services and Indigenous Affairs (FaHCSIA, now the Department of Social Services</w:t>
      </w:r>
      <w:r w:rsidR="0062659D">
        <w:t xml:space="preserve"> (</w:t>
      </w:r>
      <w:r w:rsidRPr="00BD347F">
        <w:t>DSS)</w:t>
      </w:r>
      <w:r w:rsidR="0062659D">
        <w:t>)</w:t>
      </w:r>
      <w:r w:rsidRPr="00BD347F">
        <w:t xml:space="preserve"> commissioned this evaluation of New Income Management.</w:t>
      </w:r>
    </w:p>
    <w:p w:rsidR="00BD347F" w:rsidRPr="00BD347F" w:rsidRDefault="00BD347F" w:rsidP="006654AE">
      <w:pPr>
        <w:keepNext/>
      </w:pPr>
      <w:r w:rsidRPr="00BD347F">
        <w:lastRenderedPageBreak/>
        <w:t>The Terms of Reference for the Evaluation are to:</w:t>
      </w:r>
    </w:p>
    <w:p w:rsidR="00BD347F" w:rsidRPr="00BD347F" w:rsidRDefault="00BD347F" w:rsidP="006654AE">
      <w:pPr>
        <w:ind w:left="426" w:hanging="426"/>
      </w:pPr>
      <w:r w:rsidRPr="00BD347F">
        <w:t>1.</w:t>
      </w:r>
      <w:r w:rsidRPr="00BD347F">
        <w:tab/>
      </w:r>
      <w:proofErr w:type="gramStart"/>
      <w:r w:rsidRPr="00BD347F">
        <w:t>provide</w:t>
      </w:r>
      <w:proofErr w:type="gramEnd"/>
      <w:r w:rsidRPr="00BD347F">
        <w:t xml:space="preserve"> evidence on the impact on New Income Management on those who are affected;</w:t>
      </w:r>
    </w:p>
    <w:p w:rsidR="00BD347F" w:rsidRPr="00BD347F" w:rsidRDefault="00BD347F" w:rsidP="006654AE">
      <w:pPr>
        <w:ind w:left="426" w:hanging="426"/>
      </w:pPr>
      <w:r w:rsidRPr="00BD347F">
        <w:t>2.</w:t>
      </w:r>
      <w:r w:rsidRPr="00BD347F">
        <w:tab/>
      </w:r>
      <w:proofErr w:type="gramStart"/>
      <w:r w:rsidRPr="00BD347F">
        <w:t>assess</w:t>
      </w:r>
      <w:proofErr w:type="gramEnd"/>
      <w:r w:rsidRPr="00BD347F">
        <w:t xml:space="preserve"> whether the reforms were implemented effectively;</w:t>
      </w:r>
    </w:p>
    <w:p w:rsidR="00BD347F" w:rsidRPr="00BD347F" w:rsidRDefault="00BD347F" w:rsidP="006654AE">
      <w:pPr>
        <w:ind w:left="426" w:hanging="426"/>
      </w:pPr>
      <w:r w:rsidRPr="00BD347F">
        <w:t>3.</w:t>
      </w:r>
      <w:r w:rsidRPr="00BD347F">
        <w:tab/>
      </w:r>
      <w:proofErr w:type="gramStart"/>
      <w:r w:rsidRPr="00BD347F">
        <w:t>understand</w:t>
      </w:r>
      <w:proofErr w:type="gramEnd"/>
      <w:r w:rsidRPr="00BD347F">
        <w:t xml:space="preserve"> whether New Income Management is a cost-effective model; so as to</w:t>
      </w:r>
    </w:p>
    <w:p w:rsidR="00BD347F" w:rsidRPr="00BD347F" w:rsidRDefault="00BD347F" w:rsidP="006654AE">
      <w:pPr>
        <w:ind w:left="426" w:hanging="426"/>
      </w:pPr>
      <w:r w:rsidRPr="00BD347F">
        <w:t>4.</w:t>
      </w:r>
      <w:r w:rsidRPr="00BD347F">
        <w:tab/>
      </w:r>
      <w:proofErr w:type="gramStart"/>
      <w:r w:rsidRPr="00BD347F">
        <w:t>inform</w:t>
      </w:r>
      <w:proofErr w:type="gramEnd"/>
      <w:r w:rsidRPr="00BD347F">
        <w:t xml:space="preserve"> future government decision-making and social policy formulation for both the wider and Indigenous communities.</w:t>
      </w:r>
    </w:p>
    <w:p w:rsidR="00BD347F" w:rsidRPr="00BD347F" w:rsidRDefault="00BD347F" w:rsidP="006654AE">
      <w:r w:rsidRPr="00BD347F">
        <w:t xml:space="preserve">The evaluation has been guided by the Evaluation Framework which was agreed </w:t>
      </w:r>
      <w:r w:rsidR="00804838" w:rsidRPr="00BD347F">
        <w:t>with</w:t>
      </w:r>
      <w:r w:rsidR="00804838">
        <w:t xml:space="preserve"> DSS</w:t>
      </w:r>
      <w:r w:rsidRPr="00BD347F">
        <w:t xml:space="preserve">, and sets out a series of evaluation questions against which income management would be evaluated. The main variation from the </w:t>
      </w:r>
      <w:r w:rsidR="00ED73EB">
        <w:t>initial Evaluation F</w:t>
      </w:r>
      <w:r w:rsidRPr="00BD347F">
        <w:t>ramework is that evaluation has, on the basis of a request from DSS, not undertaken the detailed investigation into the cost-effectiveness of the program.</w:t>
      </w:r>
    </w:p>
    <w:p w:rsidR="00BD347F" w:rsidRPr="00BD347F" w:rsidRDefault="00BD347F" w:rsidP="006654AE">
      <w:r w:rsidRPr="00BD347F">
        <w:t>The evaluation methodology is a mixed methods approach, which draws upon a large number of sources of information including: a longitudinal survey of people subject to income management; administrative data on the program and the people on it; qualitative data collection from people on income management</w:t>
      </w:r>
      <w:r w:rsidR="00ED73EB">
        <w:t>;</w:t>
      </w:r>
      <w:r w:rsidRPr="00BD347F">
        <w:t xml:space="preserve"> from those involved in implementing the program</w:t>
      </w:r>
      <w:r w:rsidR="00E24772">
        <w:t>,</w:t>
      </w:r>
      <w:r w:rsidRPr="00BD347F">
        <w:t xml:space="preserve"> and from organisations and others such as child protection workers, welfare, legal aid and advocacy groups, income management workers and stores; data on transactions from stores; reviews of social workers’ case files; and a range of more general data that has been produced by the Australian Bureau of Statistics (ABS) and others.</w:t>
      </w:r>
    </w:p>
    <w:p w:rsidR="00BD347F" w:rsidRPr="00BD347F" w:rsidRDefault="00BD347F" w:rsidP="006654AE">
      <w:r w:rsidRPr="00BD347F">
        <w:t>A central principle of the evaluation approach was one of triangulation of findings, that is, using the multiple sources and types of data to compare and verify findings against each of the evaluation questions.</w:t>
      </w:r>
      <w:r w:rsidR="00413655" w:rsidRPr="00413655">
        <w:t xml:space="preserve"> This approach is important as </w:t>
      </w:r>
      <w:r w:rsidR="00413655">
        <w:t xml:space="preserve">much of </w:t>
      </w:r>
      <w:r w:rsidR="00413655" w:rsidRPr="00413655">
        <w:t>the data used in the evaluation is not always consistent and frequently is an indicator or a perception rather than a direct measure</w:t>
      </w:r>
    </w:p>
    <w:p w:rsidR="00BD347F" w:rsidRPr="00BD347F" w:rsidRDefault="00BD347F" w:rsidP="006654AE">
      <w:r w:rsidRPr="00BD347F">
        <w:t xml:space="preserve">The full results of the evaluation are published as two volumes: Evaluating New Income Management in the Northern Territory: First Evaluation Report (July 2012); and this volume. The </w:t>
      </w:r>
      <w:r w:rsidR="002B3CEA">
        <w:t>F</w:t>
      </w:r>
      <w:r w:rsidRPr="00BD347F">
        <w:t xml:space="preserve">irst </w:t>
      </w:r>
      <w:r w:rsidR="002B3CEA">
        <w:t>E</w:t>
      </w:r>
      <w:r w:rsidRPr="00BD347F">
        <w:t xml:space="preserve">valuation </w:t>
      </w:r>
      <w:r w:rsidR="002B3CEA">
        <w:t>R</w:t>
      </w:r>
      <w:r w:rsidRPr="00BD347F">
        <w:t>eport covered the initial implementation period of New Income Management and considered how effectively the measure was rolled out, how the transition from the NTER Income Management to New Income Management was managed, and the early impacts of New Income Management on individuals, families and communities. This report incorporates data up to the end of 2013 and the second wave of the fieldwork that was undertaken by the evaluation, and is primarily focused on the main outcome evaluation questions.</w:t>
      </w:r>
    </w:p>
    <w:p w:rsidR="00BD347F" w:rsidRPr="00BD347F" w:rsidRDefault="00BD347F" w:rsidP="00BD1D58">
      <w:pPr>
        <w:pStyle w:val="h4l2"/>
      </w:pPr>
      <w:r w:rsidRPr="00BD347F">
        <w:t>Key findings</w:t>
      </w:r>
    </w:p>
    <w:p w:rsidR="00BD347F" w:rsidRPr="00BD347F" w:rsidRDefault="00BD347F" w:rsidP="006654AE">
      <w:r w:rsidRPr="00BD347F">
        <w:t>The key findings are:</w:t>
      </w:r>
    </w:p>
    <w:p w:rsidR="00BD347F" w:rsidRPr="00BD347F" w:rsidRDefault="00BD347F" w:rsidP="006654AE">
      <w:pPr>
        <w:pStyle w:val="dot"/>
      </w:pPr>
      <w:r w:rsidRPr="00BD347F">
        <w:t xml:space="preserve">Some 35,000 people have been subject to income management in the Northern Territory </w:t>
      </w:r>
      <w:r w:rsidR="00ED73EB">
        <w:t>since the introduction of</w:t>
      </w:r>
      <w:r w:rsidR="00ED73EB" w:rsidRPr="00BD347F">
        <w:t xml:space="preserve"> </w:t>
      </w:r>
      <w:r w:rsidRPr="00BD347F">
        <w:t xml:space="preserve">New Income Management. </w:t>
      </w:r>
    </w:p>
    <w:p w:rsidR="00BD347F" w:rsidRPr="00BD347F" w:rsidRDefault="00BD347F" w:rsidP="006654AE">
      <w:pPr>
        <w:pStyle w:val="dot"/>
      </w:pPr>
      <w:r w:rsidRPr="00BD347F">
        <w:t xml:space="preserve">In December 2013 18,300 people were income managed. Of this total, 76.8 per cent were on the main compulsory measures, 20.1 per cent were on </w:t>
      </w:r>
      <w:r w:rsidR="001544DF">
        <w:t>Voluntary Income Management</w:t>
      </w:r>
      <w:r w:rsidRPr="00BD347F">
        <w:t>, and the remaining 3.1 per cent were on the other seven measures and subprograms.</w:t>
      </w:r>
    </w:p>
    <w:p w:rsidR="00BD347F" w:rsidRPr="00BD347F" w:rsidRDefault="00BD347F" w:rsidP="006654AE">
      <w:pPr>
        <w:pStyle w:val="dot"/>
      </w:pPr>
      <w:r w:rsidRPr="00BD347F">
        <w:t>90.2 per cent of those being income managed are Indigenous. It is estimated that 1.3 per cent of non-Indigenous people and 34.0 per cent of Indigenous people aged 15 years and over living in the Northern Territory are subject to income management.</w:t>
      </w:r>
    </w:p>
    <w:p w:rsidR="00BD347F" w:rsidRPr="00BD347F" w:rsidRDefault="00BD347F" w:rsidP="006654AE">
      <w:pPr>
        <w:pStyle w:val="dot"/>
      </w:pPr>
      <w:r w:rsidRPr="00BD347F">
        <w:t>Most people are on income management for extended periods</w:t>
      </w:r>
      <w:r w:rsidR="000E7F9D">
        <w:t>. A</w:t>
      </w:r>
      <w:r w:rsidRPr="00BD347F">
        <w:t>t the end of 2013</w:t>
      </w:r>
      <w:r w:rsidR="000E7F9D">
        <w:t xml:space="preserve"> many had</w:t>
      </w:r>
      <w:r w:rsidRPr="00BD347F">
        <w:t xml:space="preserve"> been income managed for more than six years. Over 60 per cent of Indigenous people currently being income managed were on income management as part of the </w:t>
      </w:r>
      <w:r w:rsidR="00ED73EB">
        <w:t>NTER</w:t>
      </w:r>
      <w:r w:rsidRPr="00BD347F">
        <w:t>.</w:t>
      </w:r>
    </w:p>
    <w:p w:rsidR="00BD347F" w:rsidRPr="00BD347F" w:rsidRDefault="00BD347F" w:rsidP="006654AE">
      <w:pPr>
        <w:pStyle w:val="dot"/>
      </w:pPr>
      <w:r w:rsidRPr="00BD347F">
        <w:t>Few exemptions have been granted and most exemptions have been obtained by non-Indigenous people who have an exemption rate of 36.3 per cent, compared with 4.9 per cent for Indigenous people. Indigenous people have both a low rate of application for exemptions and a high rejection rate for those who do apply. Almost all exemptions have been granted to people with dependent children; 0.6 per cent of those without children have gained an exemption.</w:t>
      </w:r>
    </w:p>
    <w:p w:rsidR="00BD347F" w:rsidRPr="00BD347F" w:rsidRDefault="00BD347F" w:rsidP="006654AE">
      <w:pPr>
        <w:pStyle w:val="dot"/>
      </w:pPr>
      <w:r w:rsidRPr="00BD347F">
        <w:lastRenderedPageBreak/>
        <w:t>Income management appears to have been relatively successful in ensuring that the income managed portion of income is not spent on proscribed items. Expenditure of these income managed amounts, however, covers a very wide range of commodities and services, with no particular emphasis on the narrow set of ‘priority needs’ identified in the policy objectives of the program.</w:t>
      </w:r>
    </w:p>
    <w:p w:rsidR="00BD347F" w:rsidRPr="00BD347F" w:rsidRDefault="00BD347F" w:rsidP="006654AE">
      <w:pPr>
        <w:pStyle w:val="dot"/>
      </w:pPr>
      <w:r w:rsidRPr="00BD347F">
        <w:t>While many, especially in urban areas, reported problems with the BasicsCard, others, especially in remote locations, appear to value the fee-free banking service it provides.</w:t>
      </w:r>
    </w:p>
    <w:p w:rsidR="00BD347F" w:rsidRPr="00BD347F" w:rsidRDefault="00BD347F" w:rsidP="006654AE">
      <w:pPr>
        <w:pStyle w:val="dash"/>
      </w:pPr>
      <w:r w:rsidRPr="00BD347F">
        <w:tab/>
        <w:t xml:space="preserve">Significant problems reported with respect to </w:t>
      </w:r>
      <w:r w:rsidR="00E24772">
        <w:t xml:space="preserve">the </w:t>
      </w:r>
      <w:r w:rsidRPr="00BD347F">
        <w:t>BasicsCard include the imposition of minimum purchase limits, the imposition of surcharges on the use of the card, and the limited number of outlets at which it could be used. In addition, the approach to merchant approval meant that many people reported having to purchase items at higher prices at approved merchants.</w:t>
      </w:r>
    </w:p>
    <w:p w:rsidR="00BD347F" w:rsidRPr="00BD347F" w:rsidRDefault="00BD347F" w:rsidP="006654AE">
      <w:pPr>
        <w:pStyle w:val="dash"/>
      </w:pPr>
      <w:r w:rsidRPr="00BD347F">
        <w:tab/>
        <w:t>The payment of rent was a major problem for some people in urban areas in a range of situations, including group housing and where landlords sought cash payment.</w:t>
      </w:r>
    </w:p>
    <w:p w:rsidR="00BD347F" w:rsidRPr="00BD347F" w:rsidRDefault="00BD347F" w:rsidP="006654AE">
      <w:pPr>
        <w:pStyle w:val="dot"/>
      </w:pPr>
      <w:r w:rsidRPr="00BD347F">
        <w:t xml:space="preserve">Program elements designed to build financial capabilities have not been successful. Despite over 29,400 people having been on the compulsory measures, only 1,139 people (3.9 per cent) had completed an </w:t>
      </w:r>
      <w:r w:rsidR="00ED73EB">
        <w:t>A</w:t>
      </w:r>
      <w:r w:rsidRPr="00BD347F">
        <w:t xml:space="preserve">pproved </w:t>
      </w:r>
      <w:r w:rsidR="00ED73EB">
        <w:t>M</w:t>
      </w:r>
      <w:r w:rsidRPr="00BD347F">
        <w:t xml:space="preserve">oney </w:t>
      </w:r>
      <w:r w:rsidR="00ED73EB">
        <w:t>M</w:t>
      </w:r>
      <w:r w:rsidRPr="00BD347F">
        <w:t xml:space="preserve">anagement course, and 31 had obtained a </w:t>
      </w:r>
      <w:r w:rsidR="00ED73EB">
        <w:t>M</w:t>
      </w:r>
      <w:r w:rsidRPr="00BD347F">
        <w:t xml:space="preserve">atched </w:t>
      </w:r>
      <w:r w:rsidR="00ED73EB">
        <w:t>S</w:t>
      </w:r>
      <w:r w:rsidRPr="00BD347F">
        <w:t xml:space="preserve">avings </w:t>
      </w:r>
      <w:r w:rsidR="00ED73EB">
        <w:t>Scheme P</w:t>
      </w:r>
      <w:r w:rsidRPr="00BD347F">
        <w:t>ayment.</w:t>
      </w:r>
    </w:p>
    <w:p w:rsidR="00BD347F" w:rsidRPr="00BD347F" w:rsidRDefault="00BD347F" w:rsidP="006654AE">
      <w:pPr>
        <w:pStyle w:val="dot"/>
      </w:pPr>
      <w:r w:rsidRPr="00BD347F">
        <w:t>People subject to income management who were surveyed have differing views about the program. Among Indigenous people on Compulsory Income Management</w:t>
      </w:r>
      <w:r w:rsidR="000E7F9D">
        <w:t>,</w:t>
      </w:r>
      <w:r w:rsidRPr="00BD347F">
        <w:t xml:space="preserve"> 41.2 per cent want to get off the program and 45.4 per cent want to remain on it. For non-Indigenous people the proportions are 56.2 per cent and 31.4 per cent. 80.0 per cent of those on Voluntary Income Management wish to stay on.</w:t>
      </w:r>
    </w:p>
    <w:p w:rsidR="00BD347F" w:rsidRPr="00BD347F" w:rsidRDefault="00BD347F" w:rsidP="006654AE">
      <w:pPr>
        <w:pStyle w:val="dot"/>
      </w:pPr>
      <w:r w:rsidRPr="00BD347F">
        <w:t xml:space="preserve">Around two-fifths of people on income management thought that it had made things better for them; about one-third thought that it had made no difference, and about one-quarter thought that income management had made things worse for them. </w:t>
      </w:r>
      <w:r w:rsidR="00413655" w:rsidRPr="00413655">
        <w:t>These mixed sentiments were reflected in many other areas, with substantial groups reporting that they felt more in control of their lives and money and that it was good for their children a</w:t>
      </w:r>
      <w:r w:rsidR="00E24772">
        <w:t>nd</w:t>
      </w:r>
      <w:r w:rsidR="00413655" w:rsidRPr="00413655">
        <w:t xml:space="preserve"> substantial groups reporting the opposite.</w:t>
      </w:r>
      <w:r w:rsidR="00413655">
        <w:t xml:space="preserve"> </w:t>
      </w:r>
      <w:r w:rsidRPr="00BD347F">
        <w:t>A substantial group of people subject to income management felt that income management is unfair, embarrassing and discriminatory.</w:t>
      </w:r>
    </w:p>
    <w:p w:rsidR="00BD347F" w:rsidRPr="00BD347F" w:rsidRDefault="00BD347F" w:rsidP="006654AE">
      <w:pPr>
        <w:pStyle w:val="dash"/>
      </w:pPr>
      <w:r w:rsidRPr="00BD347F">
        <w:tab/>
        <w:t>The evaluation could not find any substantive evidence of the program having significant changes relative to its key policy objectives, including changing people’s behaviours.</w:t>
      </w:r>
    </w:p>
    <w:p w:rsidR="00BD347F" w:rsidRPr="00BD347F" w:rsidRDefault="00BD347F" w:rsidP="006654AE">
      <w:pPr>
        <w:pStyle w:val="dash"/>
      </w:pPr>
      <w:r w:rsidRPr="00BD347F">
        <w:tab/>
        <w:t>There was no evidence of changes in spending patterns, including food and alcohol sales, other than a slight possible improvement in the incidence of running out of money for food by those on Voluntary Income Management, but no change for those on compulsory income management. The data show that spending on BasicsCard on fruit and vegetables is very low.</w:t>
      </w:r>
    </w:p>
    <w:p w:rsidR="00BD347F" w:rsidRPr="00BD347F" w:rsidRDefault="00BD347F" w:rsidP="006654AE">
      <w:pPr>
        <w:pStyle w:val="dash"/>
      </w:pPr>
      <w:r w:rsidRPr="00BD347F">
        <w:tab/>
        <w:t>There was no evidence of any overall improvement in financial wellbeing, including reductions in financial harassment or improved financial management skills. There are very high rates of replacement of BasicsCards, and there has been little abatement in the rate at which BasicsCard transactions fail due to inadequate funds. There is no evidence of marked change in the extent to which people have low ba</w:t>
      </w:r>
      <w:r w:rsidR="000E7F9D">
        <w:t>lances in their BasicsCard and income m</w:t>
      </w:r>
      <w:r w:rsidRPr="00BD347F">
        <w:t>anagement accounts. While some groups reported a relative decrease in problems because they had given money to others, they however also reported – again relative to the control group – an increase in the extent to which they asked others for money to purchase essentials. There was no decrease in reported harassment at the community level.</w:t>
      </w:r>
    </w:p>
    <w:p w:rsidR="00BD347F" w:rsidRPr="00BD347F" w:rsidRDefault="00BD347F" w:rsidP="006654AE">
      <w:pPr>
        <w:pStyle w:val="dash"/>
      </w:pPr>
      <w:r w:rsidRPr="00BD347F">
        <w:tab/>
        <w:t>More general measures of wellbeing at the community level show no evidence of improvement, including for children. Data was collected on the incidence of problems in families due to alcohol, drugs and gambling. This was analysed as to whether there were any problems, and whether there were severe problems. All the groups reported a relative reduction in the incidence of there being any problems, but no change or an increase in severe problems. Only those on Voluntary Income Management reported a relative reduction in alcohol problems in their family, but, along with others, no improvement in problems with drinking in their community.</w:t>
      </w:r>
    </w:p>
    <w:p w:rsidR="00BD347F" w:rsidRPr="00BD347F" w:rsidRDefault="00BD347F" w:rsidP="006654AE">
      <w:pPr>
        <w:pStyle w:val="dot"/>
      </w:pPr>
      <w:r w:rsidRPr="00BD347F">
        <w:lastRenderedPageBreak/>
        <w:t>The evidence indicates that the targeting of assessed Vulnerable Income Management has identified a group of highly vulnerable individuals – around 150 at any one time. For this group some positive outcomes from income management have been reported and there is some evidence that while income management may assist in ‘harm minimisation’ for this group, they also need other supports. It is unlikely that income management can effectively build the capabilities of this group, but rather they will need this intervention on an ongoing basis.</w:t>
      </w:r>
    </w:p>
    <w:p w:rsidR="00BD347F" w:rsidRPr="00BD347F" w:rsidRDefault="00BD347F" w:rsidP="006654AE">
      <w:pPr>
        <w:pStyle w:val="dot"/>
      </w:pPr>
      <w:r w:rsidRPr="00BD347F">
        <w:t>Many of those on income management want to remain on indefinitely. The main reasons people gave for wishing to remain on the program were that it was easier being on income management, it was easier to manage their money, that they are used to income management and it is easier to stay on, and that they liked having the BasicsCard.</w:t>
      </w:r>
    </w:p>
    <w:p w:rsidR="00BD347F" w:rsidRPr="00BD347F" w:rsidRDefault="00BD347F" w:rsidP="006654AE">
      <w:pPr>
        <w:pStyle w:val="dot"/>
      </w:pPr>
      <w:r w:rsidRPr="00BD347F">
        <w:t>The evaluation found that, rather than building capacity and independence, for many the program has acted to make people more dependent on welfare.</w:t>
      </w:r>
    </w:p>
    <w:p w:rsidR="00BD347F" w:rsidRPr="00BD347F" w:rsidRDefault="00BD347F" w:rsidP="00946E00">
      <w:pPr>
        <w:pStyle w:val="h4l2"/>
      </w:pPr>
      <w:r w:rsidRPr="00BD347F">
        <w:t>Conc</w:t>
      </w:r>
      <w:r w:rsidRPr="00BD347F">
        <w:rPr>
          <w:rStyle w:val="Heading4Char"/>
        </w:rPr>
        <w:t>l</w:t>
      </w:r>
      <w:r w:rsidRPr="00BD347F">
        <w:t>usion</w:t>
      </w:r>
    </w:p>
    <w:p w:rsidR="00BD347F" w:rsidRPr="00BD347F" w:rsidRDefault="00BD347F" w:rsidP="006654AE">
      <w:r w:rsidRPr="00BD347F">
        <w:t xml:space="preserve">The evaluation data does not provide evidence of income management having improved the outcomes that it was intending to have an impact upon. Indeed, rather than promoting independence and the building of skills and capabilities, New Income Management in the Northern Territory appears to have encouraged increasing dependence upon the welfare system, and the tools which were envisaged as providing them with the skills to manage have rather become instruments which relieve them of the burden of management. While at one level, and for some groups, this may still be seen as a positive outcome and one which they report as having improved their quality of life – and it is possible that some may be able to lift themselves out of their situation – more broadly it also comes at a cost of greater dependence. </w:t>
      </w:r>
    </w:p>
    <w:p w:rsidR="00BD347F" w:rsidRPr="00BD347F" w:rsidRDefault="00BD347F" w:rsidP="006654AE">
      <w:r w:rsidRPr="00BD347F">
        <w:t>This, though, is not the whole story of income management – many people report having been largely untouched by the measure since they are already managing effectively; others report that the program has been a major inconvenience, making life more difficult without changing outcomes and, as noted previously, many who report a sense of unfairness.</w:t>
      </w:r>
    </w:p>
    <w:p w:rsidR="00BD347F" w:rsidRPr="00BD347F" w:rsidRDefault="00BD347F" w:rsidP="006654AE">
      <w:r w:rsidRPr="00BD347F">
        <w:t>There is some evidence to show that in some specific circumstances income management may be a successful intervention as part of an individually tailored program in which some individuals can use it as an effective tool; however, there is no evidence to indicate that it has effects at the community level, nor that income management, in itself, facilitates long-term behaviour change.</w:t>
      </w:r>
    </w:p>
    <w:p w:rsidR="00FB0FB9" w:rsidRPr="00DF38B2" w:rsidRDefault="00BD347F" w:rsidP="006654AE">
      <w:r w:rsidRPr="00BD347F">
        <w:t xml:space="preserve">Making income management a large-scale program – in the context of the Northern Territory where it applies to a substantial proportion of income support recipients – has meant that by-and-large income management has been implemented as an operational process with limited working with individuals and tailoring the program to their needs. Building capacity is a challenging process that requires time and resources, and it cannot be developed by simply imposing restraints. </w:t>
      </w:r>
    </w:p>
    <w:p w:rsidR="00FB0FB9" w:rsidRPr="00DF38B2" w:rsidRDefault="00FB0FB9" w:rsidP="006654AE"/>
    <w:p w:rsidR="00FB0FB9" w:rsidRPr="00DF38B2" w:rsidRDefault="00FB0FB9" w:rsidP="006654AE">
      <w:pPr>
        <w:sectPr w:rsidR="00FB0FB9" w:rsidRPr="00DF38B2" w:rsidSect="00285084">
          <w:headerReference w:type="even" r:id="rId22"/>
          <w:headerReference w:type="default" r:id="rId23"/>
          <w:footerReference w:type="even" r:id="rId24"/>
          <w:headerReference w:type="first" r:id="rId25"/>
          <w:footerReference w:type="first" r:id="rId26"/>
          <w:pgSz w:w="11906" w:h="16838" w:code="9"/>
          <w:pgMar w:top="1247" w:right="1701" w:bottom="1134" w:left="1871" w:header="567" w:footer="340" w:gutter="0"/>
          <w:pgNumType w:fmt="lowerRoman"/>
          <w:cols w:space="708"/>
          <w:titlePg/>
          <w:docGrid w:linePitch="360"/>
        </w:sectPr>
      </w:pPr>
    </w:p>
    <w:p w:rsidR="009C5365" w:rsidRPr="009C5365" w:rsidRDefault="00407528" w:rsidP="004F3A3D">
      <w:pPr>
        <w:pStyle w:val="Heading1"/>
      </w:pPr>
      <w:bookmarkStart w:id="8" w:name="_Toc403738951"/>
      <w:r w:rsidRPr="009C5365">
        <w:lastRenderedPageBreak/>
        <w:t>Introduction</w:t>
      </w:r>
      <w:bookmarkEnd w:id="8"/>
    </w:p>
    <w:p w:rsidR="003908FC" w:rsidRPr="00DF38B2" w:rsidRDefault="003908FC" w:rsidP="004F3A3D">
      <w:pPr>
        <w:spacing w:before="1134" w:after="210"/>
      </w:pPr>
      <w:r w:rsidRPr="00DF38B2">
        <w:t xml:space="preserve">A relatively recent development in the Australian social security system has been the introduction of policies of income management for some people in receipt of income support payments. The policy limits the amount of income support paid to people as an unconditional cash transfer and imposes restrictions on how the remaining </w:t>
      </w:r>
      <w:r>
        <w:t xml:space="preserve">– </w:t>
      </w:r>
      <w:r w:rsidRPr="00DF38B2">
        <w:t>sometimes termed ‘quarantined’</w:t>
      </w:r>
      <w:r>
        <w:t xml:space="preserve"> –</w:t>
      </w:r>
      <w:r w:rsidRPr="00DF38B2">
        <w:t xml:space="preserve"> funds can be spent. The purpose of these controls is given as ensur</w:t>
      </w:r>
      <w:r>
        <w:t>ing</w:t>
      </w:r>
      <w:r w:rsidRPr="00DF38B2">
        <w:t xml:space="preserve"> that these funds are spent on essential ‘basic’ items</w:t>
      </w:r>
      <w:r w:rsidR="008D1E37">
        <w:t xml:space="preserve"> and</w:t>
      </w:r>
      <w:r w:rsidRPr="00DF38B2">
        <w:t xml:space="preserve"> limit</w:t>
      </w:r>
      <w:r>
        <w:t>ing</w:t>
      </w:r>
      <w:r w:rsidRPr="00DF38B2">
        <w:t xml:space="preserve"> the amount of income that can be spent on ‘proscribed goods’ including tobacco, alcohol, pornography</w:t>
      </w:r>
      <w:r>
        <w:t>,</w:t>
      </w:r>
      <w:r w:rsidRPr="00DF38B2">
        <w:t xml:space="preserve"> and gambling. Income management was first introduced in the Northern Territory in 2007 as part of the Federal Government’s Northern Territory Emergency Response (NTER)</w:t>
      </w:r>
      <w:r>
        <w:t>.</w:t>
      </w:r>
      <w:r w:rsidR="0025567B">
        <w:rPr>
          <w:rStyle w:val="FootnoteReference"/>
        </w:rPr>
        <w:footnoteReference w:id="1"/>
      </w:r>
    </w:p>
    <w:p w:rsidR="003908FC" w:rsidRPr="00DF38B2" w:rsidRDefault="003908FC" w:rsidP="006654AE">
      <w:r w:rsidRPr="00DF38B2">
        <w:t xml:space="preserve">The main form of income management currently in place is </w:t>
      </w:r>
      <w:r>
        <w:t>‘</w:t>
      </w:r>
      <w:r w:rsidRPr="00DF38B2">
        <w:t>New Income Management</w:t>
      </w:r>
      <w:r>
        <w:t>’</w:t>
      </w:r>
      <w:r w:rsidRPr="00DF38B2">
        <w:t>. This policy, which operates only in the Northern Territory, was introduced in the second half of 2010 to replace the NTER Income Management</w:t>
      </w:r>
      <w:r>
        <w:t xml:space="preserve"> program</w:t>
      </w:r>
      <w:r w:rsidRPr="00DF38B2">
        <w:t>. Since 2007 there have been a number of additional income management policies implemented in a range of other locations</w:t>
      </w:r>
      <w:r>
        <w:t>,</w:t>
      </w:r>
      <w:r w:rsidRPr="00DF38B2">
        <w:t xml:space="preserve"> and a brief overview of these is provided in Section </w:t>
      </w:r>
      <w:r w:rsidRPr="00DF38B2">
        <w:fldChar w:fldCharType="begin"/>
      </w:r>
      <w:r w:rsidRPr="00DF38B2">
        <w:instrText xml:space="preserve"> REF _Ref391832855 \r \h </w:instrText>
      </w:r>
      <w:r w:rsidRPr="00DF38B2">
        <w:fldChar w:fldCharType="separate"/>
      </w:r>
      <w:r w:rsidR="00906D13">
        <w:t>1.5</w:t>
      </w:r>
      <w:r w:rsidRPr="00DF38B2">
        <w:fldChar w:fldCharType="end"/>
      </w:r>
      <w:r w:rsidRPr="00DF38B2">
        <w:t>.</w:t>
      </w:r>
    </w:p>
    <w:p w:rsidR="003908FC" w:rsidRPr="00FE502F" w:rsidRDefault="003908FC" w:rsidP="006654AE">
      <w:r w:rsidRPr="00FE502F">
        <w:t>This report is the final report of a large</w:t>
      </w:r>
      <w:r>
        <w:t>-</w:t>
      </w:r>
      <w:r w:rsidRPr="00FE502F">
        <w:t xml:space="preserve">scale evaluation of </w:t>
      </w:r>
      <w:r w:rsidRPr="009655C3">
        <w:t>the New Income Management program</w:t>
      </w:r>
      <w:r>
        <w:t>,</w:t>
      </w:r>
      <w:r w:rsidRPr="009655C3">
        <w:t xml:space="preserve"> which has been implemented by the Australian Government in the Northern Territory</w:t>
      </w:r>
      <w:r>
        <w:t>.</w:t>
      </w:r>
      <w:r w:rsidRPr="00DF38B2">
        <w:rPr>
          <w:rStyle w:val="FootnoteReference"/>
        </w:rPr>
        <w:footnoteReference w:id="2"/>
      </w:r>
      <w:r w:rsidRPr="00DF38B2">
        <w:t xml:space="preserve"> The evaluation was </w:t>
      </w:r>
      <w:r w:rsidRPr="00FE502F">
        <w:t xml:space="preserve">commissioned by the then </w:t>
      </w:r>
      <w:r w:rsidRPr="009655C3">
        <w:t>Australian Government Department of Families, Housing, Community Services and Indigenous Affairs (FaHCSIA</w:t>
      </w:r>
      <w:r>
        <w:t xml:space="preserve">, </w:t>
      </w:r>
      <w:r w:rsidRPr="00DF38B2">
        <w:t>now the Department of Social Services</w:t>
      </w:r>
      <w:r>
        <w:t xml:space="preserve"> </w:t>
      </w:r>
      <w:r w:rsidR="00ED73EB">
        <w:t>(</w:t>
      </w:r>
      <w:r>
        <w:t>DSS</w:t>
      </w:r>
      <w:r w:rsidR="00ED73EB">
        <w:t>)</w:t>
      </w:r>
      <w:r w:rsidRPr="00DF38B2">
        <w:t>)</w:t>
      </w:r>
      <w:r w:rsidR="00343CFB">
        <w:rPr>
          <w:rStyle w:val="FootnoteReference"/>
        </w:rPr>
        <w:footnoteReference w:id="3"/>
      </w:r>
      <w:r w:rsidR="008D1E37">
        <w:t>,</w:t>
      </w:r>
      <w:r w:rsidRPr="00DF38B2">
        <w:t xml:space="preserve"> as part of the commitment of the then Government that “The operation of the new scheme of income management in the Northern Territory will be carefully evaluated”</w:t>
      </w:r>
      <w:r>
        <w:t xml:space="preserve"> </w:t>
      </w:r>
      <w:r w:rsidRPr="00DF38B2">
        <w:t>(Australian Government</w:t>
      </w:r>
      <w:r>
        <w:t>,</w:t>
      </w:r>
      <w:r w:rsidRPr="00DF38B2">
        <w:t xml:space="preserve"> 2009)</w:t>
      </w:r>
      <w:r>
        <w:t>.</w:t>
      </w:r>
      <w:r w:rsidRPr="00DF38B2">
        <w:t xml:space="preserve"> The evaluation has been undertaken over the period 2010 to 2014</w:t>
      </w:r>
      <w:r>
        <w:t>,</w:t>
      </w:r>
      <w:r w:rsidRPr="00DF38B2">
        <w:t xml:space="preserve"> with a substantial </w:t>
      </w:r>
      <w:r w:rsidR="004F2FEC">
        <w:t xml:space="preserve">first </w:t>
      </w:r>
      <w:r w:rsidRPr="00DF38B2">
        <w:t xml:space="preserve">report </w:t>
      </w:r>
      <w:r>
        <w:t>having been</w:t>
      </w:r>
      <w:r w:rsidRPr="00DF38B2">
        <w:t xml:space="preserve"> completed in July 2012 (Bray et al., 2012). The key findings from the </w:t>
      </w:r>
      <w:r w:rsidR="004F2FEC">
        <w:t>First Evaluation Report</w:t>
      </w:r>
      <w:r w:rsidRPr="00DF38B2">
        <w:t xml:space="preserve"> are summarised in Section </w:t>
      </w:r>
      <w:r w:rsidRPr="00DF38B2">
        <w:fldChar w:fldCharType="begin"/>
      </w:r>
      <w:r w:rsidRPr="00DF38B2">
        <w:instrText xml:space="preserve"> REF _Ref391839032 \r \h </w:instrText>
      </w:r>
      <w:r w:rsidRPr="00DF38B2">
        <w:fldChar w:fldCharType="separate"/>
      </w:r>
      <w:r w:rsidR="00906D13">
        <w:t>1.4</w:t>
      </w:r>
      <w:r w:rsidRPr="00DF38B2">
        <w:fldChar w:fldCharType="end"/>
      </w:r>
      <w:r>
        <w:t xml:space="preserve">. </w:t>
      </w:r>
    </w:p>
    <w:p w:rsidR="003908FC" w:rsidRPr="009655C3" w:rsidRDefault="003908FC" w:rsidP="008525AF">
      <w:pPr>
        <w:pStyle w:val="h4l2"/>
      </w:pPr>
      <w:r w:rsidRPr="009655C3">
        <w:t>Background to the introduction of income management in the Northern Territory</w:t>
      </w:r>
    </w:p>
    <w:p w:rsidR="003908FC" w:rsidRPr="00DF38B2" w:rsidRDefault="003908FC" w:rsidP="006654AE">
      <w:r w:rsidRPr="00DF38B2">
        <w:t xml:space="preserve">Income management was introduced in the Northern Territory as one of the components of the NTER in 2007. This initiative, referred </w:t>
      </w:r>
      <w:r w:rsidR="008D1E37">
        <w:t xml:space="preserve">to </w:t>
      </w:r>
      <w:r w:rsidRPr="00DF38B2">
        <w:t>here as ‘NTER Income Management’</w:t>
      </w:r>
      <w:r w:rsidR="00333CEA">
        <w:t>,</w:t>
      </w:r>
      <w:r w:rsidRPr="00DF38B2">
        <w:t xml:space="preserve"> was a blanket policy which was applied to people who received income support payments and who lived in one of 73 prescribed Indigenous communities, their associated outstations</w:t>
      </w:r>
      <w:r>
        <w:t>,</w:t>
      </w:r>
      <w:r w:rsidRPr="00DF38B2">
        <w:t xml:space="preserve"> or the 10 town camp regions of the Northern Territory (NT). The majority of these people were living in remote or very remote communities. </w:t>
      </w:r>
    </w:p>
    <w:p w:rsidR="003908FC" w:rsidRPr="00DF38B2" w:rsidRDefault="003908FC" w:rsidP="006654AE">
      <w:r w:rsidRPr="00DF38B2">
        <w:t xml:space="preserve">While NTER Income Management notionally applied to both Indigenous and non-Indigenous people who lived in these geographic areas </w:t>
      </w:r>
      <w:r>
        <w:t xml:space="preserve">and were </w:t>
      </w:r>
      <w:r w:rsidRPr="00DF38B2">
        <w:t>in receipt of income support payments, there were exclusions for those who could demonstrate that they were not members of the community or had little connection with the community. A consequence of this was that the vast majority</w:t>
      </w:r>
      <w:r w:rsidR="00343CFB">
        <w:t xml:space="preserve"> of people</w:t>
      </w:r>
      <w:r w:rsidRPr="00DF38B2">
        <w:t xml:space="preserve"> subject to NTER Income Management were Indigenous</w:t>
      </w:r>
      <w:r w:rsidR="00343CFB">
        <w:t xml:space="preserve"> Australians</w:t>
      </w:r>
      <w:r w:rsidRPr="00DF38B2">
        <w:t xml:space="preserve">. The NTER income management </w:t>
      </w:r>
      <w:r>
        <w:t xml:space="preserve">initiative </w:t>
      </w:r>
      <w:r w:rsidRPr="00DF38B2">
        <w:t>operated until August 2010 when it was replaced with New Income Management.</w:t>
      </w:r>
    </w:p>
    <w:p w:rsidR="003908FC" w:rsidRPr="00DF38B2" w:rsidRDefault="003908FC" w:rsidP="006654AE">
      <w:r w:rsidRPr="00DF38B2">
        <w:lastRenderedPageBreak/>
        <w:t>New Income Management differs from the income management measure introduced under the NTER in several respects:</w:t>
      </w:r>
    </w:p>
    <w:p w:rsidR="003908FC" w:rsidRPr="00DF38B2" w:rsidRDefault="008D1E37" w:rsidP="006654AE">
      <w:pPr>
        <w:pStyle w:val="dot"/>
      </w:pPr>
      <w:r>
        <w:t>Firstly i</w:t>
      </w:r>
      <w:r w:rsidR="003908FC" w:rsidRPr="00DF38B2">
        <w:t>t covers all areas of the Northern Territory</w:t>
      </w:r>
      <w:r w:rsidR="003908FC">
        <w:t>,</w:t>
      </w:r>
      <w:r w:rsidR="003908FC" w:rsidRPr="00DF38B2">
        <w:t xml:space="preserve"> not only prescribed Indigenous communities. This reflected a key priority of the then government that the program would be implemented in a way that allowed for the restoration of the </w:t>
      </w:r>
      <w:r w:rsidR="003908FC" w:rsidRPr="00C72B91">
        <w:rPr>
          <w:i/>
        </w:rPr>
        <w:t>R</w:t>
      </w:r>
      <w:r w:rsidR="003908FC" w:rsidRPr="00DF38B2">
        <w:rPr>
          <w:i/>
        </w:rPr>
        <w:t>acial Discrimination Act 1975</w:t>
      </w:r>
      <w:r w:rsidR="003908FC" w:rsidRPr="00DF38B2">
        <w:t xml:space="preserve"> </w:t>
      </w:r>
      <w:r w:rsidR="003908FC" w:rsidRPr="00913C91">
        <w:rPr>
          <w:i/>
        </w:rPr>
        <w:t>(</w:t>
      </w:r>
      <w:proofErr w:type="spellStart"/>
      <w:r w:rsidR="003908FC" w:rsidRPr="00913C91">
        <w:rPr>
          <w:i/>
        </w:rPr>
        <w:t>C</w:t>
      </w:r>
      <w:r w:rsidR="00EF4F91" w:rsidRPr="00913C91">
        <w:rPr>
          <w:i/>
        </w:rPr>
        <w:t>w</w:t>
      </w:r>
      <w:r w:rsidR="003908FC" w:rsidRPr="00913C91">
        <w:rPr>
          <w:i/>
        </w:rPr>
        <w:t>th</w:t>
      </w:r>
      <w:proofErr w:type="spellEnd"/>
      <w:r w:rsidR="003908FC" w:rsidRPr="00913C91">
        <w:rPr>
          <w:i/>
        </w:rPr>
        <w:t>)</w:t>
      </w:r>
      <w:r w:rsidR="003908FC">
        <w:t>,</w:t>
      </w:r>
      <w:r w:rsidR="003908FC" w:rsidRPr="00DF38B2">
        <w:rPr>
          <w:vertAlign w:val="superscript"/>
        </w:rPr>
        <w:footnoteReference w:id="4"/>
      </w:r>
      <w:r w:rsidR="003908FC" w:rsidRPr="00DF38B2">
        <w:t xml:space="preserve"> which had been suspended as part of the NTER. A full description of the policy and its context is provided in Chapter 2.</w:t>
      </w:r>
    </w:p>
    <w:p w:rsidR="003908FC" w:rsidRPr="00DF38B2" w:rsidRDefault="003908FC" w:rsidP="006654AE">
      <w:pPr>
        <w:pStyle w:val="dot"/>
      </w:pPr>
      <w:r w:rsidRPr="00DF38B2">
        <w:t>Secondly</w:t>
      </w:r>
      <w:r>
        <w:t>,</w:t>
      </w:r>
      <w:r w:rsidRPr="00DF38B2">
        <w:t xml:space="preserve"> it only applied on a mandatory basis to the recipients of a selected range of income support payments, in particular excluding those on Age Pensions and the Disability Support Pension</w:t>
      </w:r>
      <w:r w:rsidR="00333CEA">
        <w:t>.</w:t>
      </w:r>
    </w:p>
    <w:p w:rsidR="003908FC" w:rsidRPr="00DF38B2" w:rsidRDefault="003908FC" w:rsidP="006654AE">
      <w:pPr>
        <w:pStyle w:val="dot"/>
      </w:pPr>
      <w:r w:rsidRPr="00DF38B2">
        <w:t>Thirdly, it introduced the capacity for individuals to obtain an exemption if they could meet a set of criteria designed around demonstrating a set of appropriate behaviours</w:t>
      </w:r>
      <w:proofErr w:type="gramStart"/>
      <w:r>
        <w:t>;</w:t>
      </w:r>
      <w:r w:rsidR="00333CEA">
        <w:t>.</w:t>
      </w:r>
      <w:proofErr w:type="gramEnd"/>
    </w:p>
    <w:p w:rsidR="003908FC" w:rsidRPr="00DF38B2" w:rsidRDefault="003908FC" w:rsidP="006654AE">
      <w:pPr>
        <w:pStyle w:val="dot"/>
      </w:pPr>
      <w:r w:rsidRPr="00DF38B2">
        <w:t>Fourthly</w:t>
      </w:r>
      <w:r>
        <w:t>,</w:t>
      </w:r>
      <w:r w:rsidRPr="00DF38B2">
        <w:t xml:space="preserve"> it provided an option to participate voluntarily (Voluntary Income Management).</w:t>
      </w:r>
    </w:p>
    <w:p w:rsidR="003908FC" w:rsidRPr="00DF38B2" w:rsidRDefault="003908FC" w:rsidP="006654AE">
      <w:r w:rsidRPr="00DF38B2">
        <w:t>The current prog</w:t>
      </w:r>
      <w:r w:rsidR="00735436">
        <w:t>ram consists of a number of sub</w:t>
      </w:r>
      <w:r w:rsidRPr="00DF38B2">
        <w:t xml:space="preserve">programs or streams. These are differentiated </w:t>
      </w:r>
      <w:r>
        <w:t>according to</w:t>
      </w:r>
      <w:r w:rsidRPr="00DF38B2">
        <w:t>: the specific criteria for determining who will be subject to the policy; the proportion of income which is subject to income management; whether the person has access to exemptions; and whether they receive any additional payment for participating in the program.</w:t>
      </w:r>
    </w:p>
    <w:p w:rsidR="003908FC" w:rsidRPr="00DF38B2" w:rsidRDefault="003908FC" w:rsidP="006654AE">
      <w:r w:rsidRPr="00DF38B2">
        <w:t xml:space="preserve">The major stream comprises the Long Term Welfare Payment Recipient and Disengaged Youth measures </w:t>
      </w:r>
      <w:r>
        <w:t xml:space="preserve">– </w:t>
      </w:r>
      <w:r w:rsidRPr="00DF38B2">
        <w:t>co</w:t>
      </w:r>
      <w:r>
        <w:t>llectively</w:t>
      </w:r>
      <w:r w:rsidRPr="00DF38B2">
        <w:t xml:space="preserve"> known as Compulsory Income Management</w:t>
      </w:r>
      <w:r>
        <w:t xml:space="preserve"> –</w:t>
      </w:r>
      <w:r w:rsidRPr="00DF38B2">
        <w:t xml:space="preserve"> which applies compulsorily to people who have been in receipt of certain income support payments for more than a specified period. People placed on this form of Compulsory Income Management are able to apply for an exemption</w:t>
      </w:r>
      <w:r>
        <w:t>,</w:t>
      </w:r>
      <w:r w:rsidRPr="00DF38B2">
        <w:t xml:space="preserve"> and if successful they are not subject to Compulsory Income Management. Exemptions cannot be gained from the other forms of New Income Management</w:t>
      </w:r>
      <w:r w:rsidR="00343CFB">
        <w:t>.</w:t>
      </w:r>
    </w:p>
    <w:p w:rsidR="003908FC" w:rsidRDefault="00343CFB" w:rsidP="006654AE">
      <w:r>
        <w:t xml:space="preserve">The second </w:t>
      </w:r>
      <w:r w:rsidR="003908FC" w:rsidRPr="00DF38B2">
        <w:t xml:space="preserve">major component is Voluntary Income Management which allows people who want to be on income management and are not on any of the </w:t>
      </w:r>
      <w:r w:rsidR="003908FC">
        <w:t xml:space="preserve">pre-existing </w:t>
      </w:r>
      <w:r w:rsidR="003908FC" w:rsidRPr="00DF38B2">
        <w:t xml:space="preserve">forms of compulsory income management </w:t>
      </w:r>
      <w:r w:rsidR="003908FC">
        <w:t xml:space="preserve">that require </w:t>
      </w:r>
      <w:r w:rsidR="003908FC" w:rsidRPr="00DF38B2">
        <w:t>participat</w:t>
      </w:r>
      <w:r w:rsidR="003908FC">
        <w:t xml:space="preserve">ion </w:t>
      </w:r>
      <w:r w:rsidR="003908FC" w:rsidRPr="00DF38B2">
        <w:t>in the program</w:t>
      </w:r>
      <w:r w:rsidR="008D1E37">
        <w:t xml:space="preserve"> to choose to be income managed</w:t>
      </w:r>
      <w:r w:rsidR="003908FC" w:rsidRPr="00DF38B2">
        <w:t>. This group is eligible for an additional incentive payment for every six months they remain in the program.</w:t>
      </w:r>
    </w:p>
    <w:p w:rsidR="00343CFB" w:rsidRPr="00DF38B2" w:rsidRDefault="00871D1D" w:rsidP="006654AE">
      <w:r>
        <w:t>O</w:t>
      </w:r>
      <w:r w:rsidR="00343CFB" w:rsidRPr="00DF38B2">
        <w:t>ther income management measures operating in the Northern Territory include various forms of Vulnerable Income Management (some forms involve people being assessed by Centrelink</w:t>
      </w:r>
      <w:r w:rsidR="00F3485B">
        <w:rPr>
          <w:rStyle w:val="FootnoteReference"/>
        </w:rPr>
        <w:footnoteReference w:id="5"/>
      </w:r>
      <w:r w:rsidR="00343CFB" w:rsidRPr="00DF38B2">
        <w:t xml:space="preserve"> as being vulnerable and others automatically being assessed as being vulnerable because of the types of income support payments they receive) and Child Protection Income Management.</w:t>
      </w:r>
    </w:p>
    <w:p w:rsidR="003908FC" w:rsidRPr="00DF38B2" w:rsidRDefault="003908FC" w:rsidP="006654AE">
      <w:r w:rsidRPr="00DF38B2">
        <w:t>Income management is operationalised largely through the use of the BasicsCard</w:t>
      </w:r>
      <w:r>
        <w:t>,</w:t>
      </w:r>
      <w:r w:rsidRPr="00DF38B2">
        <w:t xml:space="preserve"> which is an EFTPOS card that can be used in approved merchant</w:t>
      </w:r>
      <w:r>
        <w:t xml:space="preserve"> outlet</w:t>
      </w:r>
      <w:r w:rsidRPr="00DF38B2">
        <w:t xml:space="preserve">s to buy non-prohibited goods and cannot be used to withdraw cash. People can also pay for goods and services using their </w:t>
      </w:r>
      <w:r w:rsidR="00A04470">
        <w:t>income managed</w:t>
      </w:r>
      <w:r w:rsidRPr="00DF38B2">
        <w:t xml:space="preserve"> funds via several other payment mechanisms</w:t>
      </w:r>
      <w:r>
        <w:t>,</w:t>
      </w:r>
      <w:r w:rsidRPr="00DF38B2">
        <w:t xml:space="preserve"> including direct payment by Centrelink.</w:t>
      </w:r>
    </w:p>
    <w:p w:rsidR="003908FC" w:rsidRPr="00DF38B2" w:rsidRDefault="003908FC" w:rsidP="006654AE">
      <w:r w:rsidRPr="00DF38B2">
        <w:t>The introduction of N</w:t>
      </w:r>
      <w:r w:rsidR="00C32D5A">
        <w:t>ew Income Management</w:t>
      </w:r>
      <w:r w:rsidRPr="00DF38B2">
        <w:t xml:space="preserve"> has been accompanied by a boost in funding for financial counselling</w:t>
      </w:r>
      <w:r>
        <w:t>,</w:t>
      </w:r>
      <w:r w:rsidRPr="00DF38B2">
        <w:t xml:space="preserve"> the provision of money management services to improve financial literacy</w:t>
      </w:r>
      <w:r w:rsidR="00333CEA">
        <w:t xml:space="preserve"> and</w:t>
      </w:r>
      <w:r w:rsidRPr="00DF38B2">
        <w:t xml:space="preserve"> people’s ability to manage money, and a Matched Savings Payment.</w:t>
      </w:r>
      <w:r w:rsidRPr="00DF38B2">
        <w:rPr>
          <w:rStyle w:val="FootnoteReference"/>
        </w:rPr>
        <w:footnoteReference w:id="6"/>
      </w:r>
    </w:p>
    <w:p w:rsidR="003908FC" w:rsidRPr="009655C3" w:rsidRDefault="003908FC" w:rsidP="006654AE">
      <w:pPr>
        <w:pStyle w:val="Heading2"/>
        <w:rPr>
          <w:rFonts w:eastAsiaTheme="minorEastAsia"/>
        </w:rPr>
      </w:pPr>
      <w:bookmarkStart w:id="9" w:name="_Toc395100486"/>
      <w:bookmarkStart w:id="10" w:name="_Toc403738952"/>
      <w:r w:rsidRPr="00FE502F">
        <w:rPr>
          <w:rFonts w:eastAsiaTheme="minorEastAsia"/>
        </w:rPr>
        <w:t>Background to the evalu</w:t>
      </w:r>
      <w:r w:rsidRPr="009655C3">
        <w:rPr>
          <w:rFonts w:eastAsiaTheme="minorEastAsia"/>
        </w:rPr>
        <w:t>ation</w:t>
      </w:r>
      <w:bookmarkEnd w:id="9"/>
      <w:bookmarkEnd w:id="10"/>
    </w:p>
    <w:p w:rsidR="003908FC" w:rsidRPr="00DF38B2" w:rsidRDefault="003908FC" w:rsidP="006654AE">
      <w:r w:rsidRPr="00DF38B2">
        <w:t xml:space="preserve">In May 2010 the </w:t>
      </w:r>
      <w:r w:rsidR="00343CFB">
        <w:t xml:space="preserve">then </w:t>
      </w:r>
      <w:r w:rsidRPr="00DF38B2">
        <w:t xml:space="preserve">FaHCSIA </w:t>
      </w:r>
      <w:r w:rsidR="00804838">
        <w:t xml:space="preserve">(now </w:t>
      </w:r>
      <w:r w:rsidR="00ED73EB">
        <w:t>DSS</w:t>
      </w:r>
      <w:r w:rsidR="00804838">
        <w:t xml:space="preserve">) </w:t>
      </w:r>
      <w:r w:rsidRPr="00DF38B2">
        <w:t xml:space="preserve">commissioned a consortium consisting of the Social Policy Research Centre </w:t>
      </w:r>
      <w:r w:rsidR="00ED73EB">
        <w:t xml:space="preserve">(SPRC) at </w:t>
      </w:r>
      <w:r w:rsidR="000853F3">
        <w:t>UNSW Australia</w:t>
      </w:r>
      <w:r w:rsidRPr="00DF38B2">
        <w:t xml:space="preserve">, the Australian National University </w:t>
      </w:r>
      <w:r w:rsidR="00ED73EB">
        <w:t xml:space="preserve">(ANU) </w:t>
      </w:r>
      <w:r w:rsidRPr="00DF38B2">
        <w:t xml:space="preserve">and the Australian Institute of Family Studies </w:t>
      </w:r>
      <w:r w:rsidR="00ED73EB">
        <w:t xml:space="preserve">(AIFS) </w:t>
      </w:r>
      <w:r w:rsidRPr="00DF38B2">
        <w:t>to develop an overarching framework for the evaluation of New Income Management to guide evaluation activities over the period 2010</w:t>
      </w:r>
      <w:r>
        <w:t>–</w:t>
      </w:r>
      <w:r w:rsidRPr="00DF38B2">
        <w:t xml:space="preserve">14. Following a competitive tendering process, this consortium was then commissioned by </w:t>
      </w:r>
      <w:r w:rsidR="00343CFB">
        <w:t>DSS</w:t>
      </w:r>
      <w:r w:rsidR="00343CFB" w:rsidRPr="00DF38B2">
        <w:t xml:space="preserve"> </w:t>
      </w:r>
      <w:r w:rsidRPr="00DF38B2">
        <w:t>to undertake the evaluation of New Income Management.</w:t>
      </w:r>
    </w:p>
    <w:p w:rsidR="003908FC" w:rsidRPr="00DF38B2" w:rsidRDefault="003908FC" w:rsidP="006654AE">
      <w:r w:rsidRPr="00DF38B2">
        <w:lastRenderedPageBreak/>
        <w:t xml:space="preserve">The evaluation has been guided by the Evaluation Framework for New Income Management (SPRC &amp; AIFS, 2010) as agreed with </w:t>
      </w:r>
      <w:r w:rsidR="00CC649C">
        <w:t>DSS</w:t>
      </w:r>
      <w:r w:rsidRPr="00DF38B2">
        <w:t>; the evaluation has generally been undertaken as envisaged in the framework.</w:t>
      </w:r>
      <w:r w:rsidRPr="00DF38B2">
        <w:rPr>
          <w:vertAlign w:val="superscript"/>
        </w:rPr>
        <w:footnoteReference w:id="7"/>
      </w:r>
    </w:p>
    <w:p w:rsidR="003908FC" w:rsidRPr="00DF38B2" w:rsidRDefault="003908FC" w:rsidP="006654AE">
      <w:r w:rsidRPr="00FE502F">
        <w:t xml:space="preserve">The </w:t>
      </w:r>
      <w:r w:rsidR="002B3CEA">
        <w:t>F</w:t>
      </w:r>
      <w:r w:rsidRPr="00FE502F">
        <w:t xml:space="preserve">irst </w:t>
      </w:r>
      <w:r w:rsidR="00ED73EB">
        <w:t>E</w:t>
      </w:r>
      <w:r w:rsidRPr="00FE502F">
        <w:t xml:space="preserve">valuation </w:t>
      </w:r>
      <w:r w:rsidR="004F2FEC">
        <w:t>R</w:t>
      </w:r>
      <w:r w:rsidRPr="00FE502F">
        <w:t xml:space="preserve">eport </w:t>
      </w:r>
      <w:r w:rsidRPr="009655C3">
        <w:t>(Bray et al., 2012) covered the initial implementation period of New Income Management and considered how effectively the measure was rolled out, how the transition from the NTER Inco</w:t>
      </w:r>
      <w:r w:rsidRPr="00DF38B2">
        <w:t xml:space="preserve">me Management to New Income Management was </w:t>
      </w:r>
      <w:r>
        <w:t>coordinated,</w:t>
      </w:r>
      <w:r w:rsidRPr="00DF38B2">
        <w:t xml:space="preserve"> and the early impacts of New Income Management on individuals, families and communities. </w:t>
      </w:r>
    </w:p>
    <w:p w:rsidR="003908FC" w:rsidRPr="00DF38B2" w:rsidRDefault="003908FC" w:rsidP="006654AE">
      <w:r w:rsidRPr="00DF38B2">
        <w:t xml:space="preserve">The evaluation consists of a number of components, described in Chapter 3. Our overall approach to analysis is to use the various methods of enquiry to triangulate </w:t>
      </w:r>
      <w:r>
        <w:t xml:space="preserve">with </w:t>
      </w:r>
      <w:r w:rsidRPr="00DF38B2">
        <w:t>each other</w:t>
      </w:r>
      <w:r>
        <w:t xml:space="preserve">, thereby enabling </w:t>
      </w:r>
      <w:r w:rsidRPr="00DF38B2">
        <w:t xml:space="preserve">findings </w:t>
      </w:r>
      <w:r>
        <w:t>to</w:t>
      </w:r>
      <w:r w:rsidRPr="00DF38B2">
        <w:t xml:space="preserve"> be cross</w:t>
      </w:r>
      <w:r>
        <w:t>-</w:t>
      </w:r>
      <w:r w:rsidRPr="00DF38B2">
        <w:t xml:space="preserve">validated </w:t>
      </w:r>
      <w:r>
        <w:t>against</w:t>
      </w:r>
      <w:r w:rsidRPr="00DF38B2">
        <w:t xml:space="preserve"> different methodologies and different participant groups. </w:t>
      </w:r>
    </w:p>
    <w:p w:rsidR="00D31F1D" w:rsidRPr="00DF38B2" w:rsidRDefault="00D31F1D" w:rsidP="006654AE">
      <w:pPr>
        <w:pStyle w:val="Heading2"/>
        <w:rPr>
          <w:rFonts w:eastAsiaTheme="minorEastAsia"/>
        </w:rPr>
      </w:pPr>
      <w:bookmarkStart w:id="11" w:name="_Toc321225089"/>
      <w:bookmarkStart w:id="12" w:name="_Toc321254433"/>
      <w:bookmarkStart w:id="13" w:name="_Toc321761575"/>
      <w:bookmarkStart w:id="14" w:name="_Toc328601456"/>
      <w:bookmarkStart w:id="15" w:name="_Toc329927902"/>
      <w:bookmarkStart w:id="16" w:name="_Toc403738953"/>
      <w:r w:rsidRPr="00DF38B2">
        <w:rPr>
          <w:rFonts w:eastAsiaTheme="minorEastAsia"/>
        </w:rPr>
        <w:t>Evaluation: aims and questions</w:t>
      </w:r>
      <w:bookmarkEnd w:id="11"/>
      <w:bookmarkEnd w:id="12"/>
      <w:bookmarkEnd w:id="13"/>
      <w:bookmarkEnd w:id="14"/>
      <w:bookmarkEnd w:id="15"/>
      <w:bookmarkEnd w:id="16"/>
    </w:p>
    <w:p w:rsidR="00D31F1D" w:rsidRPr="00DF38B2" w:rsidRDefault="00D31F1D" w:rsidP="006654AE">
      <w:r w:rsidRPr="00DF38B2">
        <w:t xml:space="preserve">The Terms of Reference for the </w:t>
      </w:r>
      <w:r w:rsidR="004F2FEC">
        <w:t>e</w:t>
      </w:r>
      <w:r w:rsidR="004F2FEC" w:rsidRPr="00DF38B2">
        <w:t>valuation</w:t>
      </w:r>
      <w:r w:rsidR="004F2FEC">
        <w:t>, as specified in the Evaluation Framework,</w:t>
      </w:r>
      <w:r w:rsidRPr="00DF38B2">
        <w:t xml:space="preserve"> are to:</w:t>
      </w:r>
    </w:p>
    <w:p w:rsidR="00D31F1D" w:rsidRPr="00DF38B2" w:rsidRDefault="00A630D4" w:rsidP="006654AE">
      <w:pPr>
        <w:pStyle w:val="indent"/>
        <w:ind w:left="283" w:hanging="283"/>
      </w:pPr>
      <w:r w:rsidRPr="00DF38B2">
        <w:t>1.</w:t>
      </w:r>
      <w:r w:rsidRPr="00DF38B2">
        <w:tab/>
      </w:r>
      <w:r w:rsidR="00040708" w:rsidRPr="00DF38B2">
        <w:t>“</w:t>
      </w:r>
      <w:proofErr w:type="gramStart"/>
      <w:r w:rsidR="00D31F1D" w:rsidRPr="00DF38B2">
        <w:t>provide</w:t>
      </w:r>
      <w:proofErr w:type="gramEnd"/>
      <w:r w:rsidR="00D31F1D" w:rsidRPr="00DF38B2">
        <w:t xml:space="preserve"> evidence on the impact on New Income Management on those who are affected</w:t>
      </w:r>
    </w:p>
    <w:p w:rsidR="00D31F1D" w:rsidRPr="00DF38B2" w:rsidRDefault="00A630D4" w:rsidP="006654AE">
      <w:pPr>
        <w:pStyle w:val="indent"/>
        <w:ind w:left="283" w:hanging="283"/>
      </w:pPr>
      <w:r w:rsidRPr="00DF38B2">
        <w:t>2.</w:t>
      </w:r>
      <w:r w:rsidRPr="00DF38B2">
        <w:tab/>
      </w:r>
      <w:proofErr w:type="gramStart"/>
      <w:r w:rsidR="00D31F1D" w:rsidRPr="00DF38B2">
        <w:t>assess</w:t>
      </w:r>
      <w:proofErr w:type="gramEnd"/>
      <w:r w:rsidR="00D31F1D" w:rsidRPr="00DF38B2">
        <w:t xml:space="preserve"> whether the reforms were implemented effectively</w:t>
      </w:r>
    </w:p>
    <w:p w:rsidR="00D31F1D" w:rsidRPr="00DF38B2" w:rsidRDefault="00A630D4" w:rsidP="006654AE">
      <w:pPr>
        <w:pStyle w:val="indent"/>
        <w:ind w:left="283" w:hanging="283"/>
      </w:pPr>
      <w:r w:rsidRPr="00DF38B2">
        <w:t>3.</w:t>
      </w:r>
      <w:r w:rsidRPr="00DF38B2">
        <w:tab/>
      </w:r>
      <w:proofErr w:type="gramStart"/>
      <w:r w:rsidR="00D31F1D" w:rsidRPr="00DF38B2">
        <w:t>understand</w:t>
      </w:r>
      <w:proofErr w:type="gramEnd"/>
      <w:r w:rsidR="00D31F1D" w:rsidRPr="00DF38B2">
        <w:t xml:space="preserve"> whether New Income Management is a cost-effective model so as to</w:t>
      </w:r>
    </w:p>
    <w:p w:rsidR="00D31F1D" w:rsidRPr="00DF38B2" w:rsidRDefault="00A630D4" w:rsidP="006654AE">
      <w:pPr>
        <w:pStyle w:val="indent"/>
        <w:ind w:left="283" w:hanging="283"/>
      </w:pPr>
      <w:r w:rsidRPr="00DF38B2">
        <w:t>4.</w:t>
      </w:r>
      <w:r w:rsidRPr="00DF38B2">
        <w:tab/>
      </w:r>
      <w:proofErr w:type="gramStart"/>
      <w:r w:rsidR="00D31F1D" w:rsidRPr="00DF38B2">
        <w:t>inform</w:t>
      </w:r>
      <w:proofErr w:type="gramEnd"/>
      <w:r w:rsidR="00D31F1D" w:rsidRPr="00DF38B2">
        <w:t xml:space="preserve"> future government decision</w:t>
      </w:r>
      <w:r w:rsidR="00D0429A">
        <w:t>-</w:t>
      </w:r>
      <w:r w:rsidR="00D31F1D" w:rsidRPr="00DF38B2">
        <w:t>making and social policy formulation for both the wider and the Indigenous communities.</w:t>
      </w:r>
      <w:r w:rsidR="00040708" w:rsidRPr="00DF38B2">
        <w:t>”</w:t>
      </w:r>
      <w:r w:rsidR="00D31F1D" w:rsidRPr="00DF38B2">
        <w:rPr>
          <w:vertAlign w:val="superscript"/>
        </w:rPr>
        <w:t xml:space="preserve"> </w:t>
      </w:r>
      <w:r w:rsidR="00D31F1D" w:rsidRPr="00DF38B2">
        <w:rPr>
          <w:vertAlign w:val="superscript"/>
        </w:rPr>
        <w:footnoteReference w:id="8"/>
      </w:r>
      <w:r w:rsidR="00D31F1D" w:rsidRPr="00DF38B2">
        <w:t xml:space="preserve"> </w:t>
      </w:r>
    </w:p>
    <w:p w:rsidR="00610D2A" w:rsidRPr="00DF38B2" w:rsidRDefault="00610D2A" w:rsidP="006654AE">
      <w:r w:rsidRPr="00DF38B2">
        <w:t xml:space="preserve">The objectives of New Income Management and the associated program logic have been used to develop specific evaluation questions against which New Income Management is to be evaluated. There are a series of broad overarching research questions across </w:t>
      </w:r>
      <w:r w:rsidR="00A630D4" w:rsidRPr="00DF38B2">
        <w:t>the program as a whole</w:t>
      </w:r>
      <w:r w:rsidR="00736978">
        <w:t>,</w:t>
      </w:r>
      <w:r w:rsidR="00A630D4" w:rsidRPr="00DF38B2">
        <w:t xml:space="preserve"> and individual </w:t>
      </w:r>
      <w:r w:rsidRPr="00DF38B2">
        <w:t xml:space="preserve">research questions for </w:t>
      </w:r>
      <w:r w:rsidR="00A630D4" w:rsidRPr="00DF38B2">
        <w:t xml:space="preserve">each of the original four </w:t>
      </w:r>
      <w:r w:rsidRPr="00DF38B2">
        <w:t>specific streams of the New Income Management model. The program logic for New Income Management is set out in detail in the Evaluation Framework (SPRC &amp; AIFS, 2010).</w:t>
      </w:r>
    </w:p>
    <w:p w:rsidR="00610D2A" w:rsidRPr="00DF38B2" w:rsidRDefault="00610D2A" w:rsidP="006654AE">
      <w:r w:rsidRPr="00DF38B2">
        <w:t xml:space="preserve">The second </w:t>
      </w:r>
      <w:proofErr w:type="gramStart"/>
      <w:r w:rsidRPr="00DF38B2">
        <w:t xml:space="preserve">term of reference </w:t>
      </w:r>
      <w:r w:rsidR="008D1E37" w:rsidRPr="00DF38B2">
        <w:t>w</w:t>
      </w:r>
      <w:r w:rsidR="008D1E37">
        <w:t>as</w:t>
      </w:r>
      <w:r w:rsidR="008D1E37" w:rsidRPr="00DF38B2">
        <w:t xml:space="preserve"> </w:t>
      </w:r>
      <w:r w:rsidRPr="00DF38B2">
        <w:t xml:space="preserve">largely addressed in the </w:t>
      </w:r>
      <w:r w:rsidR="004F2FEC">
        <w:t>First</w:t>
      </w:r>
      <w:r w:rsidR="004F2FEC" w:rsidRPr="00DF38B2">
        <w:t xml:space="preserve"> </w:t>
      </w:r>
      <w:r w:rsidRPr="00DF38B2">
        <w:t xml:space="preserve">Evaluation Report and </w:t>
      </w:r>
      <w:r w:rsidR="008D1E37">
        <w:t>is</w:t>
      </w:r>
      <w:r w:rsidR="00A630D4" w:rsidRPr="00DF38B2">
        <w:t xml:space="preserve"> </w:t>
      </w:r>
      <w:r w:rsidRPr="00DF38B2">
        <w:t xml:space="preserve">only touched on briefly in this report, although issues with the operation of income management that have been identified from the data collected after the writing of the </w:t>
      </w:r>
      <w:r w:rsidR="004F2FEC">
        <w:t>first</w:t>
      </w:r>
      <w:r w:rsidR="004F2FEC" w:rsidRPr="00DF38B2">
        <w:t xml:space="preserve"> </w:t>
      </w:r>
      <w:r w:rsidRPr="00DF38B2">
        <w:t>report are</w:t>
      </w:r>
      <w:proofErr w:type="gramEnd"/>
      <w:r w:rsidRPr="00DF38B2">
        <w:t xml:space="preserve"> discussed. This report is largely focused on the terms of reference</w:t>
      </w:r>
      <w:r w:rsidR="00736978">
        <w:t xml:space="preserve"> concerning</w:t>
      </w:r>
      <w:r w:rsidRPr="00DF38B2">
        <w:t xml:space="preserve"> evidence on the impact of income management on those who are affected</w:t>
      </w:r>
      <w:r w:rsidR="00736978">
        <w:t xml:space="preserve">, </w:t>
      </w:r>
      <w:r w:rsidRPr="00DF38B2">
        <w:t xml:space="preserve">and analysis of the evaluation data to inform government </w:t>
      </w:r>
      <w:r w:rsidR="00D0429A">
        <w:t>decision-mak</w:t>
      </w:r>
      <w:r w:rsidRPr="00DF38B2">
        <w:t>ing and social policy formulation.</w:t>
      </w:r>
    </w:p>
    <w:p w:rsidR="007F2223" w:rsidRPr="00DF38B2" w:rsidRDefault="007F2223" w:rsidP="006654AE">
      <w:r w:rsidRPr="00DF38B2">
        <w:t>One aspect of the original evaluation plan which has not been undertaken is the third of the terms of reference</w:t>
      </w:r>
      <w:r w:rsidR="00D83A62" w:rsidRPr="00DF38B2">
        <w:t>,</w:t>
      </w:r>
      <w:r w:rsidRPr="00DF38B2">
        <w:t xml:space="preserve"> that of understanding whether New Income Management is a cost-effective model. DSS has requested, because of problems of trying to disentangle the specific expenditures on income management from other Departmental and DHS expenditures, and problem of identifying quantifiable outcomes to which a value can be attached, that this component not be undertaken. </w:t>
      </w:r>
    </w:p>
    <w:p w:rsidR="00D31F1D" w:rsidRPr="00DF38B2" w:rsidRDefault="00D31F1D" w:rsidP="006654AE">
      <w:r w:rsidRPr="00DF38B2">
        <w:t xml:space="preserve">The evaluation addresses both the effectiveness of implementation and administration of New Income Management and the impact of </w:t>
      </w:r>
      <w:r w:rsidR="00610D2A" w:rsidRPr="00DF38B2">
        <w:t>i</w:t>
      </w:r>
      <w:r w:rsidRPr="00DF38B2">
        <w:t xml:space="preserve">ncome </w:t>
      </w:r>
      <w:r w:rsidR="00610D2A" w:rsidRPr="00DF38B2">
        <w:t>m</w:t>
      </w:r>
      <w:r w:rsidRPr="00DF38B2">
        <w:t>anageme</w:t>
      </w:r>
      <w:r w:rsidR="00CD74D0" w:rsidRPr="00DF38B2">
        <w:t>nt</w:t>
      </w:r>
      <w:r w:rsidRPr="00DF38B2">
        <w:t xml:space="preserve"> at the individual, family, community and </w:t>
      </w:r>
      <w:r w:rsidR="00CD74D0" w:rsidRPr="00DF38B2">
        <w:t xml:space="preserve">Northern </w:t>
      </w:r>
      <w:r w:rsidRPr="00DF38B2">
        <w:t>Territory levels. The evaluation also includes a series of more specific evaluation tasks related to individual measures.</w:t>
      </w:r>
    </w:p>
    <w:p w:rsidR="00D83A62" w:rsidRPr="00DF38B2" w:rsidRDefault="00D83A62" w:rsidP="006654AE">
      <w:pPr>
        <w:pStyle w:val="Heading3"/>
        <w:rPr>
          <w:rFonts w:eastAsiaTheme="minorEastAsia"/>
        </w:rPr>
      </w:pPr>
      <w:r w:rsidRPr="00DF38B2">
        <w:rPr>
          <w:rFonts w:eastAsiaTheme="minorEastAsia"/>
        </w:rPr>
        <w:t xml:space="preserve"> </w:t>
      </w:r>
      <w:bookmarkStart w:id="17" w:name="_Toc403738954"/>
      <w:r w:rsidRPr="00DF38B2">
        <w:rPr>
          <w:rFonts w:eastAsiaTheme="minorEastAsia"/>
        </w:rPr>
        <w:t>Evaluation framework</w:t>
      </w:r>
      <w:bookmarkEnd w:id="17"/>
    </w:p>
    <w:p w:rsidR="00D83A62" w:rsidRPr="00DF38B2" w:rsidRDefault="00D83A62" w:rsidP="006654AE">
      <w:r w:rsidRPr="00DF38B2">
        <w:t xml:space="preserve">The evaluation framework </w:t>
      </w:r>
      <w:r w:rsidR="009C13F9" w:rsidRPr="00DF38B2">
        <w:t xml:space="preserve">and the constituent questions to which we are responding </w:t>
      </w:r>
      <w:r w:rsidR="00C151B7" w:rsidRPr="00DF38B2">
        <w:t>are</w:t>
      </w:r>
      <w:r w:rsidRPr="00DF38B2">
        <w:t xml:space="preserve"> detailed in </w:t>
      </w:r>
      <w:r w:rsidR="009C13F9" w:rsidRPr="00DF38B2">
        <w:fldChar w:fldCharType="begin"/>
      </w:r>
      <w:r w:rsidR="009C13F9" w:rsidRPr="00DF38B2">
        <w:instrText xml:space="preserve"> REF _Ref392610768 \h </w:instrText>
      </w:r>
      <w:r w:rsidR="009C13F9" w:rsidRPr="00DF38B2">
        <w:fldChar w:fldCharType="separate"/>
      </w:r>
      <w:r w:rsidR="00906D13" w:rsidRPr="00DF38B2">
        <w:t xml:space="preserve">Table </w:t>
      </w:r>
      <w:r w:rsidR="00906D13">
        <w:rPr>
          <w:noProof/>
        </w:rPr>
        <w:t>1</w:t>
      </w:r>
      <w:r w:rsidR="00906D13">
        <w:noBreakHyphen/>
      </w:r>
      <w:r w:rsidR="00906D13">
        <w:rPr>
          <w:noProof/>
        </w:rPr>
        <w:t>1</w:t>
      </w:r>
      <w:r w:rsidR="009C13F9" w:rsidRPr="00DF38B2">
        <w:fldChar w:fldCharType="end"/>
      </w:r>
      <w:r w:rsidR="009C13F9" w:rsidRPr="00DF38B2">
        <w:t>. As indicated above</w:t>
      </w:r>
      <w:r w:rsidR="00736978">
        <w:t>,</w:t>
      </w:r>
      <w:r w:rsidR="009C13F9" w:rsidRPr="00DF38B2">
        <w:t xml:space="preserve"> the</w:t>
      </w:r>
      <w:r w:rsidR="00736978">
        <w:t xml:space="preserve"> framework </w:t>
      </w:r>
      <w:r w:rsidR="00CC649C">
        <w:t xml:space="preserve">is based </w:t>
      </w:r>
      <w:r w:rsidR="00736978">
        <w:t xml:space="preserve">on </w:t>
      </w:r>
      <w:r w:rsidR="009C13F9" w:rsidRPr="00DF38B2">
        <w:t xml:space="preserve">a hierarchy of </w:t>
      </w:r>
      <w:r w:rsidR="00736978">
        <w:t>O</w:t>
      </w:r>
      <w:r w:rsidR="00736978" w:rsidRPr="00DF38B2">
        <w:t>verarching Questions</w:t>
      </w:r>
      <w:r w:rsidR="009C13F9" w:rsidRPr="00DF38B2">
        <w:t xml:space="preserve">, and within this </w:t>
      </w:r>
      <w:r w:rsidR="00736978">
        <w:t xml:space="preserve">are </w:t>
      </w:r>
      <w:r w:rsidR="009C13F9" w:rsidRPr="00DF38B2">
        <w:t xml:space="preserve">the process and outcome </w:t>
      </w:r>
      <w:r w:rsidR="00C151B7" w:rsidRPr="00FE502F">
        <w:t>evaluations</w:t>
      </w:r>
      <w:r w:rsidR="009C13F9" w:rsidRPr="009655C3">
        <w:t>, and then the stream</w:t>
      </w:r>
      <w:r w:rsidR="00736978">
        <w:t>-</w:t>
      </w:r>
      <w:r w:rsidR="009C13F9" w:rsidRPr="009655C3">
        <w:t>specific research questions.</w:t>
      </w:r>
    </w:p>
    <w:p w:rsidR="00D83A62" w:rsidRPr="00DF38B2" w:rsidRDefault="00D83A62" w:rsidP="006654AE">
      <w:pPr>
        <w:pStyle w:val="Caption"/>
      </w:pPr>
      <w:bookmarkStart w:id="18" w:name="_Ref392610768"/>
      <w:bookmarkStart w:id="19" w:name="_Toc403739400"/>
      <w:r w:rsidRPr="00DF38B2">
        <w:lastRenderedPageBreak/>
        <w:t xml:space="preserve">Table </w:t>
      </w:r>
      <w:fldSimple w:instr=" STYLEREF 1 \s ">
        <w:r w:rsidR="00906D13">
          <w:rPr>
            <w:noProof/>
          </w:rPr>
          <w:t>1</w:t>
        </w:r>
      </w:fldSimple>
      <w:r w:rsidR="00D40B64">
        <w:noBreakHyphen/>
      </w:r>
      <w:fldSimple w:instr=" SEQ Table \* ARABIC \s 1 ">
        <w:r w:rsidR="00906D13">
          <w:rPr>
            <w:noProof/>
          </w:rPr>
          <w:t>1</w:t>
        </w:r>
      </w:fldSimple>
      <w:bookmarkEnd w:id="18"/>
      <w:r w:rsidRPr="00DF38B2">
        <w:t xml:space="preserve"> </w:t>
      </w:r>
      <w:r w:rsidR="00AF07A8">
        <w:tab/>
      </w:r>
      <w:r w:rsidRPr="00DF38B2">
        <w:t xml:space="preserve">New Income Management – </w:t>
      </w:r>
      <w:r w:rsidR="009C13F9" w:rsidRPr="00DF38B2">
        <w:t>Questions in the e</w:t>
      </w:r>
      <w:r w:rsidRPr="00DF38B2">
        <w:t xml:space="preserve">valuation </w:t>
      </w:r>
      <w:r w:rsidR="009C13F9" w:rsidRPr="00DF38B2">
        <w:t>f</w:t>
      </w:r>
      <w:r w:rsidRPr="00DF38B2">
        <w:t>ramework</w:t>
      </w:r>
      <w:bookmarkEnd w:id="19"/>
    </w:p>
    <w:tbl>
      <w:tblPr>
        <w:tblStyle w:val="TableGrid"/>
        <w:tblW w:w="0" w:type="auto"/>
        <w:tblLook w:val="04A0" w:firstRow="1" w:lastRow="0" w:firstColumn="1" w:lastColumn="0" w:noHBand="0" w:noVBand="1"/>
        <w:tblDescription w:val="This is a large text table detailing the questions contained in the evaluation framework.  These questions are repeated and the evaluation responses are detailed in chapter 14. &#10;As the table consists of a single cell there is no header row."/>
      </w:tblPr>
      <w:tblGrid>
        <w:gridCol w:w="8550"/>
      </w:tblGrid>
      <w:tr w:rsidR="00D83A62" w:rsidRPr="00DF38B2" w:rsidTr="00D83A62">
        <w:tc>
          <w:tcPr>
            <w:tcW w:w="8550" w:type="dxa"/>
          </w:tcPr>
          <w:p w:rsidR="00D83A62" w:rsidRPr="00333CEA" w:rsidRDefault="00D83A62" w:rsidP="006654AE">
            <w:pPr>
              <w:pStyle w:val="Heading4"/>
              <w:keepNext w:val="0"/>
              <w:keepLines w:val="0"/>
              <w:outlineLvl w:val="3"/>
              <w:rPr>
                <w:rFonts w:eastAsiaTheme="minorEastAsia"/>
                <w:smallCaps/>
                <w:sz w:val="28"/>
                <w:szCs w:val="28"/>
              </w:rPr>
            </w:pPr>
            <w:r w:rsidRPr="00333CEA">
              <w:rPr>
                <w:rFonts w:eastAsiaTheme="minorEastAsia"/>
                <w:smallCaps/>
                <w:sz w:val="28"/>
                <w:szCs w:val="28"/>
              </w:rPr>
              <w:t xml:space="preserve">Overarching </w:t>
            </w:r>
            <w:r w:rsidR="009C13F9" w:rsidRPr="00333CEA">
              <w:rPr>
                <w:rFonts w:eastAsiaTheme="minorEastAsia"/>
                <w:smallCaps/>
                <w:sz w:val="28"/>
                <w:szCs w:val="28"/>
              </w:rPr>
              <w:t>Q</w:t>
            </w:r>
            <w:r w:rsidRPr="00333CEA">
              <w:rPr>
                <w:rFonts w:eastAsiaTheme="minorEastAsia"/>
                <w:smallCaps/>
                <w:sz w:val="28"/>
                <w:szCs w:val="28"/>
              </w:rPr>
              <w:t>uestions</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Process evaluation </w:t>
            </w:r>
          </w:p>
          <w:p w:rsidR="00D83A62" w:rsidRPr="00DF38B2" w:rsidRDefault="00D83A62" w:rsidP="006654AE">
            <w:pPr>
              <w:rPr>
                <w:bCs/>
                <w:iCs/>
              </w:rPr>
            </w:pPr>
            <w:r w:rsidRPr="00DF38B2">
              <w:rPr>
                <w:sz w:val="19"/>
              </w:rPr>
              <w:t>1.</w:t>
            </w:r>
            <w:r w:rsidRPr="00DF38B2">
              <w:rPr>
                <w:sz w:val="19"/>
              </w:rPr>
              <w:tab/>
            </w:r>
            <w:r w:rsidRPr="00DF38B2">
              <w:t xml:space="preserve">How effectively has New Income Management been administered and implemented? </w:t>
            </w:r>
          </w:p>
          <w:p w:rsidR="00D83A62" w:rsidRPr="00DF38B2" w:rsidRDefault="00D83A62" w:rsidP="006654AE">
            <w:pPr>
              <w:ind w:left="1418" w:hanging="709"/>
              <w:rPr>
                <w:bCs/>
                <w:iCs/>
              </w:rPr>
            </w:pPr>
            <w:r w:rsidRPr="00DF38B2">
              <w:t>(a)</w:t>
            </w:r>
            <w:r w:rsidRPr="00DF38B2">
              <w:tab/>
              <w:t xml:space="preserve">What have been the resource implications of implementing the program? </w:t>
            </w:r>
          </w:p>
          <w:p w:rsidR="00D83A62" w:rsidRPr="00DF38B2" w:rsidRDefault="00D83A62" w:rsidP="006654AE">
            <w:pPr>
              <w:ind w:left="1418" w:hanging="709"/>
              <w:rPr>
                <w:bCs/>
                <w:iCs/>
              </w:rPr>
            </w:pPr>
            <w:r w:rsidRPr="00DF38B2">
              <w:t>(b)</w:t>
            </w:r>
            <w:r w:rsidRPr="00DF38B2">
              <w:tab/>
              <w:t xml:space="preserve">Have suitable individuals and groups been targeted by New Income Management? </w:t>
            </w:r>
          </w:p>
          <w:p w:rsidR="00D83A62" w:rsidRPr="00DF38B2" w:rsidRDefault="00D83A62" w:rsidP="006654AE">
            <w:pPr>
              <w:ind w:left="1418" w:hanging="709"/>
              <w:rPr>
                <w:bCs/>
                <w:iCs/>
              </w:rPr>
            </w:pPr>
            <w:r w:rsidRPr="00DF38B2">
              <w:t>(c)</w:t>
            </w:r>
            <w:r w:rsidRPr="00DF38B2">
              <w:tab/>
              <w:t>Have people been able to transfer into and out of New Income Management appropriately?</w:t>
            </w:r>
          </w:p>
          <w:p w:rsidR="00D83A62" w:rsidRPr="00DF38B2" w:rsidRDefault="00D83A62" w:rsidP="006654AE">
            <w:pPr>
              <w:ind w:left="1418" w:hanging="709"/>
              <w:rPr>
                <w:bCs/>
                <w:iCs/>
              </w:rPr>
            </w:pPr>
            <w:r w:rsidRPr="00DF38B2">
              <w:t>(d)</w:t>
            </w:r>
            <w:r w:rsidRPr="00DF38B2">
              <w:tab/>
              <w:t xml:space="preserve">What has been the effect of the introduction of New Income Management on service providers? </w:t>
            </w:r>
          </w:p>
          <w:p w:rsidR="00D83A62" w:rsidRPr="00DF38B2" w:rsidRDefault="00D83A62" w:rsidP="006654AE">
            <w:pPr>
              <w:ind w:left="709" w:hanging="709"/>
              <w:rPr>
                <w:bCs/>
                <w:iCs/>
              </w:rPr>
            </w:pPr>
            <w:r w:rsidRPr="00DF38B2">
              <w:t xml:space="preserve">2. </w:t>
            </w:r>
            <w:r w:rsidRPr="00DF38B2">
              <w:tab/>
              <w:t xml:space="preserve">What is the profile of people on the different income management streams? </w:t>
            </w:r>
          </w:p>
          <w:p w:rsidR="00D83A62" w:rsidRPr="00DF38B2" w:rsidRDefault="00D83A62" w:rsidP="006654AE">
            <w:pPr>
              <w:ind w:left="709" w:hanging="709"/>
              <w:rPr>
                <w:bCs/>
                <w:iCs/>
              </w:rPr>
            </w:pPr>
            <w:r w:rsidRPr="00DF38B2">
              <w:t xml:space="preserve">3. </w:t>
            </w:r>
            <w:r w:rsidRPr="00DF38B2">
              <w:tab/>
              <w:t xml:space="preserve">Have there been any initial process ‘teething issues’ that need to be addressed?* </w:t>
            </w:r>
          </w:p>
          <w:p w:rsidR="00D83A62" w:rsidRPr="00DF38B2" w:rsidRDefault="00D83A62" w:rsidP="006654AE">
            <w:pPr>
              <w:ind w:left="709" w:hanging="709"/>
              <w:rPr>
                <w:bCs/>
                <w:iCs/>
              </w:rPr>
            </w:pPr>
            <w:r w:rsidRPr="00DF38B2">
              <w:t xml:space="preserve">4. </w:t>
            </w:r>
            <w:r w:rsidRPr="00DF38B2">
              <w:tab/>
              <w:t xml:space="preserve">What are the views of participants in the New Income Management model and their families on the implementation of the program? </w:t>
            </w:r>
          </w:p>
          <w:p w:rsidR="00D83A62" w:rsidRPr="00DF38B2" w:rsidRDefault="00D83A62" w:rsidP="006654AE">
            <w:pPr>
              <w:ind w:left="709" w:hanging="709"/>
              <w:rPr>
                <w:bCs/>
                <w:iCs/>
              </w:rPr>
            </w:pPr>
            <w:r w:rsidRPr="00DF38B2">
              <w:t xml:space="preserve">5. </w:t>
            </w:r>
            <w:r w:rsidRPr="00DF38B2">
              <w:tab/>
              <w:t>Has the measure been implemented in a non-discriminatory manner?</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Outcome evaluation </w:t>
            </w:r>
          </w:p>
          <w:p w:rsidR="00D83A62" w:rsidRPr="00DF38B2" w:rsidRDefault="00654689" w:rsidP="006654AE">
            <w:pPr>
              <w:ind w:left="709" w:hanging="709"/>
            </w:pPr>
            <w:r w:rsidRPr="00DF38B2">
              <w:t>1.</w:t>
            </w:r>
            <w:r w:rsidRPr="00DF38B2">
              <w:tab/>
            </w:r>
            <w:r w:rsidR="00D83A62" w:rsidRPr="00DF38B2">
              <w:t xml:space="preserve">What are the short, medium and longer-term impacts of income management on individuals, their families and communities? </w:t>
            </w:r>
          </w:p>
          <w:p w:rsidR="00D83A62" w:rsidRPr="00DF38B2" w:rsidRDefault="00D83A62" w:rsidP="006654AE">
            <w:pPr>
              <w:ind w:left="1418" w:hanging="709"/>
            </w:pPr>
            <w:r w:rsidRPr="00DF38B2">
              <w:t>(a)</w:t>
            </w:r>
            <w:r w:rsidRPr="00DF38B2">
              <w:tab/>
              <w:t>How do these effects differ for the various streams of the program (mainstream, voluntary, child protection, vulnerable)?</w:t>
            </w:r>
          </w:p>
          <w:p w:rsidR="00D83A62" w:rsidRPr="00DF38B2" w:rsidRDefault="00D83A62" w:rsidP="006654AE">
            <w:pPr>
              <w:ind w:left="1418" w:hanging="709"/>
            </w:pPr>
            <w:r w:rsidRPr="00DF38B2">
              <w:t>(b)</w:t>
            </w:r>
            <w:r w:rsidRPr="00DF38B2">
              <w:tab/>
              <w:t xml:space="preserve">Have there been changes in spending patterns, food and alcohol consumption, school attendance and harassment? </w:t>
            </w:r>
          </w:p>
          <w:p w:rsidR="00D83A62" w:rsidRPr="00DF38B2" w:rsidRDefault="00D83A62" w:rsidP="006654AE">
            <w:pPr>
              <w:ind w:left="1418" w:hanging="709"/>
            </w:pPr>
            <w:r w:rsidRPr="00DF38B2">
              <w:t>(c)</w:t>
            </w:r>
            <w:r w:rsidRPr="00DF38B2">
              <w:tab/>
              <w:t>What impact does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have on movement in and out of Northern Territory among people on the measure? </w:t>
            </w:r>
          </w:p>
          <w:p w:rsidR="00D83A62" w:rsidRPr="00DF38B2" w:rsidRDefault="00D83A62" w:rsidP="006654AE">
            <w:pPr>
              <w:ind w:left="1418" w:hanging="709"/>
            </w:pPr>
            <w:r w:rsidRPr="00DF38B2">
              <w:t>(d)</w:t>
            </w:r>
            <w:r w:rsidRPr="00DF38B2">
              <w:tab/>
              <w:t>Has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contributed to changes in financial management, child health, alcohol abuse, violence and parenting (i.e. reduced neglect)? </w:t>
            </w:r>
          </w:p>
          <w:p w:rsidR="00D83A62" w:rsidRPr="00DF38B2" w:rsidRDefault="00D83A62" w:rsidP="006654AE">
            <w:pPr>
              <w:ind w:left="1418" w:hanging="709"/>
            </w:pPr>
            <w:r w:rsidRPr="00DF38B2">
              <w:t>(e)</w:t>
            </w:r>
            <w:r w:rsidRPr="00DF38B2">
              <w:tab/>
              <w:t xml:space="preserve">Do the four streams achieve appropriate outcomes for their participants? </w:t>
            </w:r>
          </w:p>
          <w:p w:rsidR="00D83A62" w:rsidRPr="00DF38B2" w:rsidRDefault="00D83A62" w:rsidP="006654AE">
            <w:pPr>
              <w:ind w:left="1418" w:hanging="709"/>
            </w:pPr>
            <w:r w:rsidRPr="00DF38B2">
              <w:t>(f)</w:t>
            </w:r>
            <w:r w:rsidRPr="00DF38B2">
              <w:tab/>
              <w:t>Has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had any unintended consequences (positive or negative)? </w:t>
            </w:r>
          </w:p>
          <w:p w:rsidR="00D83A62" w:rsidRPr="00DF38B2" w:rsidRDefault="00D83A62" w:rsidP="006654AE">
            <w:pPr>
              <w:ind w:left="1418" w:hanging="709"/>
            </w:pPr>
            <w:r w:rsidRPr="00DF38B2">
              <w:t>(g)</w:t>
            </w:r>
            <w:r w:rsidRPr="00DF38B2">
              <w:tab/>
              <w:t xml:space="preserve">Are there differential effects for different groups? (including — if sufficient data is available — by Indigeneity, gender, location, age, educational status, work status, income, length of time on income support, marital status, family composition and diverse cultural and linguistic background) </w:t>
            </w:r>
          </w:p>
          <w:p w:rsidR="00D83A62" w:rsidRPr="00DF38B2" w:rsidRDefault="00D83A62" w:rsidP="006654AE">
            <w:pPr>
              <w:ind w:left="1418" w:hanging="709"/>
            </w:pPr>
            <w:r w:rsidRPr="00DF38B2">
              <w:t>(h)</w:t>
            </w:r>
            <w:r w:rsidRPr="00DF38B2">
              <w:tab/>
              <w:t xml:space="preserve">Does income management provide value for money by comparison with other interventions? </w:t>
            </w:r>
          </w:p>
          <w:p w:rsidR="00D83A62" w:rsidRPr="00DF38B2" w:rsidRDefault="00D83A62" w:rsidP="006654AE">
            <w:pPr>
              <w:ind w:left="1418" w:hanging="709"/>
            </w:pPr>
            <w:r w:rsidRPr="00DF38B2">
              <w:t>(i)</w:t>
            </w:r>
            <w:r w:rsidRPr="00DF38B2">
              <w:tab/>
              <w:t>Does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provide any benefits over and above targeted service provision?</w:t>
            </w:r>
          </w:p>
          <w:p w:rsidR="00D83A62" w:rsidRPr="00333CEA" w:rsidRDefault="00D83A62" w:rsidP="00333CEA">
            <w:pPr>
              <w:pStyle w:val="Heading4"/>
              <w:keepNext w:val="0"/>
              <w:keepLines w:val="0"/>
              <w:spacing w:before="240"/>
              <w:outlineLvl w:val="3"/>
              <w:rPr>
                <w:rFonts w:eastAsiaTheme="minorEastAsia"/>
                <w:smallCaps/>
                <w:sz w:val="28"/>
                <w:szCs w:val="28"/>
              </w:rPr>
            </w:pPr>
            <w:r w:rsidRPr="00333CEA">
              <w:rPr>
                <w:rFonts w:eastAsiaTheme="minorEastAsia"/>
                <w:smallCaps/>
                <w:sz w:val="28"/>
                <w:szCs w:val="28"/>
              </w:rPr>
              <w:t>Research questions for specific streams of the New Income Management model</w:t>
            </w:r>
          </w:p>
          <w:p w:rsidR="00D83A62" w:rsidRPr="00DF38B2" w:rsidRDefault="00D83A62" w:rsidP="00333CEA">
            <w:pPr>
              <w:pStyle w:val="Heading4"/>
              <w:keepNext w:val="0"/>
              <w:outlineLvl w:val="3"/>
              <w:rPr>
                <w:rFonts w:eastAsiaTheme="minorEastAsia"/>
              </w:rPr>
            </w:pPr>
            <w:r w:rsidRPr="00DF38B2">
              <w:rPr>
                <w:rFonts w:eastAsiaTheme="minorEastAsia"/>
              </w:rPr>
              <w:t xml:space="preserve">Questions specific to the participation/parenting stream </w:t>
            </w:r>
          </w:p>
          <w:p w:rsidR="00D83A62" w:rsidRPr="00DF38B2" w:rsidRDefault="00D83A62" w:rsidP="00333CEA">
            <w:pPr>
              <w:keepLines/>
              <w:ind w:left="709" w:hanging="709"/>
            </w:pPr>
            <w:r w:rsidRPr="00DF38B2">
              <w:rPr>
                <w:sz w:val="19"/>
              </w:rPr>
              <w:t xml:space="preserve">1. </w:t>
            </w:r>
            <w:r w:rsidRPr="00DF38B2">
              <w:tab/>
              <w:t xml:space="preserve">Has New Income Management helped to facilitate better management of finances in the short, medium and long-term for people on income management and their families? </w:t>
            </w:r>
          </w:p>
          <w:p w:rsidR="00D83A62" w:rsidRPr="00DF38B2" w:rsidRDefault="00D83A62" w:rsidP="00333CEA">
            <w:pPr>
              <w:keepLines/>
              <w:ind w:left="709" w:hanging="709"/>
            </w:pPr>
            <w:r w:rsidRPr="00DF38B2">
              <w:t xml:space="preserve">2. </w:t>
            </w:r>
            <w:r w:rsidRPr="00DF38B2">
              <w:tab/>
              <w:t xml:space="preserve">Has access to services or interventions improved for those families? </w:t>
            </w:r>
          </w:p>
          <w:p w:rsidR="00333CEA" w:rsidRDefault="00D83A62" w:rsidP="00333CEA">
            <w:pPr>
              <w:ind w:left="709" w:hanging="709"/>
            </w:pPr>
            <w:r w:rsidRPr="00DF38B2">
              <w:t xml:space="preserve">3. </w:t>
            </w:r>
            <w:r w:rsidRPr="00DF38B2">
              <w:tab/>
              <w:t>Have other changes in the wellbeing and capabilities of the individuals and families occurred?</w:t>
            </w:r>
          </w:p>
          <w:p w:rsidR="00333CEA" w:rsidRPr="00333CEA" w:rsidRDefault="00333CEA" w:rsidP="00333CEA"/>
          <w:p w:rsidR="00D83A62" w:rsidRPr="00DF38B2" w:rsidRDefault="00D83A62" w:rsidP="00333CEA">
            <w:pPr>
              <w:pStyle w:val="Heading4"/>
              <w:keepLines w:val="0"/>
              <w:widowControl w:val="0"/>
              <w:outlineLvl w:val="3"/>
              <w:rPr>
                <w:rFonts w:eastAsiaTheme="minorEastAsia"/>
              </w:rPr>
            </w:pPr>
            <w:r w:rsidRPr="00DF38B2">
              <w:rPr>
                <w:rFonts w:eastAsiaTheme="minorEastAsia"/>
              </w:rPr>
              <w:t xml:space="preserve">Questions specific to the child protection stream </w:t>
            </w:r>
          </w:p>
          <w:p w:rsidR="00D83A62" w:rsidRPr="00DF38B2" w:rsidRDefault="00D83A62" w:rsidP="00333CEA">
            <w:pPr>
              <w:keepNext/>
              <w:keepLines/>
              <w:widowControl w:val="0"/>
              <w:ind w:left="709" w:hanging="709"/>
            </w:pPr>
            <w:r w:rsidRPr="00DF38B2">
              <w:rPr>
                <w:sz w:val="19"/>
              </w:rPr>
              <w:t xml:space="preserve">1. </w:t>
            </w:r>
            <w:r w:rsidRPr="00DF38B2">
              <w:tab/>
              <w:t xml:space="preserve">What has been the impact of income management on child neglect? </w:t>
            </w:r>
          </w:p>
          <w:p w:rsidR="00D83A62" w:rsidRPr="00DF38B2" w:rsidRDefault="00D83A62" w:rsidP="00333CEA">
            <w:pPr>
              <w:keepNext/>
              <w:keepLines/>
              <w:widowControl w:val="0"/>
              <w:ind w:left="709" w:hanging="709"/>
            </w:pPr>
            <w:r w:rsidRPr="00DF38B2">
              <w:t xml:space="preserve">2. </w:t>
            </w:r>
            <w:r w:rsidRPr="00DF38B2">
              <w:tab/>
              <w:t xml:space="preserve">What has been the impact on child wellbeing in those families referred to the child protection measure? </w:t>
            </w:r>
          </w:p>
          <w:p w:rsidR="00D83A62" w:rsidRPr="00DF38B2" w:rsidRDefault="00D83A62" w:rsidP="00333CEA">
            <w:pPr>
              <w:keepNext/>
              <w:keepLines/>
              <w:widowControl w:val="0"/>
              <w:ind w:left="709" w:hanging="709"/>
            </w:pPr>
            <w:r w:rsidRPr="00DF38B2">
              <w:t xml:space="preserve">3. </w:t>
            </w:r>
            <w:r w:rsidRPr="00DF38B2">
              <w:tab/>
              <w:t xml:space="preserve">What are the barriers and facilitating factors for child protection workers to use income management as a casework tool? </w:t>
            </w:r>
          </w:p>
          <w:p w:rsidR="00D83A62" w:rsidRPr="00DF38B2" w:rsidRDefault="00D83A62" w:rsidP="00333CEA">
            <w:pPr>
              <w:keepNext/>
              <w:keepLines/>
              <w:widowControl w:val="0"/>
              <w:ind w:left="709" w:hanging="709"/>
            </w:pPr>
            <w:r w:rsidRPr="00DF38B2">
              <w:t xml:space="preserve">4. </w:t>
            </w:r>
            <w:r w:rsidRPr="00DF38B2">
              <w:tab/>
              <w:t>What (if any) service delivery gaps have impacted on the usefulness of Child Protection Income Management?</w:t>
            </w:r>
          </w:p>
          <w:p w:rsidR="00D83A62" w:rsidRPr="00DF38B2" w:rsidRDefault="00D83A62" w:rsidP="006654AE">
            <w:pPr>
              <w:pStyle w:val="Heading4"/>
              <w:keepNext w:val="0"/>
              <w:keepLines w:val="0"/>
              <w:ind w:left="720" w:hanging="720"/>
              <w:outlineLvl w:val="3"/>
              <w:rPr>
                <w:rFonts w:eastAsiaTheme="minorEastAsia"/>
              </w:rPr>
            </w:pPr>
            <w:r w:rsidRPr="00DF38B2">
              <w:rPr>
                <w:rFonts w:eastAsiaTheme="minorEastAsia"/>
              </w:rPr>
              <w:lastRenderedPageBreak/>
              <w:t xml:space="preserve">Questions specific to the vulnerable stream </w:t>
            </w:r>
          </w:p>
          <w:p w:rsidR="00D83A62" w:rsidRPr="00DF38B2" w:rsidRDefault="00D83A62" w:rsidP="006654AE">
            <w:r w:rsidRPr="00DF38B2">
              <w:t xml:space="preserve">1. </w:t>
            </w:r>
            <w:r w:rsidRPr="00DF38B2">
              <w:tab/>
              <w:t xml:space="preserve">Are vulnerable people appropriately targeted by this measure? </w:t>
            </w:r>
          </w:p>
          <w:p w:rsidR="00D83A62" w:rsidRPr="00DF38B2" w:rsidRDefault="00D83A62" w:rsidP="006654AE">
            <w:r w:rsidRPr="00DF38B2">
              <w:t xml:space="preserve">2. </w:t>
            </w:r>
            <w:r w:rsidRPr="00DF38B2">
              <w:tab/>
              <w:t xml:space="preserve">How does income management impact on the vulnerability of individuals? </w:t>
            </w:r>
          </w:p>
          <w:p w:rsidR="00D83A62" w:rsidRPr="00DF38B2" w:rsidRDefault="00D83A62" w:rsidP="006654AE">
            <w:r w:rsidRPr="00DF38B2">
              <w:t xml:space="preserve">3. </w:t>
            </w:r>
            <w:r w:rsidRPr="00DF38B2">
              <w:tab/>
              <w:t>Have people on this stream experienced changes in the level of harassment (e.g. humbugging)?</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Questions specific to the voluntary stream </w:t>
            </w:r>
          </w:p>
          <w:p w:rsidR="00D83A62" w:rsidRPr="00DF38B2" w:rsidRDefault="00D83A62" w:rsidP="006654AE">
            <w:pPr>
              <w:ind w:left="709" w:hanging="709"/>
            </w:pPr>
            <w:r w:rsidRPr="00DF38B2">
              <w:t xml:space="preserve">1. </w:t>
            </w:r>
            <w:r w:rsidRPr="00DF38B2">
              <w:tab/>
              <w:t xml:space="preserve">Have people who volunteered for income management been able to make an informed choice? </w:t>
            </w:r>
          </w:p>
          <w:p w:rsidR="00D83A62" w:rsidRPr="00DF38B2" w:rsidRDefault="00D83A62" w:rsidP="006654AE">
            <w:pPr>
              <w:ind w:left="709" w:hanging="709"/>
            </w:pPr>
            <w:r w:rsidRPr="00DF38B2">
              <w:t xml:space="preserve">2. </w:t>
            </w:r>
            <w:r w:rsidRPr="00DF38B2">
              <w:tab/>
              <w:t xml:space="preserve">How long do voluntary income management recipients stay on the measure? </w:t>
            </w:r>
          </w:p>
          <w:p w:rsidR="00D83A62" w:rsidRPr="00DF38B2" w:rsidRDefault="00D83A62" w:rsidP="006654AE">
            <w:pPr>
              <w:ind w:left="709" w:hanging="709"/>
            </w:pPr>
            <w:r w:rsidRPr="00DF38B2">
              <w:t xml:space="preserve">3. </w:t>
            </w:r>
            <w:r w:rsidRPr="00DF38B2">
              <w:tab/>
              <w:t>What are the key motivations for people who voluntarily access income management, and why do they stop?</w:t>
            </w:r>
          </w:p>
          <w:p w:rsidR="00D83A62" w:rsidRPr="00DF38B2" w:rsidRDefault="00D83A62" w:rsidP="006654AE"/>
        </w:tc>
      </w:tr>
    </w:tbl>
    <w:p w:rsidR="00A343D2" w:rsidRPr="00DF38B2" w:rsidRDefault="00A343D2" w:rsidP="006654AE"/>
    <w:p w:rsidR="00D31F1D" w:rsidRPr="00DF38B2" w:rsidRDefault="00D31F1D" w:rsidP="006654AE">
      <w:pPr>
        <w:pStyle w:val="Heading2"/>
      </w:pPr>
      <w:bookmarkStart w:id="20" w:name="_Toc403738955"/>
      <w:r w:rsidRPr="00DF38B2">
        <w:t>Evaluation methodology</w:t>
      </w:r>
      <w:bookmarkEnd w:id="20"/>
    </w:p>
    <w:p w:rsidR="005C6D08" w:rsidRPr="00DF38B2" w:rsidRDefault="005C6D08" w:rsidP="006654AE">
      <w:r w:rsidRPr="00DF38B2">
        <w:t>There are a number of challenges to evaluating New Income Management:</w:t>
      </w:r>
    </w:p>
    <w:p w:rsidR="005C6D08" w:rsidRPr="00DF38B2" w:rsidRDefault="005C6D08" w:rsidP="006654AE">
      <w:pPr>
        <w:pStyle w:val="dot"/>
      </w:pPr>
      <w:r w:rsidRPr="00DF38B2">
        <w:t xml:space="preserve">New Income Management </w:t>
      </w:r>
      <w:r w:rsidR="00F92F33" w:rsidRPr="00DF38B2">
        <w:t xml:space="preserve">has </w:t>
      </w:r>
      <w:r w:rsidRPr="00DF38B2">
        <w:t xml:space="preserve">been implemented </w:t>
      </w:r>
      <w:r w:rsidR="00214E95" w:rsidRPr="00DF38B2">
        <w:t xml:space="preserve">comprehensively across the Northern </w:t>
      </w:r>
      <w:r w:rsidR="00B97FB1" w:rsidRPr="00DF38B2">
        <w:t>Territory at</w:t>
      </w:r>
      <w:r w:rsidR="00214E95" w:rsidRPr="00DF38B2">
        <w:t xml:space="preserve"> the same time as</w:t>
      </w:r>
      <w:r w:rsidRPr="00DF38B2">
        <w:t xml:space="preserve"> </w:t>
      </w:r>
      <w:r w:rsidR="001A6DC0">
        <w:t xml:space="preserve">the </w:t>
      </w:r>
      <w:r w:rsidR="001A6DC0" w:rsidRPr="00DF38B2">
        <w:t>introduc</w:t>
      </w:r>
      <w:r w:rsidR="001A6DC0">
        <w:t xml:space="preserve">tion </w:t>
      </w:r>
      <w:r w:rsidR="001A6DC0" w:rsidRPr="00DF38B2">
        <w:t>or enhance</w:t>
      </w:r>
      <w:r w:rsidR="001A6DC0">
        <w:t>ment of</w:t>
      </w:r>
      <w:r w:rsidR="001A6DC0" w:rsidRPr="00DF38B2">
        <w:t xml:space="preserve"> </w:t>
      </w:r>
      <w:r w:rsidRPr="00DF38B2">
        <w:t xml:space="preserve">many other policies and programs which impact upon much the same population as </w:t>
      </w:r>
      <w:r w:rsidR="00B97FB1">
        <w:t>that subject to</w:t>
      </w:r>
      <w:r w:rsidRPr="00DF38B2">
        <w:t xml:space="preserve"> income management</w:t>
      </w:r>
      <w:r w:rsidR="00040708" w:rsidRPr="00DF38B2">
        <w:t>. This</w:t>
      </w:r>
      <w:r w:rsidR="00214E95" w:rsidRPr="00DF38B2">
        <w:t xml:space="preserve"> means that it </w:t>
      </w:r>
      <w:r w:rsidR="00040708" w:rsidRPr="00DF38B2">
        <w:t>may be</w:t>
      </w:r>
      <w:r w:rsidR="00214E95" w:rsidRPr="00DF38B2">
        <w:t xml:space="preserve"> difficult to establish a counterfactual and attribute any changes in outcomes to income management as opposed to other policies</w:t>
      </w:r>
      <w:r w:rsidR="004F2FEC">
        <w:t>.</w:t>
      </w:r>
    </w:p>
    <w:p w:rsidR="005C6D08" w:rsidRPr="00DF38B2" w:rsidRDefault="004F2FEC" w:rsidP="006654AE">
      <w:pPr>
        <w:pStyle w:val="dot"/>
      </w:pPr>
      <w:r>
        <w:t>T</w:t>
      </w:r>
      <w:r w:rsidR="003172B6" w:rsidRPr="00DF38B2">
        <w:t xml:space="preserve">he program logic envisages that the </w:t>
      </w:r>
      <w:r w:rsidR="005C6D08" w:rsidRPr="00DF38B2">
        <w:t xml:space="preserve">impacts of </w:t>
      </w:r>
      <w:r w:rsidR="003172B6" w:rsidRPr="00DF38B2">
        <w:t xml:space="preserve">income management will occur </w:t>
      </w:r>
      <w:r w:rsidR="005C6D08" w:rsidRPr="00DF38B2">
        <w:t xml:space="preserve">at both the individual and </w:t>
      </w:r>
      <w:r w:rsidR="001A6DC0">
        <w:t xml:space="preserve">the </w:t>
      </w:r>
      <w:r w:rsidR="005C6D08" w:rsidRPr="00DF38B2">
        <w:t>community level</w:t>
      </w:r>
      <w:r w:rsidR="00040708" w:rsidRPr="00DF38B2">
        <w:t>. T</w:t>
      </w:r>
      <w:r w:rsidR="00214E95" w:rsidRPr="00DF38B2">
        <w:t xml:space="preserve">his adds to the complexity of </w:t>
      </w:r>
      <w:r w:rsidR="003172B6" w:rsidRPr="00DF38B2">
        <w:t>identify</w:t>
      </w:r>
      <w:r w:rsidR="00214E95" w:rsidRPr="00DF38B2">
        <w:t>ing</w:t>
      </w:r>
      <w:r w:rsidR="003172B6" w:rsidRPr="00DF38B2">
        <w:t xml:space="preserve"> program effects</w:t>
      </w:r>
      <w:r w:rsidR="00214E95" w:rsidRPr="00DF38B2">
        <w:t>. In addition</w:t>
      </w:r>
      <w:r w:rsidR="001A6DC0">
        <w:t>,</w:t>
      </w:r>
      <w:r w:rsidR="00214E95" w:rsidRPr="00DF38B2">
        <w:t xml:space="preserve"> many of the specific outcomes that the program seeks to achieve</w:t>
      </w:r>
      <w:r w:rsidR="001A6DC0">
        <w:t xml:space="preserve"> –</w:t>
      </w:r>
      <w:r w:rsidR="00214E95" w:rsidRPr="00DF38B2">
        <w:t xml:space="preserve"> such as financial management, changes in consumption and self</w:t>
      </w:r>
      <w:r w:rsidR="00285530" w:rsidRPr="00DF38B2">
        <w:t>-</w:t>
      </w:r>
      <w:r w:rsidR="00214E95" w:rsidRPr="00DF38B2">
        <w:t xml:space="preserve">reliance </w:t>
      </w:r>
      <w:r w:rsidR="001A6DC0">
        <w:t xml:space="preserve">– </w:t>
      </w:r>
      <w:r w:rsidR="00214E95" w:rsidRPr="00DF38B2">
        <w:t>each pose measurement challenges</w:t>
      </w:r>
      <w:r>
        <w:t>.</w:t>
      </w:r>
    </w:p>
    <w:p w:rsidR="000A6A59" w:rsidRPr="00DF38B2" w:rsidRDefault="004F2FEC" w:rsidP="006654AE">
      <w:pPr>
        <w:pStyle w:val="dot"/>
      </w:pPr>
      <w:r>
        <w:t>T</w:t>
      </w:r>
      <w:r w:rsidR="000A6A59" w:rsidRPr="00DF38B2">
        <w:t xml:space="preserve">he fact that a previous income management policy had been operating in the Northern Territory since 2007 (NTER Income Management) </w:t>
      </w:r>
      <w:r w:rsidR="003172B6" w:rsidRPr="00DF38B2">
        <w:t>means</w:t>
      </w:r>
      <w:r w:rsidR="000A6A59" w:rsidRPr="00DF38B2">
        <w:t xml:space="preserve"> that it was </w:t>
      </w:r>
      <w:r w:rsidR="009D5475" w:rsidRPr="00DF38B2">
        <w:t>not strictly possible</w:t>
      </w:r>
      <w:r w:rsidR="000A6A59" w:rsidRPr="00DF38B2">
        <w:t xml:space="preserve"> to collect </w:t>
      </w:r>
      <w:r w:rsidR="009D5475" w:rsidRPr="00DF38B2">
        <w:t xml:space="preserve">specific </w:t>
      </w:r>
      <w:r w:rsidR="000A6A59" w:rsidRPr="00DF38B2">
        <w:t>pre-income management data for large sections of the N</w:t>
      </w:r>
      <w:r w:rsidR="003172B6" w:rsidRPr="00DF38B2">
        <w:t xml:space="preserve">ew Income Management population. The resulting </w:t>
      </w:r>
      <w:r w:rsidR="000A6A59" w:rsidRPr="00DF38B2">
        <w:t xml:space="preserve">lack of </w:t>
      </w:r>
      <w:r w:rsidR="00040708" w:rsidRPr="00DF38B2">
        <w:t xml:space="preserve">comprehensive </w:t>
      </w:r>
      <w:r w:rsidR="000A6A59" w:rsidRPr="00DF38B2">
        <w:t xml:space="preserve">baseline data for some of the key outcome measures </w:t>
      </w:r>
      <w:r w:rsidR="001A6DC0">
        <w:t xml:space="preserve">– </w:t>
      </w:r>
      <w:r w:rsidR="000A6A59" w:rsidRPr="00DF38B2">
        <w:t>such as expenditure and consumption</w:t>
      </w:r>
      <w:r w:rsidR="00040708" w:rsidRPr="00DF38B2">
        <w:rPr>
          <w:rStyle w:val="FootnoteReference"/>
        </w:rPr>
        <w:footnoteReference w:id="9"/>
      </w:r>
      <w:r w:rsidR="001A6DC0">
        <w:t xml:space="preserve"> –</w:t>
      </w:r>
      <w:r w:rsidR="000A6A59" w:rsidRPr="00DF38B2">
        <w:t xml:space="preserve"> makes it </w:t>
      </w:r>
      <w:r w:rsidR="00040708" w:rsidRPr="00DF38B2">
        <w:t xml:space="preserve">more </w:t>
      </w:r>
      <w:r w:rsidR="000A6A59" w:rsidRPr="00DF38B2">
        <w:t>difficult to obtain estimate</w:t>
      </w:r>
      <w:r w:rsidR="009D5475" w:rsidRPr="00DF38B2">
        <w:t>s</w:t>
      </w:r>
      <w:r w:rsidR="000A6A59" w:rsidRPr="00DF38B2">
        <w:t xml:space="preserve"> of the extent to which these changed following the introduction of </w:t>
      </w:r>
      <w:r w:rsidR="009D5475" w:rsidRPr="00DF38B2">
        <w:t>New I</w:t>
      </w:r>
      <w:r w:rsidR="000A6A59" w:rsidRPr="00DF38B2">
        <w:t xml:space="preserve">ncome </w:t>
      </w:r>
      <w:r w:rsidR="009D5475" w:rsidRPr="00DF38B2">
        <w:t>Management</w:t>
      </w:r>
      <w:r>
        <w:t>.</w:t>
      </w:r>
    </w:p>
    <w:p w:rsidR="009D5475" w:rsidRPr="00DF38B2" w:rsidRDefault="004F2FEC" w:rsidP="006654AE">
      <w:pPr>
        <w:pStyle w:val="dot"/>
      </w:pPr>
      <w:r>
        <w:t xml:space="preserve">The population on the program with </w:t>
      </w:r>
      <w:r w:rsidR="000A6A59" w:rsidRPr="00DF38B2">
        <w:t>th</w:t>
      </w:r>
      <w:r w:rsidR="001A6DC0">
        <w:t>e</w:t>
      </w:r>
      <w:r w:rsidR="00ED7B19" w:rsidRPr="00DF38B2">
        <w:t xml:space="preserve"> </w:t>
      </w:r>
      <w:r w:rsidR="000A6A59" w:rsidRPr="00DF38B2">
        <w:t>major</w:t>
      </w:r>
      <w:r w:rsidR="00ED7B19" w:rsidRPr="00DF38B2">
        <w:t xml:space="preserve">ity of people </w:t>
      </w:r>
      <w:r w:rsidR="000A6A59" w:rsidRPr="00DF38B2">
        <w:t xml:space="preserve">subject to income management </w:t>
      </w:r>
      <w:r>
        <w:t>being</w:t>
      </w:r>
      <w:r w:rsidRPr="00DF38B2">
        <w:t xml:space="preserve"> </w:t>
      </w:r>
      <w:r w:rsidR="000A6A59" w:rsidRPr="00DF38B2">
        <w:t xml:space="preserve">Indigenous and many living in remote or very remote areas of the </w:t>
      </w:r>
      <w:r w:rsidR="00407AEF">
        <w:t>Northern Territory</w:t>
      </w:r>
      <w:r w:rsidR="000A6A59" w:rsidRPr="00DF38B2">
        <w:t>. Th</w:t>
      </w:r>
      <w:r w:rsidR="00CC649C">
        <w:t xml:space="preserve">is poses </w:t>
      </w:r>
      <w:r w:rsidR="000A6A59" w:rsidRPr="00DF38B2">
        <w:t xml:space="preserve">specific challenges to collecting </w:t>
      </w:r>
      <w:r w:rsidR="00957347">
        <w:t xml:space="preserve">and interpreting </w:t>
      </w:r>
      <w:r w:rsidR="000A6A59" w:rsidRPr="00DF38B2">
        <w:t>information. These</w:t>
      </w:r>
      <w:r w:rsidR="00957347">
        <w:t xml:space="preserve"> challenges</w:t>
      </w:r>
      <w:r w:rsidR="000A6A59" w:rsidRPr="00DF38B2">
        <w:t xml:space="preserve"> </w:t>
      </w:r>
      <w:r w:rsidR="00CC649C">
        <w:t xml:space="preserve">can arise from </w:t>
      </w:r>
      <w:r w:rsidR="00957347">
        <w:t>the extent to which English is frequently not their first language and</w:t>
      </w:r>
      <w:r w:rsidR="00CC649C">
        <w:t xml:space="preserve"> </w:t>
      </w:r>
      <w:r w:rsidR="000A6A59" w:rsidRPr="00DF38B2">
        <w:t>cultural differences from the broader Australian society</w:t>
      </w:r>
      <w:r w:rsidR="00957347">
        <w:t>. These differences</w:t>
      </w:r>
      <w:r w:rsidR="000A6A59" w:rsidRPr="00DF38B2">
        <w:t xml:space="preserve"> partly related to different frames of reference</w:t>
      </w:r>
      <w:r w:rsidR="001A6DC0">
        <w:t>,</w:t>
      </w:r>
      <w:r w:rsidR="000A6A59" w:rsidRPr="00DF38B2">
        <w:t xml:space="preserve"> and partly due </w:t>
      </w:r>
      <w:r w:rsidR="001A6DC0">
        <w:t xml:space="preserve">to </w:t>
      </w:r>
      <w:r w:rsidR="000A6A59" w:rsidRPr="00DF38B2">
        <w:t>the history of colonisation, dispos</w:t>
      </w:r>
      <w:r w:rsidR="009D5475" w:rsidRPr="00DF38B2">
        <w:t>session</w:t>
      </w:r>
      <w:r w:rsidR="000A6A59" w:rsidRPr="00DF38B2">
        <w:t xml:space="preserve"> and policies such as the removal of children </w:t>
      </w:r>
      <w:r w:rsidR="001A6DC0">
        <w:t xml:space="preserve">– the </w:t>
      </w:r>
      <w:r w:rsidR="000A6A59" w:rsidRPr="00DF38B2">
        <w:t>stolen generation</w:t>
      </w:r>
      <w:r w:rsidR="001A6DC0">
        <w:t xml:space="preserve"> –</w:t>
      </w:r>
      <w:r w:rsidR="000A6A59" w:rsidRPr="00DF38B2">
        <w:t xml:space="preserve"> all of which impact upon how people engage with the researchers and respond to survey questions and qualitative interviews</w:t>
      </w:r>
      <w:r>
        <w:t>.</w:t>
      </w:r>
    </w:p>
    <w:p w:rsidR="000A6A59" w:rsidRPr="00DF38B2" w:rsidRDefault="004F2FEC" w:rsidP="006654AE">
      <w:pPr>
        <w:pStyle w:val="dot"/>
      </w:pPr>
      <w:r>
        <w:t>These have been</w:t>
      </w:r>
      <w:r w:rsidR="00214E95" w:rsidRPr="00DF38B2">
        <w:t xml:space="preserve"> compounded by the logistical challenges in undertaking surveys and conducting qualitative interviews in remote and very remote areas of the Northern Territory.</w:t>
      </w:r>
    </w:p>
    <w:p w:rsidR="00214E95" w:rsidRPr="00DF38B2" w:rsidRDefault="000A6A59" w:rsidP="006654AE">
      <w:pPr>
        <w:pStyle w:val="dot"/>
        <w:numPr>
          <w:ilvl w:val="0"/>
          <w:numId w:val="0"/>
        </w:numPr>
      </w:pPr>
      <w:r w:rsidRPr="00DF38B2">
        <w:t xml:space="preserve">Given these challenges, the </w:t>
      </w:r>
      <w:r w:rsidR="001A6DC0">
        <w:t>evaluation strategy</w:t>
      </w:r>
      <w:r w:rsidRPr="00DF38B2">
        <w:t xml:space="preserve"> that </w:t>
      </w:r>
      <w:r w:rsidR="005C6D08" w:rsidRPr="00DF38B2">
        <w:t>has been adopted is to take a multi-method approach</w:t>
      </w:r>
      <w:r w:rsidR="001A6DC0">
        <w:t>,</w:t>
      </w:r>
      <w:r w:rsidR="005C6D08" w:rsidRPr="00DF38B2">
        <w:t xml:space="preserve"> which</w:t>
      </w:r>
      <w:r w:rsidR="00214E95" w:rsidRPr="00DF38B2">
        <w:t xml:space="preserve"> has</w:t>
      </w:r>
      <w:r w:rsidR="005C6D08" w:rsidRPr="00DF38B2">
        <w:t xml:space="preserve"> </w:t>
      </w:r>
      <w:r w:rsidR="00214E95" w:rsidRPr="00DF38B2">
        <w:t xml:space="preserve">involved </w:t>
      </w:r>
      <w:r w:rsidR="005C6D08" w:rsidRPr="00DF38B2">
        <w:t>collecting data from people subject to income management</w:t>
      </w:r>
      <w:r w:rsidR="00A900A8" w:rsidRPr="00DF38B2">
        <w:t xml:space="preserve"> using a longitudinal</w:t>
      </w:r>
      <w:r w:rsidR="00214E95" w:rsidRPr="00DF38B2">
        <w:t xml:space="preserve"> survey</w:t>
      </w:r>
      <w:r w:rsidR="005C6D08" w:rsidRPr="00DF38B2">
        <w:t xml:space="preserve">, </w:t>
      </w:r>
      <w:r w:rsidR="00214E95" w:rsidRPr="00DF38B2">
        <w:t xml:space="preserve">obtaining the views of </w:t>
      </w:r>
      <w:r w:rsidR="005C6D08" w:rsidRPr="00DF38B2">
        <w:t xml:space="preserve">those involved in implementing income management (Centrelink staff, financial counsellors, </w:t>
      </w:r>
      <w:r w:rsidR="001A6DC0">
        <w:t xml:space="preserve">and </w:t>
      </w:r>
      <w:r w:rsidR="005C6D08" w:rsidRPr="00DF38B2">
        <w:t>child protection workers)</w:t>
      </w:r>
      <w:r w:rsidR="001A6DC0">
        <w:t>,</w:t>
      </w:r>
      <w:r w:rsidR="005C6D08" w:rsidRPr="00DF38B2">
        <w:t xml:space="preserve"> and service providers working with people s</w:t>
      </w:r>
      <w:r w:rsidR="00A900A8" w:rsidRPr="00DF38B2">
        <w:t>ubject to income management</w:t>
      </w:r>
      <w:r w:rsidR="005C6D08" w:rsidRPr="00DF38B2">
        <w:t xml:space="preserve">. The data from these groups is collected using quantitative and qualitative techniques. </w:t>
      </w:r>
    </w:p>
    <w:p w:rsidR="005C6D08" w:rsidRPr="00DF38B2" w:rsidRDefault="00B7352B" w:rsidP="006654AE">
      <w:pPr>
        <w:pStyle w:val="dot"/>
        <w:numPr>
          <w:ilvl w:val="0"/>
          <w:numId w:val="0"/>
        </w:numPr>
      </w:pPr>
      <w:r w:rsidRPr="00DF38B2">
        <w:lastRenderedPageBreak/>
        <w:t xml:space="preserve">In addition to this survey and qualitative data, a wide range of administrative </w:t>
      </w:r>
      <w:r>
        <w:t>data is</w:t>
      </w:r>
      <w:r w:rsidRPr="00DF38B2">
        <w:t xml:space="preserve"> used. </w:t>
      </w:r>
      <w:r w:rsidR="00214E95" w:rsidRPr="00DF38B2">
        <w:t>This has been drawn from the</w:t>
      </w:r>
      <w:r w:rsidR="005C6D08" w:rsidRPr="00DF38B2">
        <w:t xml:space="preserve"> Centrelink </w:t>
      </w:r>
      <w:r w:rsidR="00214E95" w:rsidRPr="00DF38B2">
        <w:t xml:space="preserve">operational and payment </w:t>
      </w:r>
      <w:r w:rsidR="005C6D08" w:rsidRPr="00DF38B2">
        <w:t>data, child protection system data, transaction data from merchants</w:t>
      </w:r>
      <w:r w:rsidR="00FA3C3B">
        <w:t>,</w:t>
      </w:r>
      <w:r w:rsidR="005C6D08" w:rsidRPr="00DF38B2">
        <w:t xml:space="preserve"> and Northern Territory level data on alcohol sales, school enrolment and attendance. In addition, data from a range of other surveys collected for other purposes but which provide data for the Northern Territory are used. These include ABS surveys and a range of other official government data collections about children.</w:t>
      </w:r>
    </w:p>
    <w:p w:rsidR="000A6A59" w:rsidRPr="00DF38B2" w:rsidRDefault="000A6A59" w:rsidP="006654AE">
      <w:pPr>
        <w:pStyle w:val="dot"/>
        <w:numPr>
          <w:ilvl w:val="0"/>
          <w:numId w:val="0"/>
        </w:numPr>
      </w:pPr>
      <w:r w:rsidRPr="00DF38B2">
        <w:rPr>
          <w:szCs w:val="22"/>
        </w:rPr>
        <w:t>Chapter 3 provides</w:t>
      </w:r>
      <w:r w:rsidRPr="00DF38B2">
        <w:t xml:space="preserve"> </w:t>
      </w:r>
      <w:r w:rsidR="00B76347" w:rsidRPr="00DF38B2">
        <w:t>further discussion</w:t>
      </w:r>
      <w:r w:rsidRPr="00DF38B2">
        <w:t xml:space="preserve"> of the methodology</w:t>
      </w:r>
      <w:r w:rsidR="00D64057" w:rsidRPr="00DF38B2">
        <w:t xml:space="preserve"> </w:t>
      </w:r>
      <w:r w:rsidRPr="00DF38B2">
        <w:t xml:space="preserve">adopted </w:t>
      </w:r>
      <w:r w:rsidR="00B76347" w:rsidRPr="00DF38B2">
        <w:t xml:space="preserve">and detail on the data collections used </w:t>
      </w:r>
      <w:r w:rsidRPr="00DF38B2">
        <w:t>to implement the evaluation and address these questions</w:t>
      </w:r>
      <w:r w:rsidR="00D64057" w:rsidRPr="00DF38B2">
        <w:t>.</w:t>
      </w:r>
    </w:p>
    <w:p w:rsidR="00D31F1D" w:rsidRPr="00DF38B2" w:rsidRDefault="00CF5838" w:rsidP="006654AE">
      <w:r w:rsidRPr="00DF38B2">
        <w:t xml:space="preserve">Findings across these diverse sources, and often partial or imperfect measures of outcomes, are then brought together to identify common and consistent trends and outcomes, and through this process of triangulation to verify the robustness of the findings. </w:t>
      </w:r>
    </w:p>
    <w:p w:rsidR="00A900A8" w:rsidRPr="00DF38B2" w:rsidRDefault="00A900A8" w:rsidP="006654AE">
      <w:pPr>
        <w:pStyle w:val="Heading2"/>
        <w:rPr>
          <w:rFonts w:eastAsiaTheme="minorEastAsia"/>
        </w:rPr>
      </w:pPr>
      <w:bookmarkStart w:id="21" w:name="_Ref391839032"/>
      <w:bookmarkStart w:id="22" w:name="_Toc403738956"/>
      <w:r w:rsidRPr="00F157EE">
        <w:rPr>
          <w:rFonts w:eastAsiaTheme="minorEastAsia"/>
        </w:rPr>
        <w:t xml:space="preserve">Findings from the </w:t>
      </w:r>
      <w:r w:rsidR="004F2FEC">
        <w:rPr>
          <w:rFonts w:eastAsiaTheme="minorEastAsia"/>
        </w:rPr>
        <w:t>First Evaluation</w:t>
      </w:r>
      <w:r w:rsidRPr="00F157EE">
        <w:rPr>
          <w:rFonts w:eastAsiaTheme="minorEastAsia"/>
        </w:rPr>
        <w:t xml:space="preserve"> </w:t>
      </w:r>
      <w:r w:rsidR="002B3CEA">
        <w:rPr>
          <w:rFonts w:eastAsiaTheme="minorEastAsia"/>
        </w:rPr>
        <w:t>R</w:t>
      </w:r>
      <w:r w:rsidRPr="00F157EE">
        <w:rPr>
          <w:rFonts w:eastAsiaTheme="minorEastAsia"/>
        </w:rPr>
        <w:t>eport</w:t>
      </w:r>
      <w:bookmarkEnd w:id="21"/>
      <w:bookmarkEnd w:id="22"/>
    </w:p>
    <w:p w:rsidR="00A900A8" w:rsidRPr="00DF38B2" w:rsidRDefault="00A900A8" w:rsidP="006654AE">
      <w:r w:rsidRPr="00DF38B2">
        <w:t xml:space="preserve">The </w:t>
      </w:r>
      <w:r w:rsidR="004F2FEC">
        <w:t>first</w:t>
      </w:r>
      <w:r w:rsidR="004F2FEC" w:rsidRPr="00DF38B2">
        <w:t xml:space="preserve"> </w:t>
      </w:r>
      <w:r w:rsidRPr="00DF38B2">
        <w:t>report of this evaluation, completed in July 2012 (Bray et al</w:t>
      </w:r>
      <w:r w:rsidR="00FA3C3B">
        <w:t>.</w:t>
      </w:r>
      <w:r w:rsidRPr="00DF38B2">
        <w:t xml:space="preserve">, 2012) reported a range of detailed evaluation findings about New Income Management. In terms of the effectiveness of the administration and implementation of New Income Management it was found that while there were some issues, overall the rollout of New Income Management progressed relatively smoothly. There </w:t>
      </w:r>
      <w:r w:rsidR="009D5475" w:rsidRPr="00DF38B2">
        <w:t>were</w:t>
      </w:r>
      <w:r w:rsidR="00FA3C3B">
        <w:t>,</w:t>
      </w:r>
      <w:r w:rsidR="009D5475" w:rsidRPr="00DF38B2">
        <w:t xml:space="preserve"> </w:t>
      </w:r>
      <w:r w:rsidRPr="00DF38B2">
        <w:t>however</w:t>
      </w:r>
      <w:r w:rsidR="00FA3C3B">
        <w:t>,</w:t>
      </w:r>
      <w:r w:rsidRPr="00DF38B2">
        <w:t xml:space="preserve"> some significant issues around the implementation of money management</w:t>
      </w:r>
      <w:r w:rsidR="00871D1D">
        <w:t xml:space="preserve"> </w:t>
      </w:r>
      <w:r w:rsidR="00871D1D" w:rsidRPr="00871D1D">
        <w:t xml:space="preserve">and financial counselling services </w:t>
      </w:r>
      <w:r w:rsidRPr="00DF38B2">
        <w:t>and the Matched Savings Payment aspects of New Income Management.</w:t>
      </w:r>
    </w:p>
    <w:p w:rsidR="00A900A8" w:rsidRPr="00DF38B2" w:rsidRDefault="00A900A8" w:rsidP="006654AE">
      <w:r w:rsidRPr="00DF38B2">
        <w:t>The key findings were:</w:t>
      </w:r>
    </w:p>
    <w:p w:rsidR="00A900A8" w:rsidRPr="00DF38B2" w:rsidRDefault="004F2FEC" w:rsidP="006654AE">
      <w:pPr>
        <w:pStyle w:val="dot"/>
      </w:pPr>
      <w:r>
        <w:t>I</w:t>
      </w:r>
      <w:r w:rsidR="00A900A8" w:rsidRPr="00DF38B2">
        <w:t>ncome management had a diverse set of impacts</w:t>
      </w:r>
      <w:r w:rsidR="00FA3C3B">
        <w:t>,</w:t>
      </w:r>
      <w:r w:rsidR="00A900A8" w:rsidRPr="00DF38B2">
        <w:t xml:space="preserve"> with positive impacts for some, negative for others</w:t>
      </w:r>
      <w:r w:rsidR="00FA3C3B">
        <w:t>,</w:t>
      </w:r>
      <w:r w:rsidR="00A900A8" w:rsidRPr="00DF38B2">
        <w:t xml:space="preserve"> and for </w:t>
      </w:r>
      <w:r w:rsidR="009D5475" w:rsidRPr="00DF38B2">
        <w:t>the balance</w:t>
      </w:r>
      <w:r w:rsidR="00A900A8" w:rsidRPr="00DF38B2">
        <w:t xml:space="preserve"> little impact. Taken as a whole there was no strong evidence that, at that stage, the program has had a major impact on outcomes overall. Although many individuals report</w:t>
      </w:r>
      <w:r w:rsidR="009D5475" w:rsidRPr="00DF38B2">
        <w:t>ed</w:t>
      </w:r>
      <w:r w:rsidR="00A900A8" w:rsidRPr="00DF38B2">
        <w:t xml:space="preserve"> some gains, others report</w:t>
      </w:r>
      <w:r w:rsidR="009D5475" w:rsidRPr="00DF38B2">
        <w:t>ed</w:t>
      </w:r>
      <w:r w:rsidR="00A900A8" w:rsidRPr="00DF38B2">
        <w:t xml:space="preserve"> more negative effects.</w:t>
      </w:r>
    </w:p>
    <w:p w:rsidR="00A900A8" w:rsidRPr="00DF38B2" w:rsidRDefault="004F2FEC" w:rsidP="006654AE">
      <w:pPr>
        <w:pStyle w:val="dot"/>
      </w:pPr>
      <w:r>
        <w:t>T</w:t>
      </w:r>
      <w:r w:rsidR="009D5475" w:rsidRPr="00DF38B2">
        <w:t xml:space="preserve">here was some </w:t>
      </w:r>
      <w:r w:rsidR="00A900A8" w:rsidRPr="00DF38B2">
        <w:t>evidence that income management may have been making a contribution to improving the wellbeing for some, particularly those who have difficulties in managing their finances or are subject to financial harassment. Voluntary Income Management in particular was viewed positively by people to whom it is applied, and by other stakeholders.</w:t>
      </w:r>
    </w:p>
    <w:p w:rsidR="00A900A8" w:rsidRPr="00DF38B2" w:rsidRDefault="004F2FEC" w:rsidP="006654AE">
      <w:pPr>
        <w:pStyle w:val="dot"/>
      </w:pPr>
      <w:r>
        <w:t>M</w:t>
      </w:r>
      <w:r w:rsidR="00A900A8" w:rsidRPr="00DF38B2">
        <w:t xml:space="preserve">any people subject to Compulsory Income Management appeared not to demonstrate the behaviour problems or financial difficulties </w:t>
      </w:r>
      <w:r w:rsidR="00FA3C3B">
        <w:t>that</w:t>
      </w:r>
      <w:r w:rsidR="00A900A8" w:rsidRPr="00DF38B2">
        <w:t xml:space="preserve"> the measure was intended to remedy.</w:t>
      </w:r>
    </w:p>
    <w:p w:rsidR="00A900A8" w:rsidRPr="00DF38B2" w:rsidRDefault="004F2FEC" w:rsidP="006654AE">
      <w:pPr>
        <w:pStyle w:val="dot"/>
      </w:pPr>
      <w:r>
        <w:t>I</w:t>
      </w:r>
      <w:r w:rsidR="00A900A8" w:rsidRPr="00DF38B2">
        <w:t>ncome management incurs costs to the individuals, who in many cases found it embarrassing and humiliating and in some cases demotivating. There were very mixed findings as to the extent to which being subject to income management has led to greater control over money.</w:t>
      </w:r>
    </w:p>
    <w:p w:rsidR="00A900A8" w:rsidRPr="00DF38B2" w:rsidRDefault="004F2FEC" w:rsidP="006654AE">
      <w:pPr>
        <w:pStyle w:val="dot"/>
      </w:pPr>
      <w:r>
        <w:t>W</w:t>
      </w:r>
      <w:r w:rsidR="00A900A8" w:rsidRPr="00DF38B2">
        <w:t xml:space="preserve">hile it was difficult to fully differentiate views about the BasicsCard from income management itself, the evidence was that the BasicsCard was seen positively by some and negatively by others. The positive views </w:t>
      </w:r>
      <w:r w:rsidR="00FA3C3B">
        <w:t xml:space="preserve">appear to be </w:t>
      </w:r>
      <w:r w:rsidR="00A900A8" w:rsidRPr="00DF38B2">
        <w:t xml:space="preserve">driven by </w:t>
      </w:r>
      <w:r w:rsidR="00957347">
        <w:t xml:space="preserve">factors such as </w:t>
      </w:r>
      <w:r w:rsidR="00A900A8" w:rsidRPr="00DF38B2">
        <w:t>the safety the card can provide</w:t>
      </w:r>
      <w:r w:rsidR="00957347">
        <w:t xml:space="preserve"> to some</w:t>
      </w:r>
      <w:r w:rsidR="00A900A8" w:rsidRPr="00DF38B2">
        <w:t xml:space="preserve"> and the absence of costs </w:t>
      </w:r>
      <w:r w:rsidR="00FA3C3B">
        <w:t xml:space="preserve">– </w:t>
      </w:r>
      <w:r w:rsidR="00A900A8" w:rsidRPr="00DF38B2">
        <w:t xml:space="preserve">other than phone calls to check </w:t>
      </w:r>
      <w:r w:rsidR="00FA3C3B">
        <w:t xml:space="preserve">account </w:t>
      </w:r>
      <w:r w:rsidR="00A900A8" w:rsidRPr="00DF38B2">
        <w:t>balances</w:t>
      </w:r>
      <w:r w:rsidR="00FA3C3B">
        <w:t xml:space="preserve"> –</w:t>
      </w:r>
      <w:r w:rsidR="00A900A8" w:rsidRPr="00DF38B2">
        <w:t xml:space="preserve"> on its use.</w:t>
      </w:r>
    </w:p>
    <w:p w:rsidR="00A900A8" w:rsidRPr="00DF38B2" w:rsidRDefault="004F2FEC" w:rsidP="006654AE">
      <w:pPr>
        <w:pStyle w:val="dot"/>
      </w:pPr>
      <w:r>
        <w:t>B</w:t>
      </w:r>
      <w:r w:rsidR="00A900A8" w:rsidRPr="00DF38B2">
        <w:t xml:space="preserve">ased on the data available at the time of writing the </w:t>
      </w:r>
      <w:r>
        <w:t>First</w:t>
      </w:r>
      <w:r w:rsidRPr="00DF38B2">
        <w:t xml:space="preserve"> </w:t>
      </w:r>
      <w:r w:rsidR="00A900A8" w:rsidRPr="00DF38B2">
        <w:t xml:space="preserve">Evaluation </w:t>
      </w:r>
      <w:r>
        <w:t>R</w:t>
      </w:r>
      <w:r w:rsidR="00A900A8" w:rsidRPr="00DF38B2">
        <w:t>eport, our view was that the findings pointed towards the conclusion that income management may assist a proportion of those on income support to cope with particular issues they face. At the same time</w:t>
      </w:r>
      <w:r w:rsidR="00FA3C3B">
        <w:t>,</w:t>
      </w:r>
      <w:r w:rsidR="00A900A8" w:rsidRPr="00DF38B2">
        <w:t xml:space="preserve"> the program was being applied to many who do not believe that they need income management and for whom there is no evidence that they have a need for, or benefit from</w:t>
      </w:r>
      <w:r w:rsidR="009D5475" w:rsidRPr="00DF38B2">
        <w:t>,</w:t>
      </w:r>
      <w:r w:rsidR="00A900A8" w:rsidRPr="00DF38B2">
        <w:t xml:space="preserve"> income management. Income management has led to widespread feelings of unfairness and disempowerment.</w:t>
      </w:r>
    </w:p>
    <w:p w:rsidR="00A900A8" w:rsidRPr="00DF38B2" w:rsidRDefault="00A8053C" w:rsidP="006654AE">
      <w:pPr>
        <w:pStyle w:val="dot"/>
      </w:pPr>
      <w:r>
        <w:t>I</w:t>
      </w:r>
      <w:r w:rsidR="00A900A8" w:rsidRPr="00DF38B2">
        <w:t>t was found that low numbers of people had engaged with the incentives (matched savings and exemptions), and other support services which are intended to complement income management, and that this may have mitigated the effectiveness of the program.</w:t>
      </w:r>
    </w:p>
    <w:p w:rsidR="00A900A8" w:rsidRPr="00DF38B2" w:rsidRDefault="00A8053C" w:rsidP="006654AE">
      <w:pPr>
        <w:pStyle w:val="dot"/>
      </w:pPr>
      <w:r>
        <w:t>T</w:t>
      </w:r>
      <w:r w:rsidR="00A900A8" w:rsidRPr="00DF38B2">
        <w:t xml:space="preserve">he analysis suggested that for many people income management largely operated more as a means of control than </w:t>
      </w:r>
      <w:r w:rsidR="00886235">
        <w:t xml:space="preserve">as </w:t>
      </w:r>
      <w:r w:rsidR="00A900A8" w:rsidRPr="00DF38B2">
        <w:t xml:space="preserve">a process for building behaviours or changing attitudes or norms. This conclusion was reinforced by the fact that for major subgroups if a person did not obtain an exemption before </w:t>
      </w:r>
      <w:r w:rsidR="00886235">
        <w:t>commencing</w:t>
      </w:r>
      <w:r w:rsidR="00A900A8" w:rsidRPr="00DF38B2">
        <w:t xml:space="preserve"> income manage</w:t>
      </w:r>
      <w:r w:rsidR="00886235">
        <w:t>ment</w:t>
      </w:r>
      <w:r w:rsidR="00A900A8" w:rsidRPr="00DF38B2">
        <w:t xml:space="preserve"> or shortly after</w:t>
      </w:r>
      <w:r w:rsidR="00886235">
        <w:t>,</w:t>
      </w:r>
      <w:r w:rsidR="00A900A8" w:rsidRPr="00DF38B2">
        <w:t xml:space="preserve"> then it appears that they are likely to remain on income management</w:t>
      </w:r>
      <w:r w:rsidR="009D5475" w:rsidRPr="00DF38B2">
        <w:t>.</w:t>
      </w:r>
      <w:r w:rsidR="00A900A8" w:rsidRPr="00DF38B2">
        <w:t xml:space="preserve"> </w:t>
      </w:r>
    </w:p>
    <w:p w:rsidR="00D64057" w:rsidRPr="00DF38B2" w:rsidRDefault="00D64057" w:rsidP="006654AE">
      <w:pPr>
        <w:pStyle w:val="Heading2"/>
      </w:pPr>
      <w:bookmarkStart w:id="23" w:name="_Ref391832855"/>
      <w:bookmarkStart w:id="24" w:name="_Toc403738957"/>
      <w:r w:rsidRPr="00DF38B2">
        <w:lastRenderedPageBreak/>
        <w:t>Other forms of income management operating outside of the Northern Territory</w:t>
      </w:r>
      <w:bookmarkEnd w:id="23"/>
      <w:bookmarkEnd w:id="24"/>
    </w:p>
    <w:p w:rsidR="00D64057" w:rsidRPr="00DF38B2" w:rsidRDefault="00D64057" w:rsidP="006654AE">
      <w:r w:rsidRPr="00DF38B2">
        <w:t xml:space="preserve">Income management </w:t>
      </w:r>
      <w:r w:rsidR="009D5475" w:rsidRPr="00DF38B2">
        <w:t xml:space="preserve">is not just being implemented in the Northern Territory. It </w:t>
      </w:r>
      <w:r w:rsidRPr="00DF38B2">
        <w:t xml:space="preserve">has also been introduced as part of the Cape York Welfare Reform Trial; in a trial form in the Kimberley and Peel regions, and </w:t>
      </w:r>
      <w:r w:rsidR="00886235">
        <w:t xml:space="preserve">in </w:t>
      </w:r>
      <w:r w:rsidRPr="00DF38B2">
        <w:t>the metropolitan area of Perth in Western Australia (WA); in five sites around Australia in what is termed ‘Place Based Income Management’</w:t>
      </w:r>
      <w:r w:rsidR="00886235">
        <w:t>,</w:t>
      </w:r>
      <w:r w:rsidRPr="00DF38B2">
        <w:t xml:space="preserve"> and in the </w:t>
      </w:r>
      <w:r w:rsidR="009D5475" w:rsidRPr="00DF38B2">
        <w:t>Anangu Pitjantjatjara Yankunytjatjara (</w:t>
      </w:r>
      <w:r w:rsidRPr="00DF38B2">
        <w:t>APY</w:t>
      </w:r>
      <w:r w:rsidR="009D5475" w:rsidRPr="00DF38B2">
        <w:t>)</w:t>
      </w:r>
      <w:r w:rsidRPr="00DF38B2">
        <w:t xml:space="preserve"> </w:t>
      </w:r>
      <w:r w:rsidR="008D1E37">
        <w:t>L</w:t>
      </w:r>
      <w:r w:rsidRPr="00DF38B2">
        <w:t>ands</w:t>
      </w:r>
      <w:r w:rsidR="0060160E" w:rsidRPr="00DF38B2">
        <w:t xml:space="preserve"> in South Australia and </w:t>
      </w:r>
      <w:r w:rsidR="008D1E37">
        <w:t xml:space="preserve">the </w:t>
      </w:r>
      <w:proofErr w:type="spellStart"/>
      <w:r w:rsidR="0060160E" w:rsidRPr="00DF38B2">
        <w:t>Ngaanyatjarra</w:t>
      </w:r>
      <w:proofErr w:type="spellEnd"/>
      <w:r w:rsidR="0060160E" w:rsidRPr="00DF38B2">
        <w:t xml:space="preserve"> Lands (NG Lands) and Laverton Shire in Western Australia</w:t>
      </w:r>
      <w:r w:rsidRPr="00DF38B2">
        <w:t xml:space="preserve">. It </w:t>
      </w:r>
      <w:r w:rsidR="000A16CE">
        <w:t>was</w:t>
      </w:r>
      <w:r w:rsidRPr="00DF38B2">
        <w:t xml:space="preserve"> introduced </w:t>
      </w:r>
      <w:r w:rsidR="000A16CE">
        <w:t>in</w:t>
      </w:r>
      <w:r w:rsidR="000A16CE" w:rsidRPr="00DF38B2">
        <w:t xml:space="preserve"> </w:t>
      </w:r>
      <w:r w:rsidRPr="00DF38B2">
        <w:t>Ceduna in South Australia</w:t>
      </w:r>
      <w:r w:rsidR="000A16CE">
        <w:t xml:space="preserve"> in July 2014</w:t>
      </w:r>
      <w:r w:rsidRPr="00DF38B2">
        <w:t xml:space="preserve"> as a further place</w:t>
      </w:r>
      <w:r w:rsidR="00886235">
        <w:t>-</w:t>
      </w:r>
      <w:r w:rsidRPr="00DF38B2">
        <w:t xml:space="preserve">based program. </w:t>
      </w:r>
    </w:p>
    <w:p w:rsidR="00D64057" w:rsidRPr="00DF38B2" w:rsidRDefault="00D64057" w:rsidP="006654AE">
      <w:pPr>
        <w:pStyle w:val="Caption"/>
      </w:pPr>
      <w:bookmarkStart w:id="25" w:name="_Ref399532699"/>
      <w:bookmarkStart w:id="26" w:name="_Toc403739401"/>
      <w:r w:rsidRPr="00DF38B2">
        <w:t xml:space="preserve">Table </w:t>
      </w:r>
      <w:fldSimple w:instr=" STYLEREF 1 \s ">
        <w:r w:rsidR="00906D13">
          <w:rPr>
            <w:noProof/>
          </w:rPr>
          <w:t>1</w:t>
        </w:r>
      </w:fldSimple>
      <w:r w:rsidR="00D40B64">
        <w:noBreakHyphen/>
      </w:r>
      <w:fldSimple w:instr=" SEQ Table \* ARABIC \s 1 ">
        <w:r w:rsidR="00906D13">
          <w:rPr>
            <w:noProof/>
          </w:rPr>
          <w:t>2</w:t>
        </w:r>
      </w:fldSimple>
      <w:bookmarkEnd w:id="25"/>
      <w:r w:rsidRPr="00DF38B2">
        <w:t xml:space="preserve"> </w:t>
      </w:r>
      <w:r w:rsidR="00AF07A8">
        <w:tab/>
      </w:r>
      <w:r w:rsidRPr="00DF38B2">
        <w:t xml:space="preserve">Summary of current </w:t>
      </w:r>
      <w:r w:rsidR="002B3CEA">
        <w:t>i</w:t>
      </w:r>
      <w:r w:rsidR="00407AEF">
        <w:t xml:space="preserve">ncome </w:t>
      </w:r>
      <w:r w:rsidR="002B3CEA">
        <w:t>m</w:t>
      </w:r>
      <w:r w:rsidR="00407AEF">
        <w:t>anagement</w:t>
      </w:r>
      <w:r w:rsidRPr="00DF38B2">
        <w:t xml:space="preserve"> programs</w:t>
      </w:r>
      <w:bookmarkEnd w:id="26"/>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Description w:val="Table summarises the range of Income Management programs introduced across Australia.  The table has 4 columns: 1. Program, 2. Location, 3. Timescale, 4. Measures. These headings are then used to describe the characteristics of the six programs which are  detailed in rows. These are: 1. New Income Management, 2. Cape York Welfare Reform Trial, 3. WA trial, 4. Place-Based Income Management, 5. Anangu Pitjantjatjara Yankunytjatjara (APY) Lands, 6. Ngaanyatjarra (NG) Lands, Laverton and Kiwirrkurra"/>
      </w:tblPr>
      <w:tblGrid>
        <w:gridCol w:w="2099"/>
        <w:gridCol w:w="2063"/>
        <w:gridCol w:w="1407"/>
        <w:gridCol w:w="2369"/>
      </w:tblGrid>
      <w:tr w:rsidR="00D64057" w:rsidRPr="00DF38B2" w:rsidTr="003757E7">
        <w:trPr>
          <w:tblHeader/>
        </w:trPr>
        <w:tc>
          <w:tcPr>
            <w:tcW w:w="2099" w:type="dxa"/>
          </w:tcPr>
          <w:p w:rsidR="00D64057" w:rsidRPr="00DF38B2" w:rsidRDefault="00D64057" w:rsidP="006654AE">
            <w:pPr>
              <w:pStyle w:val="tabletextleft"/>
              <w:jc w:val="left"/>
            </w:pPr>
            <w:r w:rsidRPr="00DF38B2">
              <w:t>Program</w:t>
            </w:r>
          </w:p>
        </w:tc>
        <w:tc>
          <w:tcPr>
            <w:tcW w:w="2063" w:type="dxa"/>
          </w:tcPr>
          <w:p w:rsidR="00D64057" w:rsidRPr="00DF38B2" w:rsidRDefault="00D64057" w:rsidP="006654AE">
            <w:pPr>
              <w:pStyle w:val="tabletextleft"/>
              <w:jc w:val="left"/>
            </w:pPr>
            <w:r w:rsidRPr="00DF38B2">
              <w:t>Location</w:t>
            </w:r>
          </w:p>
        </w:tc>
        <w:tc>
          <w:tcPr>
            <w:tcW w:w="1407" w:type="dxa"/>
          </w:tcPr>
          <w:p w:rsidR="00D64057" w:rsidRPr="00DF38B2" w:rsidRDefault="00D64057" w:rsidP="006654AE">
            <w:pPr>
              <w:pStyle w:val="tabletextleft"/>
              <w:jc w:val="left"/>
            </w:pPr>
            <w:r w:rsidRPr="00DF38B2">
              <w:t>Timescale</w:t>
            </w:r>
          </w:p>
        </w:tc>
        <w:tc>
          <w:tcPr>
            <w:tcW w:w="2369" w:type="dxa"/>
          </w:tcPr>
          <w:p w:rsidR="00D64057" w:rsidRPr="00DF38B2" w:rsidRDefault="00D64057" w:rsidP="006654AE">
            <w:pPr>
              <w:pStyle w:val="tabletextleft"/>
              <w:jc w:val="left"/>
            </w:pPr>
            <w:r w:rsidRPr="00DF38B2">
              <w:t>Measures</w:t>
            </w:r>
          </w:p>
        </w:tc>
      </w:tr>
      <w:tr w:rsidR="00D64057" w:rsidRPr="00DF38B2" w:rsidTr="00F157EE">
        <w:tc>
          <w:tcPr>
            <w:tcW w:w="2099" w:type="dxa"/>
          </w:tcPr>
          <w:p w:rsidR="00D64057" w:rsidRPr="00DF38B2" w:rsidRDefault="00CE4A20" w:rsidP="006654AE">
            <w:pPr>
              <w:pStyle w:val="tabletextleft"/>
              <w:jc w:val="left"/>
            </w:pPr>
            <w:r w:rsidRPr="00DF38B2">
              <w:t>N</w:t>
            </w:r>
            <w:r>
              <w:t>ew Income Management</w:t>
            </w:r>
          </w:p>
        </w:tc>
        <w:tc>
          <w:tcPr>
            <w:tcW w:w="2063" w:type="dxa"/>
          </w:tcPr>
          <w:p w:rsidR="00D64057" w:rsidRPr="00DF38B2" w:rsidRDefault="00D64057" w:rsidP="006654AE">
            <w:pPr>
              <w:pStyle w:val="tabletextleft"/>
              <w:jc w:val="left"/>
            </w:pPr>
            <w:r w:rsidRPr="00DF38B2">
              <w:t>NT</w:t>
            </w:r>
          </w:p>
        </w:tc>
        <w:tc>
          <w:tcPr>
            <w:tcW w:w="1407" w:type="dxa"/>
          </w:tcPr>
          <w:p w:rsidR="00D64057" w:rsidRPr="00DF38B2" w:rsidRDefault="00BB5643" w:rsidP="006654AE">
            <w:pPr>
              <w:pStyle w:val="tabletextleft"/>
              <w:jc w:val="left"/>
            </w:pPr>
            <w:r w:rsidRPr="00DF38B2">
              <w:t>August 2010</w:t>
            </w:r>
          </w:p>
        </w:tc>
        <w:tc>
          <w:tcPr>
            <w:tcW w:w="2369" w:type="dxa"/>
          </w:tcPr>
          <w:p w:rsidR="00D64057" w:rsidRPr="00DF38B2" w:rsidRDefault="00D64057" w:rsidP="006654AE">
            <w:pPr>
              <w:pStyle w:val="tabletextleft"/>
              <w:jc w:val="left"/>
            </w:pPr>
            <w:r w:rsidRPr="00DF38B2">
              <w:t>CIM, VIM, CPIM, VWPR, SPAR</w:t>
            </w:r>
            <w:r w:rsidRPr="00DF38B2">
              <w:rPr>
                <w:rStyle w:val="FootnoteReference"/>
              </w:rPr>
              <w:footnoteReference w:id="10"/>
            </w:r>
          </w:p>
        </w:tc>
      </w:tr>
      <w:tr w:rsidR="00D64057" w:rsidRPr="00DF38B2" w:rsidTr="00F157EE">
        <w:tc>
          <w:tcPr>
            <w:tcW w:w="2099" w:type="dxa"/>
          </w:tcPr>
          <w:p w:rsidR="00D64057" w:rsidRPr="00DF38B2" w:rsidRDefault="00D64057" w:rsidP="006654AE">
            <w:pPr>
              <w:pStyle w:val="tabletextleft"/>
              <w:jc w:val="left"/>
            </w:pPr>
            <w:r w:rsidRPr="00DF38B2">
              <w:t>Cape York Welfare Reform Trial</w:t>
            </w:r>
          </w:p>
        </w:tc>
        <w:tc>
          <w:tcPr>
            <w:tcW w:w="2063" w:type="dxa"/>
          </w:tcPr>
          <w:p w:rsidR="00D64057" w:rsidRPr="00DF38B2" w:rsidRDefault="00D64057" w:rsidP="006654AE">
            <w:pPr>
              <w:pStyle w:val="tabletextleft"/>
              <w:jc w:val="left"/>
            </w:pPr>
            <w:r w:rsidRPr="00DF38B2">
              <w:t xml:space="preserve">Aurukun, Hope Vale, Coen, Mossman Gorge, </w:t>
            </w:r>
            <w:r w:rsidR="00B76347" w:rsidRPr="00DF38B2">
              <w:t>(</w:t>
            </w:r>
            <w:r w:rsidRPr="00DF38B2">
              <w:t>Q</w:t>
            </w:r>
            <w:r w:rsidR="00B76347" w:rsidRPr="00DF38B2">
              <w:t>ld)</w:t>
            </w:r>
          </w:p>
        </w:tc>
        <w:tc>
          <w:tcPr>
            <w:tcW w:w="1407" w:type="dxa"/>
          </w:tcPr>
          <w:p w:rsidR="00D64057" w:rsidRPr="00DF38B2" w:rsidRDefault="00BB5643" w:rsidP="006654AE">
            <w:pPr>
              <w:pStyle w:val="tabletextleft"/>
              <w:jc w:val="left"/>
            </w:pPr>
            <w:r w:rsidRPr="00DF38B2">
              <w:t>July 2008</w:t>
            </w:r>
          </w:p>
        </w:tc>
        <w:tc>
          <w:tcPr>
            <w:tcW w:w="2369" w:type="dxa"/>
          </w:tcPr>
          <w:p w:rsidR="00D64057" w:rsidRPr="00DF38B2" w:rsidRDefault="00D64057" w:rsidP="006654AE">
            <w:pPr>
              <w:pStyle w:val="tabletextleft"/>
              <w:jc w:val="left"/>
            </w:pPr>
            <w:r w:rsidRPr="00DF38B2">
              <w:t>CYWRT IM (a)</w:t>
            </w:r>
          </w:p>
        </w:tc>
      </w:tr>
      <w:tr w:rsidR="00D64057" w:rsidRPr="00DF38B2" w:rsidTr="00F157EE">
        <w:tc>
          <w:tcPr>
            <w:tcW w:w="2099" w:type="dxa"/>
          </w:tcPr>
          <w:p w:rsidR="00D64057" w:rsidRPr="00DF38B2" w:rsidRDefault="00D64057" w:rsidP="006654AE">
            <w:pPr>
              <w:pStyle w:val="tabletextleft"/>
              <w:jc w:val="left"/>
            </w:pPr>
            <w:r w:rsidRPr="00DF38B2">
              <w:t>WA trial</w:t>
            </w:r>
          </w:p>
        </w:tc>
        <w:tc>
          <w:tcPr>
            <w:tcW w:w="2063" w:type="dxa"/>
          </w:tcPr>
          <w:p w:rsidR="00D64057" w:rsidRPr="00DF38B2" w:rsidRDefault="00D64057" w:rsidP="006654AE">
            <w:pPr>
              <w:pStyle w:val="tabletextleft"/>
              <w:jc w:val="left"/>
            </w:pPr>
            <w:r w:rsidRPr="00DF38B2">
              <w:t>Kimberly, Perth Metro</w:t>
            </w:r>
            <w:r w:rsidR="000A16CE">
              <w:t xml:space="preserve"> and Peel region</w:t>
            </w:r>
          </w:p>
        </w:tc>
        <w:tc>
          <w:tcPr>
            <w:tcW w:w="1407" w:type="dxa"/>
          </w:tcPr>
          <w:p w:rsidR="00D64057" w:rsidRPr="00DF38B2" w:rsidRDefault="00BB5643" w:rsidP="006654AE">
            <w:pPr>
              <w:pStyle w:val="tabletextleft"/>
              <w:jc w:val="left"/>
            </w:pPr>
            <w:r w:rsidRPr="00DF38B2">
              <w:t>November 2008</w:t>
            </w:r>
          </w:p>
        </w:tc>
        <w:tc>
          <w:tcPr>
            <w:tcW w:w="2369" w:type="dxa"/>
          </w:tcPr>
          <w:p w:rsidR="00D64057" w:rsidRPr="00DF38B2" w:rsidRDefault="00D64057" w:rsidP="006654AE">
            <w:pPr>
              <w:pStyle w:val="tabletextleft"/>
              <w:jc w:val="left"/>
            </w:pPr>
            <w:r w:rsidRPr="00DF38B2">
              <w:t>CPIM, VIM, VWPR</w:t>
            </w:r>
          </w:p>
        </w:tc>
      </w:tr>
      <w:tr w:rsidR="00D64057" w:rsidRPr="00DF38B2" w:rsidTr="00F157EE">
        <w:tc>
          <w:tcPr>
            <w:tcW w:w="2099" w:type="dxa"/>
          </w:tcPr>
          <w:p w:rsidR="00D64057" w:rsidRPr="00DF38B2" w:rsidRDefault="00D64057" w:rsidP="006654AE">
            <w:pPr>
              <w:pStyle w:val="tabletextleft"/>
              <w:jc w:val="left"/>
            </w:pPr>
            <w:r w:rsidRPr="00DF38B2">
              <w:t>Place</w:t>
            </w:r>
            <w:r w:rsidR="005F0611">
              <w:t>-</w:t>
            </w:r>
            <w:r w:rsidRPr="00DF38B2">
              <w:t>Based</w:t>
            </w:r>
            <w:r w:rsidR="00CE4A20">
              <w:t xml:space="preserve"> Income Management</w:t>
            </w:r>
          </w:p>
        </w:tc>
        <w:tc>
          <w:tcPr>
            <w:tcW w:w="2063" w:type="dxa"/>
          </w:tcPr>
          <w:p w:rsidR="00D64057" w:rsidRPr="00DF38B2" w:rsidRDefault="00D64057" w:rsidP="006654AE">
            <w:pPr>
              <w:pStyle w:val="tabletextleft"/>
              <w:jc w:val="left"/>
            </w:pPr>
            <w:r w:rsidRPr="00DF38B2">
              <w:t xml:space="preserve">Bankstown (NSW), Logan (Qld), Rockhampton (Qld), </w:t>
            </w:r>
            <w:proofErr w:type="spellStart"/>
            <w:r w:rsidRPr="00DF38B2">
              <w:t>Playford</w:t>
            </w:r>
            <w:proofErr w:type="spellEnd"/>
            <w:r w:rsidRPr="00DF38B2">
              <w:t xml:space="preserve"> (SA), Greater Shepparton (Vic)</w:t>
            </w:r>
          </w:p>
        </w:tc>
        <w:tc>
          <w:tcPr>
            <w:tcW w:w="1407" w:type="dxa"/>
          </w:tcPr>
          <w:p w:rsidR="00D64057" w:rsidRPr="00DF38B2" w:rsidRDefault="00BB5643" w:rsidP="006654AE">
            <w:pPr>
              <w:pStyle w:val="tabletextleft"/>
              <w:jc w:val="left"/>
            </w:pPr>
            <w:r w:rsidRPr="00DF38B2">
              <w:t>July 2012</w:t>
            </w:r>
          </w:p>
        </w:tc>
        <w:tc>
          <w:tcPr>
            <w:tcW w:w="2369" w:type="dxa"/>
          </w:tcPr>
          <w:p w:rsidR="00D64057" w:rsidRPr="00DF38B2" w:rsidRDefault="00D64057" w:rsidP="006654AE">
            <w:pPr>
              <w:pStyle w:val="tabletextleft"/>
              <w:jc w:val="left"/>
            </w:pPr>
            <w:r w:rsidRPr="00DF38B2">
              <w:t>CPIM, VIM, VWPR (including housing measure in some locations)</w:t>
            </w:r>
          </w:p>
        </w:tc>
      </w:tr>
      <w:tr w:rsidR="00D64057" w:rsidRPr="00DF38B2" w:rsidTr="00F157EE">
        <w:tc>
          <w:tcPr>
            <w:tcW w:w="2099" w:type="dxa"/>
          </w:tcPr>
          <w:p w:rsidR="00D64057" w:rsidRPr="00DF38B2" w:rsidRDefault="00D64057" w:rsidP="006654AE">
            <w:pPr>
              <w:pStyle w:val="tabletextleft"/>
              <w:jc w:val="left"/>
            </w:pPr>
            <w:r w:rsidRPr="00DF38B2">
              <w:t>Anangu Pitjantjatjara Yankunytjatjara (APY) Lands</w:t>
            </w:r>
          </w:p>
        </w:tc>
        <w:tc>
          <w:tcPr>
            <w:tcW w:w="2063" w:type="dxa"/>
          </w:tcPr>
          <w:p w:rsidR="00D64057" w:rsidRPr="00DF38B2" w:rsidRDefault="00D64057" w:rsidP="006654AE">
            <w:pPr>
              <w:pStyle w:val="tabletextleft"/>
              <w:jc w:val="left"/>
            </w:pPr>
            <w:r w:rsidRPr="00DF38B2">
              <w:t xml:space="preserve">APY Lands (SA) </w:t>
            </w:r>
          </w:p>
        </w:tc>
        <w:tc>
          <w:tcPr>
            <w:tcW w:w="1407" w:type="dxa"/>
          </w:tcPr>
          <w:p w:rsidR="00D64057" w:rsidRPr="00DF38B2" w:rsidRDefault="00BB5643" w:rsidP="006654AE">
            <w:pPr>
              <w:pStyle w:val="tabletextleft"/>
              <w:jc w:val="left"/>
            </w:pPr>
            <w:r w:rsidRPr="00DF38B2">
              <w:t>October 2012</w:t>
            </w:r>
          </w:p>
        </w:tc>
        <w:tc>
          <w:tcPr>
            <w:tcW w:w="2369" w:type="dxa"/>
          </w:tcPr>
          <w:p w:rsidR="00D64057" w:rsidRPr="00DF38B2" w:rsidRDefault="00D64057" w:rsidP="006654AE">
            <w:pPr>
              <w:pStyle w:val="tabletextleft"/>
              <w:jc w:val="left"/>
            </w:pPr>
            <w:r w:rsidRPr="00DF38B2">
              <w:t>CPIM(b), VWPR, VIM</w:t>
            </w:r>
          </w:p>
        </w:tc>
      </w:tr>
      <w:tr w:rsidR="00D64057" w:rsidRPr="00DF38B2" w:rsidTr="00F157EE">
        <w:tc>
          <w:tcPr>
            <w:tcW w:w="2099" w:type="dxa"/>
          </w:tcPr>
          <w:p w:rsidR="00D64057" w:rsidRPr="00DF38B2" w:rsidRDefault="00D64057" w:rsidP="006654AE">
            <w:pPr>
              <w:pStyle w:val="tabletextleft"/>
              <w:jc w:val="left"/>
            </w:pPr>
            <w:proofErr w:type="spellStart"/>
            <w:r w:rsidRPr="00DF38B2">
              <w:t>Ngaanyatjarra</w:t>
            </w:r>
            <w:proofErr w:type="spellEnd"/>
            <w:r w:rsidR="00871D1D">
              <w:t xml:space="preserve"> (NG)</w:t>
            </w:r>
            <w:r w:rsidRPr="00DF38B2">
              <w:t xml:space="preserve"> Lands, Laverton and </w:t>
            </w:r>
            <w:proofErr w:type="spellStart"/>
            <w:r w:rsidRPr="00DF38B2">
              <w:t>Kiwirrkurra</w:t>
            </w:r>
            <w:proofErr w:type="spellEnd"/>
          </w:p>
        </w:tc>
        <w:tc>
          <w:tcPr>
            <w:tcW w:w="2063" w:type="dxa"/>
          </w:tcPr>
          <w:p w:rsidR="00D64057" w:rsidRPr="00DF38B2" w:rsidRDefault="00D64057" w:rsidP="006654AE">
            <w:pPr>
              <w:pStyle w:val="tabletextleft"/>
              <w:jc w:val="left"/>
            </w:pPr>
            <w:r w:rsidRPr="00DF38B2">
              <w:t>N</w:t>
            </w:r>
            <w:r w:rsidR="00C60BAA">
              <w:t xml:space="preserve">G </w:t>
            </w:r>
            <w:r w:rsidRPr="00DF38B2">
              <w:t>Lands (WA)</w:t>
            </w:r>
          </w:p>
        </w:tc>
        <w:tc>
          <w:tcPr>
            <w:tcW w:w="1407" w:type="dxa"/>
          </w:tcPr>
          <w:p w:rsidR="00D64057" w:rsidRPr="00DF38B2" w:rsidRDefault="00BB5643" w:rsidP="006654AE">
            <w:pPr>
              <w:pStyle w:val="tabletextleft"/>
              <w:jc w:val="left"/>
            </w:pPr>
            <w:r w:rsidRPr="00DF38B2">
              <w:t>April 2013</w:t>
            </w:r>
          </w:p>
        </w:tc>
        <w:tc>
          <w:tcPr>
            <w:tcW w:w="2369" w:type="dxa"/>
          </w:tcPr>
          <w:p w:rsidR="00D64057" w:rsidRPr="00DF38B2" w:rsidRDefault="00D64057" w:rsidP="006654AE">
            <w:pPr>
              <w:pStyle w:val="tabletextleft"/>
              <w:jc w:val="left"/>
            </w:pPr>
            <w:r w:rsidRPr="00DF38B2">
              <w:t>CPIM(b), VWPR, VIM</w:t>
            </w:r>
          </w:p>
        </w:tc>
      </w:tr>
    </w:tbl>
    <w:p w:rsidR="00851710" w:rsidRPr="00DF38B2" w:rsidRDefault="00D64057" w:rsidP="006654AE">
      <w:pPr>
        <w:pStyle w:val="tablenotes"/>
        <w:ind w:left="1437" w:hanging="870"/>
      </w:pPr>
      <w:r w:rsidRPr="00DF38B2">
        <w:t xml:space="preserve">Note: </w:t>
      </w:r>
      <w:r w:rsidRPr="00DF38B2">
        <w:tab/>
      </w:r>
      <w:r w:rsidR="00851710" w:rsidRPr="00DF38B2">
        <w:t>CIM – Compulsory Income Management; VIM – Voluntary Income Management; CPIM – Child Protection Income Management, VWPR – Vulnerable Welfare Payment Recipients Income Management; SPAR – Supporting People at Risk Income Management;</w:t>
      </w:r>
      <w:r w:rsidR="00B84AFE">
        <w:t xml:space="preserve"> </w:t>
      </w:r>
      <w:r w:rsidR="00851710" w:rsidRPr="00DF38B2">
        <w:t>CYWRT IM Cape York Welfare Reform Trial Income Management</w:t>
      </w:r>
    </w:p>
    <w:p w:rsidR="00851710" w:rsidRPr="00DF38B2" w:rsidRDefault="00851710" w:rsidP="006654AE">
      <w:pPr>
        <w:pStyle w:val="tablenotes"/>
        <w:ind w:left="1437" w:hanging="870"/>
      </w:pPr>
      <w:r w:rsidRPr="00DF38B2">
        <w:t>(a)</w:t>
      </w:r>
      <w:r w:rsidRPr="00DF38B2">
        <w:tab/>
      </w:r>
      <w:r w:rsidR="00D64057" w:rsidRPr="00DF38B2">
        <w:t xml:space="preserve">Cape York Welfare Reform Trial </w:t>
      </w:r>
      <w:r w:rsidRPr="00DF38B2">
        <w:t>I</w:t>
      </w:r>
      <w:r w:rsidR="00D64057" w:rsidRPr="00DF38B2">
        <w:t xml:space="preserve">ncome </w:t>
      </w:r>
      <w:r w:rsidRPr="00DF38B2">
        <w:t>M</w:t>
      </w:r>
      <w:r w:rsidR="00D64057" w:rsidRPr="00DF38B2">
        <w:t>anagement is a form of targeted income management where</w:t>
      </w:r>
      <w:r w:rsidR="005F0611">
        <w:t>by</w:t>
      </w:r>
      <w:r w:rsidR="00D64057" w:rsidRPr="00DF38B2">
        <w:t xml:space="preserve"> decisions relating to placing a person on income management are made by an independent family responsibilities commission. </w:t>
      </w:r>
    </w:p>
    <w:p w:rsidR="00D64057" w:rsidRPr="00DF38B2" w:rsidRDefault="00851710" w:rsidP="006654AE">
      <w:pPr>
        <w:pStyle w:val="tablenotes"/>
        <w:ind w:left="1437" w:hanging="870"/>
      </w:pPr>
      <w:r w:rsidRPr="00DF38B2">
        <w:t>(b)</w:t>
      </w:r>
      <w:r w:rsidRPr="00DF38B2">
        <w:tab/>
      </w:r>
      <w:r w:rsidR="00D64057" w:rsidRPr="00DF38B2">
        <w:t xml:space="preserve">CPIM is legislated for but not used in the APY and </w:t>
      </w:r>
      <w:r w:rsidR="00871D1D" w:rsidRPr="00DF38B2">
        <w:t>N</w:t>
      </w:r>
      <w:r w:rsidR="00871D1D">
        <w:t>G</w:t>
      </w:r>
      <w:r w:rsidR="00871D1D" w:rsidRPr="00DF38B2">
        <w:t xml:space="preserve"> </w:t>
      </w:r>
      <w:r w:rsidR="00D64057" w:rsidRPr="00DF38B2">
        <w:t>Lands</w:t>
      </w:r>
    </w:p>
    <w:p w:rsidR="00D64057" w:rsidRDefault="00D64057" w:rsidP="006654AE">
      <w:pPr>
        <w:pStyle w:val="tablenotes"/>
        <w:ind w:left="1437" w:hanging="870"/>
        <w:jc w:val="left"/>
      </w:pPr>
      <w:r w:rsidRPr="00DF38B2">
        <w:t xml:space="preserve">Source: </w:t>
      </w:r>
      <w:r w:rsidRPr="00DF38B2">
        <w:tab/>
      </w:r>
      <w:hyperlink r:id="rId27" w:history="1">
        <w:r w:rsidRPr="005F0611">
          <w:t>http://www.dss.gov.au/our-responsibilities/families-and-children/programs-services/income-management</w:t>
        </w:r>
      </w:hyperlink>
      <w:r w:rsidR="00C61A58">
        <w:t>.</w:t>
      </w:r>
    </w:p>
    <w:p w:rsidR="00296744" w:rsidRPr="00DF38B2" w:rsidRDefault="00296744" w:rsidP="006654AE">
      <w:pPr>
        <w:pStyle w:val="tablefootnoteslastline"/>
      </w:pPr>
    </w:p>
    <w:p w:rsidR="00D64057" w:rsidRPr="00DF38B2" w:rsidRDefault="00D64057" w:rsidP="006654AE">
      <w:r w:rsidRPr="00DF38B2">
        <w:t xml:space="preserve">As can be seen in </w:t>
      </w:r>
      <w:r w:rsidR="002B3CEA">
        <w:fldChar w:fldCharType="begin"/>
      </w:r>
      <w:r w:rsidR="002B3CEA">
        <w:instrText xml:space="preserve"> REF _Ref399532699 \h </w:instrText>
      </w:r>
      <w:r w:rsidR="002B3CEA">
        <w:fldChar w:fldCharType="separate"/>
      </w:r>
      <w:r w:rsidR="00906D13" w:rsidRPr="00DF38B2">
        <w:t xml:space="preserve">Table </w:t>
      </w:r>
      <w:r w:rsidR="00906D13">
        <w:rPr>
          <w:noProof/>
        </w:rPr>
        <w:t>1</w:t>
      </w:r>
      <w:r w:rsidR="00906D13">
        <w:noBreakHyphen/>
      </w:r>
      <w:r w:rsidR="00906D13">
        <w:rPr>
          <w:noProof/>
        </w:rPr>
        <w:t>2</w:t>
      </w:r>
      <w:r w:rsidR="002B3CEA">
        <w:fldChar w:fldCharType="end"/>
      </w:r>
      <w:r w:rsidR="002B3CEA">
        <w:t xml:space="preserve"> </w:t>
      </w:r>
      <w:r w:rsidRPr="00DF38B2">
        <w:t>the major difference between income management in the Northern Territory and these other locations is that it is only in the Northern Territory that compulsory, as opposed to targeted vulnerable and child protection</w:t>
      </w:r>
      <w:r w:rsidR="005F0611">
        <w:t xml:space="preserve"> that</w:t>
      </w:r>
      <w:r w:rsidRPr="00DF38B2">
        <w:t xml:space="preserve"> mandatory income management is applied.</w:t>
      </w:r>
    </w:p>
    <w:p w:rsidR="0027478A" w:rsidRPr="00DF38B2" w:rsidRDefault="0027478A" w:rsidP="006654AE">
      <w:pPr>
        <w:pStyle w:val="Heading2"/>
      </w:pPr>
      <w:bookmarkStart w:id="27" w:name="_Toc321225092"/>
      <w:bookmarkStart w:id="28" w:name="_Toc321254436"/>
      <w:bookmarkStart w:id="29" w:name="_Toc321761578"/>
      <w:bookmarkStart w:id="30" w:name="_Toc328601458"/>
      <w:bookmarkStart w:id="31" w:name="_Toc329927904"/>
      <w:bookmarkStart w:id="32" w:name="_Toc403738958"/>
      <w:r w:rsidRPr="00DF38B2">
        <w:t>Existing research and evaluation of income management in the N</w:t>
      </w:r>
      <w:r w:rsidR="00A360E4" w:rsidRPr="00DF38B2">
        <w:t xml:space="preserve">orthern </w:t>
      </w:r>
      <w:r w:rsidRPr="00DF38B2">
        <w:t>T</w:t>
      </w:r>
      <w:bookmarkEnd w:id="27"/>
      <w:bookmarkEnd w:id="28"/>
      <w:bookmarkEnd w:id="29"/>
      <w:bookmarkEnd w:id="30"/>
      <w:bookmarkEnd w:id="31"/>
      <w:r w:rsidR="00A360E4" w:rsidRPr="00DF38B2">
        <w:t>erritory</w:t>
      </w:r>
      <w:bookmarkEnd w:id="32"/>
    </w:p>
    <w:p w:rsidR="0027478A" w:rsidRPr="00DF38B2" w:rsidRDefault="0027478A" w:rsidP="006654AE">
      <w:r w:rsidRPr="00DF38B2">
        <w:t>There are a number of research studies and government reviews that provide information about income management in the Northern Territory. Most of this work relates entirely or primarily to NTER I</w:t>
      </w:r>
      <w:r w:rsidR="00734EA8" w:rsidRPr="00DF38B2">
        <w:t xml:space="preserve">ncome </w:t>
      </w:r>
      <w:r w:rsidRPr="00DF38B2">
        <w:t>M</w:t>
      </w:r>
      <w:r w:rsidR="00734EA8" w:rsidRPr="00DF38B2">
        <w:t>anagement</w:t>
      </w:r>
      <w:r w:rsidRPr="00DF38B2">
        <w:t xml:space="preserve">, with relatively little research on </w:t>
      </w:r>
      <w:r w:rsidR="00D31F1D" w:rsidRPr="00DF38B2">
        <w:t>New Income Management</w:t>
      </w:r>
      <w:r w:rsidRPr="00DF38B2">
        <w:t>. Most of the work was undertaken as part of research into the impact of the broader NTER, thus the outcomes examined are generally linked to the NTER as a whole and not specifically to income management. In addition, the research on the NTER does not tend to compare changes in the NTER areas with other locations or individuals. This section provides a brief overview of selected research and evaluation on income management; it does not attempt to provide a comprehensive review.</w:t>
      </w:r>
      <w:r w:rsidR="00A900A8" w:rsidRPr="00DF38B2">
        <w:t xml:space="preserve"> </w:t>
      </w:r>
      <w:r w:rsidRPr="00DF38B2">
        <w:t>The existing studies on income management in the Northern Territory have provided useful data</w:t>
      </w:r>
      <w:r w:rsidR="0060160E" w:rsidRPr="00DF38B2">
        <w:t>. H</w:t>
      </w:r>
      <w:r w:rsidRPr="00DF38B2">
        <w:t>owever, they are either small-scale or are focused on very specific aspects of income management.</w:t>
      </w:r>
    </w:p>
    <w:p w:rsidR="0027478A" w:rsidRPr="00DF38B2" w:rsidRDefault="0027478A" w:rsidP="006654AE">
      <w:r w:rsidRPr="009655C3">
        <w:t xml:space="preserve">One of the key existing evaluations is </w:t>
      </w:r>
      <w:r w:rsidRPr="009655C3">
        <w:rPr>
          <w:i/>
        </w:rPr>
        <w:t>The Northern Territory Emergency Response Evaluation Report 2011</w:t>
      </w:r>
      <w:r w:rsidRPr="00DF38B2">
        <w:t xml:space="preserve"> (FaHCSIA</w:t>
      </w:r>
      <w:r w:rsidR="005F0611">
        <w:t>,</w:t>
      </w:r>
      <w:r w:rsidR="0060160E" w:rsidRPr="00DF38B2">
        <w:t xml:space="preserve"> 2011</w:t>
      </w:r>
      <w:r w:rsidR="00E41C0E">
        <w:t>a</w:t>
      </w:r>
      <w:r w:rsidRPr="00DF38B2">
        <w:t>)</w:t>
      </w:r>
      <w:r w:rsidRPr="00DF38B2">
        <w:rPr>
          <w:i/>
        </w:rPr>
        <w:t xml:space="preserve">. </w:t>
      </w:r>
      <w:r w:rsidRPr="00DF38B2">
        <w:t xml:space="preserve">The report provides an evaluation of the NTER and its impacts, and includes some </w:t>
      </w:r>
      <w:r w:rsidRPr="00DF38B2">
        <w:lastRenderedPageBreak/>
        <w:t>limited information on income management. The key findings about income management (largely NTER I</w:t>
      </w:r>
      <w:r w:rsidR="00734EA8" w:rsidRPr="00DF38B2">
        <w:t xml:space="preserve">ncome </w:t>
      </w:r>
      <w:r w:rsidRPr="00DF38B2">
        <w:t>M</w:t>
      </w:r>
      <w:r w:rsidR="00734EA8" w:rsidRPr="00DF38B2">
        <w:t>anagement</w:t>
      </w:r>
      <w:r w:rsidRPr="00DF38B2">
        <w:t>) are:</w:t>
      </w:r>
    </w:p>
    <w:p w:rsidR="00734EA8" w:rsidRPr="00DF38B2" w:rsidRDefault="00734EA8" w:rsidP="006654AE">
      <w:pPr>
        <w:pStyle w:val="dot"/>
      </w:pPr>
      <w:r w:rsidRPr="00DF38B2">
        <w:t>while there are mixed views about income management in the NTER communities, there are many people who believe that income management was bringing about positive outcomes, especially for children</w:t>
      </w:r>
    </w:p>
    <w:p w:rsidR="00734EA8" w:rsidRPr="00DF38B2" w:rsidRDefault="00734EA8" w:rsidP="006654AE">
      <w:pPr>
        <w:pStyle w:val="dot"/>
      </w:pPr>
      <w:r w:rsidRPr="00DF38B2">
        <w:t xml:space="preserve">generally income management was viewed more favourably </w:t>
      </w:r>
      <w:r w:rsidR="005F0611">
        <w:t xml:space="preserve">– </w:t>
      </w:r>
      <w:r w:rsidRPr="00DF38B2">
        <w:t>or less negatively</w:t>
      </w:r>
      <w:r w:rsidR="005F0611">
        <w:t xml:space="preserve"> –</w:t>
      </w:r>
      <w:r w:rsidRPr="00DF38B2">
        <w:t xml:space="preserve"> by women than men</w:t>
      </w:r>
    </w:p>
    <w:p w:rsidR="00734EA8" w:rsidRPr="00DF38B2" w:rsidRDefault="00734EA8" w:rsidP="006654AE">
      <w:pPr>
        <w:pStyle w:val="dot"/>
      </w:pPr>
      <w:r w:rsidRPr="00DF38B2">
        <w:t>some of those subject to income management felt shame and stigma</w:t>
      </w:r>
    </w:p>
    <w:p w:rsidR="00734EA8" w:rsidRPr="00DF38B2" w:rsidRDefault="00734EA8" w:rsidP="006654AE">
      <w:pPr>
        <w:pStyle w:val="dot"/>
      </w:pPr>
      <w:r w:rsidRPr="00DF38B2">
        <w:t>the way in which income management was initially implemented under the NTER as a universal measure in prescribed communities without consultation, and requiring the suspension of the Racial Discrimination Act, caused anger</w:t>
      </w:r>
    </w:p>
    <w:p w:rsidR="00734EA8" w:rsidRPr="00DF38B2" w:rsidRDefault="00734EA8" w:rsidP="006654AE">
      <w:pPr>
        <w:pStyle w:val="dot"/>
      </w:pPr>
      <w:proofErr w:type="gramStart"/>
      <w:r w:rsidRPr="00DF38B2">
        <w:t>there</w:t>
      </w:r>
      <w:proofErr w:type="gramEnd"/>
      <w:r w:rsidRPr="00DF38B2">
        <w:t xml:space="preserve"> are practical difficulties in using the BasicsCard</w:t>
      </w:r>
      <w:r w:rsidR="005F0611">
        <w:t>,</w:t>
      </w:r>
      <w:r w:rsidRPr="00DF38B2">
        <w:t xml:space="preserve"> including that it is not accepted by all retailers</w:t>
      </w:r>
      <w:r w:rsidR="0060160E" w:rsidRPr="00DF38B2">
        <w:t xml:space="preserve">; </w:t>
      </w:r>
      <w:r w:rsidRPr="00DF38B2">
        <w:t>it could be difficult for people to know their BasicsCard balances</w:t>
      </w:r>
      <w:r w:rsidR="005F0611">
        <w:t>,</w:t>
      </w:r>
      <w:r w:rsidRPr="00DF38B2">
        <w:t xml:space="preserve"> and it made travel more difficult. </w:t>
      </w:r>
    </w:p>
    <w:p w:rsidR="0027478A" w:rsidRPr="00FE502F" w:rsidRDefault="0027478A" w:rsidP="006654AE">
      <w:r w:rsidRPr="00DF38B2">
        <w:t>A study by the Equality Rights Alliance (2011)</w:t>
      </w:r>
      <w:r w:rsidR="005F0611">
        <w:t xml:space="preserve"> –</w:t>
      </w:r>
      <w:r w:rsidRPr="00DF38B2">
        <w:t xml:space="preserve"> which focused on women’s experience of income management in the Northern Territory</w:t>
      </w:r>
      <w:r w:rsidR="005F0611">
        <w:t xml:space="preserve">, </w:t>
      </w:r>
      <w:r w:rsidRPr="00DF38B2">
        <w:t>including N</w:t>
      </w:r>
      <w:r w:rsidR="00C32D5A">
        <w:t xml:space="preserve">ew </w:t>
      </w:r>
      <w:r w:rsidRPr="00DF38B2">
        <w:t>I</w:t>
      </w:r>
      <w:r w:rsidR="00C32D5A">
        <w:t xml:space="preserve">ncome </w:t>
      </w:r>
      <w:r w:rsidRPr="00DF38B2">
        <w:t>M</w:t>
      </w:r>
      <w:r w:rsidR="00C32D5A">
        <w:t>anagement</w:t>
      </w:r>
      <w:r w:rsidRPr="00DF38B2">
        <w:t>)</w:t>
      </w:r>
      <w:r w:rsidR="005F0611">
        <w:t xml:space="preserve"> –</w:t>
      </w:r>
      <w:r w:rsidRPr="00DF38B2">
        <w:t xml:space="preserve"> was much more negative in its conclusion. This small-scale study involved group discussions and a survey of 168 women with direct experience of income management. The study found that many people had difficulties in understanding and using the BasicsCard, that most women thought the BasicsCard had not changed what they buy, had no effect on safety</w:t>
      </w:r>
      <w:r w:rsidR="005F0611">
        <w:t>,</w:t>
      </w:r>
      <w:r w:rsidRPr="00DF38B2">
        <w:t xml:space="preserve"> and that </w:t>
      </w:r>
      <w:r w:rsidR="00176C99" w:rsidRPr="00176C99">
        <w:t>“</w:t>
      </w:r>
      <w:r w:rsidRPr="00176C99">
        <w:t>Centrelink and others in their community do not have respect for them, or consider them to be less competent with money or as parents, because they have a BasicsCard</w:t>
      </w:r>
      <w:r w:rsidR="00176C99">
        <w:t>”</w:t>
      </w:r>
      <w:r w:rsidRPr="00DF38B2">
        <w:t xml:space="preserve"> (Equality Rights Alliance, 2011, p. 40). There was, however, a substantial minority of women who reported that income management had helped them to save money (22 per cent), made it easier to look after their family (23 per cent), had made them safer (28 per cent), and had reduced ‘humbugging’.</w:t>
      </w:r>
      <w:r w:rsidRPr="00DF38B2">
        <w:rPr>
          <w:vertAlign w:val="superscript"/>
        </w:rPr>
        <w:footnoteReference w:id="11"/>
      </w:r>
      <w:r w:rsidRPr="00DF38B2">
        <w:t xml:space="preserve"> While this study produces some insightful analysis, the scale and non-random natu</w:t>
      </w:r>
      <w:r w:rsidRPr="00FE502F">
        <w:t>re of the sample means that the findings cannot be generalised as an overall population response.</w:t>
      </w:r>
    </w:p>
    <w:p w:rsidR="0027478A" w:rsidRPr="00DF38B2" w:rsidRDefault="0027478A" w:rsidP="006654AE">
      <w:r w:rsidRPr="009655C3">
        <w:t>An early study of NTER I</w:t>
      </w:r>
      <w:r w:rsidR="00A360E4" w:rsidRPr="009655C3">
        <w:t xml:space="preserve">ncome </w:t>
      </w:r>
      <w:r w:rsidRPr="00DF38B2">
        <w:t>M</w:t>
      </w:r>
      <w:r w:rsidR="00A360E4" w:rsidRPr="00DF38B2">
        <w:t>anagement</w:t>
      </w:r>
      <w:r w:rsidR="00D71304" w:rsidRPr="00DF38B2">
        <w:t xml:space="preserve"> </w:t>
      </w:r>
      <w:r w:rsidRPr="00DF38B2">
        <w:t xml:space="preserve">was undertaken by the Australian Institute of Health and Welfare (AIHW, 2010). The AIHW study was based upon a range of data, including information collected from a relatively small number of people subject to income management (76 were interviewed); stakeholder consultations; and surveys of store operators (merchants) and Government Business Managers. The AIHW evaluation report found evidence </w:t>
      </w:r>
      <w:r w:rsidR="003A0928">
        <w:t xml:space="preserve">– </w:t>
      </w:r>
      <w:r w:rsidRPr="00DF38B2">
        <w:t>classified by AIHW as evidence at the weaker end of the evidence hierarchy</w:t>
      </w:r>
      <w:r w:rsidR="003A0928">
        <w:t xml:space="preserve"> –</w:t>
      </w:r>
      <w:r w:rsidRPr="00DF38B2">
        <w:t xml:space="preserve"> that while there were mixed views about income management, more were positive than negative. It also reported that there were some improvements in child health</w:t>
      </w:r>
      <w:r w:rsidR="003A0928">
        <w:t>,</w:t>
      </w:r>
      <w:r w:rsidRPr="00DF38B2">
        <w:t xml:space="preserve"> community wellbeing, </w:t>
      </w:r>
      <w:r w:rsidR="003A0928">
        <w:t xml:space="preserve">and </w:t>
      </w:r>
      <w:r w:rsidRPr="00DF38B2">
        <w:t>financial management skills</w:t>
      </w:r>
      <w:r w:rsidR="003A0928">
        <w:t>,</w:t>
      </w:r>
      <w:r w:rsidRPr="00DF38B2">
        <w:t xml:space="preserve"> and </w:t>
      </w:r>
      <w:r w:rsidR="003A0928">
        <w:t xml:space="preserve">that </w:t>
      </w:r>
      <w:r w:rsidRPr="00DF38B2">
        <w:t>more money was being spent on food and less on the excluded items.</w:t>
      </w:r>
    </w:p>
    <w:p w:rsidR="0027478A" w:rsidRPr="009655C3" w:rsidRDefault="0027478A" w:rsidP="006654AE">
      <w:r w:rsidRPr="00DF38B2">
        <w:t>Two other studies have used store expenditure data for selected communities to examine whether there is evidence of income management having had an impact on expenditure patterns in the store.</w:t>
      </w:r>
      <w:r w:rsidRPr="00DF38B2">
        <w:rPr>
          <w:vertAlign w:val="superscript"/>
        </w:rPr>
        <w:footnoteReference w:id="12"/>
      </w:r>
      <w:r w:rsidRPr="00DF38B2">
        <w:t xml:space="preserve"> The Central Land Council (CLC), using data for a single store in a remote Indigenous community, found an increase in spending on food and a decrease in expenditure on tobacco following the introduction of NTER I</w:t>
      </w:r>
      <w:r w:rsidR="00A360E4" w:rsidRPr="00DF38B2">
        <w:t xml:space="preserve">ncome </w:t>
      </w:r>
      <w:r w:rsidRPr="00FE502F">
        <w:t>M</w:t>
      </w:r>
      <w:r w:rsidR="00A360E4" w:rsidRPr="009655C3">
        <w:t>anagement</w:t>
      </w:r>
      <w:r w:rsidRPr="009655C3">
        <w:t xml:space="preserve"> (CLC, 2008). </w:t>
      </w:r>
      <w:proofErr w:type="spellStart"/>
      <w:r w:rsidRPr="009655C3">
        <w:t>Brimblecombe</w:t>
      </w:r>
      <w:proofErr w:type="spellEnd"/>
      <w:r w:rsidRPr="009655C3">
        <w:t xml:space="preserve"> et al. (2010), using data from ten Arnhem Land Progress Aboriginal Corporation (ALPA) stores over the period 2006 to 2009, concluded that the introduction had no impact upo</w:t>
      </w:r>
      <w:r w:rsidRPr="00DF38B2">
        <w:t>n expenditure patterns in the ten ALPA stores.</w:t>
      </w:r>
      <w:r w:rsidRPr="00DF38B2">
        <w:rPr>
          <w:vertAlign w:val="superscript"/>
        </w:rPr>
        <w:footnoteReference w:id="13"/>
      </w:r>
      <w:r w:rsidR="00D31F1D" w:rsidRPr="00DF38B2">
        <w:t xml:space="preserve"> </w:t>
      </w:r>
      <w:r w:rsidRPr="00DF38B2">
        <w:t xml:space="preserve">In Chapter </w:t>
      </w:r>
      <w:r w:rsidR="00A360E4" w:rsidRPr="00FE502F">
        <w:t>6</w:t>
      </w:r>
      <w:r w:rsidRPr="009655C3">
        <w:t xml:space="preserve"> this report takes a much larger </w:t>
      </w:r>
      <w:r w:rsidRPr="009655C3">
        <w:lastRenderedPageBreak/>
        <w:t>sample of expenditure data, not only from ALPA stores but from a range of providers across the N</w:t>
      </w:r>
      <w:r w:rsidR="00407AEF">
        <w:t xml:space="preserve">orthern </w:t>
      </w:r>
      <w:r w:rsidRPr="009655C3">
        <w:t>T</w:t>
      </w:r>
      <w:r w:rsidR="00407AEF">
        <w:t>erritory</w:t>
      </w:r>
      <w:r w:rsidRPr="009655C3">
        <w:t xml:space="preserve">, as well as detailed records of expenditure on the BasicsCard to examine the impact of </w:t>
      </w:r>
      <w:r w:rsidR="005E4CAC">
        <w:t>income management</w:t>
      </w:r>
      <w:r w:rsidRPr="009655C3">
        <w:t xml:space="preserve"> on expenditure patterns.</w:t>
      </w:r>
    </w:p>
    <w:p w:rsidR="0027478A" w:rsidRPr="00DF38B2" w:rsidRDefault="0027478A" w:rsidP="006654AE">
      <w:r w:rsidRPr="00DF38B2">
        <w:t>A major review of the NTER was undertaken in 2008 by the NTER Review Board (Yu, Duncan &amp; Gray, 2008).</w:t>
      </w:r>
      <w:r w:rsidRPr="00DF38B2">
        <w:rPr>
          <w:vertAlign w:val="superscript"/>
        </w:rPr>
        <w:t xml:space="preserve"> </w:t>
      </w:r>
      <w:r w:rsidRPr="00DF38B2">
        <w:t>In relation to income management in the Northern Territory, the Review Board found that there were a range of competing vi</w:t>
      </w:r>
      <w:r w:rsidRPr="00FE502F">
        <w:t xml:space="preserve">ews about its value and impact. They also found that some Aboriginal people living or shopping in the major regional centres </w:t>
      </w:r>
      <w:r w:rsidR="00176C99" w:rsidRPr="00176C99">
        <w:t>“</w:t>
      </w:r>
      <w:r w:rsidRPr="00176C99">
        <w:t>experienced frustration, embarrassment, humiliation and overt racism because of the difficulties associated with acquiring and using store cards</w:t>
      </w:r>
      <w:r w:rsidR="00176C99" w:rsidRPr="00176C99">
        <w:t>”</w:t>
      </w:r>
      <w:r w:rsidRPr="00176C99">
        <w:t xml:space="preserve"> (Yu, Duncan &amp; Gray, 2008, p. 20). However, they also found that many people </w:t>
      </w:r>
      <w:r w:rsidR="00176C99" w:rsidRPr="00176C99">
        <w:t>“</w:t>
      </w:r>
      <w:r w:rsidRPr="00176C99">
        <w:t>believed that income management provided a new opportunity to manage their income and family budgets in a way that they wanted to see continue</w:t>
      </w:r>
      <w:r w:rsidR="00176C99" w:rsidRPr="00176C99">
        <w:t>”</w:t>
      </w:r>
      <w:r w:rsidRPr="00176C99">
        <w:t xml:space="preserve">, and that there was some evidence for the view that a </w:t>
      </w:r>
      <w:r w:rsidR="00176C99" w:rsidRPr="00176C99">
        <w:t>“</w:t>
      </w:r>
      <w:r w:rsidRPr="00176C99">
        <w:t>substantial number of families and children had benefited from income management</w:t>
      </w:r>
      <w:r w:rsidR="00176C99" w:rsidRPr="00176C99">
        <w:t>”</w:t>
      </w:r>
      <w:r w:rsidRPr="00DF38B2">
        <w:t xml:space="preserve"> (Yu, Duncan &amp; Gray, 2008, p. 21).</w:t>
      </w:r>
    </w:p>
    <w:p w:rsidR="0027478A" w:rsidRPr="00DF38B2" w:rsidRDefault="0027478A" w:rsidP="006654AE">
      <w:r w:rsidRPr="00DF38B2">
        <w:t>I</w:t>
      </w:r>
      <w:r w:rsidR="00176C99">
        <w:t>n this regard i</w:t>
      </w:r>
      <w:r w:rsidRPr="00DF38B2">
        <w:t>t is interesting to note the Review Board report:</w:t>
      </w:r>
    </w:p>
    <w:p w:rsidR="005B7E72" w:rsidRPr="00DF38B2" w:rsidRDefault="005B7E72" w:rsidP="006654AE">
      <w:pPr>
        <w:pStyle w:val="indent"/>
      </w:pPr>
      <w:r w:rsidRPr="00DF38B2">
        <w:t>The most common view expressed in consultations, however, was that if people wanted to take advantage of a voluntary income management scheme they should be allowed to do so. There was also general support for the notion that income management should be made compulsory for those who had demonstrated in some way that they were not meeting their family or community responsibilities, especially if the wellbeing of children was at risk or if alcohol and drugs were being abused to the detriment of the community (Yu, Duncan &amp; Gray, 2008, p. 21).</w:t>
      </w:r>
    </w:p>
    <w:p w:rsidR="00A360E4" w:rsidRPr="00DF38B2" w:rsidRDefault="00A360E4" w:rsidP="006654AE">
      <w:r w:rsidRPr="00DF38B2">
        <w:t xml:space="preserve">The </w:t>
      </w:r>
      <w:r w:rsidRPr="000C5418">
        <w:rPr>
          <w:i/>
        </w:rPr>
        <w:t>Northern Territory Emergency Response Evalua</w:t>
      </w:r>
      <w:r w:rsidR="008463FC" w:rsidRPr="000C5418">
        <w:rPr>
          <w:i/>
        </w:rPr>
        <w:t>tion Report 2011</w:t>
      </w:r>
      <w:r w:rsidR="008463FC" w:rsidRPr="00DF38B2">
        <w:t xml:space="preserve"> (FaHCSIA, 2011</w:t>
      </w:r>
      <w:r w:rsidR="00F40C29">
        <w:t>a</w:t>
      </w:r>
      <w:r w:rsidRPr="00DF38B2">
        <w:t xml:space="preserve">) provides detailed information on the trends in many of the aggregate outcomes up to and including 2010. For some of the outcome measures there has been little change, including for school attendance. However, there has been some improvement </w:t>
      </w:r>
      <w:r w:rsidR="00C60BAA">
        <w:t>in</w:t>
      </w:r>
      <w:r w:rsidRPr="00DF38B2">
        <w:t xml:space="preserve"> reading </w:t>
      </w:r>
      <w:r w:rsidR="00C60BAA">
        <w:t>achievement for</w:t>
      </w:r>
      <w:r w:rsidRPr="00DF38B2">
        <w:t xml:space="preserve"> year 3 </w:t>
      </w:r>
      <w:r w:rsidR="00C60BAA">
        <w:t xml:space="preserve">students </w:t>
      </w:r>
      <w:r w:rsidRPr="00DF38B2">
        <w:t xml:space="preserve">(NAPLAN), children’s hearing, as well as a decline in middle ear conditions and reductions in the proportion of children with anaemia or who are underweight. </w:t>
      </w:r>
    </w:p>
    <w:p w:rsidR="00A360E4" w:rsidRPr="00DF38B2" w:rsidRDefault="00A360E4" w:rsidP="006654AE">
      <w:r w:rsidRPr="00DF38B2">
        <w:t>In June 2012 the Commonwealth Ombudsman reported on decision</w:t>
      </w:r>
      <w:r w:rsidR="003A0928">
        <w:t>-</w:t>
      </w:r>
      <w:r w:rsidRPr="00DF38B2">
        <w:t>making in relation to the Financial Vulnerability Exemption test and under the Vulnerable Welfare Payment Recipient measure (Commonwealth Ombudsman, 2012a). This contained 20 recommendations. The Ombudsman reported that these were all accepted and they were intending to review progress in three months’ time (</w:t>
      </w:r>
      <w:r w:rsidR="000C5418">
        <w:t xml:space="preserve">Commonwealth </w:t>
      </w:r>
      <w:r w:rsidRPr="00DF38B2">
        <w:t xml:space="preserve">Ombudsman, 2012b). This </w:t>
      </w:r>
      <w:r w:rsidR="00A900A8" w:rsidRPr="00DF38B2">
        <w:t xml:space="preserve">is further </w:t>
      </w:r>
      <w:r w:rsidR="00463742" w:rsidRPr="00DF38B2">
        <w:t xml:space="preserve">noted </w:t>
      </w:r>
      <w:r w:rsidR="00A900A8" w:rsidRPr="00DF38B2">
        <w:t>in Chapter</w:t>
      </w:r>
      <w:r w:rsidR="00463742" w:rsidRPr="00DF38B2">
        <w:t>s</w:t>
      </w:r>
      <w:r w:rsidR="00A900A8" w:rsidRPr="00DF38B2">
        <w:t xml:space="preserve"> </w:t>
      </w:r>
      <w:r w:rsidR="00463742" w:rsidRPr="00DF38B2">
        <w:t>5 and 12</w:t>
      </w:r>
      <w:r w:rsidRPr="00DF38B2">
        <w:t>.</w:t>
      </w:r>
    </w:p>
    <w:p w:rsidR="00FA269F" w:rsidRPr="00DF38B2" w:rsidRDefault="00FA269F" w:rsidP="006654AE">
      <w:r w:rsidRPr="00DF38B2">
        <w:t xml:space="preserve">The Australian National Audit Office undertook a performance audit of the effectiveness of </w:t>
      </w:r>
      <w:r w:rsidR="003A0928" w:rsidRPr="00DF38B2">
        <w:t xml:space="preserve">administration </w:t>
      </w:r>
      <w:r w:rsidRPr="00DF38B2">
        <w:t>of New Income Management in the Northern Territory</w:t>
      </w:r>
      <w:r w:rsidR="00574ADE">
        <w:t xml:space="preserve"> </w:t>
      </w:r>
      <w:r w:rsidR="003A0928">
        <w:t xml:space="preserve">by </w:t>
      </w:r>
      <w:r w:rsidR="00574ADE">
        <w:t>DSS</w:t>
      </w:r>
      <w:r w:rsidR="003A0928" w:rsidRPr="00DF38B2">
        <w:t xml:space="preserve"> and DHS</w:t>
      </w:r>
      <w:r w:rsidRPr="00DF38B2">
        <w:t>. This report makes a number of</w:t>
      </w:r>
      <w:r w:rsidR="003C14F9" w:rsidRPr="00DF38B2">
        <w:t xml:space="preserve"> findings </w:t>
      </w:r>
      <w:r w:rsidRPr="00DF38B2">
        <w:t>about the administration of New Income Management</w:t>
      </w:r>
      <w:r w:rsidR="003C14F9" w:rsidRPr="00DF38B2">
        <w:t xml:space="preserve"> and makes two recommendations regarding monitoring of the performance of New Income Management</w:t>
      </w:r>
      <w:r w:rsidR="00A1421A">
        <w:t xml:space="preserve">. </w:t>
      </w:r>
      <w:r w:rsidR="003C14F9" w:rsidRPr="00DF38B2">
        <w:t xml:space="preserve">The Australian National Audit </w:t>
      </w:r>
      <w:r w:rsidR="00C60BAA">
        <w:t>O</w:t>
      </w:r>
      <w:r w:rsidR="003C14F9" w:rsidRPr="00DF38B2">
        <w:t xml:space="preserve">ffice reports also notes </w:t>
      </w:r>
      <w:r w:rsidRPr="00DF38B2">
        <w:t>that</w:t>
      </w:r>
      <w:r w:rsidR="00DB2253">
        <w:t>:</w:t>
      </w:r>
    </w:p>
    <w:p w:rsidR="00100D07" w:rsidRPr="00DF38B2" w:rsidRDefault="003C14F9" w:rsidP="006654AE">
      <w:pPr>
        <w:pStyle w:val="indent"/>
      </w:pPr>
      <w:proofErr w:type="gramStart"/>
      <w:r w:rsidRPr="00DF38B2">
        <w:t>the</w:t>
      </w:r>
      <w:proofErr w:type="gramEnd"/>
      <w:r w:rsidR="00FA269F" w:rsidRPr="00DF38B2">
        <w:t xml:space="preserve"> nature of the practical operation of Income Management, such as the facilitation of bill payment arrangements, means that there is an inherent risk that instead of developing</w:t>
      </w:r>
      <w:r w:rsidR="00FA269F" w:rsidRPr="00DF38B2" w:rsidDel="00FA269F">
        <w:t xml:space="preserve"> </w:t>
      </w:r>
      <w:r w:rsidR="00FA269F" w:rsidRPr="00DF38B2">
        <w:t>budgeting skills, customers may come to rely on DHS and choose to remain on Income Management</w:t>
      </w:r>
      <w:r w:rsidR="00FA269F" w:rsidRPr="00DF38B2" w:rsidDel="00FA269F">
        <w:t xml:space="preserve"> </w:t>
      </w:r>
      <w:r w:rsidR="00FA269F" w:rsidRPr="00DF38B2">
        <w:t>(Australian National Audit Office, 2013, pp. 20</w:t>
      </w:r>
      <w:r w:rsidR="00176C99">
        <w:t>–</w:t>
      </w:r>
      <w:r w:rsidR="00FA269F" w:rsidRPr="00DF38B2">
        <w:t>21)</w:t>
      </w:r>
      <w:r w:rsidR="002C3FD7">
        <w:t>.</w:t>
      </w:r>
    </w:p>
    <w:p w:rsidR="006F5273" w:rsidRPr="00DF38B2" w:rsidRDefault="00DC5BF0" w:rsidP="006654AE">
      <w:r w:rsidRPr="00DF38B2">
        <w:t xml:space="preserve">There have </w:t>
      </w:r>
      <w:r w:rsidR="00176C99">
        <w:t xml:space="preserve">been </w:t>
      </w:r>
      <w:r w:rsidRPr="00DF38B2">
        <w:t>two evaluations of Child Protection Income Management in Western Australia (DSS, 2014</w:t>
      </w:r>
      <w:r w:rsidR="00C77EB8">
        <w:t>a</w:t>
      </w:r>
      <w:r w:rsidRPr="00DF38B2">
        <w:t xml:space="preserve">; ORIMA Research, 2010). The ORIMA Research (2010) evaluation also considered </w:t>
      </w:r>
      <w:r w:rsidR="001544DF">
        <w:t>Voluntary Income Management</w:t>
      </w:r>
      <w:r w:rsidR="00C151B7" w:rsidRPr="00DF38B2">
        <w:t>.</w:t>
      </w:r>
      <w:r w:rsidRPr="00DF38B2">
        <w:t xml:space="preserve"> While there are some similarities between income management in Western Australia and Child Protection and Voluntary Income Management in the </w:t>
      </w:r>
      <w:r w:rsidR="00407AEF">
        <w:t>Northern Territory</w:t>
      </w:r>
      <w:r w:rsidRPr="00DF38B2">
        <w:t>, the operation of Compulsory Income Management in the N</w:t>
      </w:r>
      <w:r w:rsidR="00C74BD2">
        <w:t xml:space="preserve">orthern </w:t>
      </w:r>
      <w:r w:rsidR="00176C99">
        <w:t>T</w:t>
      </w:r>
      <w:r w:rsidR="00C74BD2">
        <w:t>erritory</w:t>
      </w:r>
      <w:r w:rsidRPr="00DF38B2">
        <w:t xml:space="preserve"> makes the operation of income management in these two jurisdictions quite different. </w:t>
      </w:r>
    </w:p>
    <w:p w:rsidR="00D64057" w:rsidRPr="009655C3" w:rsidRDefault="00FA269F" w:rsidP="006654AE">
      <w:pPr>
        <w:pStyle w:val="dot"/>
        <w:numPr>
          <w:ilvl w:val="0"/>
          <w:numId w:val="0"/>
        </w:numPr>
      </w:pPr>
      <w:r w:rsidRPr="00DF38B2">
        <w:t xml:space="preserve">A major evaluation of the </w:t>
      </w:r>
      <w:r w:rsidR="00D64057" w:rsidRPr="00DF38B2">
        <w:t>Cape York Welfare Reform Trial</w:t>
      </w:r>
      <w:r w:rsidR="00C60BAA">
        <w:t>,</w:t>
      </w:r>
      <w:r w:rsidR="0031120E" w:rsidRPr="00DF38B2">
        <w:t xml:space="preserve"> </w:t>
      </w:r>
      <w:r w:rsidRPr="00DF38B2">
        <w:t>including income management</w:t>
      </w:r>
      <w:r w:rsidR="00C60BAA">
        <w:t>,</w:t>
      </w:r>
      <w:r w:rsidRPr="00DF38B2">
        <w:t xml:space="preserve"> found </w:t>
      </w:r>
      <w:r w:rsidR="00176C99" w:rsidRPr="00DF38B2">
        <w:t xml:space="preserve">that income management mandated </w:t>
      </w:r>
      <w:r w:rsidR="00176C99">
        <w:t xml:space="preserve">by the </w:t>
      </w:r>
      <w:r w:rsidRPr="00DF38B2">
        <w:t>Family Responsibility Commission (FRC)</w:t>
      </w:r>
      <w:r w:rsidR="00176C99">
        <w:t xml:space="preserve"> </w:t>
      </w:r>
      <w:r w:rsidRPr="00DF38B2">
        <w:t xml:space="preserve">had been effectively implemented and that </w:t>
      </w:r>
      <w:r w:rsidR="00176C99">
        <w:t xml:space="preserve">it </w:t>
      </w:r>
      <w:r w:rsidRPr="00DF38B2">
        <w:t xml:space="preserve">had been a successful intervention in ensuring the needs of families and children are met </w:t>
      </w:r>
      <w:r w:rsidR="0031120E" w:rsidRPr="00DF38B2">
        <w:t>(FaHCSIA, 2012</w:t>
      </w:r>
      <w:r w:rsidR="000C5418">
        <w:t>a</w:t>
      </w:r>
      <w:r w:rsidR="0031120E" w:rsidRPr="00DF38B2">
        <w:t>)</w:t>
      </w:r>
      <w:r w:rsidRPr="00DF38B2">
        <w:t>.</w:t>
      </w:r>
      <w:r w:rsidR="000C5418">
        <w:t xml:space="preserve"> </w:t>
      </w:r>
      <w:r w:rsidRPr="00DF38B2">
        <w:t xml:space="preserve">The Cape York Welfare Reform Trial income management is far more targeted than income management </w:t>
      </w:r>
      <w:r w:rsidRPr="00FE502F">
        <w:t>in the Northern Territory and is accompanied by a range of support services.</w:t>
      </w:r>
    </w:p>
    <w:p w:rsidR="006F5273" w:rsidRPr="00DF38B2" w:rsidRDefault="00176C99" w:rsidP="006654AE">
      <w:r>
        <w:lastRenderedPageBreak/>
        <w:t>DSS</w:t>
      </w:r>
      <w:r w:rsidRPr="00DF38B2">
        <w:t xml:space="preserve"> </w:t>
      </w:r>
      <w:r>
        <w:t xml:space="preserve">has </w:t>
      </w:r>
      <w:r w:rsidRPr="00DF38B2">
        <w:t xml:space="preserve">commissioned </w:t>
      </w:r>
      <w:r>
        <w:t>a</w:t>
      </w:r>
      <w:r w:rsidR="00FA269F" w:rsidRPr="00DF38B2">
        <w:t>n e</w:t>
      </w:r>
      <w:r w:rsidR="006F5273" w:rsidRPr="00DF38B2">
        <w:t>valuation of place</w:t>
      </w:r>
      <w:r>
        <w:t>-</w:t>
      </w:r>
      <w:r w:rsidR="006F5273" w:rsidRPr="00DF38B2">
        <w:t xml:space="preserve">based </w:t>
      </w:r>
      <w:r w:rsidR="00FA269F" w:rsidRPr="00DF38B2">
        <w:t>income management</w:t>
      </w:r>
      <w:r w:rsidR="00E65399">
        <w:t xml:space="preserve"> </w:t>
      </w:r>
      <w:r w:rsidR="00E65399" w:rsidRPr="00DF38B2">
        <w:t>(Deloitte Access Economics, 2013)</w:t>
      </w:r>
      <w:r w:rsidR="00FA269F" w:rsidRPr="00DF38B2">
        <w:t xml:space="preserve">, but none of the evaluation findings were available at the time </w:t>
      </w:r>
      <w:r>
        <w:t xml:space="preserve">of </w:t>
      </w:r>
      <w:r w:rsidR="00FA269F" w:rsidRPr="00DF38B2">
        <w:t>writing this report.</w:t>
      </w:r>
    </w:p>
    <w:p w:rsidR="00394415" w:rsidRDefault="00394415" w:rsidP="006654AE">
      <w:r w:rsidRPr="00DF38B2">
        <w:t>A useful summary of income management and a number of the evaluation</w:t>
      </w:r>
      <w:r w:rsidR="00574ADE">
        <w:t>s of the program</w:t>
      </w:r>
      <w:r w:rsidRPr="00DF38B2">
        <w:t xml:space="preserve"> is provided </w:t>
      </w:r>
      <w:r w:rsidR="00574ADE">
        <w:t>in</w:t>
      </w:r>
      <w:r w:rsidRPr="00DF38B2">
        <w:t xml:space="preserve"> Parliamentary Library Briefing Notes and Background Papers (</w:t>
      </w:r>
      <w:proofErr w:type="spellStart"/>
      <w:r w:rsidR="00DC5BF0" w:rsidRPr="00DF38B2">
        <w:t>Buckmaster</w:t>
      </w:r>
      <w:proofErr w:type="spellEnd"/>
      <w:r w:rsidR="00DC5BF0" w:rsidRPr="00DF38B2">
        <w:t xml:space="preserve"> </w:t>
      </w:r>
      <w:r w:rsidR="00176C99">
        <w:t>&amp;</w:t>
      </w:r>
      <w:r w:rsidR="00176C99" w:rsidRPr="00DF38B2">
        <w:t xml:space="preserve"> </w:t>
      </w:r>
      <w:proofErr w:type="spellStart"/>
      <w:r w:rsidR="00DC5BF0" w:rsidRPr="00DF38B2">
        <w:t>Ey</w:t>
      </w:r>
      <w:proofErr w:type="spellEnd"/>
      <w:r w:rsidR="00DC5BF0" w:rsidRPr="00DF38B2">
        <w:t xml:space="preserve">, 2012; </w:t>
      </w:r>
      <w:proofErr w:type="spellStart"/>
      <w:r w:rsidR="00DC5BF0" w:rsidRPr="00DF38B2">
        <w:t>Buckmaster</w:t>
      </w:r>
      <w:proofErr w:type="spellEnd"/>
      <w:r w:rsidR="00DC5BF0" w:rsidRPr="00DF38B2">
        <w:t xml:space="preserve">, </w:t>
      </w:r>
      <w:proofErr w:type="spellStart"/>
      <w:r w:rsidR="00DC5BF0" w:rsidRPr="00DF38B2">
        <w:t>Ey</w:t>
      </w:r>
      <w:proofErr w:type="spellEnd"/>
      <w:r w:rsidR="00DC5BF0" w:rsidRPr="00DF38B2">
        <w:t xml:space="preserve"> </w:t>
      </w:r>
      <w:r w:rsidR="00176C99">
        <w:t>&amp;</w:t>
      </w:r>
      <w:r w:rsidR="00176C99" w:rsidRPr="00DF38B2">
        <w:t xml:space="preserve"> </w:t>
      </w:r>
      <w:proofErr w:type="spellStart"/>
      <w:r w:rsidR="00DC5BF0" w:rsidRPr="00DF38B2">
        <w:t>Klapdor</w:t>
      </w:r>
      <w:proofErr w:type="spellEnd"/>
      <w:r w:rsidR="00DC5BF0" w:rsidRPr="00DF38B2">
        <w:t>, 2012)</w:t>
      </w:r>
      <w:r w:rsidR="002C3FD7">
        <w:t>.</w:t>
      </w:r>
    </w:p>
    <w:p w:rsidR="00957347" w:rsidRDefault="00957347" w:rsidP="006654AE">
      <w:r>
        <w:t xml:space="preserve">The Forrest Review </w:t>
      </w:r>
      <w:r w:rsidR="00BD2058">
        <w:t xml:space="preserve">into Indigenous employment </w:t>
      </w:r>
      <w:r>
        <w:t xml:space="preserve">has also considered </w:t>
      </w:r>
      <w:r w:rsidR="00E65399">
        <w:t>i</w:t>
      </w:r>
      <w:r>
        <w:t xml:space="preserve">ncome </w:t>
      </w:r>
      <w:r w:rsidR="00E65399">
        <w:t>m</w:t>
      </w:r>
      <w:r>
        <w:t>anagement as it currently operates in the Northern Territory and elsewhere.</w:t>
      </w:r>
      <w:r w:rsidR="005D1CC5">
        <w:t xml:space="preserve"> </w:t>
      </w:r>
      <w:r>
        <w:t>The report states</w:t>
      </w:r>
      <w:r w:rsidR="00BD2058">
        <w:t>:</w:t>
      </w:r>
    </w:p>
    <w:p w:rsidR="00957347" w:rsidRDefault="00957347" w:rsidP="006654AE">
      <w:pPr>
        <w:pStyle w:val="indent"/>
      </w:pPr>
      <w:r>
        <w:t xml:space="preserve">Income management was widely regarded as very helpful for vulnerable people, enabling them to manage their budgets, save for expenses and stay in stable housing. However, it is </w:t>
      </w:r>
      <w:proofErr w:type="gramStart"/>
      <w:r>
        <w:t>complex,</w:t>
      </w:r>
      <w:proofErr w:type="gramEnd"/>
      <w:r>
        <w:t xml:space="preserve"> it can be considered paternalistic and comes with a cost that renders it unsustainable and unsuitable for broader application.</w:t>
      </w:r>
    </w:p>
    <w:p w:rsidR="00957347" w:rsidRDefault="00957347" w:rsidP="006654AE">
      <w:pPr>
        <w:pStyle w:val="indent"/>
      </w:pPr>
      <w:r>
        <w:t>While income management is useful to stabilise an individual’s circumstances, it can make transitions off welfare and into work more difficult. An alternative that provides similar support for welfare recipients but includes them in the country’s mainstream banking and financial services system will do much more to build financial literacy and independence. (Forrest 2014</w:t>
      </w:r>
      <w:r w:rsidR="00E65399">
        <w:t xml:space="preserve">, </w:t>
      </w:r>
      <w:r>
        <w:t>p</w:t>
      </w:r>
      <w:r w:rsidR="00E65399">
        <w:t xml:space="preserve">. </w:t>
      </w:r>
      <w:r>
        <w:t>27)</w:t>
      </w:r>
    </w:p>
    <w:p w:rsidR="00957347" w:rsidRPr="00DF38B2" w:rsidRDefault="00957347" w:rsidP="006654AE">
      <w:r>
        <w:t>The review concludes that “it is very expensive for the government to administer and it has some stigma associated with it for the recipient” and that “expansion of this system is financially unsustainable</w:t>
      </w:r>
      <w:r w:rsidR="00C60BAA">
        <w:t>.</w:t>
      </w:r>
      <w:r>
        <w:t>” (</w:t>
      </w:r>
      <w:r w:rsidR="00E65399">
        <w:t xml:space="preserve">Forrest 2014, p. </w:t>
      </w:r>
      <w:r>
        <w:t>102)</w:t>
      </w:r>
    </w:p>
    <w:p w:rsidR="00285530" w:rsidRPr="00DF38B2" w:rsidRDefault="004F2AB0" w:rsidP="006654AE">
      <w:pPr>
        <w:rPr>
          <w:rFonts w:eastAsia="Times New Roman"/>
          <w:shd w:val="clear" w:color="auto" w:fill="FFFFFF"/>
        </w:rPr>
      </w:pPr>
      <w:r>
        <w:rPr>
          <w:rFonts w:eastAsia="Times New Roman"/>
          <w:shd w:val="clear" w:color="auto" w:fill="FFFFFF"/>
        </w:rPr>
        <w:t>I</w:t>
      </w:r>
      <w:r w:rsidRPr="00DF38B2">
        <w:rPr>
          <w:rFonts w:eastAsia="Times New Roman"/>
          <w:shd w:val="clear" w:color="auto" w:fill="FFFFFF"/>
        </w:rPr>
        <w:t xml:space="preserve">n addition </w:t>
      </w:r>
      <w:r>
        <w:rPr>
          <w:rFonts w:eastAsia="Times New Roman"/>
          <w:shd w:val="clear" w:color="auto" w:fill="FFFFFF"/>
        </w:rPr>
        <w:t>t</w:t>
      </w:r>
      <w:r w:rsidR="00285530" w:rsidRPr="00DF38B2">
        <w:rPr>
          <w:rFonts w:eastAsia="Times New Roman"/>
          <w:shd w:val="clear" w:color="auto" w:fill="FFFFFF"/>
        </w:rPr>
        <w:t>here are two reports which</w:t>
      </w:r>
      <w:r>
        <w:rPr>
          <w:rFonts w:eastAsia="Times New Roman"/>
          <w:shd w:val="clear" w:color="auto" w:fill="FFFFFF"/>
        </w:rPr>
        <w:t>,</w:t>
      </w:r>
      <w:r w:rsidR="00285530" w:rsidRPr="00DF38B2">
        <w:rPr>
          <w:rFonts w:eastAsia="Times New Roman"/>
          <w:shd w:val="clear" w:color="auto" w:fill="FFFFFF"/>
        </w:rPr>
        <w:t xml:space="preserve"> while not directly related to the evaluation of income management</w:t>
      </w:r>
      <w:r>
        <w:rPr>
          <w:rFonts w:eastAsia="Times New Roman"/>
          <w:shd w:val="clear" w:color="auto" w:fill="FFFFFF"/>
        </w:rPr>
        <w:t>,</w:t>
      </w:r>
      <w:r w:rsidR="00285530" w:rsidRPr="00DF38B2">
        <w:rPr>
          <w:rFonts w:eastAsia="Times New Roman"/>
          <w:shd w:val="clear" w:color="auto" w:fill="FFFFFF"/>
        </w:rPr>
        <w:t xml:space="preserve"> are </w:t>
      </w:r>
      <w:r>
        <w:rPr>
          <w:rFonts w:eastAsia="Times New Roman"/>
          <w:shd w:val="clear" w:color="auto" w:fill="FFFFFF"/>
        </w:rPr>
        <w:t xml:space="preserve">nonetheless </w:t>
      </w:r>
      <w:r w:rsidR="00285530" w:rsidRPr="00DF38B2">
        <w:rPr>
          <w:rFonts w:eastAsia="Times New Roman"/>
          <w:shd w:val="clear" w:color="auto" w:fill="FFFFFF"/>
        </w:rPr>
        <w:t>relevant. The first is the February 2011 report on ‘Indigenous ATM issues’ produced by the joint Treasury and Reserve Bank of Australia ATM Taskforce (Treasury &amp; RBA</w:t>
      </w:r>
      <w:r>
        <w:rPr>
          <w:rFonts w:eastAsia="Times New Roman"/>
          <w:shd w:val="clear" w:color="auto" w:fill="FFFFFF"/>
        </w:rPr>
        <w:t>,</w:t>
      </w:r>
      <w:r w:rsidR="00285530" w:rsidRPr="00DF38B2">
        <w:rPr>
          <w:rFonts w:eastAsia="Times New Roman"/>
          <w:shd w:val="clear" w:color="auto" w:fill="FFFFFF"/>
        </w:rPr>
        <w:t xml:space="preserve"> 2012). Following this the government has announced </w:t>
      </w:r>
      <w:r>
        <w:rPr>
          <w:rFonts w:eastAsia="Times New Roman"/>
          <w:shd w:val="clear" w:color="auto" w:fill="FFFFFF"/>
        </w:rPr>
        <w:t>“</w:t>
      </w:r>
      <w:r w:rsidR="00285530" w:rsidRPr="00DF38B2">
        <w:rPr>
          <w:rFonts w:eastAsia="Times New Roman"/>
          <w:shd w:val="clear" w:color="auto" w:fill="FFFFFF"/>
        </w:rPr>
        <w:t>a new commitment by the Australian banking industry and two major independent ATM companies to voluntarily provide free transactions at 76 ATMs across very remote Indigenous communities in the Northern Territory, Queensland, Western Australia and South Australia</w:t>
      </w:r>
      <w:r>
        <w:rPr>
          <w:rFonts w:eastAsia="Times New Roman"/>
          <w:shd w:val="clear" w:color="auto" w:fill="FFFFFF"/>
        </w:rPr>
        <w:t>”</w:t>
      </w:r>
      <w:r w:rsidR="00285530" w:rsidRPr="00DF38B2">
        <w:rPr>
          <w:rFonts w:eastAsia="Times New Roman"/>
          <w:shd w:val="clear" w:color="auto" w:fill="FFFFFF"/>
        </w:rPr>
        <w:t xml:space="preserve"> (Swan &amp; Macklin, 2012)</w:t>
      </w:r>
      <w:r w:rsidR="00A1421A">
        <w:rPr>
          <w:rFonts w:eastAsia="Times New Roman"/>
          <w:shd w:val="clear" w:color="auto" w:fill="FFFFFF"/>
        </w:rPr>
        <w:t xml:space="preserve">. </w:t>
      </w:r>
      <w:r w:rsidR="00285530" w:rsidRPr="00DF38B2">
        <w:rPr>
          <w:rFonts w:eastAsia="Times New Roman"/>
          <w:shd w:val="clear" w:color="auto" w:fill="FFFFFF"/>
        </w:rPr>
        <w:t xml:space="preserve">The second is the 2011 report by the Cultural and Indigenous Research Centre Australia (CIRCA) presenting its findings on the evaluation of the Community Stores Licensing Program. This </w:t>
      </w:r>
      <w:r>
        <w:rPr>
          <w:rFonts w:eastAsia="Times New Roman"/>
          <w:shd w:val="clear" w:color="auto" w:fill="FFFFFF"/>
        </w:rPr>
        <w:t xml:space="preserve">report </w:t>
      </w:r>
      <w:r w:rsidR="00285530" w:rsidRPr="00DF38B2">
        <w:rPr>
          <w:rFonts w:eastAsia="Times New Roman"/>
          <w:shd w:val="clear" w:color="auto" w:fill="FFFFFF"/>
        </w:rPr>
        <w:t>concluded that while a range of factors contributed</w:t>
      </w:r>
      <w:r>
        <w:rPr>
          <w:rFonts w:eastAsia="Times New Roman"/>
          <w:shd w:val="clear" w:color="auto" w:fill="FFFFFF"/>
        </w:rPr>
        <w:t xml:space="preserve"> to food security,</w:t>
      </w:r>
      <w:r w:rsidR="00285530" w:rsidRPr="00DF38B2">
        <w:rPr>
          <w:rFonts w:eastAsia="Times New Roman"/>
          <w:shd w:val="clear" w:color="auto" w:fill="FFFFFF"/>
        </w:rPr>
        <w:t xml:space="preserve"> “Overall stores licensing has had a positive impact on food security, in terms of ongoing access to food that is safe and of sufficient quality and quantity to meet household needs.” (CIRCA</w:t>
      </w:r>
      <w:r w:rsidR="002C3FD7">
        <w:rPr>
          <w:rFonts w:eastAsia="Times New Roman"/>
          <w:shd w:val="clear" w:color="auto" w:fill="FFFFFF"/>
        </w:rPr>
        <w:t>,</w:t>
      </w:r>
      <w:r w:rsidR="00285530" w:rsidRPr="00DF38B2">
        <w:rPr>
          <w:rFonts w:eastAsia="Times New Roman"/>
          <w:shd w:val="clear" w:color="auto" w:fill="FFFFFF"/>
        </w:rPr>
        <w:t xml:space="preserve"> 2011)</w:t>
      </w:r>
    </w:p>
    <w:p w:rsidR="0027478A" w:rsidRPr="00DF38B2" w:rsidRDefault="00610D2A" w:rsidP="006654AE">
      <w:pPr>
        <w:pStyle w:val="Heading2"/>
      </w:pPr>
      <w:bookmarkStart w:id="33" w:name="_Toc403738959"/>
      <w:r w:rsidRPr="00DF38B2">
        <w:t>Structure of report</w:t>
      </w:r>
      <w:bookmarkEnd w:id="33"/>
    </w:p>
    <w:p w:rsidR="00610D2A" w:rsidRPr="00DF38B2" w:rsidRDefault="00610D2A" w:rsidP="006654AE">
      <w:r w:rsidRPr="00DF38B2">
        <w:t xml:space="preserve">Chapter 2 provides an overview of the New Income Management Policy and how it is designed to operate. Chapter 3 provides an overview of the evaluation approach, and data sources. The characteristics of the population being subject to income management are described in Chapter 4. The chapter provides detailed information on the numbers of people </w:t>
      </w:r>
      <w:r w:rsidR="004F2AB0">
        <w:t xml:space="preserve">participating in </w:t>
      </w:r>
      <w:r w:rsidRPr="00DF38B2">
        <w:t>the different streams of income management over time, how long they remain being income managed</w:t>
      </w:r>
      <w:r w:rsidR="004F2AB0">
        <w:t>,</w:t>
      </w:r>
      <w:r w:rsidRPr="00DF38B2">
        <w:t xml:space="preserve"> and what happens to them when they </w:t>
      </w:r>
      <w:r w:rsidR="004F2AB0">
        <w:t>exit the program</w:t>
      </w:r>
      <w:r w:rsidRPr="00DF38B2">
        <w:t xml:space="preserve">. The operation and outcomes of exemptions from Compulsory Income Management are analysed in Chapter 5. </w:t>
      </w:r>
    </w:p>
    <w:p w:rsidR="00610D2A" w:rsidRPr="00DF38B2" w:rsidRDefault="00610D2A" w:rsidP="006654AE">
      <w:pPr>
        <w:rPr>
          <w:rFonts w:cs="Times New Roman"/>
        </w:rPr>
      </w:pPr>
      <w:r w:rsidRPr="00DF38B2">
        <w:t>Chapters 6, 7</w:t>
      </w:r>
      <w:r w:rsidR="004F2AB0">
        <w:t>,</w:t>
      </w:r>
      <w:r w:rsidRPr="00DF38B2">
        <w:t xml:space="preserve"> and 8 focus on the outcomes of income management. Chapter 6 is concerned with how people subject to income management spend the portion of the government benefits that is subject to income management</w:t>
      </w:r>
      <w:r w:rsidR="004F2AB0">
        <w:t>,</w:t>
      </w:r>
      <w:r w:rsidRPr="00DF38B2">
        <w:t xml:space="preserve"> and patterns of spending and failed transactions</w:t>
      </w:r>
      <w:r w:rsidR="00676B6A" w:rsidRPr="00DF38B2">
        <w:t>.</w:t>
      </w:r>
      <w:r w:rsidRPr="00DF38B2">
        <w:t xml:space="preserve"> Chapter 7 uses data from a large-scale longitudinal study of people subject to income management to examine people’s views and experiences of income management and provides estimates of the extent to which income management has an impact upon a range of individual and community level outcomes. </w:t>
      </w:r>
      <w:r w:rsidR="00107528" w:rsidRPr="00DF38B2">
        <w:t>This is complemented by Chapter 8</w:t>
      </w:r>
      <w:r w:rsidR="004F2AB0">
        <w:t>,</w:t>
      </w:r>
      <w:r w:rsidR="00107528" w:rsidRPr="00DF38B2">
        <w:t xml:space="preserve"> which presents the findings of the qualitative data collection undertaken with this group. </w:t>
      </w:r>
      <w:r w:rsidRPr="00DF38B2">
        <w:t xml:space="preserve">Chapter </w:t>
      </w:r>
      <w:r w:rsidR="00107528" w:rsidRPr="00DF38B2">
        <w:t xml:space="preserve">9 </w:t>
      </w:r>
      <w:r w:rsidRPr="00DF38B2">
        <w:t xml:space="preserve">examines </w:t>
      </w:r>
      <w:r w:rsidRPr="00DF38B2">
        <w:rPr>
          <w:rFonts w:cs="Times New Roman"/>
        </w:rPr>
        <w:t>aggregate measures of outcomes that income management may impact upon</w:t>
      </w:r>
      <w:r w:rsidR="004F2AB0">
        <w:rPr>
          <w:rFonts w:cs="Times New Roman"/>
        </w:rPr>
        <w:t>,</w:t>
      </w:r>
      <w:r w:rsidRPr="00DF38B2">
        <w:rPr>
          <w:rFonts w:cs="Times New Roman"/>
        </w:rPr>
        <w:t xml:space="preserve"> including child health and development, school attendance, alcohol consumption and related harm, tobacco consumption and imprisonment rates</w:t>
      </w:r>
      <w:r w:rsidR="00107528" w:rsidRPr="00DF38B2">
        <w:rPr>
          <w:rFonts w:cs="Times New Roman"/>
        </w:rPr>
        <w:t>,</w:t>
      </w:r>
      <w:r w:rsidRPr="00DF38B2">
        <w:rPr>
          <w:rFonts w:cs="Times New Roman"/>
        </w:rPr>
        <w:t xml:space="preserve"> using data for a time period spanning the introduction of income management until the present.</w:t>
      </w:r>
      <w:r w:rsidR="00107528" w:rsidRPr="00DF38B2">
        <w:rPr>
          <w:rFonts w:cs="Times New Roman"/>
        </w:rPr>
        <w:t xml:space="preserve"> Chapter 10 presents the outcomes of the extensive consultations that have been conducted with a range of ‘intermedia</w:t>
      </w:r>
      <w:r w:rsidR="00285530" w:rsidRPr="00DF38B2">
        <w:rPr>
          <w:rFonts w:cs="Times New Roman"/>
        </w:rPr>
        <w:t>r</w:t>
      </w:r>
      <w:r w:rsidR="00107528" w:rsidRPr="00DF38B2">
        <w:rPr>
          <w:rFonts w:cs="Times New Roman"/>
        </w:rPr>
        <w:t xml:space="preserve">ies’ who are involved in various ways in the delivery of the program or </w:t>
      </w:r>
      <w:r w:rsidR="004F2AB0">
        <w:rPr>
          <w:rFonts w:cs="Times New Roman"/>
        </w:rPr>
        <w:t xml:space="preserve">are </w:t>
      </w:r>
      <w:r w:rsidR="00107528" w:rsidRPr="00DF38B2">
        <w:rPr>
          <w:rFonts w:cs="Times New Roman"/>
        </w:rPr>
        <w:t>working with people who are affected by income management.</w:t>
      </w:r>
    </w:p>
    <w:p w:rsidR="00610D2A" w:rsidRPr="00DF38B2" w:rsidRDefault="00610D2A" w:rsidP="006654AE">
      <w:r w:rsidRPr="00DF38B2">
        <w:lastRenderedPageBreak/>
        <w:t xml:space="preserve">The next </w:t>
      </w:r>
      <w:r w:rsidR="00CB7B6B">
        <w:t>three</w:t>
      </w:r>
      <w:r w:rsidR="00107528" w:rsidRPr="00DF38B2">
        <w:t xml:space="preserve"> </w:t>
      </w:r>
      <w:r w:rsidRPr="00DF38B2">
        <w:t xml:space="preserve">chapters </w:t>
      </w:r>
      <w:r w:rsidR="00A6114D">
        <w:t>examine</w:t>
      </w:r>
      <w:r w:rsidR="00574ADE">
        <w:t xml:space="preserve"> some of the specific </w:t>
      </w:r>
      <w:r w:rsidRPr="00DF38B2">
        <w:t xml:space="preserve">income management measures in detail. Chapter </w:t>
      </w:r>
      <w:r w:rsidR="00107528" w:rsidRPr="00DF38B2">
        <w:t xml:space="preserve">11 </w:t>
      </w:r>
      <w:r w:rsidRPr="00DF38B2">
        <w:t>considers Voluntary Income Management</w:t>
      </w:r>
      <w:r w:rsidR="004F2AB0">
        <w:t>,</w:t>
      </w:r>
      <w:r w:rsidR="00107528" w:rsidRPr="00DF38B2">
        <w:t xml:space="preserve"> </w:t>
      </w:r>
      <w:r w:rsidRPr="00DF38B2">
        <w:t xml:space="preserve">Chapter </w:t>
      </w:r>
      <w:r w:rsidR="00107528" w:rsidRPr="00DF38B2">
        <w:t xml:space="preserve">12 </w:t>
      </w:r>
      <w:r w:rsidRPr="00DF38B2">
        <w:t>Vulnerable Income Management</w:t>
      </w:r>
      <w:r w:rsidR="00CB7B6B">
        <w:t>, and Chapter 13 Child Protection Income Management</w:t>
      </w:r>
      <w:r w:rsidR="00676B6A" w:rsidRPr="00DF38B2">
        <w:t>.</w:t>
      </w:r>
      <w:r w:rsidRPr="00DF38B2">
        <w:t xml:space="preserve"> </w:t>
      </w:r>
      <w:r w:rsidR="00107528" w:rsidRPr="00DF38B2">
        <w:t>Chapter 1</w:t>
      </w:r>
      <w:r w:rsidR="00CB7B6B">
        <w:t>4</w:t>
      </w:r>
      <w:r w:rsidR="00107528" w:rsidRPr="00DF38B2">
        <w:t xml:space="preserve"> address</w:t>
      </w:r>
      <w:r w:rsidR="00CB7B6B">
        <w:t>es</w:t>
      </w:r>
      <w:r w:rsidR="00107528" w:rsidRPr="00DF38B2">
        <w:t xml:space="preserve"> each of the key evaluation questions</w:t>
      </w:r>
      <w:r w:rsidR="00CB7B6B">
        <w:t xml:space="preserve"> specified in the evaluation framework</w:t>
      </w:r>
      <w:r w:rsidR="00A6114D">
        <w:t>,</w:t>
      </w:r>
      <w:r w:rsidR="00107528" w:rsidRPr="00DF38B2">
        <w:t xml:space="preserve"> drawing upon the range of </w:t>
      </w:r>
      <w:r w:rsidRPr="00DF38B2">
        <w:t xml:space="preserve">data </w:t>
      </w:r>
      <w:r w:rsidR="00BD2058">
        <w:t xml:space="preserve">and discussions </w:t>
      </w:r>
      <w:r w:rsidR="00107528" w:rsidRPr="00DF38B2">
        <w:t>in previous chapters</w:t>
      </w:r>
      <w:r w:rsidR="00A6114D">
        <w:t>,</w:t>
      </w:r>
      <w:r w:rsidR="00107528" w:rsidRPr="00DF38B2">
        <w:t xml:space="preserve"> and Chapter 1</w:t>
      </w:r>
      <w:r w:rsidR="00CB7B6B">
        <w:t>5</w:t>
      </w:r>
      <w:r w:rsidR="00107528" w:rsidRPr="00DF38B2">
        <w:t xml:space="preserve"> </w:t>
      </w:r>
      <w:r w:rsidR="0040485A" w:rsidRPr="00DF38B2">
        <w:t>presents the</w:t>
      </w:r>
      <w:r w:rsidR="00107528" w:rsidRPr="00DF38B2">
        <w:t xml:space="preserve"> final overview of the evaluation</w:t>
      </w:r>
      <w:r w:rsidR="00A1421A">
        <w:t>.</w:t>
      </w:r>
      <w:r w:rsidR="00E65399">
        <w:t xml:space="preserve"> Chapter 16 is provided as an epilogue to the evaluation and contains matters arising from the feedback process that was undertaken in September 2014 in which members of the evaluation team presented the findings of the evaluation to program administrators, other intermediaries, peak organisations and members of the communities from which information was collected.</w:t>
      </w:r>
    </w:p>
    <w:p w:rsidR="00417B51" w:rsidRPr="00DF38B2" w:rsidRDefault="0027478A" w:rsidP="006654AE">
      <w:r w:rsidRPr="00DF38B2">
        <w:t>Appendices provide some supplementary material, including further documentation of different aspects of income management and this evaluation.</w:t>
      </w:r>
      <w:r w:rsidR="00417B51" w:rsidRPr="00DF38B2">
        <w:br w:type="page"/>
      </w:r>
    </w:p>
    <w:p w:rsidR="005E1FE0" w:rsidRPr="00DF38B2" w:rsidRDefault="005E1FE0" w:rsidP="006654AE"/>
    <w:p w:rsidR="005E1FE0" w:rsidRPr="00DF38B2" w:rsidRDefault="005E1FE0" w:rsidP="006654AE">
      <w:pPr>
        <w:sectPr w:rsidR="005E1FE0" w:rsidRPr="00DF38B2" w:rsidSect="004F3A3D">
          <w:headerReference w:type="even" r:id="rId28"/>
          <w:headerReference w:type="default" r:id="rId29"/>
          <w:footerReference w:type="even" r:id="rId30"/>
          <w:headerReference w:type="first" r:id="rId31"/>
          <w:footerReference w:type="first" r:id="rId32"/>
          <w:pgSz w:w="11906" w:h="16838" w:code="9"/>
          <w:pgMar w:top="684" w:right="1701" w:bottom="1134" w:left="1871" w:header="284" w:footer="340" w:gutter="0"/>
          <w:pgNumType w:start="1"/>
          <w:cols w:space="708"/>
          <w:titlePg/>
          <w:docGrid w:linePitch="360"/>
        </w:sectPr>
      </w:pPr>
    </w:p>
    <w:p w:rsidR="005E1FE0" w:rsidRPr="00DF38B2" w:rsidRDefault="004F3A3D" w:rsidP="004F3A3D">
      <w:pPr>
        <w:pStyle w:val="Heading1"/>
      </w:pPr>
      <w:bookmarkStart w:id="34" w:name="_Toc403738960"/>
      <w:r w:rsidRPr="004F3A3D">
        <w:lastRenderedPageBreak/>
        <w:t>Overview</w:t>
      </w:r>
      <w:r>
        <w:t xml:space="preserve"> of New Income</w:t>
      </w:r>
      <w:r>
        <w:br/>
      </w:r>
      <w:r w:rsidR="005E1FE0" w:rsidRPr="00DF38B2">
        <w:t>Management policy</w:t>
      </w:r>
      <w:bookmarkEnd w:id="34"/>
    </w:p>
    <w:p w:rsidR="005E1FE0" w:rsidRPr="00DF38B2" w:rsidRDefault="005E1FE0" w:rsidP="004F3A3D">
      <w:pPr>
        <w:pStyle w:val="Heading2"/>
        <w:spacing w:before="1134" w:line="276" w:lineRule="auto"/>
        <w:ind w:left="855" w:hanging="855"/>
      </w:pPr>
      <w:bookmarkStart w:id="35" w:name="_Toc403738961"/>
      <w:r w:rsidRPr="00DF38B2">
        <w:t>Introduction</w:t>
      </w:r>
      <w:bookmarkEnd w:id="35"/>
      <w:r w:rsidRPr="00DF38B2">
        <w:t xml:space="preserve"> </w:t>
      </w:r>
    </w:p>
    <w:p w:rsidR="005E1FE0" w:rsidRPr="00DF38B2" w:rsidRDefault="005E1FE0" w:rsidP="006654AE">
      <w:r w:rsidRPr="00DF38B2">
        <w:t>This chapter provides an overview of the objectives, design and main elements of New Income Management. It also provides some background to the context in which the policy was implemented</w:t>
      </w:r>
      <w:r w:rsidR="00FD2137">
        <w:t>,</w:t>
      </w:r>
      <w:r w:rsidRPr="00DF38B2">
        <w:t xml:space="preserve"> including its relationship with the earlier policy of income management that operated as part of the Northern Territory Emergency Response (NTER).</w:t>
      </w:r>
    </w:p>
    <w:p w:rsidR="005E1FE0" w:rsidRPr="00DF38B2" w:rsidRDefault="005E1FE0" w:rsidP="006654AE">
      <w:r w:rsidRPr="00DF38B2">
        <w:t>T</w:t>
      </w:r>
      <w:r w:rsidR="00FD2137">
        <w:t>here are t</w:t>
      </w:r>
      <w:r w:rsidRPr="00DF38B2">
        <w:t>wo specific objectives for the chapter:</w:t>
      </w:r>
    </w:p>
    <w:p w:rsidR="005E1FE0" w:rsidRPr="00DF38B2" w:rsidRDefault="005E1FE0" w:rsidP="006654AE">
      <w:pPr>
        <w:pStyle w:val="dot"/>
      </w:pPr>
      <w:r w:rsidRPr="00DF38B2">
        <w:t>To explain the rationale for the program and provide the policy and program context for it</w:t>
      </w:r>
      <w:r w:rsidR="00A1421A">
        <w:t xml:space="preserve">. </w:t>
      </w:r>
      <w:r w:rsidRPr="00DF38B2">
        <w:t>This is important as there have been a number of different policy statements about the program over time</w:t>
      </w:r>
      <w:r w:rsidR="00FD2137">
        <w:t>,</w:t>
      </w:r>
      <w:r w:rsidRPr="00DF38B2">
        <w:t xml:space="preserve"> and changes made to the program</w:t>
      </w:r>
      <w:r w:rsidR="00A1421A">
        <w:t xml:space="preserve">. </w:t>
      </w:r>
      <w:r w:rsidRPr="00DF38B2">
        <w:t xml:space="preserve">It is also critical </w:t>
      </w:r>
      <w:r w:rsidR="00FD2137">
        <w:t>because</w:t>
      </w:r>
      <w:r w:rsidRPr="00DF38B2">
        <w:t xml:space="preserve"> the program, as noted above, evolved from the previous form of income management introduced as part of the NTER, and the experience of individuals on the current measure is also shaped by their experiences and perceptions of this earlier measure.</w:t>
      </w:r>
    </w:p>
    <w:p w:rsidR="005E1FE0" w:rsidRPr="00DF38B2" w:rsidRDefault="005E1FE0" w:rsidP="006654AE">
      <w:pPr>
        <w:pStyle w:val="dot"/>
      </w:pPr>
      <w:r w:rsidRPr="00DF38B2">
        <w:t>To provide an overview of the elements of New Income Management policy and how it operates. As a program New Income Management has a number of different components and provisions</w:t>
      </w:r>
      <w:r w:rsidR="00A1421A">
        <w:t xml:space="preserve">. </w:t>
      </w:r>
      <w:r w:rsidRPr="00DF38B2">
        <w:t>These introduce some complexity into its operation, and to varying degrees impact upon the evaluation</w:t>
      </w:r>
      <w:r w:rsidR="00A1421A">
        <w:t xml:space="preserve">. </w:t>
      </w:r>
    </w:p>
    <w:p w:rsidR="005E1FE0" w:rsidRPr="00DF38B2" w:rsidRDefault="005E1FE0" w:rsidP="006654AE">
      <w:r w:rsidRPr="00DF38B2">
        <w:t>The chapter is structured as follows:</w:t>
      </w:r>
    </w:p>
    <w:p w:rsidR="005E1FE0" w:rsidRPr="00DF38B2" w:rsidRDefault="00E65399" w:rsidP="006654AE">
      <w:pPr>
        <w:pStyle w:val="dot"/>
      </w:pPr>
      <w:r>
        <w:t>d</w:t>
      </w:r>
      <w:r w:rsidR="005E1FE0" w:rsidRPr="00DF38B2">
        <w:t>iscussion of the background to the program, including the former policy of income management under the NTER</w:t>
      </w:r>
    </w:p>
    <w:p w:rsidR="005E1FE0" w:rsidRPr="00DF38B2" w:rsidRDefault="00E65399" w:rsidP="006654AE">
      <w:pPr>
        <w:pStyle w:val="dot"/>
      </w:pPr>
      <w:r>
        <w:t>p</w:t>
      </w:r>
      <w:r w:rsidR="005E1FE0" w:rsidRPr="00DF38B2">
        <w:t>resentation of the formal objectives of the program</w:t>
      </w:r>
    </w:p>
    <w:p w:rsidR="005E1FE0" w:rsidRPr="00DF38B2" w:rsidRDefault="00E65399" w:rsidP="006654AE">
      <w:pPr>
        <w:pStyle w:val="dot"/>
      </w:pPr>
      <w:r>
        <w:t>a</w:t>
      </w:r>
      <w:r w:rsidR="005E1FE0" w:rsidRPr="00DF38B2">
        <w:t xml:space="preserve"> description of the program and its main components</w:t>
      </w:r>
    </w:p>
    <w:p w:rsidR="005E1FE0" w:rsidRPr="00DF38B2" w:rsidRDefault="00E65399" w:rsidP="006654AE">
      <w:pPr>
        <w:pStyle w:val="dot"/>
      </w:pPr>
      <w:r>
        <w:t>details of t</w:t>
      </w:r>
      <w:r w:rsidR="005E1FE0" w:rsidRPr="00DF38B2">
        <w:t>he key operational aspects of the program, including the scope for reviews of decisions, as well as the arrangements for transition from the former NTER income management</w:t>
      </w:r>
    </w:p>
    <w:p w:rsidR="005E1FE0" w:rsidRPr="00DF38B2" w:rsidRDefault="00E65399" w:rsidP="006654AE">
      <w:pPr>
        <w:pStyle w:val="dot"/>
      </w:pPr>
      <w:r>
        <w:t>a</w:t>
      </w:r>
      <w:r w:rsidR="005E1FE0" w:rsidRPr="00DF38B2">
        <w:t xml:space="preserve">n overview of some of </w:t>
      </w:r>
      <w:r w:rsidR="00FD2137">
        <w:t xml:space="preserve">the </w:t>
      </w:r>
      <w:r w:rsidR="005E1FE0" w:rsidRPr="00DF38B2">
        <w:t xml:space="preserve">supporting programs and initiatives </w:t>
      </w:r>
      <w:r w:rsidR="00FD2137">
        <w:t>that</w:t>
      </w:r>
      <w:r w:rsidR="005E1FE0" w:rsidRPr="00DF38B2">
        <w:t xml:space="preserve"> were introduced or expanded as part of the </w:t>
      </w:r>
      <w:r w:rsidR="00D76AEA">
        <w:t>rollout</w:t>
      </w:r>
      <w:r w:rsidR="005E1FE0" w:rsidRPr="00DF38B2">
        <w:t xml:space="preserve"> of New Income Management</w:t>
      </w:r>
    </w:p>
    <w:p w:rsidR="005E1FE0" w:rsidRPr="00DF38B2" w:rsidRDefault="00E65399" w:rsidP="006654AE">
      <w:pPr>
        <w:pStyle w:val="dot"/>
      </w:pPr>
      <w:proofErr w:type="gramStart"/>
      <w:r>
        <w:t>d</w:t>
      </w:r>
      <w:r w:rsidRPr="00DF38B2">
        <w:t>etails</w:t>
      </w:r>
      <w:proofErr w:type="gramEnd"/>
      <w:r w:rsidRPr="00DF38B2">
        <w:t xml:space="preserve"> </w:t>
      </w:r>
      <w:r w:rsidR="005E1FE0" w:rsidRPr="00DF38B2">
        <w:t xml:space="preserve">of some of the other programs and initiatives </w:t>
      </w:r>
      <w:r w:rsidR="00FD2137">
        <w:t>that</w:t>
      </w:r>
      <w:r w:rsidR="005E1FE0" w:rsidRPr="00DF38B2">
        <w:t xml:space="preserve"> also impact on the New Income Management population</w:t>
      </w:r>
      <w:r w:rsidR="00A1421A">
        <w:t xml:space="preserve">. </w:t>
      </w:r>
      <w:r w:rsidR="005E1FE0" w:rsidRPr="00DF38B2">
        <w:t xml:space="preserve">Many of these programs are important not </w:t>
      </w:r>
      <w:r w:rsidR="00FD2137">
        <w:t>merely</w:t>
      </w:r>
      <w:r w:rsidR="005E1FE0" w:rsidRPr="00DF38B2">
        <w:t xml:space="preserve"> as a result of their intrinsic contribution, but </w:t>
      </w:r>
      <w:r w:rsidR="00FD2137">
        <w:t xml:space="preserve">also </w:t>
      </w:r>
      <w:r w:rsidR="005E1FE0" w:rsidRPr="00DF38B2">
        <w:t>from an evaluati</w:t>
      </w:r>
      <w:r w:rsidR="00FD2137">
        <w:t>ve</w:t>
      </w:r>
      <w:r w:rsidR="005E1FE0" w:rsidRPr="00DF38B2">
        <w:t xml:space="preserve"> perspective, </w:t>
      </w:r>
      <w:r w:rsidR="00FD2137">
        <w:t xml:space="preserve">as </w:t>
      </w:r>
      <w:r w:rsidR="005E1FE0" w:rsidRPr="00DF38B2">
        <w:t xml:space="preserve">account needs to be taken of them so as to identify </w:t>
      </w:r>
      <w:r w:rsidR="00FD2137" w:rsidRPr="00DF38B2">
        <w:t xml:space="preserve">separately </w:t>
      </w:r>
      <w:r w:rsidR="005E1FE0" w:rsidRPr="00DF38B2">
        <w:t xml:space="preserve">the specific impact of New Income Management. </w:t>
      </w:r>
    </w:p>
    <w:p w:rsidR="005E1FE0" w:rsidRPr="00DF38B2" w:rsidRDefault="005E1FE0" w:rsidP="006654AE">
      <w:pPr>
        <w:pStyle w:val="Heading2"/>
      </w:pPr>
      <w:bookmarkStart w:id="36" w:name="_Toc403738962"/>
      <w:r w:rsidRPr="00DF38B2">
        <w:lastRenderedPageBreak/>
        <w:t>The introduction of income management in the Northern Territory</w:t>
      </w:r>
      <w:bookmarkEnd w:id="36"/>
    </w:p>
    <w:p w:rsidR="005E1FE0" w:rsidRPr="00DF38B2" w:rsidRDefault="005E1FE0" w:rsidP="006654AE">
      <w:r w:rsidRPr="00DF38B2">
        <w:t>The introduction of income management in the Northern Territory can be considered in three phases</w:t>
      </w:r>
      <w:r w:rsidR="00A1421A">
        <w:t xml:space="preserve">. </w:t>
      </w:r>
      <w:r w:rsidRPr="00DF38B2">
        <w:t>The first was the introduction and operation of income management under the NTER, the second was the decision to extend this in the context of the development of New Income Management, and the third was the introduction of New Income Management itself. This section considers the first two of these</w:t>
      </w:r>
      <w:r w:rsidR="00FD2137">
        <w:t xml:space="preserve"> phases</w:t>
      </w:r>
      <w:r w:rsidRPr="00DF38B2">
        <w:t>.</w:t>
      </w:r>
    </w:p>
    <w:p w:rsidR="005E1FE0" w:rsidRPr="00DF38B2" w:rsidRDefault="005E1FE0" w:rsidP="006654AE">
      <w:pPr>
        <w:pStyle w:val="Heading3"/>
      </w:pPr>
      <w:bookmarkStart w:id="37" w:name="_Toc403738963"/>
      <w:r w:rsidRPr="00DF38B2">
        <w:t>The NTER</w:t>
      </w:r>
      <w:bookmarkEnd w:id="37"/>
    </w:p>
    <w:p w:rsidR="005E1FE0" w:rsidRPr="009655C3" w:rsidRDefault="005E1FE0" w:rsidP="006654AE">
      <w:r w:rsidRPr="00DF38B2">
        <w:t>Compulsory income management for income support recipients was introduced as a policy by the Australian Government as part of the NTER</w:t>
      </w:r>
      <w:r w:rsidR="00EF4F91">
        <w:t>.</w:t>
      </w:r>
      <w:r w:rsidRPr="00DF38B2">
        <w:rPr>
          <w:rStyle w:val="FootnoteReference"/>
        </w:rPr>
        <w:footnoteReference w:id="14"/>
      </w:r>
      <w:r w:rsidRPr="00DF38B2">
        <w:t xml:space="preserve"> The NTER was announced in July 2007 to respond to what was seen to be a critical s</w:t>
      </w:r>
      <w:r w:rsidRPr="00FE502F">
        <w:t xml:space="preserve">ituation in many Indigenous communities in the Northern Territory </w:t>
      </w:r>
      <w:r w:rsidR="00EF4F91">
        <w:t>that</w:t>
      </w:r>
      <w:r w:rsidRPr="00FE502F">
        <w:t xml:space="preserve"> was not being adequately </w:t>
      </w:r>
      <w:r w:rsidRPr="009655C3">
        <w:t>responded to by existing policies and programs</w:t>
      </w:r>
      <w:r w:rsidR="00A1421A">
        <w:t xml:space="preserve">. </w:t>
      </w:r>
    </w:p>
    <w:p w:rsidR="005E1FE0" w:rsidRPr="00DF38B2" w:rsidRDefault="005E1FE0" w:rsidP="006654AE">
      <w:r w:rsidRPr="00DF38B2">
        <w:t xml:space="preserve">A central catalyst for the NTER was the report </w:t>
      </w:r>
      <w:r w:rsidR="00EF4F91">
        <w:t>“</w:t>
      </w:r>
      <w:r w:rsidRPr="00DF38B2">
        <w:t xml:space="preserve">Protection of Aboriginal Children from Sexual Abuse: </w:t>
      </w:r>
      <w:proofErr w:type="spellStart"/>
      <w:r w:rsidRPr="00DF38B2">
        <w:t>Ampe</w:t>
      </w:r>
      <w:proofErr w:type="spellEnd"/>
      <w:r w:rsidRPr="00DF38B2">
        <w:t xml:space="preserve"> </w:t>
      </w:r>
      <w:proofErr w:type="spellStart"/>
      <w:r w:rsidRPr="00DF38B2">
        <w:t>akelyernemane</w:t>
      </w:r>
      <w:proofErr w:type="spellEnd"/>
      <w:r w:rsidRPr="00DF38B2">
        <w:t xml:space="preserve"> </w:t>
      </w:r>
      <w:proofErr w:type="spellStart"/>
      <w:r w:rsidRPr="00DF38B2">
        <w:t>meke</w:t>
      </w:r>
      <w:proofErr w:type="spellEnd"/>
      <w:r w:rsidRPr="00DF38B2">
        <w:t xml:space="preserve"> </w:t>
      </w:r>
      <w:proofErr w:type="spellStart"/>
      <w:r w:rsidRPr="00DF38B2">
        <w:t>mekarle</w:t>
      </w:r>
      <w:proofErr w:type="spellEnd"/>
      <w:r w:rsidRPr="00DF38B2">
        <w:rPr>
          <w:i/>
        </w:rPr>
        <w:t xml:space="preserve"> </w:t>
      </w:r>
      <w:r w:rsidRPr="00DF38B2">
        <w:t>(Little children are sacred)</w:t>
      </w:r>
      <w:r w:rsidR="00EF4F91">
        <w:t>”</w:t>
      </w:r>
      <w:r w:rsidRPr="00DF38B2">
        <w:t xml:space="preserve"> (Northern Territory Government, 2007)</w:t>
      </w:r>
      <w:r w:rsidR="00EF4F91">
        <w:t>,</w:t>
      </w:r>
      <w:r w:rsidRPr="00DF38B2">
        <w:t xml:space="preserve"> which highlighted the issue of child sexual abuse in the Northern Territory. </w:t>
      </w:r>
    </w:p>
    <w:p w:rsidR="005E1FE0" w:rsidRPr="00DF38B2" w:rsidRDefault="005E1FE0" w:rsidP="006654AE">
      <w:r w:rsidRPr="00DF38B2">
        <w:t>The objective of the NTER was expressed in terms of “immediate, broad ranging measures to stabilise and protect communities in the crisis area”, with “</w:t>
      </w:r>
      <w:r w:rsidR="00EF4F91">
        <w:t>[a]</w:t>
      </w:r>
      <w:proofErr w:type="spellStart"/>
      <w:r w:rsidRPr="00DF38B2">
        <w:t>ll</w:t>
      </w:r>
      <w:proofErr w:type="spellEnd"/>
      <w:r w:rsidRPr="00DF38B2">
        <w:t xml:space="preserve"> action at the national level.</w:t>
      </w:r>
      <w:r w:rsidR="00EF4F91">
        <w:t xml:space="preserve"> …</w:t>
      </w:r>
      <w:r w:rsidRPr="00DF38B2">
        <w:t xml:space="preserve"> </w:t>
      </w:r>
      <w:proofErr w:type="gramStart"/>
      <w:r w:rsidRPr="00DF38B2">
        <w:t>designed</w:t>
      </w:r>
      <w:proofErr w:type="gramEnd"/>
      <w:r w:rsidRPr="00DF38B2">
        <w:t xml:space="preserve"> to ensure the protection of Aboriginal children from harm” (</w:t>
      </w:r>
      <w:proofErr w:type="spellStart"/>
      <w:r w:rsidRPr="00DF38B2">
        <w:t>Brough</w:t>
      </w:r>
      <w:proofErr w:type="spellEnd"/>
      <w:r w:rsidRPr="00DF38B2">
        <w:t xml:space="preserve">, 2007). The NTER applied to 73 prescribed communities, their associated outstations, and the 10 town camp regions of the Northern Territory. This covered all land held under the </w:t>
      </w:r>
      <w:r w:rsidRPr="00DF38B2">
        <w:rPr>
          <w:i/>
        </w:rPr>
        <w:t xml:space="preserve">Aboriginal Land Rights Act (Northern Territory) 1976 </w:t>
      </w:r>
      <w:r w:rsidRPr="00913C91">
        <w:rPr>
          <w:i/>
        </w:rPr>
        <w:t>(</w:t>
      </w:r>
      <w:proofErr w:type="spellStart"/>
      <w:r w:rsidRPr="00913C91">
        <w:rPr>
          <w:i/>
        </w:rPr>
        <w:t>C</w:t>
      </w:r>
      <w:r w:rsidR="00EF4F91" w:rsidRPr="00913C91">
        <w:rPr>
          <w:i/>
        </w:rPr>
        <w:t>w</w:t>
      </w:r>
      <w:r w:rsidRPr="00913C91">
        <w:rPr>
          <w:i/>
        </w:rPr>
        <w:t>th</w:t>
      </w:r>
      <w:proofErr w:type="spellEnd"/>
      <w:r w:rsidRPr="00913C91">
        <w:rPr>
          <w:i/>
        </w:rPr>
        <w:t>)</w:t>
      </w:r>
      <w:r w:rsidRPr="00EF4F91">
        <w:t>,</w:t>
      </w:r>
      <w:r w:rsidRPr="00DF38B2">
        <w:t xml:space="preserve"> all Aboriginal community living areas, and all Aboriginal town camps – in total an area of over 600,000 square kilometres (Yu, Duncan &amp; Gray, 2008). The prescribed areas are shown in Figure 2-1 and Figure 2-2. In 2008, over 70 per cent of Indigenous people in the Northern Territory, or 45,500 Indigenous people, lived within prescribed areas.</w:t>
      </w:r>
    </w:p>
    <w:p w:rsidR="005E1FE0" w:rsidRPr="00DF38B2" w:rsidRDefault="005E1FE0" w:rsidP="006654AE">
      <w:pPr>
        <w:pStyle w:val="Caption"/>
      </w:pPr>
      <w:bookmarkStart w:id="38" w:name="_Toc403739492"/>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r w:rsidRPr="00F157EE">
        <w:tab/>
        <w:t>Map of NTER Prescribed Areas, Aboriginal (ALRA) land and community living areas</w:t>
      </w:r>
      <w:bookmarkEnd w:id="38"/>
    </w:p>
    <w:p w:rsidR="005E1FE0" w:rsidRPr="00DF38B2" w:rsidRDefault="005E1FE0" w:rsidP="006654AE">
      <w:pPr>
        <w:pStyle w:val="tablenotes"/>
      </w:pPr>
      <w:r w:rsidRPr="008E4D9D">
        <w:rPr>
          <w:noProof/>
        </w:rPr>
        <w:drawing>
          <wp:inline distT="0" distB="0" distL="0" distR="0" wp14:anchorId="63E54CC4" wp14:editId="6EBEF4E2">
            <wp:extent cx="5292090" cy="7766591"/>
            <wp:effectExtent l="0" t="0" r="3810" b="6350"/>
            <wp:docPr id="32" name="Picture 24" descr="A map of the Northern Territory showing Aboriginal Land Rights (Northern Territory) Act 1976 (Cwth) (ALRA) land, Community Living Areas and the NTER Communities.&#10;&#10;The ALRA and Community Living Areas are listed on the following government websites:&#10;&#10;The full list of CLA are here http://www.otl.gov.au/site/5year_leases_aboriginal_land.asp  &#10;&#10;The full list of NTER communities are here&#10;http://nterreview.gov.au/docs/report_nter_review/appendix-10.htm&#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90" cy="7766591"/>
                    </a:xfrm>
                    <a:prstGeom prst="rect">
                      <a:avLst/>
                    </a:prstGeom>
                    <a:noFill/>
                    <a:ln>
                      <a:noFill/>
                    </a:ln>
                  </pic:spPr>
                </pic:pic>
              </a:graphicData>
            </a:graphic>
          </wp:inline>
        </w:drawing>
      </w:r>
    </w:p>
    <w:p w:rsidR="005E1FE0" w:rsidRPr="00DF38B2" w:rsidRDefault="005E1FE0" w:rsidP="006654AE">
      <w:pPr>
        <w:pStyle w:val="tablenotes"/>
      </w:pPr>
      <w:r w:rsidRPr="00DF38B2">
        <w:t xml:space="preserve">Note: </w:t>
      </w:r>
      <w:r w:rsidR="00676B6A" w:rsidRPr="00DF38B2">
        <w:tab/>
      </w:r>
      <w:r w:rsidRPr="00DF38B2">
        <w:t xml:space="preserve">ALRA Land is land held under the </w:t>
      </w:r>
      <w:r w:rsidRPr="00913C91">
        <w:rPr>
          <w:i/>
        </w:rPr>
        <w:t>Aboriginal Land Rights (Northern Territory) Act 1976 (</w:t>
      </w:r>
      <w:proofErr w:type="spellStart"/>
      <w:r w:rsidRPr="00913C91">
        <w:rPr>
          <w:i/>
        </w:rPr>
        <w:t>Cwth</w:t>
      </w:r>
      <w:proofErr w:type="spellEnd"/>
      <w:r w:rsidRPr="00913C91">
        <w:rPr>
          <w:i/>
        </w:rPr>
        <w:t>)</w:t>
      </w:r>
      <w:r w:rsidR="002532F6">
        <w:t>.</w:t>
      </w:r>
      <w:r w:rsidR="00557ABF" w:rsidRPr="00557ABF">
        <w:rPr>
          <w:rStyle w:val="FootnoteReference"/>
        </w:rPr>
        <w:t xml:space="preserve"> </w:t>
      </w:r>
      <w:r w:rsidR="00557ABF" w:rsidRPr="00557ABF">
        <w:rPr>
          <w:rStyle w:val="FootnoteReference"/>
          <w:highlight w:val="yellow"/>
        </w:rPr>
        <w:footnoteReference w:id="15"/>
      </w:r>
    </w:p>
    <w:p w:rsidR="005E1FE0" w:rsidRPr="00DF38B2" w:rsidRDefault="005E1FE0" w:rsidP="006654AE">
      <w:pPr>
        <w:pStyle w:val="tablenotes"/>
      </w:pPr>
      <w:r w:rsidRPr="00DF38B2">
        <w:t xml:space="preserve">Source: </w:t>
      </w:r>
      <w:r w:rsidRPr="00DF38B2">
        <w:tab/>
        <w:t>Yu, Duncan &amp; Gray (2008); Appendix 4.</w:t>
      </w:r>
    </w:p>
    <w:p w:rsidR="005E1FE0" w:rsidRPr="00DF38B2" w:rsidRDefault="005E1FE0" w:rsidP="006654AE">
      <w:pPr>
        <w:pStyle w:val="Caption"/>
        <w:keepLines/>
        <w:pageBreakBefore/>
      </w:pPr>
      <w:bookmarkStart w:id="39" w:name="_Toc403739493"/>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r w:rsidRPr="00F157EE">
        <w:tab/>
      </w:r>
      <w:r w:rsidR="00AF07A8">
        <w:t>M</w:t>
      </w:r>
      <w:r w:rsidRPr="00F157EE">
        <w:t>ap of NTER Prescribed areas, town camps</w:t>
      </w:r>
      <w:bookmarkEnd w:id="39"/>
    </w:p>
    <w:p w:rsidR="005E1FE0" w:rsidRPr="00DF38B2" w:rsidRDefault="005E1FE0" w:rsidP="006654AE">
      <w:r w:rsidRPr="008E4D9D">
        <w:rPr>
          <w:noProof/>
        </w:rPr>
        <w:drawing>
          <wp:inline distT="0" distB="0" distL="0" distR="0" wp14:anchorId="2EC581B5" wp14:editId="6A0DBD1D">
            <wp:extent cx="5292090" cy="7592972"/>
            <wp:effectExtent l="0" t="0" r="3810" b="8255"/>
            <wp:docPr id="12" name="Picture 0" descr="A map of the Northern Territory NTER Prescribed areas, town camps,including insets for Darwin, Booroloola, Alice Springs and Tennant Creek, showing the location of town camps.&#10;&#10;The full list of NTERcommunities is available at http://nterreview.gov.au/docs/report_nter_review/appendix-10.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large.gif"/>
                    <pic:cNvPicPr/>
                  </pic:nvPicPr>
                  <pic:blipFill>
                    <a:blip r:embed="rId34" cstate="print"/>
                    <a:stretch>
                      <a:fillRect/>
                    </a:stretch>
                  </pic:blipFill>
                  <pic:spPr>
                    <a:xfrm>
                      <a:off x="0" y="0"/>
                      <a:ext cx="5292090" cy="7592972"/>
                    </a:xfrm>
                    <a:prstGeom prst="rect">
                      <a:avLst/>
                    </a:prstGeom>
                  </pic:spPr>
                </pic:pic>
              </a:graphicData>
            </a:graphic>
          </wp:inline>
        </w:drawing>
      </w:r>
    </w:p>
    <w:p w:rsidR="005E1FE0" w:rsidRPr="009655C3" w:rsidRDefault="005E1FE0" w:rsidP="006654AE">
      <w:pPr>
        <w:pStyle w:val="tablenotes"/>
      </w:pPr>
      <w:r w:rsidRPr="00DF38B2">
        <w:t xml:space="preserve">Source: </w:t>
      </w:r>
      <w:r w:rsidRPr="00DF38B2">
        <w:tab/>
        <w:t>Y</w:t>
      </w:r>
      <w:r w:rsidRPr="009655C3">
        <w:t>u, Duncan &amp; Gray (2008); Appendix 4</w:t>
      </w:r>
      <w:r w:rsidRPr="00557ABF">
        <w:rPr>
          <w:highlight w:val="yellow"/>
        </w:rPr>
        <w:t>.</w:t>
      </w:r>
      <w:r w:rsidR="00557ABF" w:rsidRPr="00557ABF">
        <w:rPr>
          <w:rStyle w:val="FootnoteReference"/>
          <w:highlight w:val="yellow"/>
        </w:rPr>
        <w:footnoteReference w:id="16"/>
      </w:r>
    </w:p>
    <w:p w:rsidR="005E1FE0" w:rsidRPr="00DF38B2" w:rsidRDefault="005E1FE0" w:rsidP="006654AE">
      <w:pPr>
        <w:rPr>
          <w:szCs w:val="19"/>
        </w:rPr>
      </w:pPr>
    </w:p>
    <w:p w:rsidR="005E1FE0" w:rsidRPr="00DF38B2" w:rsidRDefault="005E1FE0" w:rsidP="006654AE">
      <w:pPr>
        <w:spacing w:line="276" w:lineRule="auto"/>
        <w:jc w:val="left"/>
        <w:rPr>
          <w:szCs w:val="19"/>
        </w:rPr>
      </w:pPr>
      <w:r w:rsidRPr="00DF38B2">
        <w:rPr>
          <w:szCs w:val="19"/>
        </w:rPr>
        <w:br w:type="page"/>
      </w:r>
    </w:p>
    <w:p w:rsidR="005E1FE0" w:rsidRPr="00DF38B2" w:rsidRDefault="005E1FE0" w:rsidP="006654AE">
      <w:pPr>
        <w:rPr>
          <w:szCs w:val="19"/>
        </w:rPr>
      </w:pPr>
      <w:r w:rsidRPr="00DF38B2">
        <w:rPr>
          <w:szCs w:val="19"/>
        </w:rPr>
        <w:lastRenderedPageBreak/>
        <w:t xml:space="preserve">The NTER policies and program can be grouped into the seven measures outlined in </w:t>
      </w:r>
      <w:r w:rsidRPr="00DF38B2">
        <w:rPr>
          <w:szCs w:val="19"/>
        </w:rPr>
        <w:fldChar w:fldCharType="begin"/>
      </w:r>
      <w:r w:rsidRPr="00DF38B2">
        <w:rPr>
          <w:szCs w:val="19"/>
        </w:rPr>
        <w:instrText xml:space="preserve"> REF _Ref391893916 \h </w:instrText>
      </w:r>
      <w:r w:rsidRPr="00DF38B2">
        <w:rPr>
          <w:szCs w:val="19"/>
        </w:rPr>
      </w:r>
      <w:r w:rsidRPr="00DF38B2">
        <w:rPr>
          <w:szCs w:val="19"/>
        </w:rPr>
        <w:fldChar w:fldCharType="separate"/>
      </w:r>
      <w:r w:rsidR="00906D13" w:rsidRPr="00DF38B2">
        <w:t xml:space="preserve">Table </w:t>
      </w:r>
      <w:r w:rsidR="00906D13">
        <w:rPr>
          <w:noProof/>
        </w:rPr>
        <w:t>2</w:t>
      </w:r>
      <w:r w:rsidR="00906D13">
        <w:noBreakHyphen/>
      </w:r>
      <w:r w:rsidR="00906D13">
        <w:rPr>
          <w:noProof/>
        </w:rPr>
        <w:t>1</w:t>
      </w:r>
      <w:r w:rsidRPr="00DF38B2">
        <w:rPr>
          <w:szCs w:val="19"/>
        </w:rPr>
        <w:fldChar w:fldCharType="end"/>
      </w:r>
      <w:r w:rsidRPr="00DF38B2">
        <w:rPr>
          <w:szCs w:val="19"/>
        </w:rPr>
        <w:t>.</w:t>
      </w:r>
    </w:p>
    <w:p w:rsidR="005E1FE0" w:rsidRPr="00DF38B2" w:rsidRDefault="005E1FE0" w:rsidP="006654AE">
      <w:pPr>
        <w:pStyle w:val="Caption"/>
      </w:pPr>
      <w:bookmarkStart w:id="40" w:name="_Ref391893916"/>
      <w:bookmarkStart w:id="41" w:name="_Toc403739402"/>
      <w:r w:rsidRPr="00DF38B2">
        <w:t xml:space="preserve">Table </w:t>
      </w:r>
      <w:fldSimple w:instr=" STYLEREF 1 \s ">
        <w:r w:rsidR="00906D13">
          <w:rPr>
            <w:noProof/>
          </w:rPr>
          <w:t>2</w:t>
        </w:r>
      </w:fldSimple>
      <w:r w:rsidR="00D40B64">
        <w:noBreakHyphen/>
      </w:r>
      <w:fldSimple w:instr=" SEQ Table \* ARABIC \s 1 ">
        <w:r w:rsidR="00906D13">
          <w:rPr>
            <w:noProof/>
          </w:rPr>
          <w:t>1</w:t>
        </w:r>
      </w:fldSimple>
      <w:bookmarkEnd w:id="40"/>
      <w:r w:rsidR="00676B6A" w:rsidRPr="00DF38B2">
        <w:tab/>
      </w:r>
      <w:r w:rsidRPr="00DF38B2">
        <w:t>NTER measures</w:t>
      </w:r>
      <w:bookmarkEnd w:id="41"/>
    </w:p>
    <w:tbl>
      <w:tblPr>
        <w:tblStyle w:val="TableGrid"/>
        <w:tblW w:w="0" w:type="auto"/>
        <w:jc w:val="right"/>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Description w:val="Table lists 36 specific measures introduced as part of the NTER under 7 headings&#10;The detail of the table is as follows:&#10;Measure 1: Welfare reform and employment (5 sub-measures)&#10;Income management and community stores&#10;Increased participation opportunities for people on income support in remote communities&#10;CDEP transition to jobs and employment services&#10;Active school participation&#10;Community employment brokers&#10;Measure 2: Law and order (7sub- measures)&#10;Alcohol, drugs and pornography&#10;Increased police presence in communities&#10;National Indigenous Intelligence Taskforce&#10;Child Abuse Desk&#10;Northern Territory Aboriginal Interpreter Services&#10;Expansion of Northern Territory night patrol services&#10;Additional legal services for Indigenous Australians&#10;Measure 3: Enhancing education (5 sub-measures)&#10;Additional classrooms&#10;Accelerated literacy program&#10;School nutrition program&#10;Volunteer teacher initiative&#10;Quality teaching package&#10;Measure 4: Supporting families (4 sub-measures)&#10;Children's services and family support (crèches, playgroups and early childhood services)&#10;Child-at-risk workers for Northern Territory Child Protection Services&#10;Safe place for families escaping family violence&#10;Youth alcohol diversionary services&#10;Measure 5: Improving child and family health (3 sub-measures)&#10;Child health checks, medical follow-up and treatment&#10;Child special services&#10;Drug and alcohol response&#10;Measure 6: Housing and land reform (5 sub-measures)&#10;Five-year lease program&#10;Urgent repairs to infrastructure&#10;Permits&#10;Community clean-up&#10;Land compensation&#10;Measure 7: Coordination (7 sub-measures)&#10;NTER Taskforce&#10;Government Business Managers &#10;Operations Centre&#10;Community engagement and volunteering&#10;Temporary accommodation of whole-of-government staff&#10;Commonwealth Ombudsman support for NTER&#10;Logistical support for NTER&#10;"/>
      </w:tblPr>
      <w:tblGrid>
        <w:gridCol w:w="4451"/>
        <w:gridCol w:w="3969"/>
      </w:tblGrid>
      <w:tr w:rsidR="005E1FE0" w:rsidRPr="00DF38B2" w:rsidTr="003757E7">
        <w:trPr>
          <w:tblHeader/>
          <w:jc w:val="right"/>
        </w:trPr>
        <w:tc>
          <w:tcPr>
            <w:tcW w:w="4451" w:type="dxa"/>
          </w:tcPr>
          <w:p w:rsidR="005E1FE0" w:rsidRPr="00DF38B2" w:rsidRDefault="005E1FE0" w:rsidP="006654AE">
            <w:pPr>
              <w:pStyle w:val="tabletextleft"/>
            </w:pPr>
          </w:p>
          <w:p w:rsidR="005E1FE0" w:rsidRPr="00DF38B2" w:rsidRDefault="005E1FE0" w:rsidP="006654AE">
            <w:pPr>
              <w:pStyle w:val="tabletextleft"/>
              <w:ind w:left="227" w:hanging="227"/>
              <w:jc w:val="left"/>
              <w:rPr>
                <w:b/>
              </w:rPr>
            </w:pPr>
            <w:r w:rsidRPr="00DF38B2">
              <w:rPr>
                <w:b/>
              </w:rPr>
              <w:t>Measure 1: Welfare reform and employment</w:t>
            </w:r>
          </w:p>
          <w:p w:rsidR="005E1FE0" w:rsidRPr="00DF38B2" w:rsidRDefault="005E1FE0" w:rsidP="006654AE">
            <w:pPr>
              <w:pStyle w:val="tabletextleft"/>
              <w:ind w:left="227" w:hanging="227"/>
              <w:jc w:val="left"/>
              <w:rPr>
                <w:rFonts w:cs="Arial"/>
              </w:rPr>
            </w:pPr>
            <w:r w:rsidRPr="00DF38B2">
              <w:rPr>
                <w:rFonts w:cs="Arial"/>
              </w:rPr>
              <w:t>Income management and community stores</w:t>
            </w:r>
          </w:p>
          <w:p w:rsidR="005E1FE0" w:rsidRPr="00DF38B2" w:rsidRDefault="005E1FE0" w:rsidP="006654AE">
            <w:pPr>
              <w:pStyle w:val="tabletextleft"/>
              <w:ind w:left="227" w:hanging="227"/>
              <w:jc w:val="left"/>
              <w:rPr>
                <w:rFonts w:cs="Arial"/>
              </w:rPr>
            </w:pPr>
            <w:r w:rsidRPr="00DF38B2">
              <w:rPr>
                <w:rFonts w:cs="Arial"/>
              </w:rPr>
              <w:t>Increased participation opportunities for people on income support in remote communities</w:t>
            </w:r>
          </w:p>
          <w:p w:rsidR="005E1FE0" w:rsidRPr="00DF38B2" w:rsidRDefault="00C60BAA" w:rsidP="006654AE">
            <w:pPr>
              <w:pStyle w:val="tabletextleft"/>
              <w:ind w:left="227" w:hanging="227"/>
              <w:jc w:val="left"/>
              <w:rPr>
                <w:rFonts w:cs="Arial"/>
              </w:rPr>
            </w:pPr>
            <w:r w:rsidRPr="00C60BAA">
              <w:rPr>
                <w:rFonts w:cs="Arial"/>
              </w:rPr>
              <w:t xml:space="preserve">Community Development Employment Projects (CDEP) </w:t>
            </w:r>
            <w:r w:rsidR="005E1FE0" w:rsidRPr="00DF38B2">
              <w:rPr>
                <w:rFonts w:cs="Arial"/>
              </w:rPr>
              <w:t>transition to jobs and employment services</w:t>
            </w:r>
          </w:p>
          <w:p w:rsidR="005E1FE0" w:rsidRPr="00DF38B2" w:rsidRDefault="005E1FE0" w:rsidP="006654AE">
            <w:pPr>
              <w:pStyle w:val="tabletextleft"/>
              <w:ind w:left="227" w:hanging="227"/>
              <w:jc w:val="left"/>
              <w:rPr>
                <w:rFonts w:cs="Arial"/>
              </w:rPr>
            </w:pPr>
            <w:r w:rsidRPr="00DF38B2">
              <w:rPr>
                <w:rFonts w:cs="Arial"/>
              </w:rPr>
              <w:t>Active school participation</w:t>
            </w:r>
          </w:p>
          <w:p w:rsidR="005E1FE0" w:rsidRPr="00DF38B2" w:rsidRDefault="005E1FE0" w:rsidP="006654AE">
            <w:pPr>
              <w:pStyle w:val="tabletextleft"/>
              <w:ind w:left="227" w:hanging="227"/>
              <w:jc w:val="left"/>
              <w:rPr>
                <w:rFonts w:cs="Arial"/>
              </w:rPr>
            </w:pPr>
            <w:r w:rsidRPr="00DF38B2">
              <w:rPr>
                <w:rFonts w:cs="Arial"/>
              </w:rPr>
              <w:t>Community employment brokers</w:t>
            </w:r>
          </w:p>
          <w:p w:rsidR="005E1FE0" w:rsidRPr="00DF38B2" w:rsidRDefault="005E1FE0" w:rsidP="006654AE">
            <w:pPr>
              <w:pStyle w:val="tabletextleft"/>
              <w:ind w:left="227" w:hanging="227"/>
              <w:jc w:val="left"/>
            </w:pPr>
          </w:p>
          <w:p w:rsidR="005E1FE0" w:rsidRPr="00DF38B2" w:rsidRDefault="005E1FE0" w:rsidP="006654AE">
            <w:pPr>
              <w:pStyle w:val="tabletextleft"/>
              <w:ind w:left="227" w:hanging="227"/>
              <w:jc w:val="left"/>
              <w:rPr>
                <w:b/>
              </w:rPr>
            </w:pPr>
            <w:r w:rsidRPr="00DF38B2">
              <w:rPr>
                <w:b/>
              </w:rPr>
              <w:t>Measure 2: Law and order</w:t>
            </w:r>
          </w:p>
          <w:p w:rsidR="005E1FE0" w:rsidRPr="00DF38B2" w:rsidRDefault="005E1FE0" w:rsidP="006654AE">
            <w:pPr>
              <w:pStyle w:val="tabletextleft"/>
              <w:ind w:left="227" w:hanging="227"/>
              <w:jc w:val="left"/>
            </w:pPr>
            <w:r w:rsidRPr="00DF38B2">
              <w:t>Alcohol, drugs and pornography</w:t>
            </w:r>
          </w:p>
          <w:p w:rsidR="005E1FE0" w:rsidRPr="00DF38B2" w:rsidRDefault="005E1FE0" w:rsidP="006654AE">
            <w:pPr>
              <w:pStyle w:val="tabletextleft"/>
              <w:ind w:left="227" w:hanging="227"/>
              <w:jc w:val="left"/>
            </w:pPr>
            <w:r w:rsidRPr="00DF38B2">
              <w:t>Increased police presence in communities</w:t>
            </w:r>
          </w:p>
          <w:p w:rsidR="005E1FE0" w:rsidRPr="00DF38B2" w:rsidRDefault="005E1FE0" w:rsidP="006654AE">
            <w:pPr>
              <w:pStyle w:val="tabletextleft"/>
              <w:ind w:left="227" w:hanging="227"/>
              <w:jc w:val="left"/>
            </w:pPr>
            <w:r w:rsidRPr="00DF38B2">
              <w:t>National Indigenous Intelligence Taskforce</w:t>
            </w:r>
          </w:p>
          <w:p w:rsidR="005E1FE0" w:rsidRPr="00DF38B2" w:rsidRDefault="005E1FE0" w:rsidP="006654AE">
            <w:pPr>
              <w:pStyle w:val="tabletextleft"/>
              <w:ind w:left="227" w:hanging="227"/>
              <w:jc w:val="left"/>
            </w:pPr>
            <w:r w:rsidRPr="00DF38B2">
              <w:t>Child Abuse Desk</w:t>
            </w:r>
          </w:p>
          <w:p w:rsidR="005E1FE0" w:rsidRPr="00DF38B2" w:rsidRDefault="005E1FE0" w:rsidP="006654AE">
            <w:pPr>
              <w:pStyle w:val="tabletextleft"/>
              <w:ind w:left="227" w:hanging="227"/>
              <w:jc w:val="left"/>
            </w:pPr>
            <w:r w:rsidRPr="00DF38B2">
              <w:t>Northern Territory Aboriginal Interpreter Services</w:t>
            </w:r>
          </w:p>
          <w:p w:rsidR="005E1FE0" w:rsidRPr="00DF38B2" w:rsidRDefault="005E1FE0" w:rsidP="006654AE">
            <w:pPr>
              <w:pStyle w:val="tabletextleft"/>
              <w:ind w:left="227" w:hanging="227"/>
              <w:jc w:val="left"/>
            </w:pPr>
            <w:r w:rsidRPr="00DF38B2">
              <w:t>Expansion of Northern Territory night patrol services</w:t>
            </w:r>
          </w:p>
          <w:p w:rsidR="005E1FE0" w:rsidRPr="00DF38B2" w:rsidRDefault="005E1FE0" w:rsidP="006654AE">
            <w:pPr>
              <w:pStyle w:val="tabletextleft"/>
              <w:ind w:left="227" w:hanging="227"/>
              <w:jc w:val="left"/>
            </w:pPr>
            <w:r w:rsidRPr="00DF38B2">
              <w:t>Additional legal services for Indigenous Australians</w:t>
            </w:r>
          </w:p>
          <w:p w:rsidR="005E1FE0" w:rsidRPr="00DF38B2" w:rsidRDefault="005E1FE0" w:rsidP="006654AE">
            <w:pPr>
              <w:pStyle w:val="tabletextleft"/>
              <w:ind w:left="227" w:hanging="227"/>
              <w:jc w:val="left"/>
            </w:pPr>
          </w:p>
          <w:p w:rsidR="005E1FE0" w:rsidRPr="00DF38B2" w:rsidRDefault="005E1FE0" w:rsidP="006654AE">
            <w:pPr>
              <w:pStyle w:val="tabletextleft"/>
              <w:ind w:left="227" w:hanging="227"/>
              <w:jc w:val="left"/>
              <w:rPr>
                <w:b/>
              </w:rPr>
            </w:pPr>
            <w:r w:rsidRPr="00DF38B2">
              <w:rPr>
                <w:b/>
              </w:rPr>
              <w:t>Measure 3: Enhancing education</w:t>
            </w:r>
          </w:p>
          <w:p w:rsidR="005E1FE0" w:rsidRPr="00DF38B2" w:rsidRDefault="005E1FE0" w:rsidP="006654AE">
            <w:pPr>
              <w:pStyle w:val="tabletextleft"/>
              <w:ind w:left="227" w:hanging="227"/>
              <w:jc w:val="left"/>
            </w:pPr>
            <w:r w:rsidRPr="00DF38B2">
              <w:t>Additional classrooms</w:t>
            </w:r>
          </w:p>
          <w:p w:rsidR="005E1FE0" w:rsidRPr="00DF38B2" w:rsidRDefault="005E1FE0" w:rsidP="006654AE">
            <w:pPr>
              <w:pStyle w:val="tabletextleft"/>
              <w:ind w:left="227" w:hanging="227"/>
              <w:jc w:val="left"/>
            </w:pPr>
            <w:r w:rsidRPr="00DF38B2">
              <w:t>Accelerated literacy program</w:t>
            </w:r>
          </w:p>
          <w:p w:rsidR="005E1FE0" w:rsidRPr="00DF38B2" w:rsidRDefault="005E1FE0" w:rsidP="006654AE">
            <w:pPr>
              <w:pStyle w:val="tabletextleft"/>
              <w:ind w:left="227" w:hanging="227"/>
              <w:jc w:val="left"/>
            </w:pPr>
            <w:r w:rsidRPr="00DF38B2">
              <w:t>School nutrition program</w:t>
            </w:r>
          </w:p>
          <w:p w:rsidR="005E1FE0" w:rsidRPr="00DF38B2" w:rsidRDefault="005E1FE0" w:rsidP="006654AE">
            <w:pPr>
              <w:pStyle w:val="tabletextleft"/>
              <w:ind w:left="227" w:hanging="227"/>
              <w:jc w:val="left"/>
            </w:pPr>
            <w:r w:rsidRPr="00DF38B2">
              <w:t>Volunteer teacher initiative</w:t>
            </w:r>
          </w:p>
          <w:p w:rsidR="005E1FE0" w:rsidRPr="00DF38B2" w:rsidRDefault="005E1FE0" w:rsidP="006654AE">
            <w:pPr>
              <w:pStyle w:val="tabletextleft"/>
              <w:ind w:left="227" w:hanging="227"/>
              <w:jc w:val="left"/>
            </w:pPr>
            <w:r w:rsidRPr="00DF38B2">
              <w:t>Quality teaching package</w:t>
            </w:r>
          </w:p>
          <w:p w:rsidR="005E1FE0" w:rsidRPr="00DF38B2" w:rsidRDefault="005E1FE0" w:rsidP="006654AE">
            <w:pPr>
              <w:pStyle w:val="tabletextleft"/>
              <w:ind w:left="232" w:hanging="232"/>
              <w:jc w:val="left"/>
            </w:pPr>
          </w:p>
          <w:p w:rsidR="005E1FE0" w:rsidRPr="00DF38B2" w:rsidRDefault="005E1FE0" w:rsidP="006654AE">
            <w:pPr>
              <w:pStyle w:val="tabletextleft"/>
              <w:jc w:val="left"/>
            </w:pPr>
          </w:p>
        </w:tc>
        <w:tc>
          <w:tcPr>
            <w:tcW w:w="3969" w:type="dxa"/>
          </w:tcPr>
          <w:p w:rsidR="005E1FE0" w:rsidRPr="00DF38B2" w:rsidRDefault="005E1FE0" w:rsidP="006654AE">
            <w:pPr>
              <w:pStyle w:val="tabletextleft"/>
              <w:jc w:val="left"/>
            </w:pPr>
          </w:p>
          <w:p w:rsidR="005E1FE0" w:rsidRPr="00DF38B2" w:rsidRDefault="005E1FE0" w:rsidP="006654AE">
            <w:pPr>
              <w:pStyle w:val="tabletextleft"/>
              <w:ind w:left="238" w:hanging="227"/>
              <w:jc w:val="left"/>
              <w:rPr>
                <w:b/>
              </w:rPr>
            </w:pPr>
            <w:r w:rsidRPr="00DF38B2">
              <w:rPr>
                <w:b/>
              </w:rPr>
              <w:t>Measure 4: Supporting families</w:t>
            </w:r>
          </w:p>
          <w:p w:rsidR="005E1FE0" w:rsidRPr="00DF38B2" w:rsidRDefault="005E1FE0" w:rsidP="006654AE">
            <w:pPr>
              <w:pStyle w:val="tabletextleft"/>
              <w:ind w:left="238" w:hanging="227"/>
              <w:jc w:val="left"/>
            </w:pPr>
            <w:r w:rsidRPr="00DF38B2">
              <w:t>Children's services and family support (crèches, playgroups and early childhood services)</w:t>
            </w:r>
          </w:p>
          <w:p w:rsidR="005E1FE0" w:rsidRPr="00DF38B2" w:rsidRDefault="005E1FE0" w:rsidP="006654AE">
            <w:pPr>
              <w:pStyle w:val="tabletextleft"/>
              <w:ind w:left="238" w:hanging="227"/>
              <w:jc w:val="left"/>
            </w:pPr>
            <w:r w:rsidRPr="00DF38B2">
              <w:t>Child-at-risk workers for Northern Territory Child Protection Services</w:t>
            </w:r>
          </w:p>
          <w:p w:rsidR="005E1FE0" w:rsidRPr="00DF38B2" w:rsidRDefault="005E1FE0" w:rsidP="006654AE">
            <w:pPr>
              <w:pStyle w:val="tabletextleft"/>
              <w:ind w:left="238" w:hanging="227"/>
              <w:jc w:val="left"/>
            </w:pPr>
            <w:r w:rsidRPr="00DF38B2">
              <w:t>Safe place for families escaping family violence</w:t>
            </w:r>
          </w:p>
          <w:p w:rsidR="005E1FE0" w:rsidRPr="00DF38B2" w:rsidRDefault="005E1FE0" w:rsidP="006654AE">
            <w:pPr>
              <w:pStyle w:val="tabletextleft"/>
              <w:ind w:left="238" w:hanging="227"/>
              <w:jc w:val="left"/>
            </w:pPr>
            <w:r w:rsidRPr="00DF38B2">
              <w:t>Youth alcohol diversionary services</w:t>
            </w:r>
          </w:p>
          <w:p w:rsidR="005E1FE0" w:rsidRPr="00DF38B2" w:rsidRDefault="005E1FE0" w:rsidP="006654AE">
            <w:pPr>
              <w:pStyle w:val="tabletextleft"/>
              <w:ind w:left="238" w:hanging="227"/>
              <w:jc w:val="left"/>
              <w:rPr>
                <w:b/>
              </w:rPr>
            </w:pPr>
          </w:p>
          <w:p w:rsidR="005E1FE0" w:rsidRPr="00DF38B2" w:rsidRDefault="005E1FE0" w:rsidP="006654AE">
            <w:pPr>
              <w:pStyle w:val="tabletextleft"/>
              <w:ind w:left="238" w:hanging="227"/>
              <w:jc w:val="left"/>
              <w:rPr>
                <w:b/>
              </w:rPr>
            </w:pPr>
            <w:r w:rsidRPr="00DF38B2">
              <w:rPr>
                <w:b/>
              </w:rPr>
              <w:t>Measure 5: Improving child and family health</w:t>
            </w:r>
          </w:p>
          <w:p w:rsidR="005E1FE0" w:rsidRPr="00DF38B2" w:rsidRDefault="005E1FE0" w:rsidP="006654AE">
            <w:pPr>
              <w:pStyle w:val="tabletextleft"/>
              <w:ind w:left="238" w:hanging="227"/>
              <w:jc w:val="left"/>
            </w:pPr>
            <w:r w:rsidRPr="00DF38B2">
              <w:t>Child health checks, medical follow-up and treatment</w:t>
            </w:r>
          </w:p>
          <w:p w:rsidR="005E1FE0" w:rsidRPr="00DF38B2" w:rsidRDefault="005E1FE0" w:rsidP="006654AE">
            <w:pPr>
              <w:pStyle w:val="tabletextleft"/>
              <w:ind w:left="238" w:hanging="227"/>
              <w:jc w:val="left"/>
            </w:pPr>
            <w:r w:rsidRPr="00DF38B2">
              <w:t>Child special services</w:t>
            </w:r>
          </w:p>
          <w:p w:rsidR="005E1FE0" w:rsidRPr="00DF38B2" w:rsidRDefault="005E1FE0" w:rsidP="006654AE">
            <w:pPr>
              <w:pStyle w:val="tabletextleft"/>
              <w:ind w:left="238" w:hanging="227"/>
              <w:jc w:val="left"/>
            </w:pPr>
            <w:r w:rsidRPr="00DF38B2">
              <w:t>Drug and alcohol response</w:t>
            </w:r>
          </w:p>
          <w:p w:rsidR="005E1FE0" w:rsidRPr="00DF38B2" w:rsidRDefault="005E1FE0" w:rsidP="006654AE">
            <w:pPr>
              <w:pStyle w:val="tabletextleft"/>
              <w:ind w:left="238" w:hanging="227"/>
              <w:jc w:val="left"/>
            </w:pPr>
          </w:p>
          <w:p w:rsidR="005E1FE0" w:rsidRPr="00DF38B2" w:rsidRDefault="005E1FE0" w:rsidP="006654AE">
            <w:pPr>
              <w:pStyle w:val="tabletextleft"/>
              <w:ind w:left="238" w:hanging="227"/>
              <w:jc w:val="left"/>
              <w:rPr>
                <w:b/>
              </w:rPr>
            </w:pPr>
            <w:r w:rsidRPr="00DF38B2">
              <w:rPr>
                <w:b/>
              </w:rPr>
              <w:t>Measure 6: Housing and land reform</w:t>
            </w:r>
          </w:p>
          <w:p w:rsidR="005E1FE0" w:rsidRPr="00DF38B2" w:rsidRDefault="005E1FE0" w:rsidP="006654AE">
            <w:pPr>
              <w:pStyle w:val="tabletextleft"/>
              <w:ind w:left="238" w:hanging="227"/>
              <w:jc w:val="left"/>
            </w:pPr>
            <w:r w:rsidRPr="00DF38B2">
              <w:t>Five-year lease program</w:t>
            </w:r>
          </w:p>
          <w:p w:rsidR="005E1FE0" w:rsidRPr="00DF38B2" w:rsidRDefault="005E1FE0" w:rsidP="006654AE">
            <w:pPr>
              <w:pStyle w:val="tabletextleft"/>
              <w:ind w:left="238" w:hanging="227"/>
              <w:jc w:val="left"/>
            </w:pPr>
            <w:r w:rsidRPr="00DF38B2">
              <w:t>Urgent repairs to infrastructure</w:t>
            </w:r>
          </w:p>
          <w:p w:rsidR="005E1FE0" w:rsidRPr="00DF38B2" w:rsidRDefault="005E1FE0" w:rsidP="006654AE">
            <w:pPr>
              <w:pStyle w:val="tabletextleft"/>
              <w:ind w:left="238" w:hanging="227"/>
              <w:jc w:val="left"/>
            </w:pPr>
            <w:r w:rsidRPr="00DF38B2">
              <w:t>Permits</w:t>
            </w:r>
          </w:p>
          <w:p w:rsidR="005E1FE0" w:rsidRPr="00DF38B2" w:rsidRDefault="005E1FE0" w:rsidP="006654AE">
            <w:pPr>
              <w:pStyle w:val="tabletextleft"/>
              <w:ind w:left="238" w:hanging="227"/>
              <w:jc w:val="left"/>
            </w:pPr>
            <w:r w:rsidRPr="00DF38B2">
              <w:t>Community clean</w:t>
            </w:r>
            <w:r w:rsidR="00913C91">
              <w:t>-</w:t>
            </w:r>
            <w:r w:rsidRPr="00DF38B2">
              <w:t>up</w:t>
            </w:r>
          </w:p>
          <w:p w:rsidR="005E1FE0" w:rsidRPr="00DF38B2" w:rsidRDefault="005E1FE0" w:rsidP="006654AE">
            <w:pPr>
              <w:pStyle w:val="tabletextleft"/>
              <w:ind w:left="238" w:hanging="227"/>
              <w:jc w:val="left"/>
            </w:pPr>
            <w:r w:rsidRPr="00DF38B2">
              <w:t>Land compensation</w:t>
            </w:r>
          </w:p>
          <w:p w:rsidR="005E1FE0" w:rsidRPr="00DF38B2" w:rsidRDefault="005E1FE0" w:rsidP="006654AE">
            <w:pPr>
              <w:pStyle w:val="tabletextleft"/>
              <w:ind w:left="238" w:hanging="227"/>
              <w:jc w:val="left"/>
            </w:pPr>
          </w:p>
          <w:p w:rsidR="005E1FE0" w:rsidRPr="00DF38B2" w:rsidRDefault="005E1FE0" w:rsidP="006654AE">
            <w:pPr>
              <w:pStyle w:val="tabletextleft"/>
              <w:ind w:left="238" w:hanging="227"/>
              <w:jc w:val="left"/>
              <w:rPr>
                <w:b/>
              </w:rPr>
            </w:pPr>
            <w:r w:rsidRPr="00DF38B2">
              <w:rPr>
                <w:b/>
              </w:rPr>
              <w:t>Measure 7: Coordination</w:t>
            </w:r>
          </w:p>
          <w:p w:rsidR="005E1FE0" w:rsidRPr="00DF38B2" w:rsidRDefault="005E1FE0" w:rsidP="006654AE">
            <w:pPr>
              <w:pStyle w:val="tabletextleft"/>
              <w:ind w:left="238" w:hanging="227"/>
              <w:jc w:val="left"/>
            </w:pPr>
            <w:r w:rsidRPr="00DF38B2">
              <w:t>NTER Taskforce</w:t>
            </w:r>
          </w:p>
          <w:p w:rsidR="005E1FE0" w:rsidRPr="00DF38B2" w:rsidRDefault="005E1FE0" w:rsidP="006654AE">
            <w:pPr>
              <w:pStyle w:val="tabletextleft"/>
              <w:ind w:left="238" w:hanging="227"/>
              <w:jc w:val="left"/>
            </w:pPr>
            <w:r w:rsidRPr="00DF38B2">
              <w:t xml:space="preserve">Government Business Managers </w:t>
            </w:r>
          </w:p>
          <w:p w:rsidR="005E1FE0" w:rsidRPr="00DF38B2" w:rsidRDefault="005E1FE0" w:rsidP="006654AE">
            <w:pPr>
              <w:pStyle w:val="tabletextleft"/>
              <w:ind w:left="238" w:hanging="227"/>
              <w:jc w:val="left"/>
            </w:pPr>
            <w:r w:rsidRPr="00DF38B2">
              <w:t>Operations Centre</w:t>
            </w:r>
          </w:p>
          <w:p w:rsidR="005E1FE0" w:rsidRPr="00DF38B2" w:rsidRDefault="005E1FE0" w:rsidP="006654AE">
            <w:pPr>
              <w:pStyle w:val="tabletextleft"/>
              <w:ind w:left="238" w:hanging="227"/>
              <w:jc w:val="left"/>
            </w:pPr>
            <w:r w:rsidRPr="00DF38B2">
              <w:t>Community engagement and volunteering</w:t>
            </w:r>
          </w:p>
          <w:p w:rsidR="005E1FE0" w:rsidRPr="00DF38B2" w:rsidRDefault="005E1FE0" w:rsidP="006654AE">
            <w:pPr>
              <w:pStyle w:val="tabletextleft"/>
              <w:ind w:left="238" w:hanging="227"/>
              <w:jc w:val="left"/>
            </w:pPr>
            <w:r w:rsidRPr="00DF38B2">
              <w:t>Temporary accommodation of whole-of</w:t>
            </w:r>
            <w:r w:rsidR="00913C91">
              <w:t>-</w:t>
            </w:r>
            <w:r w:rsidRPr="00DF38B2">
              <w:t>government staff</w:t>
            </w:r>
          </w:p>
          <w:p w:rsidR="005E1FE0" w:rsidRPr="00DF38B2" w:rsidRDefault="005E1FE0" w:rsidP="006654AE">
            <w:pPr>
              <w:pStyle w:val="tabletextleft"/>
              <w:ind w:left="238" w:hanging="227"/>
              <w:jc w:val="left"/>
            </w:pPr>
            <w:r w:rsidRPr="00DF38B2">
              <w:t>Commonwealth Ombudsman support for NTER</w:t>
            </w:r>
          </w:p>
          <w:p w:rsidR="005E1FE0" w:rsidRPr="00DF38B2" w:rsidRDefault="005E1FE0" w:rsidP="006654AE">
            <w:pPr>
              <w:pStyle w:val="tabletextleft"/>
              <w:ind w:left="238" w:hanging="227"/>
              <w:jc w:val="left"/>
            </w:pPr>
            <w:r w:rsidRPr="00DF38B2">
              <w:t>Logistical support for NTER</w:t>
            </w:r>
          </w:p>
          <w:p w:rsidR="005E1FE0" w:rsidRPr="00DF38B2" w:rsidRDefault="005E1FE0" w:rsidP="006654AE">
            <w:pPr>
              <w:pStyle w:val="tabletextleft"/>
            </w:pPr>
          </w:p>
        </w:tc>
      </w:tr>
    </w:tbl>
    <w:p w:rsidR="005E1FE0" w:rsidRPr="00F157EE" w:rsidRDefault="005E1FE0" w:rsidP="006654AE">
      <w:pPr>
        <w:pStyle w:val="tablefootnoteslastline"/>
        <w:rPr>
          <w:noProof w:val="0"/>
          <w:lang w:val="en-AU"/>
        </w:rPr>
      </w:pPr>
      <w:r w:rsidRPr="00F157EE">
        <w:rPr>
          <w:noProof w:val="0"/>
          <w:lang w:val="en-AU"/>
        </w:rPr>
        <w:t>Source: AIHW (2010).</w:t>
      </w:r>
    </w:p>
    <w:p w:rsidR="005E1FE0" w:rsidRPr="00DF38B2" w:rsidRDefault="005E1FE0" w:rsidP="006654AE">
      <w:pPr>
        <w:pStyle w:val="tablefootnoteslastline"/>
      </w:pPr>
    </w:p>
    <w:p w:rsidR="005E1FE0" w:rsidRPr="00DF38B2" w:rsidRDefault="005E1FE0" w:rsidP="006654AE">
      <w:r w:rsidRPr="00FE502F">
        <w:t>Under the NTER model of income management, people living in the prescribed areas who received government income support payments had half of their income support payments income managed. Income</w:t>
      </w:r>
      <w:r w:rsidR="00A04470">
        <w:t xml:space="preserve"> </w:t>
      </w:r>
      <w:r w:rsidRPr="00FE502F">
        <w:t>ma</w:t>
      </w:r>
      <w:r w:rsidRPr="009655C3">
        <w:t>naged funds were directed towards agreed priority needs and services such as food, rent and utilities. Income</w:t>
      </w:r>
      <w:r w:rsidR="00A04470">
        <w:t xml:space="preserve"> </w:t>
      </w:r>
      <w:r w:rsidRPr="009655C3">
        <w:t>managed funds could not be used to purchase excluded items such as alcohol, tobacco or pornography, or used for gambling. Because of the targeting</w:t>
      </w:r>
      <w:r w:rsidRPr="00DF38B2">
        <w:t xml:space="preserve"> of largely Indigenous communities, the implementation of the NTER required the suspension of the </w:t>
      </w:r>
      <w:r w:rsidRPr="00DF38B2">
        <w:rPr>
          <w:i/>
        </w:rPr>
        <w:t>Racial Discrimination Act 1975 (</w:t>
      </w:r>
      <w:proofErr w:type="spellStart"/>
      <w:r w:rsidRPr="00DF38B2">
        <w:rPr>
          <w:i/>
        </w:rPr>
        <w:t>Cwth</w:t>
      </w:r>
      <w:proofErr w:type="spellEnd"/>
      <w:r w:rsidRPr="00DF38B2">
        <w:rPr>
          <w:i/>
        </w:rPr>
        <w:t xml:space="preserve">) </w:t>
      </w:r>
      <w:r w:rsidRPr="00DF38B2">
        <w:t>(RDA). NTER income management applied to all income support recipients who were living in a prescribed area on 21 June 2007.</w:t>
      </w:r>
      <w:r w:rsidRPr="00DF38B2">
        <w:rPr>
          <w:vertAlign w:val="superscript"/>
        </w:rPr>
        <w:t xml:space="preserve"> </w:t>
      </w:r>
      <w:r w:rsidRPr="00DF38B2">
        <w:rPr>
          <w:vertAlign w:val="superscript"/>
        </w:rPr>
        <w:footnoteReference w:id="17"/>
      </w:r>
      <w:r w:rsidRPr="00DF38B2">
        <w:t xml:space="preserve"> </w:t>
      </w:r>
    </w:p>
    <w:p w:rsidR="00913C91" w:rsidRDefault="005E1FE0" w:rsidP="006654AE">
      <w:r w:rsidRPr="00FE502F">
        <w:t>The announcement of the NTER indicated that the purpose of the welfare reforms was “to stem the flow of cash going toward substance abuse and to ensure funds meant to be for children’s welfare are used for that purpose [and] enforcing school attend</w:t>
      </w:r>
      <w:r w:rsidRPr="009655C3">
        <w:t>ance by linking income support and family assistance payments to school attendance for all people living on Aboriginal land and providing meals for children at school at parents’ cost”. At the time of announcement, the introduction of income quarantining w</w:t>
      </w:r>
      <w:r w:rsidRPr="00DF38B2">
        <w:t>as seen as a time-limited measure targeted at the long</w:t>
      </w:r>
      <w:r w:rsidR="00913C91">
        <w:t>-</w:t>
      </w:r>
      <w:r w:rsidRPr="00DF38B2">
        <w:t>term welfare</w:t>
      </w:r>
      <w:r w:rsidR="00913C91">
        <w:t>-</w:t>
      </w:r>
      <w:r w:rsidRPr="00DF38B2">
        <w:t>reliant group. Specifically</w:t>
      </w:r>
      <w:r w:rsidR="00913C91">
        <w:t>,</w:t>
      </w:r>
      <w:r w:rsidRPr="00DF38B2">
        <w:t xml:space="preserve"> the government indicated their intention to introduce legislation to</w:t>
      </w:r>
      <w:r w:rsidR="00C60BAA">
        <w:t>:</w:t>
      </w:r>
      <w:r w:rsidRPr="00DF38B2">
        <w:t xml:space="preserve"> </w:t>
      </w:r>
    </w:p>
    <w:p w:rsidR="005E1FE0" w:rsidRPr="00DF38B2" w:rsidRDefault="00C43DD2" w:rsidP="006654AE">
      <w:pPr>
        <w:pStyle w:val="indent"/>
      </w:pPr>
      <w:r>
        <w:t>“</w:t>
      </w:r>
      <w:r w:rsidR="005E1FE0" w:rsidRPr="00DF38B2">
        <w:t>Reduce discretionary disposable income by quarantining 50 per cent of all Australian Government income support and family assistance payments, and CDEP</w:t>
      </w:r>
      <w:r w:rsidR="005E1FE0" w:rsidRPr="00DF38B2">
        <w:rPr>
          <w:rStyle w:val="FootnoteReference"/>
        </w:rPr>
        <w:footnoteReference w:id="18"/>
      </w:r>
      <w:r w:rsidR="005E1FE0" w:rsidRPr="00DF38B2">
        <w:t xml:space="preserve"> wages, for an initial period of twelve months, for people who have been, or become, in receipt of payment for two </w:t>
      </w:r>
      <w:r w:rsidR="005E1FE0" w:rsidRPr="00DF38B2">
        <w:lastRenderedPageBreak/>
        <w:t>years or longer for residents in prescribed communities, with those outside of these communities decided on a case by case basis by Centrelink” (</w:t>
      </w:r>
      <w:proofErr w:type="spellStart"/>
      <w:r w:rsidR="005E1FE0" w:rsidRPr="00DF38B2">
        <w:t>Brough</w:t>
      </w:r>
      <w:proofErr w:type="spellEnd"/>
      <w:r w:rsidR="005E1FE0" w:rsidRPr="00DF38B2">
        <w:t>, 2007).</w:t>
      </w:r>
    </w:p>
    <w:p w:rsidR="005E1FE0" w:rsidRPr="00FE502F" w:rsidRDefault="005E1FE0" w:rsidP="006654AE">
      <w:pPr>
        <w:pStyle w:val="Heading4"/>
      </w:pPr>
      <w:r w:rsidRPr="00FE502F">
        <w:t>Income management under the NTER</w:t>
      </w:r>
    </w:p>
    <w:p w:rsidR="005E1FE0" w:rsidRPr="009655C3" w:rsidRDefault="005E1FE0" w:rsidP="006654AE">
      <w:r w:rsidRPr="009655C3">
        <w:t xml:space="preserve">While, as seen above, income management was only one of 37 initiatives that made up the NTER, it was probably the most widely recognised aspect of the NTER (Yu, Duncan &amp; Gray, 2008). </w:t>
      </w:r>
    </w:p>
    <w:p w:rsidR="005E1FE0" w:rsidRPr="00DF38B2" w:rsidRDefault="005E1FE0" w:rsidP="006654AE">
      <w:pPr>
        <w:pStyle w:val="Heading3"/>
      </w:pPr>
      <w:bookmarkStart w:id="42" w:name="_Toc403738964"/>
      <w:r w:rsidRPr="00DF38B2">
        <w:t>The development of New Income Management</w:t>
      </w:r>
      <w:bookmarkEnd w:id="42"/>
    </w:p>
    <w:p w:rsidR="005E1FE0" w:rsidRPr="009655C3" w:rsidRDefault="005E1FE0" w:rsidP="006654AE">
      <w:pPr>
        <w:rPr>
          <w:szCs w:val="19"/>
        </w:rPr>
      </w:pPr>
      <w:r w:rsidRPr="00DF38B2">
        <w:rPr>
          <w:szCs w:val="19"/>
        </w:rPr>
        <w:t>Following the 2007 federal election</w:t>
      </w:r>
      <w:r w:rsidRPr="00DF38B2">
        <w:rPr>
          <w:rStyle w:val="FootnoteReference"/>
          <w:szCs w:val="19"/>
        </w:rPr>
        <w:footnoteReference w:id="19"/>
      </w:r>
      <w:r w:rsidRPr="00DF38B2">
        <w:rPr>
          <w:szCs w:val="19"/>
        </w:rPr>
        <w:t xml:space="preserve"> the incoming G</w:t>
      </w:r>
      <w:r w:rsidRPr="00FE502F">
        <w:rPr>
          <w:szCs w:val="19"/>
        </w:rPr>
        <w:t xml:space="preserve">overnment decided to continue income management in the Northern Territory. </w:t>
      </w:r>
      <w:r w:rsidR="00913C91">
        <w:rPr>
          <w:szCs w:val="19"/>
        </w:rPr>
        <w:t>H</w:t>
      </w:r>
      <w:r w:rsidR="00913C91" w:rsidRPr="00FE502F">
        <w:rPr>
          <w:szCs w:val="19"/>
        </w:rPr>
        <w:t>owever</w:t>
      </w:r>
      <w:r w:rsidR="00913C91">
        <w:rPr>
          <w:szCs w:val="19"/>
        </w:rPr>
        <w:t>, i</w:t>
      </w:r>
      <w:r w:rsidRPr="00FE502F">
        <w:rPr>
          <w:szCs w:val="19"/>
        </w:rPr>
        <w:t>t had as a priority to change its oper</w:t>
      </w:r>
      <w:r w:rsidRPr="009655C3">
        <w:rPr>
          <w:szCs w:val="19"/>
        </w:rPr>
        <w:t xml:space="preserve">ation so that the Racial Discrimination Act could be reinstated. </w:t>
      </w:r>
    </w:p>
    <w:p w:rsidR="005E1FE0" w:rsidRPr="00DF38B2" w:rsidRDefault="005E1FE0" w:rsidP="006654AE">
      <w:r w:rsidRPr="00DF38B2">
        <w:rPr>
          <w:szCs w:val="19"/>
        </w:rPr>
        <w:t>Pending this, it extended the NTER income management arrangements. In announcing this, Minister Macklin indicated that “The Australian Government will continue comprehensive, compulsory income management as a key measure of the Northern Territory Emergency Response (NTER) because of its demonstrated benefits for women and children”. Specifically</w:t>
      </w:r>
      <w:r w:rsidR="00913C91">
        <w:rPr>
          <w:szCs w:val="19"/>
        </w:rPr>
        <w:t>,</w:t>
      </w:r>
      <w:r w:rsidRPr="00DF38B2">
        <w:rPr>
          <w:szCs w:val="19"/>
        </w:rPr>
        <w:t xml:space="preserve"> the Minister reported that “Women say that income management means they can buy essentials for their children such as food and clothes. Shopping habits in licensed stores have changed – more is being spent on fresh food, sales of cigarettes have halved and the incidence of ‘humbugging’ has fallen” (Macklin, 2008). This announcement also indicated that while the existing measure was to be extended for “at least 12 months”, the government would “design a compulsory income management policy which does not require the suspension of the RDA”. This subsequent development led to NTER Income Management being replaced with New Income Management in 2010 (Macklin &amp; Snowden, 2010). </w:t>
      </w:r>
    </w:p>
    <w:p w:rsidR="005E1FE0" w:rsidRPr="00DF38B2" w:rsidRDefault="005E1FE0" w:rsidP="006654AE">
      <w:pPr>
        <w:rPr>
          <w:szCs w:val="19"/>
        </w:rPr>
      </w:pPr>
      <w:r w:rsidRPr="00DF38B2">
        <w:rPr>
          <w:szCs w:val="19"/>
        </w:rPr>
        <w:t>In mid-2010, just prior to the introduction of New Income Management in the Northern Territory, there were 16,726 income support recipients on NTER Income Management. At the same time there were 22,515 income support recipients living in the Northern Territory who were not being income managed</w:t>
      </w:r>
      <w:r w:rsidR="00913C91">
        <w:rPr>
          <w:szCs w:val="19"/>
        </w:rPr>
        <w:t>,</w:t>
      </w:r>
      <w:r w:rsidRPr="00DF38B2">
        <w:rPr>
          <w:szCs w:val="19"/>
        </w:rPr>
        <w:t xml:space="preserve"> as they were outside the scope of the policy. These groups were</w:t>
      </w:r>
      <w:r w:rsidR="00913C91">
        <w:rPr>
          <w:szCs w:val="19"/>
        </w:rPr>
        <w:t>,</w:t>
      </w:r>
      <w:r w:rsidRPr="00DF38B2">
        <w:rPr>
          <w:szCs w:val="19"/>
        </w:rPr>
        <w:t xml:space="preserve"> however</w:t>
      </w:r>
      <w:r w:rsidR="00913C91">
        <w:rPr>
          <w:szCs w:val="19"/>
        </w:rPr>
        <w:t>,</w:t>
      </w:r>
      <w:r w:rsidRPr="00DF38B2">
        <w:rPr>
          <w:szCs w:val="19"/>
        </w:rPr>
        <w:t xml:space="preserve"> not wholly spatially separated, as people who were initially subject to income management because they lived in a prescribed area and subsequently moved within the Northern Territory continued to be subject to income management. This meant that by June 2010, there were a number of people in the Northern Territory living outside of prescribed communities who were subject to income management because they were previously living in a prescribed area. </w:t>
      </w:r>
    </w:p>
    <w:p w:rsidR="005E1FE0" w:rsidRPr="00FE502F" w:rsidRDefault="005E1FE0" w:rsidP="006654AE">
      <w:pPr>
        <w:rPr>
          <w:szCs w:val="19"/>
        </w:rPr>
      </w:pPr>
      <w:r w:rsidRPr="00DF38B2">
        <w:rPr>
          <w:szCs w:val="19"/>
        </w:rPr>
        <w:t xml:space="preserve">A timeline of the main policy and program decisions relating to income management in the Northern Territory from the initial NTER through to more recent changes to New Income Management is provided in </w:t>
      </w:r>
      <w:r w:rsidRPr="00DF38B2">
        <w:rPr>
          <w:szCs w:val="19"/>
        </w:rPr>
        <w:fldChar w:fldCharType="begin"/>
      </w:r>
      <w:r w:rsidRPr="00DF38B2">
        <w:rPr>
          <w:szCs w:val="19"/>
        </w:rPr>
        <w:instrText xml:space="preserve"> REF _Ref389816971 \h </w:instrText>
      </w:r>
      <w:r w:rsidRPr="00DF38B2">
        <w:rPr>
          <w:szCs w:val="19"/>
        </w:rPr>
      </w:r>
      <w:r w:rsidRPr="00DF38B2">
        <w:rPr>
          <w:szCs w:val="19"/>
        </w:rPr>
        <w:fldChar w:fldCharType="separate"/>
      </w:r>
      <w:r w:rsidR="00906D13" w:rsidRPr="00FE502F">
        <w:t xml:space="preserve">Table </w:t>
      </w:r>
      <w:r w:rsidR="00906D13">
        <w:rPr>
          <w:noProof/>
        </w:rPr>
        <w:t>2</w:t>
      </w:r>
      <w:r w:rsidR="00906D13">
        <w:noBreakHyphen/>
      </w:r>
      <w:r w:rsidR="00906D13">
        <w:rPr>
          <w:noProof/>
        </w:rPr>
        <w:t>2</w:t>
      </w:r>
      <w:r w:rsidRPr="00DF38B2">
        <w:rPr>
          <w:szCs w:val="19"/>
        </w:rPr>
        <w:fldChar w:fldCharType="end"/>
      </w:r>
      <w:r w:rsidR="00A1421A">
        <w:rPr>
          <w:szCs w:val="19"/>
        </w:rPr>
        <w:t xml:space="preserve">. </w:t>
      </w:r>
      <w:proofErr w:type="gramStart"/>
      <w:r w:rsidR="00ED3423">
        <w:rPr>
          <w:szCs w:val="19"/>
        </w:rPr>
        <w:t>D</w:t>
      </w:r>
      <w:r w:rsidRPr="00DF38B2">
        <w:rPr>
          <w:szCs w:val="19"/>
        </w:rPr>
        <w:t xml:space="preserve">etails of the way in which the transition from NTER Income Management to New Income Management </w:t>
      </w:r>
      <w:r w:rsidR="00ED3423">
        <w:rPr>
          <w:szCs w:val="19"/>
        </w:rPr>
        <w:t>are</w:t>
      </w:r>
      <w:r w:rsidRPr="00DF38B2">
        <w:rPr>
          <w:szCs w:val="19"/>
        </w:rPr>
        <w:t xml:space="preserve"> provided in Section </w:t>
      </w:r>
      <w:r w:rsidRPr="00FE502F">
        <w:rPr>
          <w:szCs w:val="19"/>
        </w:rPr>
        <w:fldChar w:fldCharType="begin"/>
      </w:r>
      <w:r w:rsidRPr="00DF38B2">
        <w:rPr>
          <w:szCs w:val="19"/>
        </w:rPr>
        <w:instrText xml:space="preserve"> REF _Ref392621065 \n \h </w:instrText>
      </w:r>
      <w:r w:rsidRPr="00FE502F">
        <w:rPr>
          <w:szCs w:val="19"/>
        </w:rPr>
      </w:r>
      <w:r w:rsidRPr="00FE502F">
        <w:rPr>
          <w:szCs w:val="19"/>
        </w:rPr>
        <w:fldChar w:fldCharType="separate"/>
      </w:r>
      <w:r w:rsidR="00906D13">
        <w:rPr>
          <w:szCs w:val="19"/>
        </w:rPr>
        <w:t>2.5.3</w:t>
      </w:r>
      <w:r w:rsidRPr="00FE502F">
        <w:rPr>
          <w:szCs w:val="19"/>
        </w:rPr>
        <w:fldChar w:fldCharType="end"/>
      </w:r>
      <w:r w:rsidR="00B84AFE">
        <w:rPr>
          <w:szCs w:val="19"/>
        </w:rPr>
        <w:t xml:space="preserve"> </w:t>
      </w:r>
      <w:r w:rsidRPr="00DF38B2">
        <w:rPr>
          <w:szCs w:val="19"/>
        </w:rPr>
        <w:t>of this chapter, while statistics on the transition are in Chapter 4.</w:t>
      </w:r>
      <w:proofErr w:type="gramEnd"/>
    </w:p>
    <w:p w:rsidR="005E1FE0" w:rsidRPr="00DF38B2" w:rsidRDefault="005E1FE0" w:rsidP="006654AE">
      <w:pPr>
        <w:pStyle w:val="Caption"/>
      </w:pPr>
      <w:bookmarkStart w:id="43" w:name="_Ref389816971"/>
      <w:bookmarkStart w:id="44" w:name="_Toc403739403"/>
      <w:r w:rsidRPr="00FE502F">
        <w:lastRenderedPageBreak/>
        <w:t xml:space="preserve">Table </w:t>
      </w:r>
      <w:fldSimple w:instr=" STYLEREF 1 \s ">
        <w:r w:rsidR="00906D13">
          <w:rPr>
            <w:noProof/>
          </w:rPr>
          <w:t>2</w:t>
        </w:r>
      </w:fldSimple>
      <w:r w:rsidR="00D40B64">
        <w:noBreakHyphen/>
      </w:r>
      <w:fldSimple w:instr=" SEQ Table \* ARABIC \s 1 ">
        <w:r w:rsidR="00906D13">
          <w:rPr>
            <w:noProof/>
          </w:rPr>
          <w:t>2</w:t>
        </w:r>
      </w:fldSimple>
      <w:bookmarkEnd w:id="43"/>
      <w:r w:rsidRPr="00F157EE">
        <w:tab/>
      </w:r>
      <w:r w:rsidRPr="00DF38B2">
        <w:t>Timeline for income management in the Northern Territory</w:t>
      </w:r>
      <w:bookmarkEnd w:id="44"/>
    </w:p>
    <w:tbl>
      <w:tblPr>
        <w:tblStyle w:val="TableGrid"/>
        <w:tblW w:w="7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Description w:val="Table details the main timelines between 2007 and 2013 for policies relating to Income management. The first column gives the year and then the day of month and month of the event and second column describes the event."/>
      </w:tblPr>
      <w:tblGrid>
        <w:gridCol w:w="1559"/>
        <w:gridCol w:w="5655"/>
      </w:tblGrid>
      <w:tr w:rsidR="005E1FE0" w:rsidRPr="00DF38B2" w:rsidTr="003757E7">
        <w:trPr>
          <w:tblHeade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2007</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15 June</w:t>
            </w:r>
          </w:p>
        </w:tc>
        <w:tc>
          <w:tcPr>
            <w:tcW w:w="5655" w:type="dxa"/>
          </w:tcPr>
          <w:p w:rsidR="005E1FE0" w:rsidRPr="00DF38B2" w:rsidRDefault="00ED3423" w:rsidP="006654AE">
            <w:pPr>
              <w:pStyle w:val="tabletextleft"/>
              <w:ind w:left="601" w:hanging="227"/>
              <w:jc w:val="left"/>
            </w:pPr>
            <w:r>
              <w:t>“</w:t>
            </w:r>
            <w:r w:rsidR="005E1FE0" w:rsidRPr="00DF38B2">
              <w:t>Little Children are Sacred</w:t>
            </w:r>
            <w:r>
              <w:t>”</w:t>
            </w:r>
            <w:r w:rsidR="005E1FE0" w:rsidRPr="00DF38B2">
              <w:t xml:space="preserve"> report released</w:t>
            </w:r>
          </w:p>
        </w:tc>
      </w:tr>
      <w:tr w:rsidR="005E1FE0" w:rsidRPr="00DF38B2" w:rsidTr="003757E7">
        <w:trPr>
          <w:jc w:val="center"/>
        </w:trPr>
        <w:tc>
          <w:tcPr>
            <w:tcW w:w="1559" w:type="dxa"/>
          </w:tcPr>
          <w:p w:rsidR="005E1FE0" w:rsidRPr="00DF38B2" w:rsidRDefault="005E1FE0" w:rsidP="006654AE">
            <w:pPr>
              <w:pStyle w:val="tabletextleft"/>
            </w:pPr>
            <w:r w:rsidRPr="00DF38B2">
              <w:t>21 June</w:t>
            </w:r>
          </w:p>
        </w:tc>
        <w:tc>
          <w:tcPr>
            <w:tcW w:w="5655" w:type="dxa"/>
          </w:tcPr>
          <w:p w:rsidR="005E1FE0" w:rsidRPr="00DF38B2" w:rsidRDefault="005E1FE0" w:rsidP="006654AE">
            <w:pPr>
              <w:pStyle w:val="tabletextleft"/>
              <w:ind w:left="601" w:hanging="227"/>
              <w:jc w:val="left"/>
            </w:pPr>
            <w:r w:rsidRPr="00DF38B2">
              <w:t>NTER announced</w:t>
            </w:r>
          </w:p>
        </w:tc>
      </w:tr>
      <w:tr w:rsidR="005E1FE0" w:rsidRPr="00DF38B2" w:rsidTr="003757E7">
        <w:trPr>
          <w:jc w:val="center"/>
        </w:trPr>
        <w:tc>
          <w:tcPr>
            <w:tcW w:w="1559" w:type="dxa"/>
          </w:tcPr>
          <w:p w:rsidR="005E1FE0" w:rsidRPr="00DF38B2" w:rsidRDefault="005E1FE0" w:rsidP="006654AE">
            <w:pPr>
              <w:pStyle w:val="tabletextleft"/>
            </w:pPr>
            <w:r w:rsidRPr="00DF38B2">
              <w:t>17 July</w:t>
            </w:r>
          </w:p>
        </w:tc>
        <w:tc>
          <w:tcPr>
            <w:tcW w:w="5655" w:type="dxa"/>
          </w:tcPr>
          <w:p w:rsidR="005E1FE0" w:rsidRPr="00DF38B2" w:rsidRDefault="005E1FE0" w:rsidP="006654AE">
            <w:pPr>
              <w:pStyle w:val="tabletextleft"/>
              <w:ind w:left="601" w:hanging="227"/>
              <w:jc w:val="left"/>
            </w:pPr>
            <w:r w:rsidRPr="00DF38B2">
              <w:t>Legislation (introduced 7 July 2007) passed and assented to. This provided the legislative framework for a range of NTER measures including the introduction of income management</w:t>
            </w:r>
          </w:p>
        </w:tc>
      </w:tr>
      <w:tr w:rsidR="005E1FE0" w:rsidRPr="00DF38B2" w:rsidTr="003757E7">
        <w:trPr>
          <w:jc w:val="center"/>
        </w:trPr>
        <w:tc>
          <w:tcPr>
            <w:tcW w:w="1559" w:type="dxa"/>
          </w:tcPr>
          <w:p w:rsidR="005E1FE0" w:rsidRPr="00DF38B2" w:rsidRDefault="005E1FE0" w:rsidP="006654AE">
            <w:pPr>
              <w:pStyle w:val="tabletextleft"/>
            </w:pPr>
            <w:r w:rsidRPr="00DF38B2">
              <w:t xml:space="preserve">21 July </w:t>
            </w:r>
          </w:p>
        </w:tc>
        <w:tc>
          <w:tcPr>
            <w:tcW w:w="5655" w:type="dxa"/>
          </w:tcPr>
          <w:p w:rsidR="005E1FE0" w:rsidRPr="00DF38B2" w:rsidRDefault="005E1FE0" w:rsidP="006654AE">
            <w:pPr>
              <w:pStyle w:val="tabletextleft"/>
              <w:ind w:left="601" w:hanging="227"/>
              <w:jc w:val="left"/>
            </w:pPr>
            <w:r w:rsidRPr="00DF38B2">
              <w:t>Cut-off date for residential eligibility for income management</w:t>
            </w:r>
          </w:p>
        </w:tc>
      </w:tr>
      <w:tr w:rsidR="005E1FE0" w:rsidRPr="00DF38B2" w:rsidTr="003757E7">
        <w:trPr>
          <w:jc w:val="center"/>
        </w:trPr>
        <w:tc>
          <w:tcPr>
            <w:tcW w:w="1559" w:type="dxa"/>
          </w:tcPr>
          <w:p w:rsidR="005E1FE0" w:rsidRPr="00DF38B2" w:rsidRDefault="005E1FE0" w:rsidP="006654AE">
            <w:pPr>
              <w:pStyle w:val="tabletextleft"/>
            </w:pPr>
            <w:r w:rsidRPr="00DF38B2">
              <w:t>20 August</w:t>
            </w:r>
          </w:p>
        </w:tc>
        <w:tc>
          <w:tcPr>
            <w:tcW w:w="5655" w:type="dxa"/>
          </w:tcPr>
          <w:p w:rsidR="005E1FE0" w:rsidRPr="00DF38B2" w:rsidRDefault="005E1FE0" w:rsidP="006654AE">
            <w:pPr>
              <w:pStyle w:val="tabletextleft"/>
              <w:ind w:left="601" w:hanging="227"/>
              <w:jc w:val="left"/>
            </w:pPr>
            <w:r w:rsidRPr="00DF38B2">
              <w:t>Community engagement before income management commenced</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17 September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Rollout of income management commenced</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2008</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8 September</w:t>
            </w:r>
          </w:p>
        </w:tc>
        <w:tc>
          <w:tcPr>
            <w:tcW w:w="5655" w:type="dxa"/>
          </w:tcPr>
          <w:p w:rsidR="005E1FE0" w:rsidRPr="00DF38B2" w:rsidRDefault="005E1FE0" w:rsidP="006654AE">
            <w:pPr>
              <w:pStyle w:val="tabletextleft"/>
              <w:ind w:left="601" w:hanging="227"/>
              <w:jc w:val="left"/>
            </w:pPr>
            <w:r w:rsidRPr="00DF38B2">
              <w:t>BasicsCard rollout commenced</w:t>
            </w:r>
          </w:p>
        </w:tc>
      </w:tr>
      <w:tr w:rsidR="005E1FE0" w:rsidRPr="00DF38B2" w:rsidTr="003757E7">
        <w:trPr>
          <w:jc w:val="center"/>
        </w:trPr>
        <w:tc>
          <w:tcPr>
            <w:tcW w:w="1559" w:type="dxa"/>
          </w:tcPr>
          <w:p w:rsidR="005E1FE0" w:rsidRPr="00DF38B2" w:rsidRDefault="005E1FE0" w:rsidP="006654AE">
            <w:pPr>
              <w:pStyle w:val="tabletextleft"/>
            </w:pPr>
            <w:r w:rsidRPr="00DF38B2">
              <w:t>23 October</w:t>
            </w:r>
          </w:p>
        </w:tc>
        <w:tc>
          <w:tcPr>
            <w:tcW w:w="5655" w:type="dxa"/>
          </w:tcPr>
          <w:p w:rsidR="005E1FE0" w:rsidRPr="00DF38B2" w:rsidRDefault="005E1FE0" w:rsidP="006654AE">
            <w:pPr>
              <w:pStyle w:val="tabletextleft"/>
              <w:ind w:left="601" w:hanging="227"/>
              <w:jc w:val="left"/>
            </w:pPr>
            <w:r w:rsidRPr="00DF38B2">
              <w:t xml:space="preserve">NTER Income Management extended </w:t>
            </w:r>
          </w:p>
        </w:tc>
      </w:tr>
      <w:tr w:rsidR="005E1FE0" w:rsidRPr="00DF38B2" w:rsidTr="003757E7">
        <w:trPr>
          <w:jc w:val="center"/>
        </w:trPr>
        <w:tc>
          <w:tcPr>
            <w:tcW w:w="1559" w:type="dxa"/>
          </w:tcPr>
          <w:p w:rsidR="005E1FE0" w:rsidRPr="00DF38B2" w:rsidRDefault="005E1FE0" w:rsidP="006654AE">
            <w:pPr>
              <w:pStyle w:val="tabletextleft"/>
            </w:pPr>
            <w:r w:rsidRPr="00DF38B2">
              <w:t>27 October</w:t>
            </w:r>
          </w:p>
        </w:tc>
        <w:tc>
          <w:tcPr>
            <w:tcW w:w="5655" w:type="dxa"/>
          </w:tcPr>
          <w:p w:rsidR="005E1FE0" w:rsidRPr="00DF38B2" w:rsidRDefault="005E1FE0" w:rsidP="006654AE">
            <w:pPr>
              <w:pStyle w:val="tabletextleft"/>
              <w:ind w:left="601" w:hanging="227"/>
              <w:jc w:val="left"/>
            </w:pPr>
            <w:r w:rsidRPr="00DF38B2">
              <w:t>Rollout of income management completed</w:t>
            </w:r>
          </w:p>
        </w:tc>
      </w:tr>
      <w:tr w:rsidR="005E1FE0" w:rsidRPr="00DF38B2" w:rsidTr="003757E7">
        <w:trPr>
          <w:jc w:val="center"/>
        </w:trPr>
        <w:tc>
          <w:tcPr>
            <w:tcW w:w="1559" w:type="dxa"/>
            <w:tcBorders>
              <w:bottom w:val="single" w:sz="4" w:space="0" w:color="auto"/>
            </w:tcBorders>
          </w:tcPr>
          <w:p w:rsidR="005E1FE0" w:rsidRPr="00DF38B2" w:rsidRDefault="005E1FE0" w:rsidP="006654AE">
            <w:pPr>
              <w:pStyle w:val="tabletextleft"/>
            </w:pPr>
            <w:r w:rsidRPr="00DF38B2">
              <w:t>15 December</w:t>
            </w:r>
          </w:p>
        </w:tc>
        <w:tc>
          <w:tcPr>
            <w:tcW w:w="5655" w:type="dxa"/>
            <w:tcBorders>
              <w:bottom w:val="single" w:sz="4" w:space="0" w:color="auto"/>
            </w:tcBorders>
          </w:tcPr>
          <w:p w:rsidR="005E1FE0" w:rsidRPr="00DF38B2" w:rsidRDefault="005E1FE0" w:rsidP="006654AE">
            <w:pPr>
              <w:pStyle w:val="tabletextleft"/>
              <w:ind w:left="601" w:hanging="227"/>
              <w:jc w:val="left"/>
            </w:pPr>
            <w:r w:rsidRPr="00DF38B2">
              <w:t>BasicsCard rollout completed</w:t>
            </w:r>
          </w:p>
        </w:tc>
      </w:tr>
      <w:tr w:rsidR="005E1FE0" w:rsidRPr="00DF38B2" w:rsidTr="003757E7">
        <w:trPr>
          <w:jc w:val="center"/>
        </w:trPr>
        <w:tc>
          <w:tcPr>
            <w:tcW w:w="1559" w:type="dxa"/>
            <w:tcBorders>
              <w:top w:val="single" w:sz="4" w:space="0" w:color="auto"/>
            </w:tcBorders>
          </w:tcPr>
          <w:p w:rsidR="005E1FE0" w:rsidRPr="00DF38B2" w:rsidRDefault="005E1FE0" w:rsidP="006654AE">
            <w:pPr>
              <w:pStyle w:val="tabletextleft"/>
              <w:rPr>
                <w:b/>
              </w:rPr>
            </w:pPr>
            <w:r w:rsidRPr="00DF38B2">
              <w:rPr>
                <w:b/>
              </w:rPr>
              <w:t>2009</w:t>
            </w:r>
          </w:p>
        </w:tc>
        <w:tc>
          <w:tcPr>
            <w:tcW w:w="5655" w:type="dxa"/>
            <w:tcBorders>
              <w:top w:val="single" w:sz="4" w:space="0" w:color="auto"/>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24 November</w:t>
            </w:r>
          </w:p>
        </w:tc>
        <w:tc>
          <w:tcPr>
            <w:tcW w:w="5655" w:type="dxa"/>
          </w:tcPr>
          <w:p w:rsidR="005E1FE0" w:rsidRPr="00DF38B2" w:rsidRDefault="005E1FE0" w:rsidP="006654AE">
            <w:pPr>
              <w:pStyle w:val="tabletextleft"/>
              <w:ind w:left="601" w:hanging="227"/>
              <w:jc w:val="left"/>
            </w:pPr>
            <w:r w:rsidRPr="00DF38B2">
              <w:t xml:space="preserve">Government releases </w:t>
            </w:r>
            <w:r w:rsidR="004F12BB">
              <w:t>“</w:t>
            </w:r>
            <w:r w:rsidRPr="00DF38B2">
              <w:t>Policy Statement:</w:t>
            </w:r>
            <w:r w:rsidR="004F12BB">
              <w:t xml:space="preserve"> landmark reform to the welfare system, r</w:t>
            </w:r>
            <w:r w:rsidRPr="00DF38B2">
              <w:t xml:space="preserve">einstatement of the Racial Discrimination Act and </w:t>
            </w:r>
            <w:r w:rsidR="004F12BB">
              <w:t>s</w:t>
            </w:r>
            <w:r w:rsidRPr="00DF38B2">
              <w:t>trengthening of the Northern Territory Emergency Response</w:t>
            </w:r>
            <w:r w:rsidR="004F12BB">
              <w:t>”</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25 November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 xml:space="preserve">Legislation for New Income </w:t>
            </w:r>
            <w:r w:rsidR="00DF38B2" w:rsidRPr="00DF38B2">
              <w:t>Management</w:t>
            </w:r>
            <w:r w:rsidRPr="00DF38B2">
              <w:t xml:space="preserve"> </w:t>
            </w:r>
            <w:r w:rsidR="00DF38B2" w:rsidRPr="00DF38B2">
              <w:t>introduced</w:t>
            </w:r>
            <w:r w:rsidRPr="00DF38B2">
              <w:t xml:space="preserve"> to </w:t>
            </w:r>
            <w:r w:rsidR="00DF38B2" w:rsidRPr="00DF38B2">
              <w:t>Parliament</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2010</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 xml:space="preserve">1 July </w:t>
            </w:r>
          </w:p>
        </w:tc>
        <w:tc>
          <w:tcPr>
            <w:tcW w:w="5655" w:type="dxa"/>
          </w:tcPr>
          <w:p w:rsidR="005E1FE0" w:rsidRPr="00DF38B2" w:rsidRDefault="005E1FE0" w:rsidP="006654AE">
            <w:pPr>
              <w:pStyle w:val="tabletextleft"/>
              <w:ind w:left="601" w:hanging="227"/>
              <w:jc w:val="left"/>
            </w:pPr>
            <w:r w:rsidRPr="00DF38B2">
              <w:t xml:space="preserve">Legislation for New Income Management passed </w:t>
            </w:r>
            <w:r w:rsidR="00ED3423">
              <w:t xml:space="preserve">by </w:t>
            </w:r>
            <w:r w:rsidRPr="00DF38B2">
              <w:t>Parliament</w:t>
            </w:r>
          </w:p>
        </w:tc>
      </w:tr>
      <w:tr w:rsidR="005E1FE0" w:rsidRPr="00DF38B2" w:rsidTr="003757E7">
        <w:trPr>
          <w:jc w:val="center"/>
        </w:trPr>
        <w:tc>
          <w:tcPr>
            <w:tcW w:w="1559" w:type="dxa"/>
          </w:tcPr>
          <w:p w:rsidR="005E1FE0" w:rsidRPr="00DF38B2" w:rsidRDefault="005E1FE0" w:rsidP="006654AE">
            <w:pPr>
              <w:pStyle w:val="tabletextleft"/>
            </w:pPr>
            <w:r w:rsidRPr="00DF38B2">
              <w:t xml:space="preserve">9 August </w:t>
            </w:r>
          </w:p>
        </w:tc>
        <w:tc>
          <w:tcPr>
            <w:tcW w:w="5655" w:type="dxa"/>
          </w:tcPr>
          <w:p w:rsidR="005E1FE0" w:rsidRPr="00DF38B2" w:rsidRDefault="005E1FE0" w:rsidP="006654AE">
            <w:pPr>
              <w:pStyle w:val="tabletextleft"/>
              <w:ind w:left="601" w:hanging="227"/>
              <w:jc w:val="left"/>
            </w:pPr>
            <w:r w:rsidRPr="00DF38B2">
              <w:t>Rollout of New Income Management commenced (Barkly Region – Zone 1)</w:t>
            </w:r>
          </w:p>
        </w:tc>
      </w:tr>
      <w:tr w:rsidR="005E1FE0" w:rsidRPr="00DF38B2" w:rsidTr="003757E7">
        <w:trPr>
          <w:jc w:val="center"/>
        </w:trPr>
        <w:tc>
          <w:tcPr>
            <w:tcW w:w="1559" w:type="dxa"/>
          </w:tcPr>
          <w:p w:rsidR="005E1FE0" w:rsidRPr="00DF38B2" w:rsidRDefault="005E1FE0" w:rsidP="006654AE">
            <w:pPr>
              <w:pStyle w:val="tabletextleft"/>
            </w:pPr>
            <w:r w:rsidRPr="00DF38B2">
              <w:t>30 August</w:t>
            </w:r>
          </w:p>
        </w:tc>
        <w:tc>
          <w:tcPr>
            <w:tcW w:w="5655" w:type="dxa"/>
          </w:tcPr>
          <w:p w:rsidR="005E1FE0" w:rsidRPr="00DF38B2" w:rsidRDefault="005E1FE0" w:rsidP="006654AE">
            <w:pPr>
              <w:pStyle w:val="tabletextleft"/>
              <w:ind w:left="601" w:hanging="227"/>
              <w:jc w:val="left"/>
            </w:pPr>
            <w:r w:rsidRPr="00DF38B2">
              <w:t xml:space="preserve">Rollout of New Income Management commenced in Alice Springs, </w:t>
            </w:r>
            <w:r w:rsidR="00ED3423">
              <w:t>(</w:t>
            </w:r>
            <w:r w:rsidRPr="00DF38B2">
              <w:t>Katherine, East Arnhem Land and other outback areas – Zone 2)</w:t>
            </w:r>
          </w:p>
        </w:tc>
      </w:tr>
      <w:tr w:rsidR="005E1FE0" w:rsidRPr="00DF38B2" w:rsidTr="003757E7">
        <w:trPr>
          <w:jc w:val="center"/>
        </w:trPr>
        <w:tc>
          <w:tcPr>
            <w:tcW w:w="1559" w:type="dxa"/>
          </w:tcPr>
          <w:p w:rsidR="005E1FE0" w:rsidRPr="00DF38B2" w:rsidRDefault="005E1FE0" w:rsidP="006654AE">
            <w:pPr>
              <w:pStyle w:val="tabletextleft"/>
            </w:pPr>
            <w:r w:rsidRPr="00DF38B2">
              <w:t>2 September</w:t>
            </w:r>
          </w:p>
        </w:tc>
        <w:tc>
          <w:tcPr>
            <w:tcW w:w="5655" w:type="dxa"/>
          </w:tcPr>
          <w:p w:rsidR="005E1FE0" w:rsidRPr="00DF38B2" w:rsidRDefault="005E1FE0" w:rsidP="006654AE">
            <w:pPr>
              <w:pStyle w:val="tabletextleft"/>
              <w:ind w:left="601" w:hanging="227"/>
              <w:jc w:val="left"/>
            </w:pPr>
            <w:r w:rsidRPr="00DF38B2">
              <w:t xml:space="preserve">Rollout of New Income Management commenced in remaining outback areas </w:t>
            </w:r>
          </w:p>
        </w:tc>
      </w:tr>
      <w:tr w:rsidR="005E1FE0" w:rsidRPr="00DF38B2" w:rsidTr="003757E7">
        <w:trPr>
          <w:jc w:val="center"/>
        </w:trPr>
        <w:tc>
          <w:tcPr>
            <w:tcW w:w="1559" w:type="dxa"/>
          </w:tcPr>
          <w:p w:rsidR="005E1FE0" w:rsidRPr="00DF38B2" w:rsidRDefault="005E1FE0" w:rsidP="006654AE">
            <w:pPr>
              <w:pStyle w:val="tabletextleft"/>
            </w:pPr>
            <w:r w:rsidRPr="00DF38B2">
              <w:t>4 October</w:t>
            </w:r>
          </w:p>
        </w:tc>
        <w:tc>
          <w:tcPr>
            <w:tcW w:w="5655" w:type="dxa"/>
          </w:tcPr>
          <w:p w:rsidR="005E1FE0" w:rsidRPr="00DF38B2" w:rsidRDefault="005E1FE0" w:rsidP="006654AE">
            <w:pPr>
              <w:pStyle w:val="tabletextleft"/>
              <w:ind w:left="601" w:hanging="227"/>
              <w:jc w:val="left"/>
            </w:pPr>
            <w:r w:rsidRPr="00DF38B2">
              <w:t>Rollout of New Income Management commenced in Darwin and Palmerston</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31 December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rPr>
                <w:i/>
              </w:rPr>
              <w:t>Racial Discrimination Act 1975</w:t>
            </w:r>
            <w:r w:rsidRPr="00DF38B2">
              <w:t xml:space="preserve"> </w:t>
            </w:r>
            <w:r w:rsidRPr="00DF38B2">
              <w:rPr>
                <w:i/>
              </w:rPr>
              <w:t>(</w:t>
            </w:r>
            <w:proofErr w:type="spellStart"/>
            <w:r w:rsidRPr="00DF38B2">
              <w:rPr>
                <w:i/>
              </w:rPr>
              <w:t>Cwth</w:t>
            </w:r>
            <w:proofErr w:type="spellEnd"/>
            <w:r w:rsidRPr="00DF38B2">
              <w:rPr>
                <w:i/>
              </w:rPr>
              <w:t>)</w:t>
            </w:r>
            <w:r w:rsidRPr="00DF38B2">
              <w:t xml:space="preserve"> fully reinstated</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2011</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Borders>
              <w:bottom w:val="single" w:sz="4" w:space="0" w:color="auto"/>
            </w:tcBorders>
          </w:tcPr>
          <w:p w:rsidR="005E1FE0" w:rsidRPr="00DF38B2" w:rsidRDefault="005E1FE0" w:rsidP="006654AE">
            <w:pPr>
              <w:pStyle w:val="tabletextleft"/>
            </w:pPr>
            <w:r w:rsidRPr="00DF38B2">
              <w:t>25 February</w:t>
            </w:r>
          </w:p>
        </w:tc>
        <w:tc>
          <w:tcPr>
            <w:tcW w:w="5655" w:type="dxa"/>
            <w:tcBorders>
              <w:bottom w:val="single" w:sz="4" w:space="0" w:color="auto"/>
            </w:tcBorders>
          </w:tcPr>
          <w:p w:rsidR="005E1FE0" w:rsidRPr="00DF38B2" w:rsidRDefault="005E1FE0" w:rsidP="006654AE">
            <w:pPr>
              <w:pStyle w:val="tabletextleft"/>
              <w:ind w:left="601" w:hanging="227"/>
              <w:jc w:val="left"/>
            </w:pPr>
            <w:r w:rsidRPr="00DF38B2">
              <w:t>Transition from NTER Income Management to New Income Management largely completed (just 118 people remaining on NTER Income Management)</w:t>
            </w:r>
          </w:p>
        </w:tc>
      </w:tr>
      <w:tr w:rsidR="005E1FE0" w:rsidRPr="00DF38B2" w:rsidTr="003757E7">
        <w:trPr>
          <w:jc w:val="center"/>
        </w:trPr>
        <w:tc>
          <w:tcPr>
            <w:tcW w:w="1559" w:type="dxa"/>
            <w:tcBorders>
              <w:top w:val="single" w:sz="4" w:space="0" w:color="auto"/>
            </w:tcBorders>
          </w:tcPr>
          <w:p w:rsidR="005E1FE0" w:rsidRPr="00DF38B2" w:rsidRDefault="005E1FE0" w:rsidP="006654AE">
            <w:pPr>
              <w:pStyle w:val="tabletextleft"/>
              <w:rPr>
                <w:b/>
              </w:rPr>
            </w:pPr>
            <w:r w:rsidRPr="00DF38B2">
              <w:rPr>
                <w:b/>
              </w:rPr>
              <w:t>2013</w:t>
            </w:r>
          </w:p>
        </w:tc>
        <w:tc>
          <w:tcPr>
            <w:tcW w:w="5655" w:type="dxa"/>
            <w:tcBorders>
              <w:top w:val="single" w:sz="4" w:space="0" w:color="auto"/>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July</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 xml:space="preserve">Changes to the Vulnerable Welfare Payment Recipient </w:t>
            </w:r>
            <w:r w:rsidR="00430144">
              <w:t>m</w:t>
            </w:r>
            <w:r w:rsidRPr="00DF38B2">
              <w:t>easure introduced. The changes created new</w:t>
            </w:r>
            <w:r w:rsidR="00ED3423">
              <w:t xml:space="preserve"> ‘</w:t>
            </w:r>
            <w:r w:rsidRPr="00DF38B2">
              <w:t>automatic</w:t>
            </w:r>
            <w:r w:rsidR="00ED3423">
              <w:t>’</w:t>
            </w:r>
            <w:r w:rsidRPr="00DF38B2">
              <w:t xml:space="preserve"> triggers for being placed on </w:t>
            </w:r>
            <w:r w:rsidR="005E4CAC">
              <w:t>income management</w:t>
            </w:r>
            <w:r w:rsidRPr="00DF38B2">
              <w:t xml:space="preserve">. </w:t>
            </w:r>
          </w:p>
        </w:tc>
      </w:tr>
    </w:tbl>
    <w:p w:rsidR="005E1FE0" w:rsidRPr="00DF38B2" w:rsidRDefault="005E1FE0" w:rsidP="006654AE">
      <w:pPr>
        <w:rPr>
          <w:szCs w:val="19"/>
        </w:rPr>
      </w:pPr>
      <w:r w:rsidRPr="00DF38B2">
        <w:rPr>
          <w:szCs w:val="19"/>
        </w:rPr>
        <w:t xml:space="preserve"> </w:t>
      </w:r>
    </w:p>
    <w:p w:rsidR="005E1FE0" w:rsidRPr="00DF38B2" w:rsidRDefault="005E1FE0" w:rsidP="006654AE">
      <w:pPr>
        <w:pStyle w:val="Heading2"/>
      </w:pPr>
      <w:bookmarkStart w:id="45" w:name="_Toc403738965"/>
      <w:r w:rsidRPr="00DF38B2">
        <w:t>Objectives of New Income Management</w:t>
      </w:r>
      <w:bookmarkEnd w:id="45"/>
    </w:p>
    <w:p w:rsidR="005E1FE0" w:rsidRPr="00DF38B2" w:rsidRDefault="005E1FE0" w:rsidP="006654AE">
      <w:pPr>
        <w:rPr>
          <w:szCs w:val="19"/>
        </w:rPr>
      </w:pPr>
      <w:r w:rsidRPr="00DF38B2">
        <w:rPr>
          <w:szCs w:val="19"/>
        </w:rPr>
        <w:t>The Evaluation Framework developed to guide this evaluation (SPRC &amp; AIFS, 2010) provides an overview of the objectives of New Income Management. As documented in this, articulation of the objectives of New Income Management is contained across a range of speeches and policy statements, as well as in the legislation itself. Two of the key documents are Minister Macklin’s second reading speech (Macklin, 20</w:t>
      </w:r>
      <w:r w:rsidR="00180E4E" w:rsidRPr="00DF38B2">
        <w:rPr>
          <w:szCs w:val="19"/>
        </w:rPr>
        <w:t>09</w:t>
      </w:r>
      <w:r w:rsidRPr="00DF38B2">
        <w:rPr>
          <w:szCs w:val="19"/>
        </w:rPr>
        <w:t xml:space="preserve">), and the Government’s </w:t>
      </w:r>
      <w:r w:rsidR="004F12BB" w:rsidRPr="004F12BB">
        <w:rPr>
          <w:i/>
          <w:szCs w:val="19"/>
        </w:rPr>
        <w:t>Policy statement: landmark reform to the welfare system, reinstatement of the Racial Discrimination Act and strengthening of the Northern Territory Emergency Response</w:t>
      </w:r>
      <w:r w:rsidR="004F12BB" w:rsidRPr="004F12BB">
        <w:rPr>
          <w:szCs w:val="19"/>
        </w:rPr>
        <w:t xml:space="preserve"> </w:t>
      </w:r>
      <w:r w:rsidRPr="00DF38B2">
        <w:rPr>
          <w:szCs w:val="19"/>
        </w:rPr>
        <w:t>(Australian Government, 2009). This latter identifies the aims of New Income Management:</w:t>
      </w:r>
    </w:p>
    <w:p w:rsidR="005E1FE0" w:rsidRPr="00DF38B2" w:rsidRDefault="00C43DD2" w:rsidP="006654AE">
      <w:pPr>
        <w:pStyle w:val="indent"/>
      </w:pPr>
      <w:r>
        <w:t>“</w:t>
      </w:r>
      <w:r w:rsidR="005E1FE0" w:rsidRPr="00DF38B2">
        <w:t>…</w:t>
      </w:r>
      <w:r w:rsidR="002A44A5">
        <w:t xml:space="preserve"> [</w:t>
      </w:r>
      <w:proofErr w:type="gramStart"/>
      <w:r w:rsidR="002A44A5">
        <w:t>to</w:t>
      </w:r>
      <w:proofErr w:type="gramEnd"/>
      <w:r w:rsidR="002A44A5">
        <w:t xml:space="preserve">] </w:t>
      </w:r>
      <w:r w:rsidR="005E1FE0" w:rsidRPr="00DF38B2">
        <w:t>provide for the welfare of individuals and families, and particularly children</w:t>
      </w:r>
      <w:r w:rsidR="002A44A5">
        <w:t xml:space="preserve"> </w:t>
      </w:r>
      <w:r w:rsidR="005E1FE0" w:rsidRPr="00DF38B2">
        <w:t>… by ensuring that people meet their immediate priority needs and those of their children and other dependents. Income management can reduce the amount of welfare funds available to be spent on alcohol, gambling, tobacco products and pornography, and can reduce the likelihood that a person will be at risk of harassment or financial abuse in relation to their welfare payments.</w:t>
      </w:r>
    </w:p>
    <w:p w:rsidR="005E1FE0" w:rsidRPr="00DF38B2" w:rsidRDefault="005E1FE0" w:rsidP="006654AE">
      <w:pPr>
        <w:pStyle w:val="indent"/>
      </w:pPr>
      <w:r w:rsidRPr="00DF38B2">
        <w:t>Governments have a responsibility – particularly in relation to vulnerable and at risk citizens – to ensure income support payments are allocated in beneficial ways. The Government believes that the first call on welfare payments should be life essentials and the interests of children.</w:t>
      </w:r>
    </w:p>
    <w:p w:rsidR="005E1FE0" w:rsidRPr="00DF38B2" w:rsidRDefault="005E1FE0" w:rsidP="006654AE">
      <w:pPr>
        <w:pStyle w:val="indent"/>
      </w:pPr>
      <w:r w:rsidRPr="00DF38B2">
        <w:lastRenderedPageBreak/>
        <w:t xml:space="preserve">In the Government’s view the substantial benefits that can be achieved for these individuals through income management include: putting food on the table; stabilising housing; ensuring key bills are paid; helping minimise harassment; and helping people save money. In this way, income management lays the foundations for pathways to economic and social participation through helping to stabilise household budgeting that assists people to meet the basic needs of life. </w:t>
      </w:r>
      <w:proofErr w:type="gramStart"/>
      <w:r w:rsidRPr="00DF38B2">
        <w:t>We recognise that these are benefits which are relevant to Indigenous people and non-Indigenous people in similar situations</w:t>
      </w:r>
      <w:r w:rsidR="00C43DD2">
        <w:t>”</w:t>
      </w:r>
      <w:r w:rsidRPr="00DF38B2">
        <w:t xml:space="preserve"> (Australian Government, 2009, p. 1)</w:t>
      </w:r>
      <w:r w:rsidR="002A44A5">
        <w:t>.</w:t>
      </w:r>
      <w:proofErr w:type="gramEnd"/>
    </w:p>
    <w:p w:rsidR="005E1FE0" w:rsidRPr="00DF38B2" w:rsidRDefault="005E1FE0" w:rsidP="006654AE">
      <w:r w:rsidRPr="00DF38B2">
        <w:t xml:space="preserve">The broader objectives and framework were emphasised in the Second Reading Speech for the </w:t>
      </w:r>
      <w:r w:rsidRPr="00DF38B2">
        <w:rPr>
          <w:i/>
        </w:rPr>
        <w:t>Welfare Reform and Reinstatement of Racial Discrimination Act</w:t>
      </w:r>
      <w:r w:rsidRPr="00DF38B2">
        <w:t xml:space="preserve"> </w:t>
      </w:r>
      <w:r w:rsidRPr="00DF38B2">
        <w:rPr>
          <w:i/>
        </w:rPr>
        <w:t>(</w:t>
      </w:r>
      <w:proofErr w:type="spellStart"/>
      <w:r w:rsidRPr="00DF38B2">
        <w:rPr>
          <w:i/>
        </w:rPr>
        <w:t>Cwth</w:t>
      </w:r>
      <w:proofErr w:type="spellEnd"/>
      <w:r w:rsidRPr="00DF38B2">
        <w:rPr>
          <w:i/>
        </w:rPr>
        <w:t>) Bill</w:t>
      </w:r>
      <w:r w:rsidRPr="00DF38B2">
        <w:t>. The then Minister for Families, Housing, Community Services and Indigenous Affairs, in relation to income management, stated:</w:t>
      </w:r>
    </w:p>
    <w:p w:rsidR="005E1FE0" w:rsidRPr="00DF38B2" w:rsidRDefault="007B08FE" w:rsidP="006654AE">
      <w:pPr>
        <w:pStyle w:val="indent"/>
      </w:pPr>
      <w:r>
        <w:t>“</w:t>
      </w:r>
      <w:r w:rsidR="005E1FE0" w:rsidRPr="00DF38B2">
        <w:t>It introduces landmark reforms to the welfare system which, over time, will see the national rollout of a new scheme of income management of welfare payments in disadvantaged regions across Australia.</w:t>
      </w:r>
    </w:p>
    <w:p w:rsidR="005E1FE0" w:rsidRPr="00DF38B2" w:rsidRDefault="005E1FE0" w:rsidP="006654AE">
      <w:pPr>
        <w:pStyle w:val="indent"/>
      </w:pPr>
      <w:r w:rsidRPr="00DF38B2">
        <w:t>Income management is a key tool in the government’s broader welfare reforms to deliver on our commitment to a welfare system based on the principles of engagement, participation and responsibility.</w:t>
      </w:r>
    </w:p>
    <w:p w:rsidR="005E1FE0" w:rsidRPr="00DF38B2" w:rsidRDefault="005E1FE0" w:rsidP="006654AE">
      <w:pPr>
        <w:pStyle w:val="indent"/>
      </w:pPr>
      <w:r w:rsidRPr="00DF38B2">
        <w:t>Welfare should not be a destination or a way of life.</w:t>
      </w:r>
    </w:p>
    <w:p w:rsidR="005E1FE0" w:rsidRPr="00DF38B2" w:rsidRDefault="005E1FE0" w:rsidP="006654AE">
      <w:pPr>
        <w:pStyle w:val="indent"/>
      </w:pPr>
      <w:r w:rsidRPr="00DF38B2">
        <w:t>The government is committed to progressively reforming the welfare system to foster individual responsibility and to provide a platform for people to move up and out of welfare dependence.</w:t>
      </w:r>
      <w:r w:rsidR="007B08FE">
        <w:t>”</w:t>
      </w:r>
      <w:r w:rsidRPr="00DF38B2">
        <w:t xml:space="preserve"> </w:t>
      </w:r>
      <w:proofErr w:type="gramStart"/>
      <w:r w:rsidRPr="00DF38B2">
        <w:t>(Macklin, 2009)</w:t>
      </w:r>
      <w:r w:rsidR="002A44A5">
        <w:t>.</w:t>
      </w:r>
      <w:proofErr w:type="gramEnd"/>
    </w:p>
    <w:p w:rsidR="005E1FE0" w:rsidRPr="00DF38B2" w:rsidRDefault="005E1FE0" w:rsidP="006654AE">
      <w:pPr>
        <w:rPr>
          <w:szCs w:val="19"/>
        </w:rPr>
      </w:pPr>
      <w:r w:rsidRPr="00DF38B2">
        <w:rPr>
          <w:szCs w:val="19"/>
        </w:rPr>
        <w:t>The policy statement also identifies income management as a key tool in the Government's broader welfare reforms</w:t>
      </w:r>
      <w:r w:rsidR="002A44A5">
        <w:rPr>
          <w:szCs w:val="19"/>
        </w:rPr>
        <w:t>,</w:t>
      </w:r>
      <w:r w:rsidRPr="00DF38B2">
        <w:rPr>
          <w:szCs w:val="19"/>
        </w:rPr>
        <w:t xml:space="preserve"> which sought to promote responsibility and strengthen families. One part of this second goal was to ensure that income support payments were spent in a way </w:t>
      </w:r>
      <w:r w:rsidR="002A44A5">
        <w:rPr>
          <w:szCs w:val="19"/>
        </w:rPr>
        <w:t xml:space="preserve">that was </w:t>
      </w:r>
      <w:r w:rsidRPr="00DF38B2">
        <w:rPr>
          <w:szCs w:val="19"/>
        </w:rPr>
        <w:t>consistent with their underlying purpose of providing the financial means for people to achieve an acceptable standard of living and to ensure that the needs of children were met.</w:t>
      </w:r>
    </w:p>
    <w:p w:rsidR="005E1FE0" w:rsidRPr="00DF38B2" w:rsidRDefault="005E1FE0" w:rsidP="006654AE">
      <w:pPr>
        <w:rPr>
          <w:szCs w:val="19"/>
        </w:rPr>
      </w:pPr>
      <w:r w:rsidRPr="00DF38B2">
        <w:rPr>
          <w:szCs w:val="19"/>
        </w:rPr>
        <w:t>The objectives of income management embedded in the legislation are:</w:t>
      </w:r>
    </w:p>
    <w:p w:rsidR="005E1FE0" w:rsidRPr="00F157EE" w:rsidRDefault="007B08FE" w:rsidP="006654AE">
      <w:pPr>
        <w:pStyle w:val="ListParagraph"/>
        <w:numPr>
          <w:ilvl w:val="0"/>
          <w:numId w:val="5"/>
        </w:numPr>
        <w:spacing w:after="120" w:line="264" w:lineRule="auto"/>
        <w:ind w:right="680"/>
        <w:jc w:val="both"/>
        <w:rPr>
          <w:rFonts w:ascii="Garamond" w:hAnsi="Garamond"/>
          <w:sz w:val="20"/>
          <w:szCs w:val="20"/>
        </w:rPr>
      </w:pPr>
      <w:r>
        <w:rPr>
          <w:rFonts w:ascii="Garamond" w:hAnsi="Garamond"/>
          <w:sz w:val="20"/>
          <w:szCs w:val="20"/>
        </w:rPr>
        <w:t>“</w:t>
      </w:r>
      <w:r w:rsidR="005E1FE0" w:rsidRPr="00F157EE">
        <w:rPr>
          <w:rFonts w:ascii="Garamond" w:hAnsi="Garamond"/>
          <w:sz w:val="20"/>
          <w:szCs w:val="20"/>
        </w:rPr>
        <w:t>to reduce immediate hardship and deprivation by ensuring that the whole or part of certain welfare payments is directed to meeting the priority needs of:</w:t>
      </w:r>
    </w:p>
    <w:p w:rsidR="005E1FE0" w:rsidRPr="00DF38B2" w:rsidRDefault="005E1FE0" w:rsidP="006654AE">
      <w:pPr>
        <w:spacing w:after="120"/>
        <w:ind w:left="851" w:right="680"/>
        <w:rPr>
          <w:szCs w:val="20"/>
        </w:rPr>
      </w:pPr>
      <w:r w:rsidRPr="00DF38B2">
        <w:rPr>
          <w:szCs w:val="20"/>
        </w:rPr>
        <w:tab/>
        <w:t xml:space="preserve">(i) </w:t>
      </w:r>
      <w:proofErr w:type="gramStart"/>
      <w:r w:rsidRPr="00DF38B2">
        <w:rPr>
          <w:szCs w:val="20"/>
        </w:rPr>
        <w:t>the</w:t>
      </w:r>
      <w:proofErr w:type="gramEnd"/>
      <w:r w:rsidRPr="00DF38B2">
        <w:rPr>
          <w:szCs w:val="20"/>
        </w:rPr>
        <w:t xml:space="preserve"> recipient of the welfare payment; and</w:t>
      </w:r>
    </w:p>
    <w:p w:rsidR="005E1FE0" w:rsidRPr="009655C3" w:rsidRDefault="005E1FE0" w:rsidP="006654AE">
      <w:pPr>
        <w:spacing w:after="120"/>
        <w:ind w:left="851" w:right="680"/>
        <w:rPr>
          <w:szCs w:val="20"/>
        </w:rPr>
      </w:pPr>
      <w:r w:rsidRPr="00FE502F">
        <w:rPr>
          <w:szCs w:val="20"/>
        </w:rPr>
        <w:tab/>
        <w:t>(ii</w:t>
      </w:r>
      <w:r w:rsidRPr="009655C3">
        <w:rPr>
          <w:szCs w:val="20"/>
        </w:rPr>
        <w:t xml:space="preserve">) </w:t>
      </w:r>
      <w:proofErr w:type="gramStart"/>
      <w:r w:rsidRPr="009655C3">
        <w:rPr>
          <w:szCs w:val="20"/>
        </w:rPr>
        <w:t>the</w:t>
      </w:r>
      <w:proofErr w:type="gramEnd"/>
      <w:r w:rsidRPr="009655C3">
        <w:rPr>
          <w:szCs w:val="20"/>
        </w:rPr>
        <w:t xml:space="preserve"> recipient’s children (if any); and</w:t>
      </w:r>
    </w:p>
    <w:p w:rsidR="005E1FE0" w:rsidRPr="00DF38B2" w:rsidRDefault="005E1FE0" w:rsidP="006654AE">
      <w:pPr>
        <w:spacing w:after="120"/>
        <w:ind w:left="851" w:right="680"/>
        <w:rPr>
          <w:szCs w:val="20"/>
        </w:rPr>
      </w:pPr>
      <w:r w:rsidRPr="00DF38B2">
        <w:rPr>
          <w:szCs w:val="20"/>
        </w:rPr>
        <w:tab/>
        <w:t xml:space="preserve">(iii) </w:t>
      </w:r>
      <w:proofErr w:type="gramStart"/>
      <w:r w:rsidRPr="00DF38B2">
        <w:rPr>
          <w:szCs w:val="20"/>
        </w:rPr>
        <w:t>the</w:t>
      </w:r>
      <w:proofErr w:type="gramEnd"/>
      <w:r w:rsidRPr="00DF38B2">
        <w:rPr>
          <w:szCs w:val="20"/>
        </w:rPr>
        <w:t xml:space="preserve"> recipient’s partner (if any); and</w:t>
      </w:r>
    </w:p>
    <w:p w:rsidR="005E1FE0" w:rsidRPr="00DF38B2" w:rsidRDefault="005E1FE0" w:rsidP="006654AE">
      <w:pPr>
        <w:spacing w:after="120"/>
        <w:ind w:left="851" w:right="680"/>
        <w:rPr>
          <w:szCs w:val="20"/>
        </w:rPr>
      </w:pPr>
      <w:r w:rsidRPr="00DF38B2">
        <w:rPr>
          <w:szCs w:val="20"/>
        </w:rPr>
        <w:tab/>
        <w:t xml:space="preserve">(iv) </w:t>
      </w:r>
      <w:proofErr w:type="gramStart"/>
      <w:r w:rsidRPr="00DF38B2">
        <w:rPr>
          <w:szCs w:val="20"/>
        </w:rPr>
        <w:t>any</w:t>
      </w:r>
      <w:proofErr w:type="gramEnd"/>
      <w:r w:rsidRPr="00DF38B2">
        <w:rPr>
          <w:szCs w:val="20"/>
        </w:rPr>
        <w:t xml:space="preserve"> other dependants of the recipient;</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ensure that recipients of certain welfare payments are given support in budgeting to meet priority needs;</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reduce the amount of certain welfare payments available to be spent on alcoholic beverages, gambling, tobacco products and pornographic material;</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reduce the likelihood that recipients of welfare payments will be subject to harassment and abuse in relation to their welfare payments;</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encourage socially responsible behaviour, including in relation to the care and education of children;</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proofErr w:type="gramStart"/>
      <w:r w:rsidRPr="00F157EE">
        <w:rPr>
          <w:rFonts w:ascii="Garamond" w:hAnsi="Garamond"/>
          <w:sz w:val="20"/>
          <w:szCs w:val="20"/>
        </w:rPr>
        <w:t>to</w:t>
      </w:r>
      <w:proofErr w:type="gramEnd"/>
      <w:r w:rsidRPr="00F157EE">
        <w:rPr>
          <w:rFonts w:ascii="Garamond" w:hAnsi="Garamond"/>
          <w:sz w:val="20"/>
          <w:szCs w:val="20"/>
        </w:rPr>
        <w:t xml:space="preserve"> improve the level of protection afforded to welfare recipients and their families</w:t>
      </w:r>
      <w:r w:rsidR="007B08FE">
        <w:rPr>
          <w:rFonts w:ascii="Garamond" w:hAnsi="Garamond"/>
          <w:sz w:val="20"/>
          <w:szCs w:val="20"/>
        </w:rPr>
        <w:t>”</w:t>
      </w:r>
      <w:r w:rsidRPr="00F157EE">
        <w:rPr>
          <w:rFonts w:ascii="Garamond" w:hAnsi="Garamond"/>
          <w:sz w:val="20"/>
          <w:szCs w:val="20"/>
        </w:rPr>
        <w:t xml:space="preserve"> (</w:t>
      </w:r>
      <w:r w:rsidRPr="00F157EE">
        <w:rPr>
          <w:rFonts w:ascii="Garamond" w:hAnsi="Garamond"/>
          <w:i/>
          <w:sz w:val="20"/>
          <w:szCs w:val="20"/>
        </w:rPr>
        <w:t>Social Security (Administration) Act 1999 (</w:t>
      </w:r>
      <w:proofErr w:type="spellStart"/>
      <w:r w:rsidRPr="00F157EE">
        <w:rPr>
          <w:rFonts w:ascii="Garamond" w:hAnsi="Garamond"/>
          <w:i/>
          <w:sz w:val="20"/>
          <w:szCs w:val="20"/>
        </w:rPr>
        <w:t>Cwth</w:t>
      </w:r>
      <w:proofErr w:type="spellEnd"/>
      <w:r w:rsidRPr="00F157EE">
        <w:rPr>
          <w:rFonts w:ascii="Garamond" w:hAnsi="Garamond"/>
          <w:i/>
          <w:sz w:val="20"/>
          <w:szCs w:val="20"/>
        </w:rPr>
        <w:t>)</w:t>
      </w:r>
      <w:r w:rsidRPr="00F157EE">
        <w:rPr>
          <w:rFonts w:ascii="Garamond" w:hAnsi="Garamond"/>
          <w:sz w:val="20"/>
          <w:szCs w:val="20"/>
        </w:rPr>
        <w:t xml:space="preserve"> </w:t>
      </w:r>
      <w:r w:rsidR="002A44A5">
        <w:rPr>
          <w:rFonts w:ascii="Garamond" w:hAnsi="Garamond"/>
          <w:sz w:val="20"/>
          <w:szCs w:val="20"/>
        </w:rPr>
        <w:t>–</w:t>
      </w:r>
      <w:r w:rsidRPr="00F157EE">
        <w:rPr>
          <w:rFonts w:ascii="Garamond" w:hAnsi="Garamond"/>
          <w:sz w:val="20"/>
          <w:szCs w:val="20"/>
        </w:rPr>
        <w:t xml:space="preserve"> Section 123TB).</w:t>
      </w:r>
    </w:p>
    <w:p w:rsidR="005E1FE0" w:rsidRPr="009655C3" w:rsidRDefault="005E1FE0" w:rsidP="006654AE">
      <w:pPr>
        <w:ind w:left="1"/>
        <w:rPr>
          <w:szCs w:val="19"/>
        </w:rPr>
      </w:pPr>
      <w:r w:rsidRPr="00DF38B2">
        <w:rPr>
          <w:szCs w:val="19"/>
        </w:rPr>
        <w:t>Reflecting these legislative provisions</w:t>
      </w:r>
      <w:r w:rsidR="002A44A5">
        <w:rPr>
          <w:szCs w:val="19"/>
        </w:rPr>
        <w:t>,</w:t>
      </w:r>
      <w:r w:rsidRPr="00DF38B2">
        <w:rPr>
          <w:szCs w:val="19"/>
        </w:rPr>
        <w:t xml:space="preserve"> the policy of income management </w:t>
      </w:r>
      <w:r w:rsidRPr="00FE502F">
        <w:rPr>
          <w:szCs w:val="19"/>
        </w:rPr>
        <w:t>operates to limit expenditure of income support payments on excluded items, including alcohol, tobacco, pornography, gambling products and participation in gamblin</w:t>
      </w:r>
      <w:r w:rsidRPr="009655C3">
        <w:rPr>
          <w:szCs w:val="19"/>
        </w:rPr>
        <w:t xml:space="preserve">g. As such it seeks to ensure </w:t>
      </w:r>
      <w:r w:rsidR="004971AD">
        <w:rPr>
          <w:szCs w:val="19"/>
        </w:rPr>
        <w:t>“</w:t>
      </w:r>
      <w:r w:rsidRPr="009655C3">
        <w:rPr>
          <w:szCs w:val="19"/>
        </w:rPr>
        <w:t xml:space="preserve">that money is available for life essentials and </w:t>
      </w:r>
      <w:r w:rsidR="004971AD">
        <w:rPr>
          <w:szCs w:val="19"/>
        </w:rPr>
        <w:t xml:space="preserve">provides a tool </w:t>
      </w:r>
      <w:r w:rsidRPr="009655C3">
        <w:rPr>
          <w:szCs w:val="19"/>
        </w:rPr>
        <w:t>to stabilise people’s circumstances, easing immediate financial stress” (Macklin, 2011).</w:t>
      </w:r>
    </w:p>
    <w:p w:rsidR="005E1FE0" w:rsidRPr="00FE502F" w:rsidRDefault="005E1FE0" w:rsidP="006654AE">
      <w:pPr>
        <w:ind w:left="1"/>
        <w:rPr>
          <w:szCs w:val="19"/>
        </w:rPr>
      </w:pPr>
      <w:r w:rsidRPr="009655C3">
        <w:rPr>
          <w:szCs w:val="19"/>
        </w:rPr>
        <w:lastRenderedPageBreak/>
        <w:t>As well as seeking to limit inappropriate spending</w:t>
      </w:r>
      <w:r w:rsidR="002A44A5" w:rsidRPr="002A44A5">
        <w:rPr>
          <w:szCs w:val="19"/>
        </w:rPr>
        <w:t xml:space="preserve"> </w:t>
      </w:r>
      <w:r w:rsidR="002A44A5" w:rsidRPr="009655C3">
        <w:rPr>
          <w:szCs w:val="19"/>
        </w:rPr>
        <w:t>directly</w:t>
      </w:r>
      <w:r w:rsidR="002A44A5">
        <w:rPr>
          <w:szCs w:val="19"/>
        </w:rPr>
        <w:t>,</w:t>
      </w:r>
      <w:r w:rsidRPr="009655C3">
        <w:rPr>
          <w:szCs w:val="19"/>
        </w:rPr>
        <w:t xml:space="preserve"> the policy objective</w:t>
      </w:r>
      <w:r w:rsidR="002A44A5">
        <w:rPr>
          <w:szCs w:val="19"/>
        </w:rPr>
        <w:t xml:space="preserve"> –</w:t>
      </w:r>
      <w:r w:rsidRPr="009655C3">
        <w:rPr>
          <w:szCs w:val="19"/>
        </w:rPr>
        <w:t xml:space="preserve"> both directly through the tools associated with income management, and through supporting policies and programs</w:t>
      </w:r>
      <w:r w:rsidR="002A44A5">
        <w:rPr>
          <w:szCs w:val="19"/>
        </w:rPr>
        <w:t xml:space="preserve"> –</w:t>
      </w:r>
      <w:r w:rsidRPr="009655C3">
        <w:rPr>
          <w:szCs w:val="19"/>
        </w:rPr>
        <w:t xml:space="preserve"> is to enhance household financial management</w:t>
      </w:r>
      <w:r w:rsidR="00A1421A">
        <w:rPr>
          <w:szCs w:val="19"/>
        </w:rPr>
        <w:t xml:space="preserve">. </w:t>
      </w:r>
      <w:r w:rsidRPr="009655C3">
        <w:rPr>
          <w:szCs w:val="19"/>
        </w:rPr>
        <w:t>This objective includes a focus in the program on working with individuals to ensure that</w:t>
      </w:r>
      <w:r w:rsidRPr="00DF38B2">
        <w:rPr>
          <w:szCs w:val="19"/>
        </w:rPr>
        <w:t xml:space="preserve"> priority needs are met, and by limiting the availability of cash with the goal of assisting some individuals in resisting undesirable behaviour by their relatives and </w:t>
      </w:r>
      <w:r w:rsidR="00676B6A" w:rsidRPr="00DF38B2">
        <w:rPr>
          <w:szCs w:val="19"/>
        </w:rPr>
        <w:t xml:space="preserve">others </w:t>
      </w:r>
      <w:r w:rsidRPr="00DF38B2">
        <w:rPr>
          <w:szCs w:val="19"/>
        </w:rPr>
        <w:t>(i.e.</w:t>
      </w:r>
      <w:r w:rsidR="002A44A5">
        <w:rPr>
          <w:szCs w:val="19"/>
        </w:rPr>
        <w:t>,</w:t>
      </w:r>
      <w:r w:rsidRPr="00DF38B2">
        <w:rPr>
          <w:szCs w:val="19"/>
        </w:rPr>
        <w:t xml:space="preserve"> harassment for money or ‘humbugging’).</w:t>
      </w:r>
    </w:p>
    <w:p w:rsidR="005E1FE0" w:rsidRPr="00DF38B2" w:rsidRDefault="005E1FE0" w:rsidP="006654AE">
      <w:pPr>
        <w:rPr>
          <w:szCs w:val="19"/>
        </w:rPr>
      </w:pPr>
      <w:r w:rsidRPr="009655C3">
        <w:rPr>
          <w:szCs w:val="19"/>
        </w:rPr>
        <w:t>According to the program logic, the change in expenditure patterns which the program seeks to achieve is expected to result in a number of other benefits for children, parents and the broader community. For example, a reduction in negative expenditures may result in reductions in alcoho</w:t>
      </w:r>
      <w:r w:rsidRPr="00DF38B2">
        <w:rPr>
          <w:szCs w:val="19"/>
        </w:rPr>
        <w:t>l</w:t>
      </w:r>
      <w:r w:rsidR="002A44A5">
        <w:rPr>
          <w:szCs w:val="19"/>
        </w:rPr>
        <w:t>-</w:t>
      </w:r>
      <w:r w:rsidRPr="00DF38B2">
        <w:rPr>
          <w:szCs w:val="19"/>
        </w:rPr>
        <w:t>fuelled violence, substance abuse and risky behaviour. Similarly</w:t>
      </w:r>
      <w:r w:rsidR="002A44A5">
        <w:rPr>
          <w:szCs w:val="19"/>
        </w:rPr>
        <w:t>,</w:t>
      </w:r>
      <w:r w:rsidRPr="00DF38B2">
        <w:rPr>
          <w:szCs w:val="19"/>
        </w:rPr>
        <w:t xml:space="preserve"> the promotion of positive expenditure patterns may result in meeting children’s needs more effectively, including improved nutrition and increased spending on children’s clothing and school-related expenses. This in turn may result in improvements in positive health behaviours and improved school attendance, which could then lead to improved educational outcomes.</w:t>
      </w:r>
    </w:p>
    <w:p w:rsidR="005E1FE0" w:rsidRPr="00DF38B2" w:rsidRDefault="005E1FE0" w:rsidP="006654AE">
      <w:pPr>
        <w:rPr>
          <w:szCs w:val="19"/>
        </w:rPr>
      </w:pPr>
      <w:r w:rsidRPr="00DF38B2">
        <w:rPr>
          <w:szCs w:val="19"/>
        </w:rPr>
        <w:t xml:space="preserve">In addition to the direct impact of expenditure constraints, the exemption criteria were seen as a means </w:t>
      </w:r>
      <w:r w:rsidR="00735436">
        <w:rPr>
          <w:szCs w:val="19"/>
        </w:rPr>
        <w:t xml:space="preserve">with which </w:t>
      </w:r>
      <w:r w:rsidRPr="00DF38B2">
        <w:rPr>
          <w:szCs w:val="19"/>
        </w:rPr>
        <w:t>to reinforce some of these positive outcomes. For example, families would be able to secure exemptions if their children are immunised and if they are attending school</w:t>
      </w:r>
      <w:r w:rsidR="00735436">
        <w:rPr>
          <w:szCs w:val="19"/>
        </w:rPr>
        <w:t>,</w:t>
      </w:r>
      <w:r w:rsidRPr="00DF38B2">
        <w:rPr>
          <w:szCs w:val="19"/>
        </w:rPr>
        <w:t xml:space="preserve"> or </w:t>
      </w:r>
      <w:r w:rsidR="00735436">
        <w:rPr>
          <w:szCs w:val="19"/>
        </w:rPr>
        <w:t xml:space="preserve">if </w:t>
      </w:r>
      <w:r w:rsidRPr="00DF38B2">
        <w:rPr>
          <w:szCs w:val="19"/>
        </w:rPr>
        <w:t>parents can demonstrate that children are engaged in activities such as structured, age appropriate social, learning or physical activities. For those without children</w:t>
      </w:r>
      <w:r w:rsidR="00735436">
        <w:rPr>
          <w:szCs w:val="19"/>
        </w:rPr>
        <w:t>,</w:t>
      </w:r>
      <w:r w:rsidRPr="00DF38B2">
        <w:rPr>
          <w:szCs w:val="19"/>
        </w:rPr>
        <w:t xml:space="preserve"> exemptions were designed to reward participation in employment and education. </w:t>
      </w:r>
    </w:p>
    <w:p w:rsidR="005E1FE0" w:rsidRPr="00DF38B2" w:rsidRDefault="005E1FE0" w:rsidP="006654AE">
      <w:pPr>
        <w:rPr>
          <w:szCs w:val="19"/>
        </w:rPr>
      </w:pPr>
      <w:r w:rsidRPr="00DF38B2">
        <w:rPr>
          <w:szCs w:val="19"/>
        </w:rPr>
        <w:t xml:space="preserve">At this broadest level the program is intended to reinforce responsible parenting and more generally promote principles of engagement, participation and personal responsibility, with this being reflected in positive outcomes across many domains including health, education, workforce participation and community </w:t>
      </w:r>
      <w:r w:rsidR="00593D5C">
        <w:rPr>
          <w:szCs w:val="19"/>
        </w:rPr>
        <w:t>wellbeing</w:t>
      </w:r>
      <w:r w:rsidRPr="00DF38B2">
        <w:rPr>
          <w:szCs w:val="19"/>
        </w:rPr>
        <w:t xml:space="preserve">. </w:t>
      </w:r>
    </w:p>
    <w:p w:rsidR="005E1FE0" w:rsidRPr="00DF38B2" w:rsidRDefault="005E1FE0" w:rsidP="006654AE">
      <w:pPr>
        <w:rPr>
          <w:szCs w:val="19"/>
        </w:rPr>
      </w:pPr>
      <w:r w:rsidRPr="00DF38B2">
        <w:rPr>
          <w:szCs w:val="19"/>
        </w:rPr>
        <w:t>In this way New Income Management is intended to set in motion a series of positive behaviours that should be mutually reinforcing. The outcomes postulated from this include:</w:t>
      </w:r>
    </w:p>
    <w:p w:rsidR="005E1FE0" w:rsidRPr="00DF38B2" w:rsidRDefault="005E1FE0" w:rsidP="006654AE">
      <w:pPr>
        <w:pStyle w:val="dot"/>
      </w:pPr>
      <w:r w:rsidRPr="00DF38B2">
        <w:t xml:space="preserve">short-term, </w:t>
      </w:r>
      <w:r w:rsidR="00B5343C">
        <w:t xml:space="preserve">e.g., </w:t>
      </w:r>
      <w:r w:rsidRPr="00DF38B2">
        <w:t>changed expenditure patterns, less expenditure on excluded goods, more expenditure on priority item</w:t>
      </w:r>
      <w:r w:rsidR="00DB2253">
        <w:t>s</w:t>
      </w:r>
    </w:p>
    <w:p w:rsidR="005E1FE0" w:rsidRPr="00DF38B2" w:rsidRDefault="005E1FE0" w:rsidP="006654AE">
      <w:pPr>
        <w:pStyle w:val="dot"/>
      </w:pPr>
      <w:r w:rsidRPr="00DF38B2">
        <w:t xml:space="preserve">medium-term, </w:t>
      </w:r>
      <w:r w:rsidR="00B5343C">
        <w:t xml:space="preserve">e.g., </w:t>
      </w:r>
      <w:r w:rsidRPr="00DF38B2">
        <w:t>take-up of referrals to money management and financial counselling service providers, improved educational attendance</w:t>
      </w:r>
    </w:p>
    <w:p w:rsidR="005E1FE0" w:rsidRPr="00DF38B2" w:rsidRDefault="005E1FE0" w:rsidP="006654AE">
      <w:pPr>
        <w:pStyle w:val="dot"/>
      </w:pPr>
      <w:proofErr w:type="gramStart"/>
      <w:r w:rsidRPr="00DF38B2">
        <w:t>long-term</w:t>
      </w:r>
      <w:proofErr w:type="gramEnd"/>
      <w:r w:rsidRPr="00DF38B2">
        <w:t xml:space="preserve">, </w:t>
      </w:r>
      <w:r w:rsidR="00B5343C">
        <w:t xml:space="preserve">e.g., </w:t>
      </w:r>
      <w:r w:rsidRPr="00DF38B2">
        <w:t>acquisition of money management skills, improved employment opportunities and improved educational attainment, and eventually to “tackle the destructive, intergenerational cycle of passive welfare” (Macklin</w:t>
      </w:r>
      <w:r w:rsidR="00D304D0">
        <w:t>,</w:t>
      </w:r>
      <w:r w:rsidRPr="00DF38B2">
        <w:t xml:space="preserve"> 2009).</w:t>
      </w:r>
    </w:p>
    <w:p w:rsidR="005E1FE0" w:rsidRPr="00DF38B2" w:rsidRDefault="005E1FE0" w:rsidP="006654AE">
      <w:pPr>
        <w:rPr>
          <w:szCs w:val="19"/>
        </w:rPr>
      </w:pPr>
      <w:r w:rsidRPr="00DF38B2">
        <w:rPr>
          <w:szCs w:val="19"/>
        </w:rPr>
        <w:t>The potential impacts of the model are not only expected to occur at the level of the individuals directly affected and their immediate families, but more generally in the communities in which these individuals live.</w:t>
      </w:r>
    </w:p>
    <w:p w:rsidR="005E1FE0" w:rsidRPr="00DF38B2" w:rsidRDefault="005E1FE0" w:rsidP="006654AE">
      <w:pPr>
        <w:pStyle w:val="Heading2"/>
      </w:pPr>
      <w:bookmarkStart w:id="46" w:name="_Toc403738966"/>
      <w:r w:rsidRPr="00DF38B2">
        <w:t>Overview of New Income Management and its subprograms</w:t>
      </w:r>
      <w:bookmarkEnd w:id="46"/>
    </w:p>
    <w:p w:rsidR="005E1FE0" w:rsidRPr="00DF38B2" w:rsidRDefault="005E1FE0" w:rsidP="006654AE">
      <w:pPr>
        <w:rPr>
          <w:szCs w:val="19"/>
        </w:rPr>
      </w:pPr>
      <w:r w:rsidRPr="00DF38B2">
        <w:rPr>
          <w:szCs w:val="19"/>
        </w:rPr>
        <w:t xml:space="preserve">New Income Management is a policy which involves limiting the ways in which income support recipients can spend a proportion, usually half, of their income support payments. </w:t>
      </w:r>
    </w:p>
    <w:p w:rsidR="005E1FE0" w:rsidRPr="00DF38B2" w:rsidRDefault="005E1FE0" w:rsidP="006654AE">
      <w:pPr>
        <w:tabs>
          <w:tab w:val="left" w:pos="4962"/>
        </w:tabs>
        <w:rPr>
          <w:szCs w:val="19"/>
        </w:rPr>
      </w:pPr>
      <w:r w:rsidRPr="00DF38B2">
        <w:rPr>
          <w:szCs w:val="19"/>
        </w:rPr>
        <w:t>As noted above</w:t>
      </w:r>
      <w:r w:rsidR="00735436">
        <w:rPr>
          <w:szCs w:val="19"/>
        </w:rPr>
        <w:t>,</w:t>
      </w:r>
      <w:r w:rsidRPr="00DF38B2">
        <w:rPr>
          <w:szCs w:val="19"/>
        </w:rPr>
        <w:t xml:space="preserve"> the actual income management component of the policy involves setting aside this portion of a person’s payments and </w:t>
      </w:r>
      <w:r w:rsidR="006428C2">
        <w:rPr>
          <w:szCs w:val="19"/>
        </w:rPr>
        <w:t xml:space="preserve">seeking to </w:t>
      </w:r>
      <w:r w:rsidRPr="00DF38B2">
        <w:rPr>
          <w:szCs w:val="19"/>
        </w:rPr>
        <w:t>manag</w:t>
      </w:r>
      <w:r w:rsidR="006428C2">
        <w:rPr>
          <w:szCs w:val="19"/>
        </w:rPr>
        <w:t>e</w:t>
      </w:r>
      <w:r w:rsidRPr="00DF38B2">
        <w:rPr>
          <w:szCs w:val="19"/>
        </w:rPr>
        <w:t xml:space="preserve"> </w:t>
      </w:r>
      <w:r w:rsidR="00735436">
        <w:rPr>
          <w:szCs w:val="19"/>
        </w:rPr>
        <w:t>it</w:t>
      </w:r>
      <w:r w:rsidRPr="00DF38B2">
        <w:rPr>
          <w:szCs w:val="19"/>
        </w:rPr>
        <w:t xml:space="preserve"> in a way that meet</w:t>
      </w:r>
      <w:r w:rsidR="00735436">
        <w:rPr>
          <w:szCs w:val="19"/>
        </w:rPr>
        <w:t>s</w:t>
      </w:r>
      <w:r w:rsidRPr="00DF38B2">
        <w:rPr>
          <w:szCs w:val="19"/>
        </w:rPr>
        <w:t xml:space="preserve"> the priority needs of individual</w:t>
      </w:r>
      <w:r w:rsidR="00735436">
        <w:rPr>
          <w:szCs w:val="19"/>
        </w:rPr>
        <w:t>s</w:t>
      </w:r>
      <w:r w:rsidRPr="00DF38B2">
        <w:rPr>
          <w:szCs w:val="19"/>
        </w:rPr>
        <w:t xml:space="preserve"> and </w:t>
      </w:r>
      <w:r w:rsidR="00791F92">
        <w:rPr>
          <w:szCs w:val="19"/>
        </w:rPr>
        <w:t>any</w:t>
      </w:r>
      <w:r w:rsidR="00735436">
        <w:rPr>
          <w:szCs w:val="19"/>
        </w:rPr>
        <w:t xml:space="preserve"> </w:t>
      </w:r>
      <w:r w:rsidRPr="00DF38B2">
        <w:rPr>
          <w:szCs w:val="19"/>
        </w:rPr>
        <w:t>children who are dependent on them. This objective is given effect by the income</w:t>
      </w:r>
      <w:r w:rsidR="00A04470">
        <w:rPr>
          <w:szCs w:val="19"/>
        </w:rPr>
        <w:t xml:space="preserve"> </w:t>
      </w:r>
      <w:r w:rsidRPr="00DF38B2">
        <w:rPr>
          <w:szCs w:val="19"/>
        </w:rPr>
        <w:t xml:space="preserve">managed component of the person’s income support payment being provided either through </w:t>
      </w:r>
      <w:proofErr w:type="gramStart"/>
      <w:r w:rsidRPr="00DF38B2">
        <w:rPr>
          <w:szCs w:val="19"/>
        </w:rPr>
        <w:t>payments</w:t>
      </w:r>
      <w:proofErr w:type="gramEnd"/>
      <w:r w:rsidRPr="00DF38B2">
        <w:rPr>
          <w:szCs w:val="19"/>
        </w:rPr>
        <w:t xml:space="preserve"> directly from Centrelink to merchants, or through the BasicsCard</w:t>
      </w:r>
      <w:r w:rsidR="00735436">
        <w:rPr>
          <w:szCs w:val="19"/>
        </w:rPr>
        <w:t>,</w:t>
      </w:r>
      <w:r w:rsidRPr="00DF38B2">
        <w:rPr>
          <w:szCs w:val="19"/>
        </w:rPr>
        <w:t xml:space="preserve"> so that key expenditures are made and that this money is not able to be used to purchase ‘excluded’ goods. As noted above, these include such items as alcohol, home brew kits, home brew concentrates, tobacco products, pornographic material, and gambling goods and activities.</w:t>
      </w:r>
    </w:p>
    <w:p w:rsidR="005E1FE0" w:rsidRPr="00DF38B2" w:rsidRDefault="005E1FE0" w:rsidP="006654AE">
      <w:r w:rsidRPr="00DF38B2">
        <w:t xml:space="preserve">In 2010, when first implemented, there were four ‘streams’ or measures of New Income Management: </w:t>
      </w:r>
    </w:p>
    <w:p w:rsidR="005E1FE0" w:rsidRPr="00DF38B2" w:rsidRDefault="005E1FE0" w:rsidP="006654AE">
      <w:pPr>
        <w:pStyle w:val="dot"/>
      </w:pPr>
      <w:r w:rsidRPr="00DF38B2">
        <w:lastRenderedPageBreak/>
        <w:t>Compulsory Income Management – which in turn comprised a Disengaged Youth and a Long-term Welfare Payment Recipients measure</w:t>
      </w:r>
    </w:p>
    <w:p w:rsidR="005E1FE0" w:rsidRPr="00DF38B2" w:rsidRDefault="005E1FE0" w:rsidP="006654AE">
      <w:pPr>
        <w:pStyle w:val="dot"/>
      </w:pPr>
      <w:r w:rsidRPr="00DF38B2">
        <w:t>Voluntary Income Management;</w:t>
      </w:r>
    </w:p>
    <w:p w:rsidR="005E1FE0" w:rsidRPr="00DF38B2" w:rsidRDefault="005E1FE0" w:rsidP="006654AE">
      <w:pPr>
        <w:pStyle w:val="dot"/>
      </w:pPr>
      <w:r w:rsidRPr="00DF38B2">
        <w:t>Vulnerable Welfare Payment Recipients measure – referred to here as Vulnerable Income Management</w:t>
      </w:r>
    </w:p>
    <w:p w:rsidR="005E1FE0" w:rsidRPr="00DF38B2" w:rsidRDefault="005E1FE0" w:rsidP="006654AE">
      <w:pPr>
        <w:pStyle w:val="dot"/>
      </w:pPr>
      <w:r w:rsidRPr="00DF38B2">
        <w:t>Child Protection Income Management.</w:t>
      </w:r>
    </w:p>
    <w:p w:rsidR="005E1FE0" w:rsidRPr="00DF38B2" w:rsidRDefault="005E1FE0" w:rsidP="006654AE">
      <w:pPr>
        <w:rPr>
          <w:szCs w:val="19"/>
        </w:rPr>
      </w:pPr>
      <w:r w:rsidRPr="00DF38B2">
        <w:t>From December 2012 a fifth measure of income management was introduced; Supporting People at Risk (SPAR)</w:t>
      </w:r>
      <w:r w:rsidR="00430144">
        <w:t>. This</w:t>
      </w:r>
      <w:r w:rsidRPr="00DF38B2">
        <w:t xml:space="preserve"> applies to people referred to </w:t>
      </w:r>
      <w:r w:rsidR="005E4CAC">
        <w:t>income management</w:t>
      </w:r>
      <w:r w:rsidRPr="00DF38B2">
        <w:t xml:space="preserve"> under the Northern Territory Alcohol Mandatory Treatment Program</w:t>
      </w:r>
      <w:r w:rsidR="004D42F6">
        <w:t xml:space="preserve"> (</w:t>
      </w:r>
      <w:r w:rsidR="004D42F6" w:rsidRPr="006C31EF">
        <w:t>Northern Territory Department of Health</w:t>
      </w:r>
      <w:r w:rsidR="004D42F6">
        <w:t xml:space="preserve">, </w:t>
      </w:r>
      <w:r w:rsidR="004D42F6" w:rsidRPr="006C31EF">
        <w:t>2013</w:t>
      </w:r>
      <w:r w:rsidR="00797E34">
        <w:t>b</w:t>
      </w:r>
      <w:r w:rsidR="004D42F6">
        <w:t>)</w:t>
      </w:r>
      <w:r w:rsidRPr="00DF38B2">
        <w:t>. Three further forms of Vulnerable Income Management were introduced in July 2013.</w:t>
      </w:r>
    </w:p>
    <w:p w:rsidR="005E1FE0" w:rsidRPr="00DF38B2" w:rsidRDefault="005E1FE0" w:rsidP="006654AE">
      <w:pPr>
        <w:pStyle w:val="Caption"/>
      </w:pPr>
      <w:bookmarkStart w:id="47" w:name="_Ref389823892"/>
      <w:bookmarkStart w:id="48" w:name="_Toc403739404"/>
      <w:r w:rsidRPr="00DF38B2">
        <w:t xml:space="preserve">Table </w:t>
      </w:r>
      <w:fldSimple w:instr=" STYLEREF 1 \s ">
        <w:r w:rsidR="00906D13">
          <w:rPr>
            <w:noProof/>
          </w:rPr>
          <w:t>2</w:t>
        </w:r>
      </w:fldSimple>
      <w:r w:rsidR="00D40B64">
        <w:noBreakHyphen/>
      </w:r>
      <w:fldSimple w:instr=" SEQ Table \* ARABIC \s 1 ">
        <w:r w:rsidR="00906D13">
          <w:rPr>
            <w:noProof/>
          </w:rPr>
          <w:t>3</w:t>
        </w:r>
      </w:fldSimple>
      <w:bookmarkEnd w:id="47"/>
      <w:r w:rsidRPr="00DF38B2">
        <w:t xml:space="preserve"> </w:t>
      </w:r>
      <w:r w:rsidRPr="00DF38B2">
        <w:tab/>
        <w:t>Australian Government payments that may be subject to income management</w:t>
      </w:r>
      <w:bookmarkEnd w:id="48"/>
    </w:p>
    <w:tbl>
      <w:tblPr>
        <w:tblW w:w="8222" w:type="dxa"/>
        <w:jc w:val="center"/>
        <w:tblBorders>
          <w:top w:val="single" w:sz="4" w:space="0" w:color="000000"/>
          <w:bottom w:val="single" w:sz="4" w:space="0" w:color="000000"/>
        </w:tblBorders>
        <w:tblLook w:val="04A0" w:firstRow="1" w:lastRow="0" w:firstColumn="1" w:lastColumn="0" w:noHBand="0" w:noVBand="1"/>
        <w:tblDescription w:val="In two columns the table lists the 43 payments that may be subject to income management."/>
      </w:tblPr>
      <w:tblGrid>
        <w:gridCol w:w="3686"/>
        <w:gridCol w:w="4536"/>
      </w:tblGrid>
      <w:tr w:rsidR="005E1FE0" w:rsidRPr="00DF38B2" w:rsidTr="003757E7">
        <w:trPr>
          <w:trHeight w:val="20"/>
          <w:tblHeader/>
          <w:jc w:val="center"/>
        </w:trPr>
        <w:tc>
          <w:tcPr>
            <w:tcW w:w="3686" w:type="dxa"/>
            <w:shd w:val="clear" w:color="auto" w:fill="auto"/>
            <w:hideMark/>
          </w:tcPr>
          <w:p w:rsidR="005E1FE0" w:rsidRPr="00DF38B2" w:rsidRDefault="005E1FE0" w:rsidP="006654AE">
            <w:pPr>
              <w:pStyle w:val="tabletextleft"/>
              <w:ind w:left="227" w:hanging="227"/>
              <w:jc w:val="left"/>
            </w:pPr>
            <w:bookmarkStart w:id="49" w:name="_Hlk324359898"/>
            <w:r w:rsidRPr="00DF38B2">
              <w:t xml:space="preserve">Widow Allowance </w:t>
            </w:r>
          </w:p>
        </w:tc>
        <w:tc>
          <w:tcPr>
            <w:tcW w:w="4536" w:type="dxa"/>
          </w:tcPr>
          <w:p w:rsidR="005E1FE0" w:rsidRPr="00DF38B2" w:rsidRDefault="005E1FE0" w:rsidP="006654AE">
            <w:pPr>
              <w:pStyle w:val="tabletextleft"/>
              <w:ind w:left="227" w:hanging="227"/>
              <w:jc w:val="left"/>
            </w:pPr>
            <w:r w:rsidRPr="00DF38B2">
              <w:t>Income Support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Youth Allowance </w:t>
            </w:r>
          </w:p>
        </w:tc>
        <w:tc>
          <w:tcPr>
            <w:tcW w:w="4536" w:type="dxa"/>
          </w:tcPr>
          <w:p w:rsidR="005E1FE0" w:rsidRPr="00DF38B2" w:rsidRDefault="005E1FE0" w:rsidP="006654AE">
            <w:pPr>
              <w:pStyle w:val="tabletextleft"/>
              <w:ind w:left="227" w:hanging="227"/>
              <w:jc w:val="left"/>
            </w:pPr>
            <w:r w:rsidRPr="00DF38B2">
              <w:t>Defence Force Income Support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proofErr w:type="spellStart"/>
            <w:r w:rsidRPr="00DF38B2">
              <w:t>Austudy</w:t>
            </w:r>
            <w:proofErr w:type="spellEnd"/>
            <w:r w:rsidRPr="00DF38B2">
              <w:t xml:space="preserve"> payment </w:t>
            </w:r>
          </w:p>
        </w:tc>
        <w:tc>
          <w:tcPr>
            <w:tcW w:w="4536" w:type="dxa"/>
          </w:tcPr>
          <w:p w:rsidR="005E1FE0" w:rsidRPr="00DF38B2" w:rsidRDefault="005E1FE0" w:rsidP="006654AE">
            <w:pPr>
              <w:pStyle w:val="tabletextleft"/>
              <w:ind w:left="227" w:hanging="227"/>
              <w:jc w:val="left"/>
            </w:pPr>
            <w:r w:rsidRPr="00DF38B2">
              <w:t>Double Orphan Pension</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Newstart Allowance</w:t>
            </w:r>
          </w:p>
        </w:tc>
        <w:tc>
          <w:tcPr>
            <w:tcW w:w="4536" w:type="dxa"/>
          </w:tcPr>
          <w:p w:rsidR="005E1FE0" w:rsidRPr="00DF38B2" w:rsidRDefault="005E1FE0" w:rsidP="006654AE">
            <w:pPr>
              <w:pStyle w:val="tabletextleft"/>
              <w:ind w:left="227" w:hanging="227"/>
              <w:jc w:val="left"/>
            </w:pPr>
            <w:r w:rsidRPr="00DF38B2">
              <w:t>Family Tax Benefit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Sickness Allowance </w:t>
            </w:r>
          </w:p>
        </w:tc>
        <w:tc>
          <w:tcPr>
            <w:tcW w:w="4536" w:type="dxa"/>
          </w:tcPr>
          <w:p w:rsidR="005E1FE0" w:rsidRPr="00DF38B2" w:rsidRDefault="005E1FE0" w:rsidP="006654AE">
            <w:pPr>
              <w:pStyle w:val="tabletextleft"/>
              <w:ind w:left="227" w:hanging="227"/>
              <w:jc w:val="left"/>
            </w:pPr>
            <w:r w:rsidRPr="00DF38B2">
              <w:t>Baby Bonus</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Special Benefit </w:t>
            </w:r>
          </w:p>
        </w:tc>
        <w:tc>
          <w:tcPr>
            <w:tcW w:w="4536" w:type="dxa"/>
          </w:tcPr>
          <w:p w:rsidR="005E1FE0" w:rsidRPr="00DF38B2" w:rsidRDefault="005E1FE0" w:rsidP="006654AE">
            <w:pPr>
              <w:pStyle w:val="tabletextleft"/>
              <w:ind w:left="227" w:hanging="227"/>
              <w:jc w:val="left"/>
            </w:pPr>
            <w:r w:rsidRPr="00DF38B2">
              <w:t>Maternity Immunisation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Partner Allowance </w:t>
            </w:r>
          </w:p>
        </w:tc>
        <w:tc>
          <w:tcPr>
            <w:tcW w:w="4536" w:type="dxa"/>
          </w:tcPr>
          <w:p w:rsidR="005E1FE0" w:rsidRPr="00DF38B2" w:rsidRDefault="005E1FE0" w:rsidP="006654AE">
            <w:pPr>
              <w:pStyle w:val="tabletextleft"/>
              <w:ind w:left="227" w:hanging="227"/>
              <w:jc w:val="left"/>
            </w:pPr>
            <w:r w:rsidRPr="00DF38B2">
              <w:t>Carer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Mature Age Allowance under Part 2.12B</w:t>
            </w:r>
          </w:p>
        </w:tc>
        <w:tc>
          <w:tcPr>
            <w:tcW w:w="4536" w:type="dxa"/>
          </w:tcPr>
          <w:p w:rsidR="005E1FE0" w:rsidRPr="00DF38B2" w:rsidRDefault="005E1FE0" w:rsidP="006654AE">
            <w:pPr>
              <w:pStyle w:val="tabletextleft"/>
              <w:ind w:left="227" w:hanging="227"/>
              <w:jc w:val="left"/>
            </w:pPr>
            <w:r w:rsidRPr="00DF38B2">
              <w:t>Child Disability Assistance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Payment (Partnered)</w:t>
            </w:r>
          </w:p>
        </w:tc>
        <w:tc>
          <w:tcPr>
            <w:tcW w:w="4536" w:type="dxa"/>
          </w:tcPr>
          <w:p w:rsidR="005E1FE0" w:rsidRPr="00DF38B2" w:rsidRDefault="005E1FE0" w:rsidP="006654AE">
            <w:pPr>
              <w:pStyle w:val="tabletextleft"/>
              <w:ind w:left="227" w:hanging="227"/>
              <w:jc w:val="left"/>
            </w:pPr>
            <w:r w:rsidRPr="00DF38B2">
              <w:t>Carer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Allowance (other than non-benefit allowance)</w:t>
            </w:r>
          </w:p>
        </w:tc>
        <w:tc>
          <w:tcPr>
            <w:tcW w:w="4536" w:type="dxa"/>
          </w:tcPr>
          <w:p w:rsidR="005E1FE0" w:rsidRPr="00DF38B2" w:rsidRDefault="005E1FE0" w:rsidP="006654AE">
            <w:pPr>
              <w:pStyle w:val="tabletextleft"/>
              <w:ind w:left="227" w:hanging="227"/>
              <w:jc w:val="left"/>
            </w:pPr>
            <w:r w:rsidRPr="00DF38B2">
              <w:t>Mobility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Age Pension</w:t>
            </w:r>
          </w:p>
        </w:tc>
        <w:tc>
          <w:tcPr>
            <w:tcW w:w="4536" w:type="dxa"/>
          </w:tcPr>
          <w:p w:rsidR="005E1FE0" w:rsidRPr="00DF38B2" w:rsidRDefault="005E1FE0" w:rsidP="006654AE">
            <w:pPr>
              <w:pStyle w:val="tabletextleft"/>
              <w:ind w:left="227" w:hanging="227"/>
              <w:jc w:val="left"/>
            </w:pPr>
            <w:r w:rsidRPr="00DF38B2">
              <w:t>Pensioner Education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Disability Support Pension</w:t>
            </w:r>
          </w:p>
        </w:tc>
        <w:tc>
          <w:tcPr>
            <w:tcW w:w="4536" w:type="dxa"/>
          </w:tcPr>
          <w:p w:rsidR="005E1FE0" w:rsidRPr="00DF38B2" w:rsidRDefault="005E1FE0" w:rsidP="006654AE">
            <w:pPr>
              <w:pStyle w:val="tabletextleft"/>
              <w:ind w:left="227" w:hanging="227"/>
              <w:jc w:val="left"/>
            </w:pPr>
            <w:r w:rsidRPr="00DF38B2">
              <w:t>Telephone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Wife Pension</w:t>
            </w:r>
          </w:p>
        </w:tc>
        <w:tc>
          <w:tcPr>
            <w:tcW w:w="4536" w:type="dxa"/>
          </w:tcPr>
          <w:p w:rsidR="005E1FE0" w:rsidRPr="00DF38B2" w:rsidRDefault="005E1FE0" w:rsidP="006654AE">
            <w:pPr>
              <w:pStyle w:val="tabletextleft"/>
              <w:ind w:left="227" w:hanging="227"/>
              <w:jc w:val="left"/>
            </w:pPr>
            <w:r w:rsidRPr="00DF38B2">
              <w:t>Veterans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Carer Payment</w:t>
            </w:r>
          </w:p>
        </w:tc>
        <w:tc>
          <w:tcPr>
            <w:tcW w:w="4536" w:type="dxa"/>
          </w:tcPr>
          <w:p w:rsidR="005E1FE0" w:rsidRPr="00DF38B2" w:rsidRDefault="005E1FE0" w:rsidP="006654AE">
            <w:pPr>
              <w:pStyle w:val="tabletextleft"/>
              <w:ind w:left="227" w:hanging="227"/>
              <w:jc w:val="left"/>
            </w:pPr>
            <w:r w:rsidRPr="00DF38B2">
              <w:t>Utilities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Payment (Single)</w:t>
            </w:r>
          </w:p>
        </w:tc>
        <w:tc>
          <w:tcPr>
            <w:tcW w:w="4536" w:type="dxa"/>
          </w:tcPr>
          <w:p w:rsidR="005E1FE0" w:rsidRPr="00DF38B2" w:rsidRDefault="005E1FE0" w:rsidP="006654AE">
            <w:pPr>
              <w:pStyle w:val="tabletextleft"/>
              <w:ind w:left="227" w:hanging="227"/>
              <w:jc w:val="left"/>
            </w:pPr>
            <w:r w:rsidRPr="00DF38B2">
              <w:t>Assistance for Isolated Children Scheme, where the payment relates to a child or children at a Homelands Learning Centre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Bereavement Allowance</w:t>
            </w:r>
          </w:p>
        </w:tc>
        <w:tc>
          <w:tcPr>
            <w:tcW w:w="4536" w:type="dxa"/>
          </w:tcPr>
          <w:p w:rsidR="005E1FE0" w:rsidRPr="00DF38B2" w:rsidRDefault="005E1FE0" w:rsidP="006654AE">
            <w:pPr>
              <w:pStyle w:val="tabletextleft"/>
              <w:ind w:left="227" w:hanging="227"/>
              <w:jc w:val="left"/>
            </w:pPr>
            <w:r w:rsidRPr="00DF38B2">
              <w:t xml:space="preserve">ABSTUDY payment that includes an amount identified as Pensioner Education Supplement </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Widow B Pension</w:t>
            </w:r>
          </w:p>
        </w:tc>
        <w:tc>
          <w:tcPr>
            <w:tcW w:w="4536" w:type="dxa"/>
          </w:tcPr>
          <w:p w:rsidR="005E1FE0" w:rsidRPr="00DF38B2" w:rsidRDefault="005E1FE0" w:rsidP="006654AE">
            <w:pPr>
              <w:pStyle w:val="tabletextleft"/>
              <w:ind w:left="227" w:hanging="227"/>
              <w:jc w:val="left"/>
            </w:pPr>
            <w:r w:rsidRPr="00DF38B2">
              <w:t>Social Security Bereavement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Disability Wage Supplement</w:t>
            </w:r>
          </w:p>
        </w:tc>
        <w:tc>
          <w:tcPr>
            <w:tcW w:w="4536" w:type="dxa"/>
          </w:tcPr>
          <w:p w:rsidR="005E1FE0" w:rsidRPr="00DF38B2" w:rsidRDefault="005E1FE0" w:rsidP="006654AE">
            <w:pPr>
              <w:pStyle w:val="tabletextleft"/>
              <w:ind w:left="227" w:hanging="227"/>
              <w:jc w:val="left"/>
            </w:pPr>
            <w:r w:rsidRPr="00DF38B2">
              <w:t>Veterans' Entitlement Bereavement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Mature Age Partner Allowance</w:t>
            </w:r>
          </w:p>
        </w:tc>
        <w:tc>
          <w:tcPr>
            <w:tcW w:w="4536" w:type="dxa"/>
          </w:tcPr>
          <w:p w:rsidR="005E1FE0" w:rsidRPr="00DF38B2" w:rsidRDefault="005E1FE0" w:rsidP="006654AE">
            <w:pPr>
              <w:pStyle w:val="tabletextleft"/>
              <w:ind w:left="227" w:hanging="227"/>
              <w:jc w:val="left"/>
            </w:pPr>
            <w:r w:rsidRPr="00DF38B2">
              <w:t>Northern Territory CDEP transition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Special Needs Pension</w:t>
            </w:r>
          </w:p>
        </w:tc>
        <w:tc>
          <w:tcPr>
            <w:tcW w:w="4536" w:type="dxa"/>
          </w:tcPr>
          <w:p w:rsidR="005E1FE0" w:rsidRPr="00DF38B2" w:rsidRDefault="005E1FE0" w:rsidP="006654AE">
            <w:pPr>
              <w:pStyle w:val="tabletextleft"/>
              <w:ind w:left="227" w:hanging="227"/>
              <w:jc w:val="left"/>
            </w:pPr>
            <w:r w:rsidRPr="00DF38B2">
              <w:t>Various Advance Payments</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ABSTUDY with living allowance</w:t>
            </w:r>
          </w:p>
        </w:tc>
        <w:tc>
          <w:tcPr>
            <w:tcW w:w="4536" w:type="dxa"/>
          </w:tcPr>
          <w:p w:rsidR="005E1FE0" w:rsidRPr="00DF38B2" w:rsidRDefault="005E1FE0" w:rsidP="006654AE">
            <w:pPr>
              <w:pStyle w:val="tabletextleft"/>
              <w:ind w:left="227" w:hanging="227"/>
              <w:jc w:val="left"/>
            </w:pPr>
            <w:r w:rsidRPr="00DF38B2">
              <w:t>Pharmaceutical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Service Pension</w:t>
            </w:r>
          </w:p>
        </w:tc>
        <w:tc>
          <w:tcPr>
            <w:tcW w:w="4536" w:type="dxa"/>
          </w:tcPr>
          <w:p w:rsidR="005E1FE0" w:rsidRPr="00DF38B2" w:rsidRDefault="005E1FE0" w:rsidP="006654AE">
            <w:pPr>
              <w:pStyle w:val="tabletextleft"/>
              <w:jc w:val="left"/>
            </w:pPr>
            <w:r w:rsidRPr="00DF38B2">
              <w:t xml:space="preserve"> </w:t>
            </w:r>
          </w:p>
        </w:tc>
      </w:tr>
      <w:bookmarkEnd w:id="49"/>
    </w:tbl>
    <w:p w:rsidR="005E1FE0" w:rsidRPr="00DF38B2" w:rsidRDefault="005E1FE0" w:rsidP="006654AE">
      <w:pPr>
        <w:rPr>
          <w:szCs w:val="19"/>
        </w:rPr>
      </w:pPr>
    </w:p>
    <w:p w:rsidR="005E1FE0" w:rsidRPr="00FE502F" w:rsidRDefault="005E1FE0" w:rsidP="006654AE">
      <w:pPr>
        <w:rPr>
          <w:szCs w:val="19"/>
        </w:rPr>
      </w:pPr>
      <w:r w:rsidRPr="00DF38B2">
        <w:rPr>
          <w:szCs w:val="19"/>
        </w:rPr>
        <w:t>Individuals subject to Compulsory, Vulnerable and Voluntary Income Management have 50 per cent of their Centrelink payments income managed. For those on Child Protection Income Management this proportion rises to 70 per cent. Lump</w:t>
      </w:r>
      <w:r w:rsidR="00735436">
        <w:rPr>
          <w:szCs w:val="19"/>
        </w:rPr>
        <w:t>-</w:t>
      </w:r>
      <w:r w:rsidRPr="00DF38B2">
        <w:rPr>
          <w:szCs w:val="19"/>
        </w:rPr>
        <w:t>sum payments are income</w:t>
      </w:r>
      <w:r w:rsidR="00A04470">
        <w:rPr>
          <w:szCs w:val="19"/>
        </w:rPr>
        <w:t xml:space="preserve"> </w:t>
      </w:r>
      <w:r w:rsidRPr="00DF38B2">
        <w:rPr>
          <w:szCs w:val="19"/>
        </w:rPr>
        <w:t>managed in their entirety (100 per cent). Examples of the lump</w:t>
      </w:r>
      <w:r w:rsidR="00735436">
        <w:rPr>
          <w:szCs w:val="19"/>
        </w:rPr>
        <w:t>-</w:t>
      </w:r>
      <w:r w:rsidRPr="00DF38B2">
        <w:rPr>
          <w:szCs w:val="19"/>
        </w:rPr>
        <w:t>sum payments are ABSTUDY with a Living Allowance and Pensioner Education Supplement arrears, Study Start-up Scholarship, and Relocation Scholarship.</w:t>
      </w:r>
      <w:r w:rsidRPr="00DF38B2">
        <w:rPr>
          <w:szCs w:val="24"/>
          <w:vertAlign w:val="superscript"/>
        </w:rPr>
        <w:footnoteReference w:id="20"/>
      </w:r>
      <w:r w:rsidR="00B84AFE">
        <w:rPr>
          <w:szCs w:val="19"/>
        </w:rPr>
        <w:t xml:space="preserve"> </w:t>
      </w:r>
      <w:r w:rsidRPr="00DF38B2">
        <w:rPr>
          <w:szCs w:val="19"/>
        </w:rPr>
        <w:t>In addition, the Baby Bonus is income</w:t>
      </w:r>
      <w:r w:rsidR="00A04470">
        <w:rPr>
          <w:szCs w:val="19"/>
        </w:rPr>
        <w:t xml:space="preserve"> </w:t>
      </w:r>
      <w:r w:rsidRPr="00DF38B2">
        <w:rPr>
          <w:szCs w:val="19"/>
        </w:rPr>
        <w:t>managed at 100 per cent</w:t>
      </w:r>
      <w:r w:rsidRPr="00FE502F">
        <w:rPr>
          <w:szCs w:val="19"/>
        </w:rPr>
        <w:t>, as are urgent and advance payments.</w:t>
      </w:r>
    </w:p>
    <w:p w:rsidR="005E1FE0" w:rsidRPr="00DF38B2" w:rsidRDefault="005E1FE0" w:rsidP="006654AE">
      <w:pPr>
        <w:rPr>
          <w:szCs w:val="19"/>
        </w:rPr>
      </w:pPr>
      <w:proofErr w:type="gramStart"/>
      <w:r w:rsidRPr="009655C3">
        <w:rPr>
          <w:szCs w:val="19"/>
        </w:rPr>
        <w:t>For those people subject to income management, all of the Centrelink or Department of Veteran</w:t>
      </w:r>
      <w:r w:rsidR="00735436">
        <w:rPr>
          <w:szCs w:val="19"/>
        </w:rPr>
        <w:t>s’</w:t>
      </w:r>
      <w:r w:rsidRPr="009655C3">
        <w:rPr>
          <w:szCs w:val="19"/>
        </w:rPr>
        <w:t xml:space="preserve"> Affairs payments shown in </w:t>
      </w:r>
      <w:r w:rsidRPr="00FE502F">
        <w:rPr>
          <w:szCs w:val="19"/>
        </w:rPr>
        <w:fldChar w:fldCharType="begin"/>
      </w:r>
      <w:r w:rsidRPr="00DF38B2">
        <w:rPr>
          <w:szCs w:val="19"/>
        </w:rPr>
        <w:instrText xml:space="preserve"> REF _Ref389823892 \h </w:instrText>
      </w:r>
      <w:r w:rsidRPr="00FE502F">
        <w:rPr>
          <w:szCs w:val="19"/>
        </w:rPr>
      </w:r>
      <w:r w:rsidRPr="00FE502F">
        <w:rPr>
          <w:szCs w:val="19"/>
        </w:rPr>
        <w:fldChar w:fldCharType="separate"/>
      </w:r>
      <w:r w:rsidR="00906D13" w:rsidRPr="00DF38B2">
        <w:t xml:space="preserve">Table </w:t>
      </w:r>
      <w:r w:rsidR="00906D13">
        <w:rPr>
          <w:noProof/>
        </w:rPr>
        <w:t>2</w:t>
      </w:r>
      <w:r w:rsidR="00906D13">
        <w:noBreakHyphen/>
      </w:r>
      <w:r w:rsidR="00906D13">
        <w:rPr>
          <w:noProof/>
        </w:rPr>
        <w:t>3</w:t>
      </w:r>
      <w:r w:rsidRPr="00FE502F">
        <w:rPr>
          <w:szCs w:val="19"/>
        </w:rPr>
        <w:fldChar w:fldCharType="end"/>
      </w:r>
      <w:r w:rsidRPr="00DF38B2">
        <w:rPr>
          <w:szCs w:val="19"/>
        </w:rPr>
        <w:t xml:space="preserve"> fall within the scope of the payments to which income management will apply.</w:t>
      </w:r>
      <w:proofErr w:type="gramEnd"/>
      <w:r w:rsidRPr="00DF38B2">
        <w:rPr>
          <w:szCs w:val="19"/>
        </w:rPr>
        <w:t xml:space="preserve"> The main Centrelink payments which can act as </w:t>
      </w:r>
      <w:r w:rsidR="00892C2C">
        <w:rPr>
          <w:szCs w:val="19"/>
        </w:rPr>
        <w:t xml:space="preserve">a </w:t>
      </w:r>
      <w:r w:rsidRPr="00DF38B2">
        <w:rPr>
          <w:szCs w:val="19"/>
        </w:rPr>
        <w:t xml:space="preserve">trigger for the compulsory </w:t>
      </w:r>
      <w:r w:rsidRPr="00FE502F">
        <w:rPr>
          <w:szCs w:val="19"/>
        </w:rPr>
        <w:t xml:space="preserve">measures are the Newstart Allowance, </w:t>
      </w:r>
      <w:r w:rsidRPr="009655C3">
        <w:rPr>
          <w:szCs w:val="19"/>
        </w:rPr>
        <w:t>Parenting Payments</w:t>
      </w:r>
      <w:r w:rsidR="00892C2C">
        <w:rPr>
          <w:szCs w:val="19"/>
        </w:rPr>
        <w:t>,</w:t>
      </w:r>
      <w:r w:rsidRPr="009655C3">
        <w:rPr>
          <w:szCs w:val="19"/>
        </w:rPr>
        <w:t xml:space="preserve"> and Youth Allowance. Further details are discussed in Section </w:t>
      </w:r>
      <w:r w:rsidRPr="00FE502F">
        <w:rPr>
          <w:szCs w:val="19"/>
        </w:rPr>
        <w:fldChar w:fldCharType="begin"/>
      </w:r>
      <w:r w:rsidRPr="00DF38B2">
        <w:rPr>
          <w:szCs w:val="19"/>
        </w:rPr>
        <w:instrText xml:space="preserve"> REF _Ref389823945 \n \h </w:instrText>
      </w:r>
      <w:r w:rsidRPr="00FE502F">
        <w:rPr>
          <w:szCs w:val="19"/>
        </w:rPr>
      </w:r>
      <w:r w:rsidRPr="00FE502F">
        <w:rPr>
          <w:szCs w:val="19"/>
        </w:rPr>
        <w:fldChar w:fldCharType="separate"/>
      </w:r>
      <w:r w:rsidR="00906D13">
        <w:rPr>
          <w:szCs w:val="19"/>
        </w:rPr>
        <w:t>2.4.2</w:t>
      </w:r>
      <w:r w:rsidRPr="00FE502F">
        <w:rPr>
          <w:szCs w:val="19"/>
        </w:rPr>
        <w:fldChar w:fldCharType="end"/>
      </w:r>
      <w:r w:rsidRPr="00DF38B2">
        <w:rPr>
          <w:szCs w:val="19"/>
        </w:rPr>
        <w:t>.</w:t>
      </w:r>
    </w:p>
    <w:p w:rsidR="005E1FE0" w:rsidRPr="009655C3" w:rsidRDefault="005E1FE0" w:rsidP="006654AE">
      <w:r w:rsidRPr="00DF38B2">
        <w:rPr>
          <w:szCs w:val="19"/>
        </w:rPr>
        <w:t>People who choose to go onto New Income Management</w:t>
      </w:r>
      <w:r w:rsidRPr="00FE502F">
        <w:rPr>
          <w:szCs w:val="19"/>
        </w:rPr>
        <w:t xml:space="preserve"> as part of the Voluntary Income Management measure receive an incentive payment of $250,</w:t>
      </w:r>
      <w:r w:rsidRPr="009655C3">
        <w:rPr>
          <w:szCs w:val="19"/>
        </w:rPr>
        <w:t xml:space="preserve"> paid </w:t>
      </w:r>
      <w:r w:rsidRPr="009655C3">
        <w:t>directly into their income</w:t>
      </w:r>
      <w:r w:rsidR="00A04470">
        <w:t xml:space="preserve"> </w:t>
      </w:r>
      <w:r w:rsidRPr="009655C3">
        <w:t xml:space="preserve">managed account, for every consecutive six months </w:t>
      </w:r>
      <w:r w:rsidR="00892C2C">
        <w:t xml:space="preserve">during which </w:t>
      </w:r>
      <w:r w:rsidRPr="009655C3">
        <w:t xml:space="preserve">they participate. </w:t>
      </w:r>
    </w:p>
    <w:p w:rsidR="005E1FE0" w:rsidRPr="00DF38B2" w:rsidRDefault="005E1FE0" w:rsidP="006654AE">
      <w:pPr>
        <w:rPr>
          <w:szCs w:val="19"/>
        </w:rPr>
      </w:pPr>
      <w:r w:rsidRPr="00DF38B2">
        <w:lastRenderedPageBreak/>
        <w:t>T</w:t>
      </w:r>
      <w:r w:rsidRPr="00DF38B2">
        <w:rPr>
          <w:szCs w:val="19"/>
        </w:rPr>
        <w:t>hose on the compulsory</w:t>
      </w:r>
      <w:r w:rsidR="001937EB">
        <w:rPr>
          <w:rStyle w:val="FootnoteReference"/>
          <w:szCs w:val="19"/>
        </w:rPr>
        <w:footnoteReference w:id="21"/>
      </w:r>
      <w:r w:rsidRPr="00DF38B2">
        <w:rPr>
          <w:szCs w:val="19"/>
        </w:rPr>
        <w:t xml:space="preserve"> measures (Compulsory, Child Protection and Vulnerable Welfare Payment Recipient) who are eligible to participate </w:t>
      </w:r>
      <w:r w:rsidRPr="00DF38B2">
        <w:t xml:space="preserve">may receive a one-off Matched Savings Payment of </w:t>
      </w:r>
      <w:r w:rsidR="00EF3E03">
        <w:t xml:space="preserve">up to </w:t>
      </w:r>
      <w:r w:rsidRPr="00DF38B2">
        <w:t xml:space="preserve">$500 from Centrelink if they complete an accredited money management course and then maintain a pattern of saving from their discretionary funds </w:t>
      </w:r>
      <w:r w:rsidR="00892C2C">
        <w:t xml:space="preserve">– i.e., </w:t>
      </w:r>
      <w:r w:rsidRPr="00DF38B2">
        <w:t>funds which are not income managed</w:t>
      </w:r>
      <w:r w:rsidR="00892C2C">
        <w:t xml:space="preserve"> –</w:t>
      </w:r>
      <w:r w:rsidRPr="00DF38B2">
        <w:t xml:space="preserve"> for 13 weeks or longer. The Matched Saving Payment is paid directly into their income</w:t>
      </w:r>
      <w:r w:rsidR="00A04470">
        <w:t xml:space="preserve"> </w:t>
      </w:r>
      <w:r w:rsidRPr="00DF38B2">
        <w:t>managed account.</w:t>
      </w:r>
      <w:r w:rsidRPr="00DF38B2">
        <w:rPr>
          <w:szCs w:val="19"/>
        </w:rPr>
        <w:t xml:space="preserve"> </w:t>
      </w:r>
    </w:p>
    <w:p w:rsidR="005E1FE0" w:rsidRPr="00DF38B2" w:rsidRDefault="005E1FE0" w:rsidP="006654AE">
      <w:pPr>
        <w:pStyle w:val="Heading3"/>
      </w:pPr>
      <w:bookmarkStart w:id="50" w:name="_Toc403738967"/>
      <w:r w:rsidRPr="00DF38B2">
        <w:t>Costs of New Income Management</w:t>
      </w:r>
      <w:bookmarkEnd w:id="50"/>
    </w:p>
    <w:p w:rsidR="003A03C8" w:rsidRDefault="005E1FE0" w:rsidP="006654AE">
      <w:pPr>
        <w:spacing w:line="276" w:lineRule="auto"/>
      </w:pPr>
      <w:r w:rsidRPr="00DF38B2">
        <w:t>The budgeted cost of income management was between $94 million and $105 million for each year from 2010</w:t>
      </w:r>
      <w:r w:rsidRPr="00DF38B2">
        <w:noBreakHyphen/>
        <w:t xml:space="preserve">11 to 2013-14. While detailed costing </w:t>
      </w:r>
      <w:r w:rsidR="00D5404D">
        <w:t>data are</w:t>
      </w:r>
      <w:r w:rsidRPr="00DF38B2">
        <w:t xml:space="preserve"> not available, $410.5 million was allocated for New Income Management in the 2010-11 Budget over the period 2009-10 to 2014-15, of which $5.9 million was to be spent in 2009-10 and $6 million to be spent in 2014-15. The budgeted cost of income management was between $94 million and $105 million for each year from 2010-11 to 2013-14. </w:t>
      </w:r>
      <w:r w:rsidR="003A03C8">
        <w:t>In the 2014-15 Bu</w:t>
      </w:r>
      <w:r w:rsidR="009F7DB9">
        <w:t>d</w:t>
      </w:r>
      <w:r w:rsidR="003A03C8">
        <w:t>get an additional $101.0 million was appropriated to extend income management in the Northern Territory and in some other locations for another year.</w:t>
      </w:r>
      <w:r w:rsidR="003A03C8">
        <w:rPr>
          <w:rStyle w:val="FootnoteReference"/>
        </w:rPr>
        <w:footnoteReference w:id="22"/>
      </w:r>
    </w:p>
    <w:p w:rsidR="005E1FE0" w:rsidRPr="00DF38B2" w:rsidRDefault="005E1FE0" w:rsidP="006654AE">
      <w:pPr>
        <w:spacing w:line="276" w:lineRule="auto"/>
      </w:pPr>
      <w:r w:rsidRPr="00DF38B2">
        <w:t>On a per person basis, the Auditor General reported the average expected cost of providing income management varied by geographic remoteness, being $2,400 to $2,800 per person per annum in urban areas, $3,900 to $4,900 per person per annum in rural areas</w:t>
      </w:r>
      <w:r w:rsidR="00892C2C">
        <w:t>,</w:t>
      </w:r>
      <w:r w:rsidRPr="00DF38B2">
        <w:t xml:space="preserve"> and $6,600 to $7,900 per person per annum in remote areas (Australian National Audit Office, 2013).</w:t>
      </w:r>
    </w:p>
    <w:p w:rsidR="005E1FE0" w:rsidRPr="00DF38B2" w:rsidRDefault="005E1FE0" w:rsidP="006654AE">
      <w:pPr>
        <w:rPr>
          <w:szCs w:val="19"/>
        </w:rPr>
      </w:pPr>
      <w:r w:rsidRPr="00DF38B2">
        <w:rPr>
          <w:szCs w:val="19"/>
        </w:rPr>
        <w:t>This section now considers the components of the program and their specific eligibility criteria and provisions in more detail.</w:t>
      </w:r>
    </w:p>
    <w:p w:rsidR="005E1FE0" w:rsidRPr="00DF38B2" w:rsidRDefault="005E1FE0" w:rsidP="006654AE">
      <w:pPr>
        <w:pStyle w:val="Heading3"/>
      </w:pPr>
      <w:bookmarkStart w:id="51" w:name="_Ref389823945"/>
      <w:bookmarkStart w:id="52" w:name="_Toc403738968"/>
      <w:r w:rsidRPr="00DF38B2">
        <w:t>Compulsory Income Management</w:t>
      </w:r>
      <w:bookmarkEnd w:id="51"/>
      <w:bookmarkEnd w:id="52"/>
    </w:p>
    <w:p w:rsidR="005E1FE0" w:rsidRPr="009655C3" w:rsidRDefault="005E1FE0" w:rsidP="006654AE">
      <w:pPr>
        <w:rPr>
          <w:szCs w:val="19"/>
        </w:rPr>
      </w:pPr>
      <w:r w:rsidRPr="00DF38B2">
        <w:rPr>
          <w:szCs w:val="19"/>
        </w:rPr>
        <w:t xml:space="preserve">Compulsory Income Management applies to two main groups of income support recipients. The first, under the </w:t>
      </w:r>
      <w:r w:rsidRPr="00DF38B2">
        <w:rPr>
          <w:b/>
          <w:szCs w:val="19"/>
        </w:rPr>
        <w:t xml:space="preserve">Disengaged Youth </w:t>
      </w:r>
      <w:r w:rsidR="00430144" w:rsidRPr="00430144">
        <w:rPr>
          <w:szCs w:val="19"/>
        </w:rPr>
        <w:t>m</w:t>
      </w:r>
      <w:r w:rsidRPr="00430144">
        <w:rPr>
          <w:szCs w:val="19"/>
        </w:rPr>
        <w:t>easure,</w:t>
      </w:r>
      <w:r w:rsidRPr="00DF38B2">
        <w:rPr>
          <w:szCs w:val="19"/>
        </w:rPr>
        <w:t xml:space="preserve"> are people aged 15 to 24 years who have been receiving one of the following payments for three of the past six months: Youth Allowance; Newstart Allowance; Special Benefit</w:t>
      </w:r>
      <w:r w:rsidR="00892C2C">
        <w:rPr>
          <w:szCs w:val="19"/>
        </w:rPr>
        <w:t>;</w:t>
      </w:r>
      <w:r w:rsidRPr="00DF38B2">
        <w:rPr>
          <w:rStyle w:val="FootnoteReference"/>
        </w:rPr>
        <w:footnoteReference w:id="23"/>
      </w:r>
      <w:r w:rsidRPr="00DF38B2">
        <w:rPr>
          <w:szCs w:val="19"/>
        </w:rPr>
        <w:t xml:space="preserve"> or Parenting Payment Partnered or Parenting Payment Single. The second, under the </w:t>
      </w:r>
      <w:r w:rsidRPr="00DF38B2">
        <w:rPr>
          <w:b/>
          <w:szCs w:val="19"/>
        </w:rPr>
        <w:t>Long-term Welfare Payment Recipients</w:t>
      </w:r>
      <w:r w:rsidRPr="00FE502F">
        <w:rPr>
          <w:szCs w:val="19"/>
        </w:rPr>
        <w:t xml:space="preserve"> measure, are peo</w:t>
      </w:r>
      <w:r w:rsidRPr="009655C3">
        <w:rPr>
          <w:szCs w:val="19"/>
        </w:rPr>
        <w:t>ple aged 25 years and older who have been receiving one of the following payments for more than one of the past two years: Youth Allowance; Newstart Allowance; Special Benefit; or Parenting Payment Partnered or Parenting Payment Single.</w:t>
      </w:r>
    </w:p>
    <w:p w:rsidR="005E1FE0" w:rsidRPr="00DF38B2" w:rsidRDefault="005E1FE0" w:rsidP="006654AE">
      <w:pPr>
        <w:rPr>
          <w:szCs w:val="19"/>
        </w:rPr>
      </w:pPr>
      <w:r w:rsidRPr="009655C3">
        <w:rPr>
          <w:szCs w:val="19"/>
        </w:rPr>
        <w:t>A third, more techn</w:t>
      </w:r>
      <w:r w:rsidRPr="00DF38B2">
        <w:rPr>
          <w:szCs w:val="19"/>
        </w:rPr>
        <w:t xml:space="preserve">ical form of compulsory income management is </w:t>
      </w:r>
      <w:r w:rsidRPr="00DF38B2">
        <w:rPr>
          <w:b/>
          <w:szCs w:val="19"/>
        </w:rPr>
        <w:t xml:space="preserve">Nominee Income Management. </w:t>
      </w:r>
      <w:r w:rsidRPr="00DF38B2">
        <w:rPr>
          <w:szCs w:val="19"/>
        </w:rPr>
        <w:t xml:space="preserve">This refers to people who are on income management, not because they have themselves met a particular criterion based on their own circumstances, but because they have appointed another person as their payment nominee and that person has been placed onto a compulsory measure of income management. For example, an Age Pensioner may have appointed one of their children to act as their "Payment Nominee", which means that the Age Pensioner's pension is paid to the child, and the child takes responsibility for spending this money on their parent's behalf. If this child is subject to </w:t>
      </w:r>
      <w:r w:rsidR="00430144">
        <w:rPr>
          <w:szCs w:val="19"/>
        </w:rPr>
        <w:t>i</w:t>
      </w:r>
      <w:r w:rsidRPr="00DF38B2">
        <w:rPr>
          <w:szCs w:val="19"/>
        </w:rPr>
        <w:t xml:space="preserve">ncome </w:t>
      </w:r>
      <w:r w:rsidR="00430144">
        <w:rPr>
          <w:szCs w:val="19"/>
        </w:rPr>
        <w:t>m</w:t>
      </w:r>
      <w:r w:rsidRPr="00DF38B2">
        <w:rPr>
          <w:szCs w:val="19"/>
        </w:rPr>
        <w:t>anagement, for example because they are a lone parent who has been receiving Parenting Payment for more than a year, then the Age Pension parent is automatically placed on Nominee Income Management.</w:t>
      </w:r>
      <w:r w:rsidRPr="00DF38B2">
        <w:rPr>
          <w:rStyle w:val="FootnoteReference"/>
          <w:szCs w:val="19"/>
        </w:rPr>
        <w:footnoteReference w:id="24"/>
      </w:r>
      <w:r w:rsidRPr="00DF38B2">
        <w:rPr>
          <w:szCs w:val="19"/>
        </w:rPr>
        <w:t xml:space="preserve"> </w:t>
      </w:r>
    </w:p>
    <w:p w:rsidR="005E1FE0" w:rsidRPr="00FE502F" w:rsidRDefault="005E1FE0" w:rsidP="006654AE">
      <w:r w:rsidRPr="00FE502F">
        <w:t xml:space="preserve">In most cases the process of placing people on Compulsory Income Management commences when Centrelink identifies that the person is about to meet the criteria </w:t>
      </w:r>
      <w:r w:rsidRPr="009655C3">
        <w:t>by virtue of their duration on a particular payment</w:t>
      </w:r>
      <w:r w:rsidR="00892C2C">
        <w:t>,</w:t>
      </w:r>
      <w:r w:rsidRPr="009655C3">
        <w:t xml:space="preserve"> and will thus become subject to </w:t>
      </w:r>
      <w:r w:rsidR="00430144">
        <w:t>i</w:t>
      </w:r>
      <w:r w:rsidRPr="009655C3">
        <w:t xml:space="preserve">ncome </w:t>
      </w:r>
      <w:r w:rsidR="00430144">
        <w:t>m</w:t>
      </w:r>
      <w:r w:rsidRPr="009655C3">
        <w:t xml:space="preserve">anagement in around four weeks. At this point the person is sent a letter advising them that they will be subject to </w:t>
      </w:r>
      <w:r w:rsidR="00E65399">
        <w:t>i</w:t>
      </w:r>
      <w:r w:rsidRPr="009655C3">
        <w:t xml:space="preserve">ncome </w:t>
      </w:r>
      <w:r w:rsidR="00E65399">
        <w:t>m</w:t>
      </w:r>
      <w:r w:rsidRPr="009655C3">
        <w:t xml:space="preserve">anagement and requiring them to attend an interview with Centrelink to discuss their income management arrangements. In this interview, as </w:t>
      </w:r>
      <w:r w:rsidRPr="009655C3">
        <w:lastRenderedPageBreak/>
        <w:t xml:space="preserve">detailed in Section </w:t>
      </w:r>
      <w:r w:rsidRPr="00DF38B2">
        <w:fldChar w:fldCharType="begin"/>
      </w:r>
      <w:r w:rsidRPr="00DF38B2">
        <w:instrText xml:space="preserve"> REF _Ref391896477 \r \h </w:instrText>
      </w:r>
      <w:r w:rsidRPr="00DF38B2">
        <w:fldChar w:fldCharType="separate"/>
      </w:r>
      <w:r w:rsidR="00906D13">
        <w:t>2.5.1</w:t>
      </w:r>
      <w:r w:rsidRPr="00DF38B2">
        <w:fldChar w:fldCharType="end"/>
      </w:r>
      <w:r w:rsidRPr="00DF38B2">
        <w:t>, arrangements are made as to how their income</w:t>
      </w:r>
      <w:r w:rsidR="00A04470">
        <w:t xml:space="preserve"> </w:t>
      </w:r>
      <w:r w:rsidRPr="00DF38B2">
        <w:t>managed funds are to be allocated, and they are also informed of their rights to seek an exemption from the measur</w:t>
      </w:r>
      <w:r w:rsidRPr="00FE502F">
        <w:t>e.</w:t>
      </w:r>
    </w:p>
    <w:p w:rsidR="005E1FE0" w:rsidRPr="00FE502F" w:rsidRDefault="005E1FE0" w:rsidP="006654AE">
      <w:pPr>
        <w:pStyle w:val="Heading4"/>
      </w:pPr>
      <w:r w:rsidRPr="00FE502F">
        <w:t>Exemptions</w:t>
      </w:r>
    </w:p>
    <w:p w:rsidR="005E1FE0" w:rsidRPr="00DF38B2" w:rsidRDefault="005E1FE0" w:rsidP="006654AE">
      <w:pPr>
        <w:rPr>
          <w:szCs w:val="19"/>
        </w:rPr>
      </w:pPr>
      <w:r w:rsidRPr="009655C3">
        <w:rPr>
          <w:szCs w:val="19"/>
        </w:rPr>
        <w:t>Individuals who are subject to Compulsory Income Management are entitled to seek an exemption if they believe they can satisfy the exemption criteria.</w:t>
      </w:r>
      <w:r w:rsidRPr="00DF38B2">
        <w:rPr>
          <w:rStyle w:val="FootnoteReference"/>
        </w:rPr>
        <w:footnoteReference w:id="25"/>
      </w:r>
      <w:r w:rsidRPr="00DF38B2">
        <w:rPr>
          <w:szCs w:val="19"/>
        </w:rPr>
        <w:t xml:space="preserve"> The criteria for exemption differ according to whether the person has dependent children.</w:t>
      </w:r>
    </w:p>
    <w:p w:rsidR="005E1FE0" w:rsidRPr="00FE502F" w:rsidRDefault="005E1FE0" w:rsidP="006654AE">
      <w:pPr>
        <w:rPr>
          <w:szCs w:val="19"/>
        </w:rPr>
      </w:pPr>
      <w:r w:rsidRPr="00FE502F">
        <w:rPr>
          <w:szCs w:val="19"/>
        </w:rPr>
        <w:t xml:space="preserve">Those with dependent children can obtain an exemption if they can meet two criteria related to: </w:t>
      </w:r>
    </w:p>
    <w:p w:rsidR="005E1FE0" w:rsidRPr="009655C3" w:rsidRDefault="005E1FE0" w:rsidP="006654AE">
      <w:pPr>
        <w:pStyle w:val="dot"/>
      </w:pPr>
      <w:r w:rsidRPr="009655C3">
        <w:t>responsible parenting</w:t>
      </w:r>
    </w:p>
    <w:p w:rsidR="005E1FE0" w:rsidRPr="00DF38B2" w:rsidRDefault="005E1FE0" w:rsidP="006654AE">
      <w:pPr>
        <w:pStyle w:val="dot"/>
      </w:pPr>
      <w:proofErr w:type="gramStart"/>
      <w:r w:rsidRPr="00DF38B2">
        <w:t>absence</w:t>
      </w:r>
      <w:proofErr w:type="gramEnd"/>
      <w:r w:rsidRPr="00DF38B2">
        <w:t xml:space="preserve"> of financial vulnerability.</w:t>
      </w:r>
    </w:p>
    <w:p w:rsidR="005E1FE0" w:rsidRPr="00DF38B2" w:rsidRDefault="005E1FE0" w:rsidP="006654AE">
      <w:pPr>
        <w:rPr>
          <w:szCs w:val="19"/>
        </w:rPr>
      </w:pPr>
      <w:r w:rsidRPr="00DF38B2">
        <w:rPr>
          <w:szCs w:val="19"/>
        </w:rPr>
        <w:t>In broad terms</w:t>
      </w:r>
      <w:r w:rsidR="00892C2C">
        <w:rPr>
          <w:szCs w:val="19"/>
        </w:rPr>
        <w:t>,</w:t>
      </w:r>
      <w:r w:rsidRPr="00DF38B2">
        <w:rPr>
          <w:szCs w:val="19"/>
        </w:rPr>
        <w:t xml:space="preserve"> responsible parenting is assessed on the basis of school-aged children attending school regularly for the past two terms (no more than five unexplained absences within this period). For those with preschool-aged children, the parent must meet a set of health and/or engagement requirements. These include appropriate participation in early childhood services or child care, and having appropriate vaccinations and health checks. The exemption criteria must be satisfied for all children under the responsibility of the parent.</w:t>
      </w:r>
    </w:p>
    <w:p w:rsidR="005E1FE0" w:rsidRPr="00DF38B2" w:rsidRDefault="005E1FE0" w:rsidP="006654AE">
      <w:pPr>
        <w:rPr>
          <w:szCs w:val="19"/>
        </w:rPr>
      </w:pPr>
      <w:r w:rsidRPr="00DF38B2">
        <w:rPr>
          <w:szCs w:val="19"/>
        </w:rPr>
        <w:t xml:space="preserve">Examples of the types of evidence required in order to demonstrate responsible parenting are: </w:t>
      </w:r>
    </w:p>
    <w:p w:rsidR="005E1FE0" w:rsidRPr="00DF38B2" w:rsidRDefault="00364FB0" w:rsidP="006654AE">
      <w:pPr>
        <w:pStyle w:val="dot"/>
      </w:pPr>
      <w:r>
        <w:t xml:space="preserve">a </w:t>
      </w:r>
      <w:r w:rsidR="005E1FE0" w:rsidRPr="00DF38B2">
        <w:t>school report</w:t>
      </w:r>
    </w:p>
    <w:p w:rsidR="005E1FE0" w:rsidRPr="00DF38B2" w:rsidRDefault="00364FB0" w:rsidP="006654AE">
      <w:pPr>
        <w:pStyle w:val="dot"/>
      </w:pPr>
      <w:r>
        <w:t xml:space="preserve">a </w:t>
      </w:r>
      <w:r w:rsidR="005E1FE0" w:rsidRPr="00DF38B2">
        <w:t>letter from the Department of Education</w:t>
      </w:r>
    </w:p>
    <w:p w:rsidR="005E1FE0" w:rsidRPr="00DF38B2" w:rsidRDefault="005E1FE0" w:rsidP="006654AE">
      <w:pPr>
        <w:pStyle w:val="dot"/>
      </w:pPr>
      <w:r w:rsidRPr="00DF38B2">
        <w:t>proof of vaccination or formal conscientious objection to vaccination</w:t>
      </w:r>
    </w:p>
    <w:p w:rsidR="005E1FE0" w:rsidRPr="00DF38B2" w:rsidRDefault="00364FB0" w:rsidP="006654AE">
      <w:pPr>
        <w:pStyle w:val="dot"/>
      </w:pPr>
      <w:r>
        <w:t xml:space="preserve">a </w:t>
      </w:r>
      <w:r w:rsidR="005E1FE0" w:rsidRPr="00DF38B2">
        <w:t>report from medical or nurse practitioner or allied health professional</w:t>
      </w:r>
    </w:p>
    <w:p w:rsidR="005E1FE0" w:rsidRPr="00DF38B2" w:rsidRDefault="00364FB0" w:rsidP="006654AE">
      <w:pPr>
        <w:pStyle w:val="dot"/>
      </w:pPr>
      <w:r>
        <w:t xml:space="preserve">the </w:t>
      </w:r>
      <w:r w:rsidR="005E1FE0" w:rsidRPr="00DF38B2">
        <w:t>child’s personal health record</w:t>
      </w:r>
    </w:p>
    <w:p w:rsidR="005E1FE0" w:rsidRPr="00DF38B2" w:rsidRDefault="00364FB0" w:rsidP="006654AE">
      <w:pPr>
        <w:pStyle w:val="dot"/>
      </w:pPr>
      <w:r>
        <w:t xml:space="preserve">a </w:t>
      </w:r>
      <w:r w:rsidR="005E1FE0" w:rsidRPr="00DF38B2">
        <w:t>copy of customer’s Medicare record showing that the child has attended a medical appointment</w:t>
      </w:r>
    </w:p>
    <w:p w:rsidR="005E1FE0" w:rsidRPr="00DF38B2" w:rsidRDefault="005E1FE0" w:rsidP="006654AE">
      <w:pPr>
        <w:pStyle w:val="dot"/>
      </w:pPr>
      <w:proofErr w:type="gramStart"/>
      <w:r w:rsidRPr="00DF38B2">
        <w:t>evidence</w:t>
      </w:r>
      <w:proofErr w:type="gramEnd"/>
      <w:r w:rsidRPr="00DF38B2">
        <w:t xml:space="preserve"> that the child is attending approved child care.</w:t>
      </w:r>
    </w:p>
    <w:p w:rsidR="005E1FE0" w:rsidRPr="00DF38B2" w:rsidRDefault="005E1FE0" w:rsidP="006654AE">
      <w:pPr>
        <w:rPr>
          <w:szCs w:val="19"/>
        </w:rPr>
      </w:pPr>
      <w:r w:rsidRPr="00DF38B2">
        <w:rPr>
          <w:szCs w:val="19"/>
        </w:rPr>
        <w:t>Financial vulnerability is assessed on the basis of a person demonstrating that they have been:</w:t>
      </w:r>
    </w:p>
    <w:p w:rsidR="005E1FE0" w:rsidRPr="00DF38B2" w:rsidRDefault="005E1FE0" w:rsidP="006654AE">
      <w:pPr>
        <w:pStyle w:val="dot"/>
      </w:pPr>
      <w:r w:rsidRPr="00DF38B2">
        <w:t>applying appropriate resources to meet their priority needs and the priority needs of their family</w:t>
      </w:r>
    </w:p>
    <w:p w:rsidR="005E1FE0" w:rsidRPr="00DF38B2" w:rsidRDefault="005E1FE0" w:rsidP="006654AE">
      <w:pPr>
        <w:pStyle w:val="dot"/>
      </w:pPr>
      <w:r w:rsidRPr="00DF38B2">
        <w:t xml:space="preserve">using money management strategies </w:t>
      </w:r>
      <w:r w:rsidR="00892C2C">
        <w:t xml:space="preserve">– </w:t>
      </w:r>
      <w:r w:rsidRPr="00DF38B2">
        <w:t>such as stable payment patterns and budgeting practices</w:t>
      </w:r>
      <w:r w:rsidR="00892C2C">
        <w:t xml:space="preserve"> –</w:t>
      </w:r>
      <w:r w:rsidRPr="00DF38B2">
        <w:t xml:space="preserve"> to manage their financial resources, and it is likely the person will continue to do so in the future</w:t>
      </w:r>
    </w:p>
    <w:p w:rsidR="005E1FE0" w:rsidRPr="00DF38B2" w:rsidRDefault="005E1FE0" w:rsidP="006654AE">
      <w:pPr>
        <w:pStyle w:val="dot"/>
      </w:pPr>
      <w:r w:rsidRPr="00DF38B2">
        <w:t>exercising control over their money and</w:t>
      </w:r>
      <w:r w:rsidR="00791F92">
        <w:t xml:space="preserve"> are not vulnerable</w:t>
      </w:r>
      <w:r w:rsidRPr="00DF38B2">
        <w:t xml:space="preserve"> to financial exploitation</w:t>
      </w:r>
    </w:p>
    <w:p w:rsidR="005E1FE0" w:rsidRPr="00DF38B2" w:rsidRDefault="005E1FE0" w:rsidP="006654AE">
      <w:pPr>
        <w:pStyle w:val="dot"/>
      </w:pPr>
      <w:proofErr w:type="gramStart"/>
      <w:r w:rsidRPr="00DF38B2">
        <w:t>not</w:t>
      </w:r>
      <w:proofErr w:type="gramEnd"/>
      <w:r w:rsidRPr="00DF38B2">
        <w:t xml:space="preserve"> regularly requir</w:t>
      </w:r>
      <w:r w:rsidR="00364FB0">
        <w:t>ing</w:t>
      </w:r>
      <w:r w:rsidRPr="00DF38B2">
        <w:t xml:space="preserve"> urgent funds to pay for foreseeable costs, and did not frequently change their income support pay dates. Consideration must be given to the reasons for seeking the urgent payments or changing the payment dates.</w:t>
      </w:r>
    </w:p>
    <w:p w:rsidR="005E1FE0" w:rsidRPr="00DF38B2" w:rsidRDefault="005E1FE0" w:rsidP="006654AE">
      <w:pPr>
        <w:rPr>
          <w:szCs w:val="19"/>
        </w:rPr>
      </w:pPr>
      <w:r w:rsidRPr="00DF38B2">
        <w:rPr>
          <w:szCs w:val="19"/>
        </w:rPr>
        <w:t xml:space="preserve">Further details of the test are given in Appendix </w:t>
      </w:r>
      <w:r w:rsidR="00FB275C" w:rsidRPr="00DF38B2">
        <w:rPr>
          <w:szCs w:val="19"/>
        </w:rPr>
        <w:t>A</w:t>
      </w:r>
      <w:r w:rsidRPr="00DF38B2">
        <w:rPr>
          <w:szCs w:val="19"/>
        </w:rPr>
        <w:t>.</w:t>
      </w:r>
    </w:p>
    <w:p w:rsidR="005E1FE0" w:rsidRPr="00DF38B2" w:rsidRDefault="005E1FE0" w:rsidP="006654AE">
      <w:pPr>
        <w:rPr>
          <w:szCs w:val="19"/>
        </w:rPr>
      </w:pPr>
      <w:r w:rsidRPr="00DF38B2">
        <w:rPr>
          <w:szCs w:val="19"/>
        </w:rPr>
        <w:t>For individuals without dependent children who are placed on Compulsory Income Management, an exemption is available if the person satisfies one of the following criteria</w:t>
      </w:r>
      <w:r w:rsidR="00572D19">
        <w:rPr>
          <w:szCs w:val="19"/>
        </w:rPr>
        <w:t>. T</w:t>
      </w:r>
      <w:r w:rsidRPr="00DF38B2">
        <w:rPr>
          <w:szCs w:val="19"/>
        </w:rPr>
        <w:t>hey:</w:t>
      </w:r>
    </w:p>
    <w:p w:rsidR="005E1FE0" w:rsidRPr="00DF38B2" w:rsidRDefault="005E1FE0" w:rsidP="006654AE">
      <w:pPr>
        <w:pStyle w:val="dot"/>
      </w:pPr>
      <w:r w:rsidRPr="00DF38B2">
        <w:t xml:space="preserve">are a full-time student or new apprentice </w:t>
      </w:r>
    </w:p>
    <w:p w:rsidR="005E1FE0" w:rsidRPr="00DF38B2" w:rsidRDefault="005E1FE0" w:rsidP="006654AE">
      <w:pPr>
        <w:pStyle w:val="dot"/>
      </w:pPr>
      <w:proofErr w:type="gramStart"/>
      <w:r w:rsidRPr="00DF38B2">
        <w:lastRenderedPageBreak/>
        <w:t>have</w:t>
      </w:r>
      <w:proofErr w:type="gramEnd"/>
      <w:r w:rsidRPr="00DF38B2">
        <w:t xml:space="preserve"> worked for 15 hours or more per week for at least the minimum wage for at least six of the last 12 months (FaHCSIA, 2010</w:t>
      </w:r>
      <w:r w:rsidR="00D304D0">
        <w:t>a</w:t>
      </w:r>
      <w:r w:rsidRPr="00DF38B2">
        <w:t>).</w:t>
      </w:r>
    </w:p>
    <w:p w:rsidR="005E1FE0" w:rsidRPr="00DF38B2" w:rsidRDefault="005E1FE0" w:rsidP="006654AE">
      <w:pPr>
        <w:rPr>
          <w:szCs w:val="19"/>
        </w:rPr>
      </w:pPr>
      <w:r w:rsidRPr="00DF38B2">
        <w:rPr>
          <w:szCs w:val="19"/>
        </w:rPr>
        <w:t>Examples of the evidence required to demonstrate meeting these criteria are:</w:t>
      </w:r>
    </w:p>
    <w:p w:rsidR="005E1FE0" w:rsidRPr="00DF38B2" w:rsidRDefault="005E1FE0" w:rsidP="006654AE">
      <w:pPr>
        <w:pStyle w:val="dot"/>
      </w:pPr>
      <w:r w:rsidRPr="00DF38B2">
        <w:t>payslips</w:t>
      </w:r>
    </w:p>
    <w:p w:rsidR="005E1FE0" w:rsidRPr="00DF38B2" w:rsidRDefault="005E1FE0" w:rsidP="006654AE">
      <w:pPr>
        <w:pStyle w:val="dot"/>
      </w:pPr>
      <w:r w:rsidRPr="00DF38B2">
        <w:t>details of verified work hours on the customer’s Centrelink record</w:t>
      </w:r>
    </w:p>
    <w:p w:rsidR="005E1FE0" w:rsidRPr="00DF38B2" w:rsidRDefault="005E1FE0" w:rsidP="006654AE">
      <w:pPr>
        <w:pStyle w:val="dot"/>
      </w:pPr>
      <w:r w:rsidRPr="00DF38B2">
        <w:t>a letter from their employer</w:t>
      </w:r>
    </w:p>
    <w:p w:rsidR="005E1FE0" w:rsidRPr="00DF38B2" w:rsidRDefault="005E1FE0" w:rsidP="006654AE">
      <w:pPr>
        <w:pStyle w:val="dot"/>
      </w:pPr>
      <w:proofErr w:type="gramStart"/>
      <w:r w:rsidRPr="00DF38B2">
        <w:t>profit</w:t>
      </w:r>
      <w:proofErr w:type="gramEnd"/>
      <w:r w:rsidRPr="00DF38B2">
        <w:t xml:space="preserve"> and loss statement for customers who are self-employed.</w:t>
      </w:r>
    </w:p>
    <w:p w:rsidR="005E1FE0" w:rsidRPr="00DF38B2" w:rsidRDefault="005E1FE0" w:rsidP="006654AE">
      <w:pPr>
        <w:rPr>
          <w:szCs w:val="19"/>
        </w:rPr>
      </w:pPr>
      <w:r w:rsidRPr="00DF38B2">
        <w:rPr>
          <w:szCs w:val="19"/>
        </w:rPr>
        <w:t>If granted, an exemption from Compulsory Income Management usually applies for a 12</w:t>
      </w:r>
      <w:r w:rsidR="00572D19">
        <w:rPr>
          <w:szCs w:val="19"/>
        </w:rPr>
        <w:t>-</w:t>
      </w:r>
      <w:r w:rsidRPr="00DF38B2">
        <w:rPr>
          <w:szCs w:val="19"/>
        </w:rPr>
        <w:t>month period. Exceptions apply</w:t>
      </w:r>
      <w:r w:rsidR="00572D19">
        <w:rPr>
          <w:szCs w:val="19"/>
        </w:rPr>
        <w:t>,</w:t>
      </w:r>
      <w:r w:rsidRPr="00DF38B2">
        <w:rPr>
          <w:szCs w:val="19"/>
        </w:rPr>
        <w:t xml:space="preserve"> for example</w:t>
      </w:r>
      <w:r w:rsidR="00572D19">
        <w:rPr>
          <w:szCs w:val="19"/>
        </w:rPr>
        <w:t>:</w:t>
      </w:r>
      <w:r w:rsidRPr="00DF38B2">
        <w:rPr>
          <w:szCs w:val="19"/>
        </w:rPr>
        <w:t xml:space="preserve"> where there is a defined end-date such as at the end of an apprenticeship</w:t>
      </w:r>
      <w:r w:rsidR="00572D19">
        <w:rPr>
          <w:szCs w:val="19"/>
        </w:rPr>
        <w:t>;</w:t>
      </w:r>
      <w:r w:rsidRPr="00DF38B2">
        <w:rPr>
          <w:szCs w:val="19"/>
        </w:rPr>
        <w:t xml:space="preserve"> when a student ceases full-time study</w:t>
      </w:r>
      <w:r w:rsidR="00572D19">
        <w:rPr>
          <w:szCs w:val="19"/>
        </w:rPr>
        <w:t>;</w:t>
      </w:r>
      <w:r w:rsidRPr="00DF38B2">
        <w:rPr>
          <w:szCs w:val="19"/>
        </w:rPr>
        <w:t xml:space="preserve"> or when the person’s circumstances change significantly</w:t>
      </w:r>
      <w:r w:rsidR="00572D19">
        <w:rPr>
          <w:szCs w:val="19"/>
        </w:rPr>
        <w:t>,</w:t>
      </w:r>
      <w:r w:rsidRPr="00DF38B2">
        <w:rPr>
          <w:szCs w:val="19"/>
        </w:rPr>
        <w:t xml:space="preserve"> such as a change in dependants. It is possible for an individual to have an exemption from Compulsory Income Management and then to go onto Voluntary Income Management. They may choose to do this in order to qualify for the Voluntary Income Management Financial Incentive Payment. Similarly, it is possible that a person could have an exemption from Compulsory Income Management but then be referred to income management</w:t>
      </w:r>
      <w:r w:rsidR="00572D19">
        <w:rPr>
          <w:szCs w:val="19"/>
        </w:rPr>
        <w:t>,</w:t>
      </w:r>
      <w:r w:rsidRPr="00DF38B2">
        <w:rPr>
          <w:szCs w:val="19"/>
        </w:rPr>
        <w:t xml:space="preserve"> for example</w:t>
      </w:r>
      <w:r w:rsidR="00572D19">
        <w:rPr>
          <w:szCs w:val="19"/>
        </w:rPr>
        <w:t>,</w:t>
      </w:r>
      <w:r w:rsidRPr="00DF38B2">
        <w:rPr>
          <w:szCs w:val="19"/>
        </w:rPr>
        <w:t xml:space="preserve"> by the Northern Territory Child Protection Authorities, or by being identified as being vulnerable.</w:t>
      </w:r>
    </w:p>
    <w:p w:rsidR="005E1FE0" w:rsidRPr="00DF38B2" w:rsidRDefault="005E1FE0" w:rsidP="006654AE">
      <w:pPr>
        <w:pStyle w:val="Heading4"/>
      </w:pPr>
      <w:r w:rsidRPr="00DF38B2">
        <w:t>Exiting from Compulsory Income Management</w:t>
      </w:r>
    </w:p>
    <w:p w:rsidR="005E1FE0" w:rsidRPr="00DF38B2" w:rsidRDefault="005E1FE0" w:rsidP="006654AE">
      <w:pPr>
        <w:rPr>
          <w:szCs w:val="19"/>
        </w:rPr>
      </w:pPr>
      <w:r w:rsidRPr="00DF38B2">
        <w:rPr>
          <w:szCs w:val="19"/>
        </w:rPr>
        <w:t>The main ways of exiting from Compulsory Income Management are:</w:t>
      </w:r>
    </w:p>
    <w:p w:rsidR="005E1FE0" w:rsidRPr="00DF38B2" w:rsidRDefault="005E1FE0" w:rsidP="006654AE">
      <w:pPr>
        <w:pStyle w:val="dot"/>
      </w:pPr>
      <w:r w:rsidRPr="00DF38B2">
        <w:t>the individual obtains an exemption from income management (as outlined above)</w:t>
      </w:r>
    </w:p>
    <w:p w:rsidR="005E1FE0" w:rsidRPr="00DF38B2" w:rsidRDefault="005E1FE0" w:rsidP="006654AE">
      <w:pPr>
        <w:pStyle w:val="dot"/>
      </w:pPr>
      <w:r w:rsidRPr="00DF38B2">
        <w:t xml:space="preserve">they no longer receive an income support payment </w:t>
      </w:r>
      <w:r w:rsidR="00572D19">
        <w:t>that</w:t>
      </w:r>
      <w:r w:rsidRPr="00DF38B2">
        <w:t xml:space="preserve"> is subject to Compulsory Income Management</w:t>
      </w:r>
    </w:p>
    <w:p w:rsidR="005E1FE0" w:rsidRPr="00DF38B2" w:rsidRDefault="005E1FE0" w:rsidP="006654AE">
      <w:pPr>
        <w:pStyle w:val="dot"/>
      </w:pPr>
      <w:r w:rsidRPr="00DF38B2">
        <w:t>an excluded payment nominee is appointed in relation to the individual (effectively</w:t>
      </w:r>
      <w:r w:rsidR="00572D19">
        <w:t>,</w:t>
      </w:r>
      <w:r w:rsidRPr="00DF38B2">
        <w:t xml:space="preserve"> an approved person takes responsibility for their money</w:t>
      </w:r>
      <w:r w:rsidRPr="00DF38B2">
        <w:rPr>
          <w:rStyle w:val="FootnoteReference"/>
        </w:rPr>
        <w:footnoteReference w:id="26"/>
      </w:r>
      <w:r w:rsidRPr="00DF38B2">
        <w:t>)</w:t>
      </w:r>
    </w:p>
    <w:p w:rsidR="005E1FE0" w:rsidRPr="00DF38B2" w:rsidRDefault="005E1FE0" w:rsidP="006654AE">
      <w:pPr>
        <w:pStyle w:val="dot"/>
      </w:pPr>
      <w:proofErr w:type="gramStart"/>
      <w:r w:rsidRPr="00DF38B2">
        <w:t>the</w:t>
      </w:r>
      <w:proofErr w:type="gramEnd"/>
      <w:r w:rsidRPr="00DF38B2">
        <w:t xml:space="preserve"> person moves away from a declared income management area for more than 13 weeks.</w:t>
      </w:r>
    </w:p>
    <w:p w:rsidR="005E1FE0" w:rsidRPr="00DF38B2" w:rsidRDefault="005E1FE0" w:rsidP="006654AE">
      <w:pPr>
        <w:pStyle w:val="Heading3"/>
      </w:pPr>
      <w:bookmarkStart w:id="53" w:name="_Ref390166118"/>
      <w:bookmarkStart w:id="54" w:name="_Toc403738969"/>
      <w:r w:rsidRPr="00DF38B2">
        <w:t>Vulnerable Income Management</w:t>
      </w:r>
      <w:bookmarkEnd w:id="53"/>
      <w:bookmarkEnd w:id="54"/>
    </w:p>
    <w:p w:rsidR="005E1FE0" w:rsidRPr="00DF38B2" w:rsidRDefault="005E1FE0" w:rsidP="006654AE">
      <w:pPr>
        <w:pStyle w:val="Heading4"/>
      </w:pPr>
      <w:r w:rsidRPr="00DF38B2">
        <w:t>Assessed Vulnerable Income Management</w:t>
      </w:r>
    </w:p>
    <w:p w:rsidR="005E1FE0" w:rsidRPr="00DF38B2" w:rsidRDefault="005E1FE0" w:rsidP="006654AE">
      <w:pPr>
        <w:rPr>
          <w:szCs w:val="19"/>
        </w:rPr>
      </w:pPr>
      <w:r w:rsidRPr="00DF38B2">
        <w:rPr>
          <w:szCs w:val="19"/>
        </w:rPr>
        <w:t>Vulnerable Income Management</w:t>
      </w:r>
      <w:r w:rsidRPr="00DF38B2">
        <w:rPr>
          <w:rStyle w:val="FootnoteReference"/>
        </w:rPr>
        <w:footnoteReference w:id="27"/>
      </w:r>
      <w:r w:rsidRPr="00DF38B2">
        <w:t xml:space="preserve"> </w:t>
      </w:r>
      <w:r w:rsidRPr="00DF38B2">
        <w:rPr>
          <w:szCs w:val="19"/>
        </w:rPr>
        <w:t>is another compulsory form of income management. Initially there was a single form of Vulnerable Income Managemen</w:t>
      </w:r>
      <w:r w:rsidRPr="00FE502F">
        <w:rPr>
          <w:szCs w:val="19"/>
        </w:rPr>
        <w:t>t. From July 2013 additional streams of Vulnerable Income Management were introduced. The initial form was designed to provide Centrelink social workers with an additional tool to use in providi</w:t>
      </w:r>
      <w:r w:rsidRPr="009655C3">
        <w:rPr>
          <w:szCs w:val="19"/>
        </w:rPr>
        <w:t>ng their services to individuals who are vulnerable and/or at risk</w:t>
      </w:r>
      <w:r w:rsidR="00C915DF">
        <w:rPr>
          <w:szCs w:val="19"/>
        </w:rPr>
        <w:t xml:space="preserve">, </w:t>
      </w:r>
      <w:r w:rsidRPr="009655C3">
        <w:rPr>
          <w:szCs w:val="19"/>
        </w:rPr>
        <w:t>for example</w:t>
      </w:r>
      <w:r w:rsidR="002E19D6">
        <w:rPr>
          <w:szCs w:val="19"/>
        </w:rPr>
        <w:t>,</w:t>
      </w:r>
      <w:r w:rsidRPr="009655C3">
        <w:rPr>
          <w:szCs w:val="19"/>
        </w:rPr>
        <w:t xml:space="preserve"> individuals on an Age Pension or Disability Support Pension who are subject to financial harassment, or who have an impaired capacity to manage their finances. Being placed o</w:t>
      </w:r>
      <w:r w:rsidRPr="00DF38B2">
        <w:rPr>
          <w:szCs w:val="19"/>
        </w:rPr>
        <w:t>n this form of income management requires an assessment of vulnerability by a Centrelink social worker. In this report this form of income management is referred to as “</w:t>
      </w:r>
      <w:r w:rsidRPr="002E19D6">
        <w:rPr>
          <w:szCs w:val="19"/>
        </w:rPr>
        <w:t>assessed Vulnerable Income Management</w:t>
      </w:r>
      <w:r w:rsidRPr="00DF38B2">
        <w:rPr>
          <w:szCs w:val="19"/>
        </w:rPr>
        <w:t>”. This continues to be the main form of Vulnerable Income Management.</w:t>
      </w:r>
    </w:p>
    <w:p w:rsidR="005E1FE0" w:rsidRPr="00DF38B2" w:rsidRDefault="005E1FE0" w:rsidP="006654AE">
      <w:pPr>
        <w:rPr>
          <w:rStyle w:val="Heading9Char"/>
        </w:rPr>
      </w:pPr>
      <w:r w:rsidRPr="00DF38B2">
        <w:rPr>
          <w:szCs w:val="19"/>
        </w:rPr>
        <w:t xml:space="preserve">The assessed Vulnerable Welfare Payment Recipients measure may apply to both people within and not within scope of either the Long-term Welfare Payment Recipients or Disengaged Youth measures, where they are assessed by a Centrelink social worker as potentially benefiting from income management in order to meet their social and parental responsibilities; to manage their money responsibly; or to build and </w:t>
      </w:r>
      <w:r w:rsidRPr="00DF38B2">
        <w:rPr>
          <w:szCs w:val="19"/>
        </w:rPr>
        <w:lastRenderedPageBreak/>
        <w:t>maintain reasonable self-care. In order to be considered for Vulnerable Income Management a person has to be in receipt of a trigger payment (termed a Category H payment</w:t>
      </w:r>
      <w:r w:rsidRPr="002E19D6">
        <w:rPr>
          <w:szCs w:val="19"/>
        </w:rPr>
        <w:t>).</w:t>
      </w:r>
      <w:bookmarkStart w:id="55" w:name="_Ref327980684"/>
      <w:r w:rsidRPr="002E19D6">
        <w:rPr>
          <w:rStyle w:val="FootnoteReference"/>
        </w:rPr>
        <w:footnoteReference w:id="28"/>
      </w:r>
      <w:bookmarkEnd w:id="55"/>
    </w:p>
    <w:p w:rsidR="005E1FE0" w:rsidRPr="00DF38B2" w:rsidRDefault="005E1FE0" w:rsidP="006654AE">
      <w:pPr>
        <w:rPr>
          <w:szCs w:val="19"/>
        </w:rPr>
      </w:pPr>
      <w:r w:rsidRPr="00DF38B2">
        <w:rPr>
          <w:szCs w:val="19"/>
        </w:rPr>
        <w:t>In deciding whether a customer should be income</w:t>
      </w:r>
      <w:r w:rsidR="00A04470">
        <w:rPr>
          <w:szCs w:val="19"/>
        </w:rPr>
        <w:t xml:space="preserve"> </w:t>
      </w:r>
      <w:r w:rsidRPr="00DF38B2">
        <w:rPr>
          <w:szCs w:val="19"/>
        </w:rPr>
        <w:t xml:space="preserve">managed under the Vulnerable Welfare Payment Recipients measure, Centrelink is required by </w:t>
      </w:r>
      <w:r w:rsidRPr="00FE502F">
        <w:rPr>
          <w:szCs w:val="19"/>
        </w:rPr>
        <w:t xml:space="preserve">the </w:t>
      </w:r>
      <w:r w:rsidRPr="009655C3">
        <w:rPr>
          <w:i/>
          <w:szCs w:val="19"/>
        </w:rPr>
        <w:t>Social Security (Administration) Act 1999 (</w:t>
      </w:r>
      <w:proofErr w:type="spellStart"/>
      <w:r w:rsidRPr="009655C3">
        <w:rPr>
          <w:i/>
          <w:szCs w:val="19"/>
        </w:rPr>
        <w:t>Cwth</w:t>
      </w:r>
      <w:proofErr w:type="spellEnd"/>
      <w:r w:rsidRPr="009655C3">
        <w:rPr>
          <w:i/>
          <w:szCs w:val="19"/>
        </w:rPr>
        <w:t>)</w:t>
      </w:r>
      <w:r w:rsidRPr="00DF38B2">
        <w:rPr>
          <w:szCs w:val="19"/>
        </w:rPr>
        <w:t xml:space="preserve"> to consider:</w:t>
      </w:r>
    </w:p>
    <w:p w:rsidR="005E1FE0" w:rsidRPr="00DF38B2" w:rsidRDefault="005E1FE0" w:rsidP="006654AE">
      <w:pPr>
        <w:pStyle w:val="dot"/>
      </w:pPr>
      <w:r w:rsidRPr="00DF38B2">
        <w:t xml:space="preserve">whether the person is experiencing an indicator of vulnerability </w:t>
      </w:r>
    </w:p>
    <w:p w:rsidR="005E1FE0" w:rsidRPr="00DF38B2" w:rsidRDefault="005E1FE0" w:rsidP="006654AE">
      <w:pPr>
        <w:pStyle w:val="dot"/>
      </w:pPr>
      <w:r w:rsidRPr="00DF38B2">
        <w:t>whether the person is meeting their priority needs and the priority needs of their partner, children or other dependants</w:t>
      </w:r>
    </w:p>
    <w:p w:rsidR="005E1FE0" w:rsidRPr="00DF38B2" w:rsidRDefault="005E1FE0" w:rsidP="006654AE">
      <w:pPr>
        <w:pStyle w:val="dot"/>
      </w:pPr>
      <w:proofErr w:type="gramStart"/>
      <w:r w:rsidRPr="00DF38B2">
        <w:t>whether</w:t>
      </w:r>
      <w:proofErr w:type="gramEnd"/>
      <w:r w:rsidRPr="00DF38B2">
        <w:t xml:space="preserve"> income management is an appropriate support for the person experiencing vulnerability to meet their responsibilities, to build and maintain self-care and to manage their money (Australian Government, 2014, Section 11.4.2.10). </w:t>
      </w:r>
    </w:p>
    <w:p w:rsidR="005E1FE0" w:rsidRPr="00DF38B2" w:rsidRDefault="005E1FE0" w:rsidP="006654AE">
      <w:pPr>
        <w:rPr>
          <w:szCs w:val="19"/>
        </w:rPr>
      </w:pPr>
      <w:r w:rsidRPr="00DF38B2">
        <w:rPr>
          <w:szCs w:val="19"/>
        </w:rPr>
        <w:t xml:space="preserve">With regard to the first of these criteria the specified ‘Indicators of Vulnerability’ are: </w:t>
      </w:r>
    </w:p>
    <w:p w:rsidR="005E1FE0" w:rsidRPr="00DF38B2" w:rsidRDefault="005E1FE0" w:rsidP="006654AE">
      <w:pPr>
        <w:pStyle w:val="dot"/>
      </w:pPr>
      <w:r w:rsidRPr="00DF38B2">
        <w:t>Financial hardship: A person is defined as experiencing financial hardship where they are unable to access or engage in activities that meet their priority needs due to a lack of financial resources. The receipt of income support in itself does not define a person as experiencing financial hardship</w:t>
      </w:r>
      <w:r w:rsidR="005F6709">
        <w:t>;</w:t>
      </w:r>
      <w:r w:rsidRPr="00DF38B2">
        <w:t xml:space="preserve"> rather</w:t>
      </w:r>
      <w:r w:rsidR="005F6709">
        <w:t>,</w:t>
      </w:r>
      <w:r w:rsidRPr="00DF38B2">
        <w:t xml:space="preserve"> a lack of skills or an </w:t>
      </w:r>
      <w:r w:rsidR="005F6709">
        <w:t>in</w:t>
      </w:r>
      <w:r w:rsidRPr="00DF38B2">
        <w:t>ability to manage limited resources may result in financial hardship.</w:t>
      </w:r>
    </w:p>
    <w:p w:rsidR="005E1FE0" w:rsidRPr="00DF38B2" w:rsidRDefault="005E1FE0" w:rsidP="006654AE">
      <w:pPr>
        <w:pStyle w:val="dot"/>
      </w:pPr>
      <w:r w:rsidRPr="00DF38B2">
        <w:t>Financial exploitation: This is considered to occur when a person is subject to undue pressure, harassment, violence, abuse, deception or exploitation for resources by another person or people, including other family members and community members.</w:t>
      </w:r>
    </w:p>
    <w:p w:rsidR="005E1FE0" w:rsidRPr="00DF38B2" w:rsidRDefault="005E1FE0" w:rsidP="006654AE">
      <w:pPr>
        <w:pStyle w:val="dot"/>
      </w:pPr>
      <w:r w:rsidRPr="00DF38B2">
        <w:t>Failure to undertake reasonable self-care: This may be due to factors including, but not limited to, substance abuse issues, problem gambling, and mental health issues.</w:t>
      </w:r>
    </w:p>
    <w:p w:rsidR="005E1FE0" w:rsidRPr="00DF38B2" w:rsidRDefault="005E1FE0" w:rsidP="006654AE">
      <w:pPr>
        <w:pStyle w:val="dot"/>
      </w:pPr>
      <w:r w:rsidRPr="00DF38B2">
        <w:t>Homelessness or risk of homelessness: Where the person does not have, or is at risk of not having, access to safe, secure and adequate housing (Australian Government, 2014, Section 11.4.2.20).</w:t>
      </w:r>
    </w:p>
    <w:p w:rsidR="005E1FE0" w:rsidRPr="00DF38B2" w:rsidRDefault="005E1FE0" w:rsidP="006654AE">
      <w:pPr>
        <w:rPr>
          <w:szCs w:val="19"/>
        </w:rPr>
      </w:pPr>
      <w:r w:rsidRPr="00DF38B2">
        <w:rPr>
          <w:szCs w:val="19"/>
        </w:rPr>
        <w:t>The assessment of an individual as being a Vulnerable Welfare Payment Recipient is made by a Centrelink social worker. People are placed on this measure for a maximum duration of 12 months. Near the end of the 12-mo</w:t>
      </w:r>
      <w:r w:rsidR="005F6709">
        <w:rPr>
          <w:szCs w:val="19"/>
        </w:rPr>
        <w:t>nth</w:t>
      </w:r>
      <w:r w:rsidRPr="00DF38B2">
        <w:rPr>
          <w:szCs w:val="19"/>
        </w:rPr>
        <w:t xml:space="preserve"> period a Centrelink social worker conducts a further assessment. If the person is assessed as continuing to meet the criteria for being a Vulnerable Welfare Payment recipient, they continue on the measure for a further period of up to 12 months. There is no limit to the number of times a person can be reassessed or to the number of extensions to their being on the measure.</w:t>
      </w:r>
    </w:p>
    <w:p w:rsidR="005E1FE0" w:rsidRPr="00DF38B2" w:rsidRDefault="005E1FE0" w:rsidP="006654AE">
      <w:pPr>
        <w:rPr>
          <w:szCs w:val="19"/>
        </w:rPr>
      </w:pPr>
      <w:r w:rsidRPr="00DF38B2">
        <w:rPr>
          <w:szCs w:val="19"/>
        </w:rPr>
        <w:t xml:space="preserve">While the direct involvement of Centrelink in income management for vulnerable people through this measure is new, it is important to note that a range of mechanisms have been in place for some time which effectively involve ensuring that income support and related payments for vulnerable people are managed in a way to ensure they are used appropriately. At the most extreme, this has involved the option of the appointment of the Public Trustee, or some other person as trustee for the management of a person’s affairs, including their income support payment. In other cases, income support has been paid on a more frequent basis to enable people </w:t>
      </w:r>
      <w:r w:rsidR="005F6709">
        <w:rPr>
          <w:szCs w:val="19"/>
        </w:rPr>
        <w:t xml:space="preserve">access </w:t>
      </w:r>
      <w:r w:rsidRPr="00DF38B2">
        <w:rPr>
          <w:szCs w:val="19"/>
        </w:rPr>
        <w:t>to some funds across the payment cycle</w:t>
      </w:r>
      <w:r w:rsidR="00A1421A">
        <w:rPr>
          <w:szCs w:val="19"/>
        </w:rPr>
        <w:t xml:space="preserve">. </w:t>
      </w:r>
    </w:p>
    <w:p w:rsidR="005E1FE0" w:rsidRPr="00DF38B2" w:rsidRDefault="005E1FE0" w:rsidP="006654AE">
      <w:pPr>
        <w:rPr>
          <w:szCs w:val="19"/>
        </w:rPr>
      </w:pPr>
      <w:r w:rsidRPr="00DF38B2">
        <w:rPr>
          <w:szCs w:val="19"/>
        </w:rPr>
        <w:t>Individuals on Vulnerable Income Management can exit in the following ways:</w:t>
      </w:r>
    </w:p>
    <w:p w:rsidR="005E1FE0" w:rsidRPr="00DF38B2" w:rsidRDefault="005E1FE0" w:rsidP="006654AE">
      <w:pPr>
        <w:pStyle w:val="dot"/>
      </w:pPr>
      <w:r w:rsidRPr="00DF38B2">
        <w:t>if the individual is no longer seen as requiring or benefiting from income management</w:t>
      </w:r>
    </w:p>
    <w:p w:rsidR="005E1FE0" w:rsidRPr="00DF38B2" w:rsidRDefault="005E1FE0" w:rsidP="006654AE">
      <w:pPr>
        <w:pStyle w:val="dot"/>
      </w:pPr>
      <w:r w:rsidRPr="00DF38B2">
        <w:t>if they are no longer receiving income support payments</w:t>
      </w:r>
    </w:p>
    <w:p w:rsidR="005E1FE0" w:rsidRPr="00DF38B2" w:rsidRDefault="005E1FE0" w:rsidP="006654AE">
      <w:pPr>
        <w:pStyle w:val="dot"/>
      </w:pPr>
      <w:r w:rsidRPr="00DF38B2">
        <w:t>if an excluded payment nominee is appointed in relation to the individual</w:t>
      </w:r>
    </w:p>
    <w:p w:rsidR="005E1FE0" w:rsidRPr="00DF38B2" w:rsidRDefault="005E1FE0" w:rsidP="006654AE">
      <w:pPr>
        <w:pStyle w:val="dot"/>
      </w:pPr>
      <w:proofErr w:type="gramStart"/>
      <w:r w:rsidRPr="00DF38B2">
        <w:t>where</w:t>
      </w:r>
      <w:proofErr w:type="gramEnd"/>
      <w:r w:rsidRPr="00DF38B2">
        <w:t xml:space="preserve"> the individual moves away from a declared income management area.</w:t>
      </w:r>
    </w:p>
    <w:p w:rsidR="005E1FE0" w:rsidRPr="00DF38B2" w:rsidRDefault="005E1FE0" w:rsidP="006654AE">
      <w:pPr>
        <w:pStyle w:val="Heading4"/>
      </w:pPr>
      <w:r w:rsidRPr="00DF38B2">
        <w:lastRenderedPageBreak/>
        <w:t>Automatic Vulnerable Income Management measures</w:t>
      </w:r>
    </w:p>
    <w:p w:rsidR="005E1FE0" w:rsidRPr="00DF38B2" w:rsidRDefault="005E1FE0" w:rsidP="006654AE">
      <w:pPr>
        <w:rPr>
          <w:szCs w:val="19"/>
        </w:rPr>
      </w:pPr>
      <w:r w:rsidRPr="00DF38B2">
        <w:rPr>
          <w:szCs w:val="19"/>
        </w:rPr>
        <w:t xml:space="preserve">Three additional forms of Vulnerable Income Management </w:t>
      </w:r>
      <w:r w:rsidR="005F6709">
        <w:rPr>
          <w:szCs w:val="19"/>
        </w:rPr>
        <w:t xml:space="preserve">were </w:t>
      </w:r>
      <w:r w:rsidRPr="00DF38B2">
        <w:rPr>
          <w:szCs w:val="19"/>
        </w:rPr>
        <w:t>introduced in July 2013. These are all targeted at various groups of young income support recipients. The measures are:</w:t>
      </w:r>
    </w:p>
    <w:p w:rsidR="005E1FE0" w:rsidRPr="00DF38B2" w:rsidRDefault="005E1FE0" w:rsidP="006654AE">
      <w:pPr>
        <w:pStyle w:val="dot"/>
      </w:pPr>
      <w:r w:rsidRPr="00DF38B2">
        <w:rPr>
          <w:b/>
        </w:rPr>
        <w:t>Vulnerable Special Benefit</w:t>
      </w:r>
      <w:r w:rsidR="00A1421A">
        <w:rPr>
          <w:b/>
        </w:rPr>
        <w:t xml:space="preserve">. </w:t>
      </w:r>
      <w:r w:rsidRPr="00DF38B2">
        <w:t>This applies automatically to people who are under 16 years of age and granted Special Benefit</w:t>
      </w:r>
      <w:r w:rsidR="00DB2253">
        <w:t>.</w:t>
      </w:r>
    </w:p>
    <w:p w:rsidR="005E1FE0" w:rsidRPr="00DF38B2" w:rsidRDefault="005E1FE0" w:rsidP="006654AE">
      <w:pPr>
        <w:pStyle w:val="dot"/>
      </w:pPr>
      <w:r w:rsidRPr="00DF38B2">
        <w:rPr>
          <w:b/>
        </w:rPr>
        <w:t>Vulnerable Unreasonable to Live at Home</w:t>
      </w:r>
      <w:r w:rsidR="00A1421A">
        <w:t xml:space="preserve">. </w:t>
      </w:r>
      <w:r w:rsidRPr="00DF38B2">
        <w:t>The payment rate of Youth Allowance varies based upon whether a young person is assessed as being dependent or independent</w:t>
      </w:r>
      <w:r w:rsidR="00A1421A">
        <w:t xml:space="preserve">. </w:t>
      </w:r>
      <w:r w:rsidRPr="00DF38B2">
        <w:t xml:space="preserve">A higher independent rate is usually paid to people who are older recipients, those who have supported themselves in employment for a threshold period, and those who are married or have a dependent child. A person may also be paid this higher rate if they can prove that it would be unreasonable for them to live at home. The circumstances </w:t>
      </w:r>
      <w:r w:rsidR="005F6709">
        <w:t>in which</w:t>
      </w:r>
      <w:r w:rsidRPr="00DF38B2">
        <w:t xml:space="preserve"> this eligibility is granted </w:t>
      </w:r>
      <w:r w:rsidR="005F6709">
        <w:t>are</w:t>
      </w:r>
      <w:r w:rsidRPr="00DF38B2">
        <w:t xml:space="preserve"> usually in the context of extreme family breakdown, risk of violence and sexual abuse, or a lack of stable housing. The ‘Vulnerable Un</w:t>
      </w:r>
      <w:r w:rsidR="007B08FE">
        <w:t>reasonable</w:t>
      </w:r>
      <w:r w:rsidRPr="00DF38B2">
        <w:t xml:space="preserve"> to Live at Home’ measure automatically applies to those aged 16 years old and over who have been granted the Unreasonable to </w:t>
      </w:r>
      <w:proofErr w:type="gramStart"/>
      <w:r w:rsidRPr="00DF38B2">
        <w:t>Live</w:t>
      </w:r>
      <w:proofErr w:type="gramEnd"/>
      <w:r w:rsidRPr="00DF38B2">
        <w:t xml:space="preserve"> at Home level of payment.</w:t>
      </w:r>
    </w:p>
    <w:p w:rsidR="005E1FE0" w:rsidRPr="00DF38B2" w:rsidRDefault="005E1FE0" w:rsidP="006654AE">
      <w:pPr>
        <w:pStyle w:val="dot"/>
      </w:pPr>
      <w:r w:rsidRPr="00DF38B2">
        <w:rPr>
          <w:b/>
        </w:rPr>
        <w:t xml:space="preserve">Vulnerable Crisis Payment. </w:t>
      </w:r>
      <w:r w:rsidRPr="00DF38B2">
        <w:t>This applies to people under the age or 25 years who have received a Crisis Payment on release from prison</w:t>
      </w:r>
      <w:r w:rsidR="00A1421A">
        <w:t xml:space="preserve">. </w:t>
      </w:r>
    </w:p>
    <w:p w:rsidR="005E1FE0" w:rsidRPr="00DF38B2" w:rsidRDefault="005F6709" w:rsidP="006654AE">
      <w:r>
        <w:t>I</w:t>
      </w:r>
      <w:r w:rsidRPr="00DF38B2">
        <w:t xml:space="preserve">n this report </w:t>
      </w:r>
      <w:r>
        <w:t>t</w:t>
      </w:r>
      <w:r w:rsidR="005E1FE0" w:rsidRPr="00DF38B2">
        <w:t xml:space="preserve">hese forms of income management are termed </w:t>
      </w:r>
      <w:r w:rsidRPr="005F6709">
        <w:t>“</w:t>
      </w:r>
      <w:r w:rsidR="005E1FE0" w:rsidRPr="005F6709">
        <w:t>automatic Vulnerable Income Management</w:t>
      </w:r>
      <w:r w:rsidRPr="005F6709">
        <w:t>”</w:t>
      </w:r>
      <w:r w:rsidR="00A1421A" w:rsidRPr="005F6709">
        <w:t xml:space="preserve">. </w:t>
      </w:r>
      <w:r w:rsidR="005E1FE0" w:rsidRPr="00DF38B2">
        <w:t xml:space="preserve">While in each case the imposition of </w:t>
      </w:r>
      <w:r w:rsidR="005E4CAC">
        <w:t>i</w:t>
      </w:r>
      <w:r w:rsidR="005E1FE0" w:rsidRPr="00DF38B2">
        <w:t xml:space="preserve">ncome </w:t>
      </w:r>
      <w:r w:rsidR="005E4CAC">
        <w:t>m</w:t>
      </w:r>
      <w:r w:rsidR="005E1FE0" w:rsidRPr="00DF38B2">
        <w:t xml:space="preserve">anagement is triggered by the initial receipt of a particular payment, the person continues to be subject to </w:t>
      </w:r>
      <w:r w:rsidR="005E4CAC">
        <w:t>income management</w:t>
      </w:r>
      <w:r w:rsidR="005E1FE0" w:rsidRPr="00DF38B2">
        <w:t xml:space="preserve"> for a 12</w:t>
      </w:r>
      <w:r>
        <w:t>-</w:t>
      </w:r>
      <w:r w:rsidR="005E1FE0" w:rsidRPr="00DF38B2">
        <w:t>month period regardless of the payment they are on, as long as it is a Category H payment</w:t>
      </w:r>
      <w:r w:rsidR="00A1421A">
        <w:t xml:space="preserve">. </w:t>
      </w:r>
      <w:r w:rsidR="005E1FE0" w:rsidRPr="00DF38B2">
        <w:t>Due to the late time at which these measures were introduced, no specific evaluation has been undertaken of this measure</w:t>
      </w:r>
      <w:r w:rsidR="002B7C0E">
        <w:t>,</w:t>
      </w:r>
      <w:r w:rsidR="005E1FE0" w:rsidRPr="00DF38B2">
        <w:t xml:space="preserve"> although people on the measure have been included in the evaluation as part of the overall income management population. </w:t>
      </w:r>
    </w:p>
    <w:p w:rsidR="005E1FE0" w:rsidRPr="00DF38B2" w:rsidRDefault="005E1FE0" w:rsidP="006654AE">
      <w:pPr>
        <w:pStyle w:val="Heading3"/>
      </w:pPr>
      <w:bookmarkStart w:id="56" w:name="_Toc403738970"/>
      <w:r w:rsidRPr="00DF38B2">
        <w:t>Child Protection Income Management</w:t>
      </w:r>
      <w:bookmarkEnd w:id="56"/>
      <w:r w:rsidRPr="00DF38B2">
        <w:t xml:space="preserve"> </w:t>
      </w:r>
    </w:p>
    <w:p w:rsidR="005E1FE0" w:rsidRPr="00DF38B2" w:rsidRDefault="005E1FE0" w:rsidP="006654AE">
      <w:pPr>
        <w:rPr>
          <w:szCs w:val="19"/>
        </w:rPr>
      </w:pPr>
      <w:r w:rsidRPr="00F157EE">
        <w:rPr>
          <w:b/>
          <w:szCs w:val="19"/>
        </w:rPr>
        <w:t>Child Protection Income Management</w:t>
      </w:r>
      <w:r w:rsidRPr="00DF38B2">
        <w:rPr>
          <w:szCs w:val="19"/>
        </w:rPr>
        <w:t xml:space="preserve"> is a specific measure which involves, as identified above,</w:t>
      </w:r>
      <w:r w:rsidRPr="00FE502F">
        <w:rPr>
          <w:szCs w:val="19"/>
        </w:rPr>
        <w:t xml:space="preserve"> a higher portion of income being income</w:t>
      </w:r>
      <w:r w:rsidR="00A04470">
        <w:rPr>
          <w:szCs w:val="19"/>
        </w:rPr>
        <w:t xml:space="preserve"> </w:t>
      </w:r>
      <w:r w:rsidRPr="00FE502F">
        <w:rPr>
          <w:szCs w:val="19"/>
        </w:rPr>
        <w:t>managed. It is provided a</w:t>
      </w:r>
      <w:r w:rsidRPr="009655C3">
        <w:rPr>
          <w:szCs w:val="19"/>
        </w:rPr>
        <w:t xml:space="preserve">s a tool </w:t>
      </w:r>
      <w:r w:rsidR="003E21F7">
        <w:rPr>
          <w:szCs w:val="19"/>
        </w:rPr>
        <w:t>that</w:t>
      </w:r>
      <w:r w:rsidRPr="009655C3">
        <w:rPr>
          <w:szCs w:val="19"/>
        </w:rPr>
        <w:t xml:space="preserve"> can be used by </w:t>
      </w:r>
      <w:r w:rsidR="003E21F7">
        <w:rPr>
          <w:szCs w:val="19"/>
        </w:rPr>
        <w:t xml:space="preserve">the </w:t>
      </w:r>
      <w:r w:rsidRPr="009655C3">
        <w:rPr>
          <w:szCs w:val="19"/>
        </w:rPr>
        <w:t xml:space="preserve">Northern Territory Department of Children and Families (DCF) to assist in the management of child neglect. </w:t>
      </w:r>
      <w:r w:rsidR="00947349">
        <w:rPr>
          <w:szCs w:val="19"/>
        </w:rPr>
        <w:t xml:space="preserve">(Note the policy </w:t>
      </w:r>
      <w:r w:rsidR="00430144">
        <w:rPr>
          <w:szCs w:val="19"/>
        </w:rPr>
        <w:t>only</w:t>
      </w:r>
      <w:r w:rsidR="00947349">
        <w:rPr>
          <w:szCs w:val="19"/>
        </w:rPr>
        <w:t xml:space="preserve"> applies in the case of child neglect, not in cases of child abuse.) </w:t>
      </w:r>
      <w:r w:rsidRPr="009655C3">
        <w:rPr>
          <w:szCs w:val="19"/>
        </w:rPr>
        <w:t>This form of income management applies at the discretion of a DCF child protection caseworker and allows people to be r</w:t>
      </w:r>
      <w:r w:rsidRPr="00DF38B2">
        <w:rPr>
          <w:szCs w:val="19"/>
        </w:rPr>
        <w:t xml:space="preserve">eferred to Centrelink to be subject to Child Protection Income Management if it is deemed that income management might contribute to improved outcomes for children. In order to be considered for Child Protection Income Management, an individual or their partner must be in receipt of a Category H payment (see Section </w:t>
      </w:r>
      <w:r w:rsidRPr="00DF38B2">
        <w:rPr>
          <w:szCs w:val="19"/>
        </w:rPr>
        <w:fldChar w:fldCharType="begin"/>
      </w:r>
      <w:r w:rsidRPr="00DF38B2">
        <w:rPr>
          <w:szCs w:val="19"/>
        </w:rPr>
        <w:instrText xml:space="preserve"> REF _Ref390166118 \r \h </w:instrText>
      </w:r>
      <w:r w:rsidRPr="00DF38B2">
        <w:rPr>
          <w:szCs w:val="19"/>
        </w:rPr>
      </w:r>
      <w:r w:rsidRPr="00DF38B2">
        <w:rPr>
          <w:szCs w:val="19"/>
        </w:rPr>
        <w:fldChar w:fldCharType="separate"/>
      </w:r>
      <w:r w:rsidR="00906D13">
        <w:rPr>
          <w:szCs w:val="19"/>
        </w:rPr>
        <w:t>2.4.3</w:t>
      </w:r>
      <w:r w:rsidRPr="00DF38B2">
        <w:rPr>
          <w:szCs w:val="19"/>
        </w:rPr>
        <w:fldChar w:fldCharType="end"/>
      </w:r>
      <w:r w:rsidRPr="00DF38B2">
        <w:rPr>
          <w:szCs w:val="19"/>
        </w:rPr>
        <w:t xml:space="preserve"> above) and include, in addition to the trigger payments for Compulsory Income Management, payments such as the Disability Support Pension.</w:t>
      </w:r>
    </w:p>
    <w:p w:rsidR="005E1FE0" w:rsidRPr="00DF38B2" w:rsidRDefault="005E1FE0" w:rsidP="006654AE">
      <w:pPr>
        <w:rPr>
          <w:szCs w:val="19"/>
        </w:rPr>
      </w:pPr>
      <w:r w:rsidRPr="00FE502F">
        <w:rPr>
          <w:szCs w:val="19"/>
        </w:rPr>
        <w:t>In deciding to ref</w:t>
      </w:r>
      <w:r w:rsidRPr="009655C3">
        <w:rPr>
          <w:szCs w:val="19"/>
        </w:rPr>
        <w:t>er someone for Child Protection Income Management the caseworker</w:t>
      </w:r>
      <w:r w:rsidR="00DB2253">
        <w:rPr>
          <w:szCs w:val="19"/>
        </w:rPr>
        <w:t xml:space="preserve"> was</w:t>
      </w:r>
      <w:r w:rsidRPr="009655C3">
        <w:rPr>
          <w:szCs w:val="19"/>
        </w:rPr>
        <w:t xml:space="preserve"> required to consider the following factors: the best interests of the child</w:t>
      </w:r>
      <w:r w:rsidR="008E3CD6">
        <w:rPr>
          <w:szCs w:val="19"/>
        </w:rPr>
        <w:t>,</w:t>
      </w:r>
      <w:r w:rsidRPr="009655C3">
        <w:rPr>
          <w:szCs w:val="19"/>
        </w:rPr>
        <w:t xml:space="preserve"> or children</w:t>
      </w:r>
      <w:r w:rsidR="008E3CD6">
        <w:rPr>
          <w:szCs w:val="19"/>
        </w:rPr>
        <w:t>,</w:t>
      </w:r>
      <w:r w:rsidRPr="009655C3">
        <w:rPr>
          <w:szCs w:val="19"/>
        </w:rPr>
        <w:t xml:space="preserve"> or young person</w:t>
      </w:r>
      <w:r w:rsidR="008E3CD6">
        <w:rPr>
          <w:szCs w:val="19"/>
        </w:rPr>
        <w:t>,</w:t>
      </w:r>
      <w:r w:rsidRPr="009655C3">
        <w:rPr>
          <w:szCs w:val="19"/>
        </w:rPr>
        <w:t xml:space="preserve"> or people; the manner in which Centrelink benefits are being used; the availability </w:t>
      </w:r>
      <w:r w:rsidRPr="00DF38B2">
        <w:rPr>
          <w:szCs w:val="19"/>
        </w:rPr>
        <w:t>of additional support services such as financial management services; and whether income management will improve their circumstances (FaHCSIA, 2011</w:t>
      </w:r>
      <w:r w:rsidR="00F40C29">
        <w:rPr>
          <w:szCs w:val="19"/>
        </w:rPr>
        <w:t>b</w:t>
      </w:r>
      <w:r w:rsidRPr="00DF38B2">
        <w:rPr>
          <w:szCs w:val="19"/>
        </w:rPr>
        <w:t>).</w:t>
      </w:r>
      <w:r w:rsidR="00DB2253">
        <w:rPr>
          <w:szCs w:val="19"/>
        </w:rPr>
        <w:t xml:space="preserve">  As discussed in Chapter 13 the effective criteria are established by internal DCF procedures.</w:t>
      </w:r>
    </w:p>
    <w:p w:rsidR="005E1FE0" w:rsidRPr="00DF38B2" w:rsidRDefault="005E1FE0" w:rsidP="006654AE">
      <w:pPr>
        <w:rPr>
          <w:szCs w:val="19"/>
        </w:rPr>
      </w:pPr>
      <w:r w:rsidRPr="00DF38B2">
        <w:rPr>
          <w:szCs w:val="19"/>
        </w:rPr>
        <w:t>Individuals on Child Protection Income Management can exit from income management in the following ways:</w:t>
      </w:r>
    </w:p>
    <w:p w:rsidR="005E1FE0" w:rsidRPr="00DF38B2" w:rsidRDefault="005E1FE0" w:rsidP="006654AE">
      <w:pPr>
        <w:pStyle w:val="dot"/>
      </w:pPr>
      <w:r w:rsidRPr="00DF38B2">
        <w:t xml:space="preserve">the period of income management specified in the original notice ends </w:t>
      </w:r>
    </w:p>
    <w:p w:rsidR="005E1FE0" w:rsidRPr="00DF38B2" w:rsidRDefault="005E1FE0" w:rsidP="006654AE">
      <w:pPr>
        <w:pStyle w:val="dot"/>
      </w:pPr>
      <w:r w:rsidRPr="00DF38B2">
        <w:t>the relevant child protection worker revokes the notice to apply income management</w:t>
      </w:r>
    </w:p>
    <w:p w:rsidR="005E1FE0" w:rsidRPr="00DF38B2" w:rsidRDefault="005E1FE0" w:rsidP="006654AE">
      <w:pPr>
        <w:pStyle w:val="dot"/>
      </w:pPr>
      <w:r w:rsidRPr="00DF38B2">
        <w:t>the person is no longer receiving an income support payment</w:t>
      </w:r>
      <w:r w:rsidR="008E3CD6">
        <w:t xml:space="preserve">, </w:t>
      </w:r>
      <w:r w:rsidRPr="00DF38B2">
        <w:t>or they don’t receive an income support payment and their partner’s income support payment ceases</w:t>
      </w:r>
    </w:p>
    <w:p w:rsidR="005E1FE0" w:rsidRPr="00DF38B2" w:rsidRDefault="005E1FE0" w:rsidP="006654AE">
      <w:pPr>
        <w:pStyle w:val="dot"/>
      </w:pPr>
      <w:proofErr w:type="gramStart"/>
      <w:r w:rsidRPr="00DF38B2">
        <w:t>an</w:t>
      </w:r>
      <w:proofErr w:type="gramEnd"/>
      <w:r w:rsidRPr="00DF38B2">
        <w:t xml:space="preserve"> excluded payment nominee is appointed in relation to the individual.</w:t>
      </w:r>
    </w:p>
    <w:p w:rsidR="005E1FE0" w:rsidRPr="00DF38B2" w:rsidRDefault="00DB2253" w:rsidP="006654AE">
      <w:r>
        <w:lastRenderedPageBreak/>
        <w:t>This sub-program is considered in detail in Chapter 13</w:t>
      </w:r>
      <w:r w:rsidR="005E1FE0" w:rsidRPr="00DF38B2">
        <w:t>.</w:t>
      </w:r>
    </w:p>
    <w:p w:rsidR="005E1FE0" w:rsidRPr="00DF38B2" w:rsidRDefault="005E1FE0" w:rsidP="006654AE">
      <w:pPr>
        <w:pStyle w:val="Heading3"/>
      </w:pPr>
      <w:bookmarkStart w:id="57" w:name="_Toc403738971"/>
      <w:r w:rsidRPr="00DF38B2">
        <w:t>Supporting People at Risk Income Management</w:t>
      </w:r>
      <w:bookmarkEnd w:id="57"/>
    </w:p>
    <w:p w:rsidR="005E1FE0" w:rsidRPr="00DF38B2" w:rsidRDefault="005E1FE0" w:rsidP="006654AE">
      <w:pPr>
        <w:rPr>
          <w:szCs w:val="19"/>
        </w:rPr>
      </w:pPr>
      <w:r w:rsidRPr="00DF38B2">
        <w:rPr>
          <w:szCs w:val="19"/>
        </w:rPr>
        <w:t>Under th</w:t>
      </w:r>
      <w:r w:rsidR="00FB275C" w:rsidRPr="00DF38B2">
        <w:rPr>
          <w:szCs w:val="19"/>
        </w:rPr>
        <w:t>e</w:t>
      </w:r>
      <w:r w:rsidR="00FB275C" w:rsidRPr="00F157EE">
        <w:rPr>
          <w:b/>
          <w:szCs w:val="19"/>
        </w:rPr>
        <w:t xml:space="preserve"> Supporting People at Risk (SPAR)</w:t>
      </w:r>
      <w:r w:rsidRPr="00DF38B2">
        <w:rPr>
          <w:szCs w:val="19"/>
        </w:rPr>
        <w:t xml:space="preserve"> income management measure, a recognised state or territory authority is able to notify Centrelink that a person be subject to income management under </w:t>
      </w:r>
      <w:r w:rsidRPr="00FE502F">
        <w:rPr>
          <w:szCs w:val="19"/>
        </w:rPr>
        <w:t xml:space="preserve">the </w:t>
      </w:r>
      <w:r w:rsidRPr="009655C3">
        <w:rPr>
          <w:i/>
          <w:szCs w:val="19"/>
        </w:rPr>
        <w:t>Social Security (Administration) Act 1999 (</w:t>
      </w:r>
      <w:proofErr w:type="spellStart"/>
      <w:r w:rsidRPr="009655C3">
        <w:rPr>
          <w:i/>
          <w:szCs w:val="19"/>
        </w:rPr>
        <w:t>Cwth</w:t>
      </w:r>
      <w:proofErr w:type="spellEnd"/>
      <w:r w:rsidRPr="009655C3">
        <w:rPr>
          <w:i/>
          <w:szCs w:val="19"/>
        </w:rPr>
        <w:t>)</w:t>
      </w:r>
      <w:r w:rsidRPr="00DF38B2">
        <w:rPr>
          <w:szCs w:val="19"/>
        </w:rPr>
        <w:t xml:space="preserve"> Part 3B. To date the Northern Territory Alcohol Mandatory Treatment Tribunal is the only recognised authority under this measure</w:t>
      </w:r>
      <w:r w:rsidR="004D42F6">
        <w:rPr>
          <w:szCs w:val="19"/>
        </w:rPr>
        <w:t xml:space="preserve"> </w:t>
      </w:r>
      <w:r w:rsidR="00797E34">
        <w:rPr>
          <w:szCs w:val="19"/>
        </w:rPr>
        <w:t xml:space="preserve">(see </w:t>
      </w:r>
      <w:r w:rsidR="004D42F6" w:rsidRPr="006C31EF">
        <w:t>Northern Territory D</w:t>
      </w:r>
      <w:r w:rsidR="00797E34">
        <w:t xml:space="preserve">epartment of Health, </w:t>
      </w:r>
      <w:r w:rsidR="004D42F6" w:rsidRPr="006C31EF">
        <w:t>2013</w:t>
      </w:r>
      <w:r w:rsidR="00797E34">
        <w:t>b</w:t>
      </w:r>
      <w:r w:rsidR="004D42F6">
        <w:t>)</w:t>
      </w:r>
      <w:r w:rsidRPr="00DF38B2">
        <w:rPr>
          <w:szCs w:val="19"/>
        </w:rPr>
        <w:t>. The Tribunal issues income management orders for up to 12 months to people who have been placed into mandatory treatment. As with the automatic vulnerable measures</w:t>
      </w:r>
      <w:r w:rsidR="008E3CD6">
        <w:rPr>
          <w:szCs w:val="19"/>
        </w:rPr>
        <w:t>,</w:t>
      </w:r>
      <w:r w:rsidRPr="00DF38B2">
        <w:rPr>
          <w:szCs w:val="19"/>
        </w:rPr>
        <w:t xml:space="preserve"> this component of the program is not being individually evaluated</w:t>
      </w:r>
      <w:r w:rsidR="008E3CD6">
        <w:rPr>
          <w:szCs w:val="19"/>
        </w:rPr>
        <w:t>,</w:t>
      </w:r>
      <w:r w:rsidRPr="00DF38B2">
        <w:rPr>
          <w:szCs w:val="19"/>
        </w:rPr>
        <w:t xml:space="preserve"> but the population is part of the overall evaluation.</w:t>
      </w:r>
    </w:p>
    <w:p w:rsidR="005E1FE0" w:rsidRPr="00DF38B2" w:rsidRDefault="005E1FE0" w:rsidP="006654AE">
      <w:pPr>
        <w:pStyle w:val="Heading3"/>
      </w:pPr>
      <w:bookmarkStart w:id="58" w:name="_Toc403738972"/>
      <w:r w:rsidRPr="00DF38B2">
        <w:t>Voluntary Income Management</w:t>
      </w:r>
      <w:bookmarkEnd w:id="58"/>
      <w:r w:rsidRPr="00DF38B2">
        <w:t xml:space="preserve"> </w:t>
      </w:r>
    </w:p>
    <w:p w:rsidR="005E1FE0" w:rsidRPr="00DF38B2" w:rsidRDefault="005E1FE0" w:rsidP="006654AE">
      <w:pPr>
        <w:rPr>
          <w:szCs w:val="19"/>
        </w:rPr>
      </w:pPr>
      <w:r w:rsidRPr="00DF38B2">
        <w:rPr>
          <w:szCs w:val="19"/>
        </w:rPr>
        <w:t>Voluntary Income Management allows income support recipients to choose to be subject to income management. The intention is that Voluntary Income Management can assist people to meet their priority needs and to learn how to manage their finances for themselves and/or their family in the long</w:t>
      </w:r>
      <w:r w:rsidR="00430144">
        <w:rPr>
          <w:szCs w:val="19"/>
        </w:rPr>
        <w:t>-</w:t>
      </w:r>
      <w:r w:rsidRPr="00DF38B2">
        <w:rPr>
          <w:szCs w:val="19"/>
        </w:rPr>
        <w:t>term. People may decide to participate for a variety of reasons</w:t>
      </w:r>
      <w:r w:rsidR="0080034E">
        <w:rPr>
          <w:szCs w:val="19"/>
        </w:rPr>
        <w:t>,</w:t>
      </w:r>
      <w:r w:rsidRPr="00DF38B2">
        <w:rPr>
          <w:szCs w:val="19"/>
        </w:rPr>
        <w:t xml:space="preserve"> including the effective role of the BasicsCard in the provision of fee</w:t>
      </w:r>
      <w:r w:rsidR="0080034E">
        <w:rPr>
          <w:szCs w:val="19"/>
        </w:rPr>
        <w:t>-</w:t>
      </w:r>
      <w:r w:rsidRPr="00DF38B2">
        <w:rPr>
          <w:szCs w:val="19"/>
        </w:rPr>
        <w:t xml:space="preserve">free banking services, </w:t>
      </w:r>
      <w:r w:rsidR="0080034E">
        <w:rPr>
          <w:szCs w:val="19"/>
        </w:rPr>
        <w:t xml:space="preserve">seeking to </w:t>
      </w:r>
      <w:r w:rsidRPr="00DF38B2">
        <w:rPr>
          <w:szCs w:val="19"/>
        </w:rPr>
        <w:t>avoid financial harassment</w:t>
      </w:r>
      <w:r w:rsidR="0080034E">
        <w:rPr>
          <w:szCs w:val="19"/>
        </w:rPr>
        <w:t>,</w:t>
      </w:r>
      <w:r w:rsidRPr="00DF38B2">
        <w:rPr>
          <w:szCs w:val="19"/>
        </w:rPr>
        <w:t xml:space="preserve"> or because of the value of the financial incentive. In order to be considered, an individual or their partner must be in receipt of a ‘Category H payment’; Chapter 4 shows that most of the people on Voluntary Income Management are in receipt of the Disability Support Pension, the Age Pension or Carer Payment.</w:t>
      </w:r>
    </w:p>
    <w:p w:rsidR="005E1FE0" w:rsidRPr="00DF38B2" w:rsidRDefault="005E1FE0" w:rsidP="006654AE">
      <w:r w:rsidRPr="00DF38B2">
        <w:t>Entry to Voluntary Income Management involves the person approaching Centrelink and asking to be placed on the measure. Centrelink staff may also discuss Voluntary Income Management with clients who present problems which Centrelink staff believe could be addressed through Voluntary Income Management, but are not serious enough to trigger the Vulnerable measure. The option of moving onto Voluntary Income Management was part of the exit interview for people who were subject to NTER Income Management and who were not within scope of the compulsory provisions of New Income Management. As discussed later, this group continues to account for the majority of people on this measure.</w:t>
      </w:r>
    </w:p>
    <w:p w:rsidR="005E1FE0" w:rsidRPr="00DF38B2" w:rsidRDefault="005E1FE0" w:rsidP="006654AE">
      <w:pPr>
        <w:rPr>
          <w:szCs w:val="19"/>
        </w:rPr>
      </w:pPr>
      <w:r w:rsidRPr="00DF38B2">
        <w:rPr>
          <w:szCs w:val="19"/>
        </w:rPr>
        <w:t>When people start Voluntary Income Management they must wait 13 weeks before they can choose to stop being income</w:t>
      </w:r>
      <w:r w:rsidR="006110B2">
        <w:rPr>
          <w:szCs w:val="19"/>
        </w:rPr>
        <w:t xml:space="preserve"> </w:t>
      </w:r>
      <w:r w:rsidRPr="00DF38B2">
        <w:rPr>
          <w:szCs w:val="19"/>
        </w:rPr>
        <w:t>managed. After this period they can stop at any time. There is no set time period for Voluntary Income Management</w:t>
      </w:r>
      <w:r w:rsidR="006110B2">
        <w:rPr>
          <w:szCs w:val="19"/>
        </w:rPr>
        <w:t>;</w:t>
      </w:r>
      <w:r w:rsidRPr="00DF38B2">
        <w:rPr>
          <w:szCs w:val="19"/>
        </w:rPr>
        <w:t xml:space="preserve"> there are limited review and appeal processes which cover issues such as decisions that a person cannot enter into an agreement, or matters relating to how the income</w:t>
      </w:r>
      <w:r w:rsidR="00A04470">
        <w:rPr>
          <w:szCs w:val="19"/>
        </w:rPr>
        <w:t xml:space="preserve"> </w:t>
      </w:r>
      <w:r w:rsidRPr="00DF38B2">
        <w:rPr>
          <w:szCs w:val="19"/>
        </w:rPr>
        <w:t>managed funds are applied.</w:t>
      </w:r>
    </w:p>
    <w:p w:rsidR="005E1FE0" w:rsidRPr="00DF38B2" w:rsidRDefault="005E1FE0" w:rsidP="006654AE">
      <w:pPr>
        <w:rPr>
          <w:szCs w:val="19"/>
        </w:rPr>
      </w:pPr>
      <w:r w:rsidRPr="00DF38B2">
        <w:rPr>
          <w:szCs w:val="19"/>
        </w:rPr>
        <w:t>In deciding whether or not to allow an individual to participate, Centrelink must assess whether the person’s circumstances make them suitable to be income managed. One factor that is taken into account is the level of Centrelink payments the client receives. If they receive only a small amount (</w:t>
      </w:r>
      <w:r w:rsidR="00430144">
        <w:rPr>
          <w:szCs w:val="19"/>
        </w:rPr>
        <w:t>for example,</w:t>
      </w:r>
      <w:r w:rsidR="00B5343C">
        <w:rPr>
          <w:szCs w:val="19"/>
        </w:rPr>
        <w:t xml:space="preserve"> </w:t>
      </w:r>
      <w:r w:rsidRPr="00DF38B2">
        <w:rPr>
          <w:szCs w:val="19"/>
        </w:rPr>
        <w:t>$50 per week) then the client may be advised that Centrepay may be a better option.</w:t>
      </w:r>
      <w:r w:rsidRPr="00DF38B2">
        <w:rPr>
          <w:rStyle w:val="FootnoteReference"/>
        </w:rPr>
        <w:footnoteReference w:id="29"/>
      </w:r>
      <w:r w:rsidRPr="00DF38B2">
        <w:rPr>
          <w:szCs w:val="19"/>
        </w:rPr>
        <w:t xml:space="preserve"> Centrelink can stop the Voluntary Income Management agreement at any time if the person ceases to meet the eligibility criteria.</w:t>
      </w:r>
    </w:p>
    <w:p w:rsidR="005E1FE0" w:rsidRPr="00DF38B2" w:rsidRDefault="005E1FE0" w:rsidP="006654AE">
      <w:pPr>
        <w:rPr>
          <w:szCs w:val="19"/>
        </w:rPr>
      </w:pPr>
      <w:r w:rsidRPr="00FE502F">
        <w:rPr>
          <w:szCs w:val="19"/>
        </w:rPr>
        <w:t xml:space="preserve">If a person participates in Voluntary Income Management for 26 continuous weeks, they are eligible for the Voluntary Income Management Incentive Payment of $250. This incentive payment is paid for </w:t>
      </w:r>
      <w:r w:rsidRPr="009655C3">
        <w:rPr>
          <w:szCs w:val="19"/>
        </w:rPr>
        <w:t>each block of 26 continuous weeks spent on Voluntary Income Management and the payment is income managed at 100 per cent</w:t>
      </w:r>
      <w:r w:rsidRPr="00DF38B2">
        <w:rPr>
          <w:szCs w:val="19"/>
        </w:rPr>
        <w:t>.</w:t>
      </w:r>
    </w:p>
    <w:p w:rsidR="005E1FE0" w:rsidRPr="009655C3" w:rsidRDefault="005E1FE0" w:rsidP="006654AE">
      <w:pPr>
        <w:pStyle w:val="Heading3"/>
      </w:pPr>
      <w:bookmarkStart w:id="59" w:name="_Toc403738973"/>
      <w:r w:rsidRPr="009655C3">
        <w:t>Hierarchy of income management measures</w:t>
      </w:r>
      <w:bookmarkEnd w:id="59"/>
    </w:p>
    <w:p w:rsidR="005E1FE0" w:rsidRPr="00DF38B2" w:rsidRDefault="005E1FE0" w:rsidP="006654AE">
      <w:pPr>
        <w:rPr>
          <w:szCs w:val="19"/>
        </w:rPr>
      </w:pPr>
      <w:r w:rsidRPr="00DF38B2">
        <w:rPr>
          <w:szCs w:val="19"/>
        </w:rPr>
        <w:t>If a person meets the criteria for more than one income management measure there is a hierarchy of the income management measures that applies, and the person is placed on the highest measure appli</w:t>
      </w:r>
      <w:r w:rsidR="000E3239">
        <w:rPr>
          <w:szCs w:val="19"/>
        </w:rPr>
        <w:t>cable</w:t>
      </w:r>
      <w:r w:rsidRPr="00DF38B2">
        <w:rPr>
          <w:szCs w:val="19"/>
        </w:rPr>
        <w:t xml:space="preserve"> to them at that time. The hierarchy from highest to lowest is:</w:t>
      </w:r>
    </w:p>
    <w:p w:rsidR="005E1FE0" w:rsidRPr="00DF38B2" w:rsidRDefault="005E1FE0" w:rsidP="006654AE">
      <w:pPr>
        <w:pStyle w:val="dot"/>
      </w:pPr>
      <w:r w:rsidRPr="00DF38B2">
        <w:lastRenderedPageBreak/>
        <w:t>Cape York Income Management</w:t>
      </w:r>
      <w:r w:rsidRPr="00DF38B2">
        <w:rPr>
          <w:rStyle w:val="FootnoteReference"/>
        </w:rPr>
        <w:footnoteReference w:id="30"/>
      </w:r>
    </w:p>
    <w:p w:rsidR="005E1FE0" w:rsidRDefault="005E1FE0" w:rsidP="006654AE">
      <w:pPr>
        <w:pStyle w:val="dot"/>
      </w:pPr>
      <w:r w:rsidRPr="00DF38B2">
        <w:t xml:space="preserve">Child Protection Income Management </w:t>
      </w:r>
    </w:p>
    <w:p w:rsidR="008B7EFF" w:rsidRPr="00DF38B2" w:rsidRDefault="008B7EFF" w:rsidP="006654AE">
      <w:pPr>
        <w:pStyle w:val="dot"/>
      </w:pPr>
      <w:r>
        <w:t>Supporting People at Risk Income Management</w:t>
      </w:r>
    </w:p>
    <w:p w:rsidR="005E1FE0" w:rsidRPr="00DF38B2" w:rsidRDefault="005E1FE0" w:rsidP="006654AE">
      <w:pPr>
        <w:pStyle w:val="dot"/>
      </w:pPr>
      <w:r w:rsidRPr="00DF38B2">
        <w:t xml:space="preserve">Vulnerable Income Management </w:t>
      </w:r>
    </w:p>
    <w:p w:rsidR="005E1FE0" w:rsidRPr="00DF38B2" w:rsidRDefault="005E1FE0" w:rsidP="006654AE">
      <w:pPr>
        <w:pStyle w:val="dot"/>
      </w:pPr>
      <w:r w:rsidRPr="00DF38B2">
        <w:t>Compulsory Income Management</w:t>
      </w:r>
    </w:p>
    <w:p w:rsidR="005E1FE0" w:rsidRPr="00DF38B2" w:rsidRDefault="005E1FE0" w:rsidP="006654AE">
      <w:pPr>
        <w:pStyle w:val="dot"/>
      </w:pPr>
      <w:r w:rsidRPr="00DF38B2">
        <w:t>Voluntary Income Management</w:t>
      </w:r>
      <w:r w:rsidR="000E3239">
        <w:t>.</w:t>
      </w:r>
      <w:r w:rsidRPr="00DF38B2">
        <w:t xml:space="preserve"> </w:t>
      </w:r>
    </w:p>
    <w:p w:rsidR="005E1FE0" w:rsidRPr="00DF38B2" w:rsidRDefault="005E1FE0" w:rsidP="006654AE">
      <w:pPr>
        <w:rPr>
          <w:szCs w:val="19"/>
        </w:rPr>
      </w:pPr>
      <w:r w:rsidRPr="00DF38B2">
        <w:rPr>
          <w:szCs w:val="19"/>
        </w:rPr>
        <w:t>People who cease one form of income management and meet the criteria for a measure that is lower in the hierarchy will be put on the lower measure. For example, if a person on Vulnerable Income Management is no longer assessed as vulnerable by Centrelink, they may still be subject to Compulsory Income Management and will continue to be income managed under this measure.</w:t>
      </w:r>
    </w:p>
    <w:p w:rsidR="005E1FE0" w:rsidRPr="00DF38B2" w:rsidRDefault="005E1FE0" w:rsidP="006654AE">
      <w:pPr>
        <w:pStyle w:val="Heading2"/>
      </w:pPr>
      <w:bookmarkStart w:id="60" w:name="_Toc403738974"/>
      <w:r w:rsidRPr="00DF38B2">
        <w:t>The operation of income management and transition from the NTER</w:t>
      </w:r>
      <w:bookmarkEnd w:id="60"/>
    </w:p>
    <w:p w:rsidR="005E1FE0" w:rsidRPr="00DF38B2" w:rsidRDefault="005E1FE0" w:rsidP="006654AE">
      <w:r w:rsidRPr="00DF38B2">
        <w:t>This section considers three operational aspects of New Income Management. First</w:t>
      </w:r>
      <w:r w:rsidR="000E3239">
        <w:t>,</w:t>
      </w:r>
      <w:r w:rsidRPr="00DF38B2">
        <w:t xml:space="preserve"> the way in which income</w:t>
      </w:r>
      <w:r w:rsidR="00A04470">
        <w:t xml:space="preserve"> </w:t>
      </w:r>
      <w:r w:rsidRPr="00DF38B2">
        <w:t>managed funds are actually managed, and the ways in which a person can spend them; the second is a detailed presentation of the ways in which people subject to the measure can seek the review of decisions; and third</w:t>
      </w:r>
      <w:r w:rsidR="000E3239">
        <w:t>,</w:t>
      </w:r>
      <w:r w:rsidRPr="00DF38B2">
        <w:t xml:space="preserve"> the way in which the program was implemented, focus</w:t>
      </w:r>
      <w:r w:rsidR="000E3239">
        <w:t>ing</w:t>
      </w:r>
      <w:r w:rsidRPr="00DF38B2">
        <w:t xml:space="preserve"> on the transition from NTER income management.</w:t>
      </w:r>
    </w:p>
    <w:p w:rsidR="005E1FE0" w:rsidRPr="00DF38B2" w:rsidRDefault="005E1FE0" w:rsidP="006654AE">
      <w:pPr>
        <w:pStyle w:val="Heading3"/>
      </w:pPr>
      <w:bookmarkStart w:id="61" w:name="_Ref391896477"/>
      <w:bookmarkStart w:id="62" w:name="_Toc403738975"/>
      <w:r w:rsidRPr="00DF38B2">
        <w:t>Spending income</w:t>
      </w:r>
      <w:r w:rsidR="00A04470">
        <w:t xml:space="preserve"> </w:t>
      </w:r>
      <w:r w:rsidRPr="00DF38B2">
        <w:t>managed funds</w:t>
      </w:r>
      <w:bookmarkEnd w:id="61"/>
      <w:bookmarkEnd w:id="62"/>
    </w:p>
    <w:p w:rsidR="005E1FE0" w:rsidRPr="00DF38B2" w:rsidRDefault="005E1FE0" w:rsidP="006654AE">
      <w:pPr>
        <w:rPr>
          <w:szCs w:val="19"/>
        </w:rPr>
      </w:pPr>
      <w:r w:rsidRPr="00DF38B2">
        <w:rPr>
          <w:szCs w:val="19"/>
        </w:rPr>
        <w:t>There are several ways in which individuals who are subject to income management can spend their income</w:t>
      </w:r>
      <w:r w:rsidR="00A04470">
        <w:rPr>
          <w:szCs w:val="19"/>
        </w:rPr>
        <w:t xml:space="preserve"> </w:t>
      </w:r>
      <w:r w:rsidRPr="00DF38B2">
        <w:rPr>
          <w:szCs w:val="19"/>
        </w:rPr>
        <w:t xml:space="preserve">managed money. These comprise: (i) using their </w:t>
      </w:r>
      <w:proofErr w:type="spellStart"/>
      <w:r w:rsidRPr="00DF38B2">
        <w:rPr>
          <w:szCs w:val="19"/>
        </w:rPr>
        <w:t>BasicsCard</w:t>
      </w:r>
      <w:proofErr w:type="spellEnd"/>
      <w:r w:rsidRPr="00DF38B2">
        <w:rPr>
          <w:szCs w:val="19"/>
        </w:rPr>
        <w:t xml:space="preserve"> (a type of EFTPOS card) at an approved merchant; (ii) by allocating money to cover certain regular expenses (</w:t>
      </w:r>
      <w:r w:rsidR="00B5343C">
        <w:rPr>
          <w:szCs w:val="19"/>
        </w:rPr>
        <w:t xml:space="preserve">e.g., </w:t>
      </w:r>
      <w:r w:rsidRPr="00DF38B2">
        <w:rPr>
          <w:szCs w:val="19"/>
        </w:rPr>
        <w:t>rent, utility bills, school nutrition program) and having Centrelink make payments direct from the income</w:t>
      </w:r>
      <w:r w:rsidR="00A04470">
        <w:rPr>
          <w:szCs w:val="19"/>
        </w:rPr>
        <w:t xml:space="preserve"> </w:t>
      </w:r>
      <w:r w:rsidRPr="00DF38B2">
        <w:rPr>
          <w:szCs w:val="19"/>
        </w:rPr>
        <w:t>managed money</w:t>
      </w:r>
      <w:r w:rsidR="000E3239">
        <w:rPr>
          <w:szCs w:val="19"/>
        </w:rPr>
        <w:t>;</w:t>
      </w:r>
      <w:r w:rsidRPr="00DF38B2">
        <w:rPr>
          <w:szCs w:val="19"/>
        </w:rPr>
        <w:t xml:space="preserve"> or (iii) by organising for Centrelink to make one-off payments to a merchant for a particular good or service.</w:t>
      </w:r>
    </w:p>
    <w:p w:rsidR="005E1FE0" w:rsidRPr="00DF38B2" w:rsidRDefault="005E1FE0" w:rsidP="006654AE">
      <w:pPr>
        <w:pStyle w:val="Heading4"/>
      </w:pPr>
      <w:r w:rsidRPr="00DF38B2">
        <w:t>Allocations</w:t>
      </w:r>
    </w:p>
    <w:p w:rsidR="005E1FE0" w:rsidRPr="00DF38B2" w:rsidRDefault="005E1FE0" w:rsidP="006654AE">
      <w:pPr>
        <w:rPr>
          <w:szCs w:val="19"/>
        </w:rPr>
      </w:pPr>
      <w:r w:rsidRPr="00DF38B2">
        <w:rPr>
          <w:szCs w:val="19"/>
        </w:rPr>
        <w:t>When people first become subject to income management they meet with a Centrelink customer service adviser for an ‘allocation interview’. The purpose of this is to determine how they spend their income</w:t>
      </w:r>
      <w:r w:rsidR="00A04470">
        <w:rPr>
          <w:szCs w:val="19"/>
        </w:rPr>
        <w:t xml:space="preserve"> </w:t>
      </w:r>
      <w:r w:rsidRPr="00DF38B2">
        <w:rPr>
          <w:szCs w:val="19"/>
        </w:rPr>
        <w:t>managed money</w:t>
      </w:r>
      <w:r w:rsidR="00A1421A">
        <w:rPr>
          <w:szCs w:val="19"/>
        </w:rPr>
        <w:t xml:space="preserve">. </w:t>
      </w:r>
      <w:r w:rsidRPr="00DF38B2">
        <w:rPr>
          <w:szCs w:val="19"/>
        </w:rPr>
        <w:t>At this meeting, the individual’s priority needs (</w:t>
      </w:r>
      <w:r w:rsidR="00B5343C">
        <w:rPr>
          <w:szCs w:val="19"/>
        </w:rPr>
        <w:t xml:space="preserve">e.g., </w:t>
      </w:r>
      <w:r w:rsidRPr="00DF38B2">
        <w:rPr>
          <w:szCs w:val="19"/>
        </w:rPr>
        <w:t>food, housing, education expenses</w:t>
      </w:r>
      <w:r w:rsidR="000E3239">
        <w:rPr>
          <w:szCs w:val="19"/>
        </w:rPr>
        <w:t>,</w:t>
      </w:r>
      <w:r w:rsidRPr="00DF38B2">
        <w:rPr>
          <w:szCs w:val="19"/>
        </w:rPr>
        <w:t xml:space="preserve"> etc.) are identified and a plan is to be developed as to how these priority needs will be met. Decisions are then made as to the relative spending in different areas and the way in which this will be managed. The individual is able to change the allocations at any time</w:t>
      </w:r>
      <w:r w:rsidR="000E3239">
        <w:rPr>
          <w:szCs w:val="19"/>
        </w:rPr>
        <w:t>,</w:t>
      </w:r>
      <w:r w:rsidRPr="00DF38B2">
        <w:rPr>
          <w:szCs w:val="19"/>
        </w:rPr>
        <w:t xml:space="preserve"> provided that Centrelink is satisfied that priority needs continue to be met.</w:t>
      </w:r>
    </w:p>
    <w:p w:rsidR="005E1FE0" w:rsidRPr="00DF38B2" w:rsidRDefault="005E1FE0" w:rsidP="006654AE">
      <w:pPr>
        <w:rPr>
          <w:szCs w:val="19"/>
        </w:rPr>
      </w:pPr>
      <w:r w:rsidRPr="00DF38B2">
        <w:rPr>
          <w:szCs w:val="19"/>
        </w:rPr>
        <w:t>The advice to Centrelink staff is that regular expense allocations for the following priority needs</w:t>
      </w:r>
      <w:r w:rsidR="000E3239">
        <w:rPr>
          <w:szCs w:val="19"/>
        </w:rPr>
        <w:t xml:space="preserve">, </w:t>
      </w:r>
      <w:r w:rsidRPr="00DF38B2">
        <w:rPr>
          <w:szCs w:val="19"/>
        </w:rPr>
        <w:t>where applicable</w:t>
      </w:r>
      <w:r w:rsidR="000E3239">
        <w:rPr>
          <w:szCs w:val="19"/>
        </w:rPr>
        <w:t>,</w:t>
      </w:r>
      <w:r w:rsidRPr="00DF38B2">
        <w:rPr>
          <w:szCs w:val="19"/>
        </w:rPr>
        <w:t xml:space="preserve"> should be </w:t>
      </w:r>
      <w:r w:rsidR="000E3239">
        <w:rPr>
          <w:szCs w:val="19"/>
        </w:rPr>
        <w:t>established</w:t>
      </w:r>
      <w:r w:rsidRPr="00DF38B2">
        <w:rPr>
          <w:szCs w:val="19"/>
        </w:rPr>
        <w:t>: school nutrition program, food, medical expenses, rent, and utilities (</w:t>
      </w:r>
      <w:r w:rsidR="00B5343C">
        <w:rPr>
          <w:szCs w:val="19"/>
        </w:rPr>
        <w:t xml:space="preserve">e.g., </w:t>
      </w:r>
      <w:r w:rsidRPr="00DF38B2">
        <w:rPr>
          <w:szCs w:val="19"/>
        </w:rPr>
        <w:t>electricity, gas, water). If a regular expense allocation is not set up for any of these priority needs, the Centrelink customer service adviser needs to ascertain how the customer is meeting these needs. The Centrelink data on allocations shows that the majority of income</w:t>
      </w:r>
      <w:r w:rsidR="00A04470">
        <w:rPr>
          <w:szCs w:val="19"/>
        </w:rPr>
        <w:t xml:space="preserve"> </w:t>
      </w:r>
      <w:r w:rsidRPr="00DF38B2">
        <w:rPr>
          <w:szCs w:val="19"/>
        </w:rPr>
        <w:t>managed money is allocated to the BasicsCard (Chapter 5).</w:t>
      </w:r>
    </w:p>
    <w:p w:rsidR="005E1FE0" w:rsidRPr="00DF38B2" w:rsidRDefault="005E1FE0" w:rsidP="006654AE">
      <w:pPr>
        <w:rPr>
          <w:szCs w:val="19"/>
        </w:rPr>
      </w:pPr>
      <w:r w:rsidRPr="00DF38B2">
        <w:rPr>
          <w:szCs w:val="19"/>
        </w:rPr>
        <w:t>Once priority needs have been met, people can allocate income</w:t>
      </w:r>
      <w:r w:rsidR="00A04470">
        <w:rPr>
          <w:szCs w:val="19"/>
        </w:rPr>
        <w:t xml:space="preserve"> </w:t>
      </w:r>
      <w:r w:rsidRPr="00DF38B2">
        <w:rPr>
          <w:szCs w:val="19"/>
        </w:rPr>
        <w:t>managed funds to items that are not priority needs</w:t>
      </w:r>
      <w:r w:rsidR="000E3239">
        <w:rPr>
          <w:szCs w:val="19"/>
        </w:rPr>
        <w:t xml:space="preserve">, </w:t>
      </w:r>
      <w:r w:rsidRPr="00DF38B2">
        <w:rPr>
          <w:szCs w:val="19"/>
        </w:rPr>
        <w:t xml:space="preserve">as long as they are not excluded items. This can include </w:t>
      </w:r>
      <w:r w:rsidR="008B7EFF">
        <w:rPr>
          <w:szCs w:val="19"/>
        </w:rPr>
        <w:t>accumulating funds in their account as part of a plan</w:t>
      </w:r>
      <w:r w:rsidRPr="00DF38B2">
        <w:rPr>
          <w:szCs w:val="19"/>
        </w:rPr>
        <w:t xml:space="preserve"> to buy larger items, such as motor vehicles or whitegoods</w:t>
      </w:r>
      <w:r w:rsidR="008B7EFF">
        <w:rPr>
          <w:szCs w:val="19"/>
        </w:rPr>
        <w:t xml:space="preserve"> with their income managed</w:t>
      </w:r>
      <w:r w:rsidR="008B7EFF" w:rsidRPr="00DF38B2">
        <w:rPr>
          <w:szCs w:val="19"/>
        </w:rPr>
        <w:t xml:space="preserve"> funds</w:t>
      </w:r>
      <w:r w:rsidR="008B7EFF">
        <w:rPr>
          <w:szCs w:val="19"/>
        </w:rPr>
        <w:t>, or simply held as a reserve or for allocation to their BasicsCard at a future time</w:t>
      </w:r>
      <w:r w:rsidRPr="00DF38B2">
        <w:rPr>
          <w:szCs w:val="19"/>
        </w:rPr>
        <w:t>.</w:t>
      </w:r>
    </w:p>
    <w:p w:rsidR="005E1FE0" w:rsidRPr="00DF38B2" w:rsidRDefault="005E1FE0" w:rsidP="006654AE">
      <w:pPr>
        <w:rPr>
          <w:szCs w:val="19"/>
        </w:rPr>
      </w:pPr>
      <w:r w:rsidRPr="00DF38B2">
        <w:rPr>
          <w:szCs w:val="19"/>
        </w:rPr>
        <w:lastRenderedPageBreak/>
        <w:t xml:space="preserve">The </w:t>
      </w:r>
      <w:r w:rsidRPr="00DF38B2">
        <w:rPr>
          <w:i/>
          <w:szCs w:val="19"/>
        </w:rPr>
        <w:t>Guide to Social Security Law</w:t>
      </w:r>
      <w:r w:rsidRPr="00DF38B2">
        <w:rPr>
          <w:szCs w:val="19"/>
        </w:rPr>
        <w:t xml:space="preserve"> lists </w:t>
      </w:r>
      <w:r w:rsidR="000E3239">
        <w:rPr>
          <w:szCs w:val="19"/>
        </w:rPr>
        <w:t>four</w:t>
      </w:r>
      <w:r w:rsidRPr="00DF38B2">
        <w:rPr>
          <w:szCs w:val="19"/>
        </w:rPr>
        <w:t xml:space="preserve"> guiding principles that should be used in all decisions </w:t>
      </w:r>
      <w:r w:rsidR="000E3239">
        <w:rPr>
          <w:szCs w:val="19"/>
        </w:rPr>
        <w:t>regarding</w:t>
      </w:r>
      <w:r w:rsidRPr="00DF38B2">
        <w:rPr>
          <w:szCs w:val="19"/>
        </w:rPr>
        <w:t xml:space="preserve"> the use of income</w:t>
      </w:r>
      <w:r w:rsidR="00A04470">
        <w:rPr>
          <w:szCs w:val="19"/>
        </w:rPr>
        <w:t xml:space="preserve"> </w:t>
      </w:r>
      <w:r w:rsidRPr="00DF38B2">
        <w:rPr>
          <w:szCs w:val="19"/>
        </w:rPr>
        <w:t>managed funds:</w:t>
      </w:r>
    </w:p>
    <w:p w:rsidR="005E1FE0" w:rsidRPr="00DF38B2" w:rsidRDefault="007B08FE" w:rsidP="006654AE">
      <w:pPr>
        <w:pStyle w:val="dash"/>
        <w:ind w:right="396"/>
      </w:pPr>
      <w:r>
        <w:t>“</w:t>
      </w:r>
      <w:r w:rsidR="005E1FE0" w:rsidRPr="00DF38B2">
        <w:t>While the delegate has authority to make decisions about a person</w:t>
      </w:r>
      <w:r w:rsidR="000E3239">
        <w:t>’</w:t>
      </w:r>
      <w:r w:rsidR="005E1FE0" w:rsidRPr="00DF38B2">
        <w:t>s income managed payments, the person should also have significant input to these decisions. The intention is to help the person meet their priority needs.</w:t>
      </w:r>
    </w:p>
    <w:p w:rsidR="005E1FE0" w:rsidRPr="00DF38B2" w:rsidRDefault="005E1FE0" w:rsidP="006654AE">
      <w:pPr>
        <w:pStyle w:val="dash"/>
        <w:ind w:right="396"/>
      </w:pPr>
      <w:r w:rsidRPr="00DF38B2">
        <w:t>Where a person has funds in their income management account, and the delegate is aware of an unmet priority need of the person, their partner, children and/or other dependants, then the delegate must take action to meet that need.</w:t>
      </w:r>
    </w:p>
    <w:p w:rsidR="005E1FE0" w:rsidRPr="00DF38B2" w:rsidRDefault="00A04470" w:rsidP="006654AE">
      <w:pPr>
        <w:pStyle w:val="dash"/>
        <w:ind w:right="396"/>
      </w:pPr>
      <w:r>
        <w:t>Income managed</w:t>
      </w:r>
      <w:r w:rsidR="00307C76">
        <w:t xml:space="preserve"> funds</w:t>
      </w:r>
      <w:r w:rsidR="005E1FE0" w:rsidRPr="00DF38B2">
        <w:t xml:space="preserve"> cannot be unreasonably withheld from a person. If current and reasonably foreseeable priority needs have been met and a person seeks access to unspent funds, this request should be granted. The delegate should discuss the purpose of access to unspent funds; so that the delegate is assured that the payment will not be spent on excluded goods or services.</w:t>
      </w:r>
    </w:p>
    <w:p w:rsidR="005E1FE0" w:rsidRPr="00DF38B2" w:rsidRDefault="005E1FE0" w:rsidP="006654AE">
      <w:pPr>
        <w:pStyle w:val="dash"/>
        <w:ind w:right="396"/>
      </w:pPr>
      <w:r w:rsidRPr="00DF38B2">
        <w:t xml:space="preserve">If a person has children or other dependants in their care, the delegate must have regard to the best interests of those children and/or dependants in deciding how </w:t>
      </w:r>
      <w:r w:rsidR="00A04470">
        <w:t>income managed</w:t>
      </w:r>
      <w:r w:rsidR="00307C76">
        <w:t xml:space="preserve"> funds</w:t>
      </w:r>
      <w:r w:rsidRPr="00DF38B2">
        <w:t xml:space="preserve"> should be used.</w:t>
      </w:r>
      <w:r w:rsidR="007B08FE">
        <w:t>”</w:t>
      </w:r>
      <w:r w:rsidRPr="00DF38B2">
        <w:t xml:space="preserve"> (Australian Government, 2014, Section 11.1.3.10). </w:t>
      </w:r>
    </w:p>
    <w:p w:rsidR="005E1FE0" w:rsidRPr="00DF38B2" w:rsidRDefault="005E1FE0" w:rsidP="006654AE">
      <w:pPr>
        <w:pStyle w:val="Heading4"/>
      </w:pPr>
      <w:r w:rsidRPr="00DF38B2">
        <w:t>BasicsCard</w:t>
      </w:r>
    </w:p>
    <w:p w:rsidR="005E1FE0" w:rsidRPr="00DF38B2" w:rsidRDefault="005E1FE0" w:rsidP="006654AE">
      <w:pPr>
        <w:rPr>
          <w:szCs w:val="19"/>
        </w:rPr>
      </w:pPr>
      <w:r w:rsidRPr="00DF38B2">
        <w:rPr>
          <w:szCs w:val="19"/>
        </w:rPr>
        <w:t xml:space="preserve">All people subject to income management are offered a BasicsCard, although it is not compulsory, and in some circumstances Centrelink can withdraw the card. In practice, the vast majority of individuals subject to income management have a BasicsCard (see Chapter 6). </w:t>
      </w:r>
    </w:p>
    <w:p w:rsidR="005E1FE0" w:rsidRPr="00DF38B2" w:rsidRDefault="005E1FE0" w:rsidP="006654AE">
      <w:pPr>
        <w:rPr>
          <w:szCs w:val="19"/>
        </w:rPr>
      </w:pPr>
      <w:r w:rsidRPr="00DF38B2">
        <w:rPr>
          <w:szCs w:val="19"/>
        </w:rPr>
        <w:t>The BasicsCard is a PIN</w:t>
      </w:r>
      <w:r w:rsidR="000E3239">
        <w:rPr>
          <w:szCs w:val="19"/>
        </w:rPr>
        <w:t>-</w:t>
      </w:r>
      <w:r w:rsidRPr="00DF38B2">
        <w:rPr>
          <w:szCs w:val="19"/>
        </w:rPr>
        <w:t>protected card that lets people spend their income</w:t>
      </w:r>
      <w:r w:rsidR="00A04470">
        <w:rPr>
          <w:szCs w:val="19"/>
        </w:rPr>
        <w:t xml:space="preserve"> </w:t>
      </w:r>
      <w:r w:rsidRPr="00DF38B2">
        <w:rPr>
          <w:szCs w:val="19"/>
        </w:rPr>
        <w:t xml:space="preserve">managed money at approved stores and businesses using the EFTPOS system. The BasicsCard has a maximum daily spend limit of $1,500 and its balance cannot exceed $3,000. People being income managed have the option to set a lower daily spend limit and a lower maximum balance. Centrelink has the discretion to cancel or suspend operation of a BasicsCard. Similar to an EFTPOS or credit card, the BasicsCard has standard terms and conditions. </w:t>
      </w:r>
    </w:p>
    <w:p w:rsidR="005E1FE0" w:rsidRPr="00FE502F" w:rsidRDefault="005E1FE0" w:rsidP="006654AE">
      <w:pPr>
        <w:rPr>
          <w:szCs w:val="19"/>
        </w:rPr>
      </w:pPr>
      <w:r w:rsidRPr="00DF38B2">
        <w:rPr>
          <w:szCs w:val="19"/>
        </w:rPr>
        <w:t>The BasicsCard can, in certain circumstances, be used to make lay-by payments</w:t>
      </w:r>
      <w:r w:rsidR="009E4767">
        <w:rPr>
          <w:szCs w:val="19"/>
        </w:rPr>
        <w:t>.</w:t>
      </w:r>
      <w:r w:rsidRPr="00DF38B2">
        <w:rPr>
          <w:rStyle w:val="FootnoteReference"/>
          <w:szCs w:val="19"/>
        </w:rPr>
        <w:footnoteReference w:id="31"/>
      </w:r>
      <w:r w:rsidRPr="00DF38B2">
        <w:rPr>
          <w:szCs w:val="19"/>
        </w:rPr>
        <w:t xml:space="preserve"> If a purchased good is returned, the money is refunded to the account attached to the BasicsCard. T</w:t>
      </w:r>
      <w:r w:rsidRPr="00FE502F">
        <w:rPr>
          <w:szCs w:val="19"/>
        </w:rPr>
        <w:t xml:space="preserve">he rules preclude </w:t>
      </w:r>
      <w:r w:rsidR="00C43DD2">
        <w:rPr>
          <w:szCs w:val="19"/>
        </w:rPr>
        <w:t xml:space="preserve">providing </w:t>
      </w:r>
      <w:r w:rsidRPr="00FE502F">
        <w:rPr>
          <w:szCs w:val="19"/>
        </w:rPr>
        <w:t>a cash refund.</w:t>
      </w:r>
    </w:p>
    <w:p w:rsidR="005E1FE0" w:rsidRPr="00DF38B2" w:rsidRDefault="005E1FE0" w:rsidP="006654AE">
      <w:pPr>
        <w:rPr>
          <w:szCs w:val="19"/>
        </w:rPr>
      </w:pPr>
      <w:r w:rsidRPr="009655C3">
        <w:rPr>
          <w:szCs w:val="19"/>
        </w:rPr>
        <w:t>An important aspect of the BasicsCard is that it is fee</w:t>
      </w:r>
      <w:r w:rsidR="009E4767">
        <w:rPr>
          <w:szCs w:val="19"/>
        </w:rPr>
        <w:t>-</w:t>
      </w:r>
      <w:r w:rsidRPr="009655C3">
        <w:rPr>
          <w:szCs w:val="19"/>
        </w:rPr>
        <w:t xml:space="preserve">free and there </w:t>
      </w:r>
      <w:proofErr w:type="gramStart"/>
      <w:r w:rsidRPr="009655C3">
        <w:rPr>
          <w:szCs w:val="19"/>
        </w:rPr>
        <w:t>are</w:t>
      </w:r>
      <w:proofErr w:type="gramEnd"/>
      <w:r w:rsidRPr="009655C3">
        <w:rPr>
          <w:szCs w:val="19"/>
        </w:rPr>
        <w:t xml:space="preserve"> no direct transaction costs associated with its use</w:t>
      </w:r>
      <w:r w:rsidR="009E4767">
        <w:rPr>
          <w:szCs w:val="19"/>
        </w:rPr>
        <w:t>.</w:t>
      </w:r>
      <w:r w:rsidRPr="00DF38B2">
        <w:rPr>
          <w:rStyle w:val="FootnoteReference"/>
          <w:szCs w:val="19"/>
        </w:rPr>
        <w:footnoteReference w:id="32"/>
      </w:r>
      <w:r w:rsidRPr="00DF38B2">
        <w:rPr>
          <w:szCs w:val="19"/>
        </w:rPr>
        <w:t xml:space="preserve"> Replacement cards are provided free of charge. This is important in the context of remote communities, where high bank fees and transaction costs have been a major problem (House of Representatives Standing Committee on Aboriginal and Torres Strait Islander Affairs, 2009).</w:t>
      </w:r>
      <w:r w:rsidRPr="00FE502F">
        <w:rPr>
          <w:szCs w:val="19"/>
        </w:rPr>
        <w:t xml:space="preserve"> </w:t>
      </w:r>
      <w:proofErr w:type="gramStart"/>
      <w:r w:rsidRPr="00FE502F">
        <w:rPr>
          <w:szCs w:val="19"/>
        </w:rPr>
        <w:t>Al</w:t>
      </w:r>
      <w:r w:rsidRPr="009655C3">
        <w:rPr>
          <w:szCs w:val="19"/>
        </w:rPr>
        <w:t>though, from 1 De</w:t>
      </w:r>
      <w:r w:rsidR="009E4767">
        <w:rPr>
          <w:szCs w:val="19"/>
        </w:rPr>
        <w:t>c</w:t>
      </w:r>
      <w:r w:rsidRPr="009655C3">
        <w:rPr>
          <w:szCs w:val="19"/>
        </w:rPr>
        <w:t>ember 2012</w:t>
      </w:r>
      <w:r w:rsidR="009E4767">
        <w:rPr>
          <w:szCs w:val="19"/>
        </w:rPr>
        <w:t>,</w:t>
      </w:r>
      <w:r w:rsidRPr="009655C3">
        <w:rPr>
          <w:szCs w:val="19"/>
        </w:rPr>
        <w:t xml:space="preserve"> fee</w:t>
      </w:r>
      <w:r w:rsidR="009E4767">
        <w:rPr>
          <w:szCs w:val="19"/>
        </w:rPr>
        <w:t>-</w:t>
      </w:r>
      <w:r w:rsidRPr="009655C3">
        <w:rPr>
          <w:szCs w:val="19"/>
        </w:rPr>
        <w:t>free ATM access has been provided in selected very remote Indigenous communities</w:t>
      </w:r>
      <w:r w:rsidR="009E4767">
        <w:rPr>
          <w:szCs w:val="19"/>
        </w:rPr>
        <w:t xml:space="preserve"> – </w:t>
      </w:r>
      <w:r w:rsidRPr="009655C3">
        <w:rPr>
          <w:szCs w:val="19"/>
        </w:rPr>
        <w:t>49 in the Northern Territory.</w:t>
      </w:r>
      <w:proofErr w:type="gramEnd"/>
      <w:r w:rsidRPr="009655C3">
        <w:rPr>
          <w:szCs w:val="19"/>
        </w:rPr>
        <w:t xml:space="preserve"> This change will have gone someway to dealing with the problems resulting from the very high ATM fees being incurred in some cases.</w:t>
      </w:r>
      <w:r w:rsidRPr="00DF38B2">
        <w:rPr>
          <w:rStyle w:val="FootnoteReference"/>
          <w:szCs w:val="19"/>
        </w:rPr>
        <w:footnoteReference w:id="33"/>
      </w:r>
    </w:p>
    <w:p w:rsidR="005E1FE0" w:rsidRPr="009655C3" w:rsidRDefault="005E1FE0" w:rsidP="006654AE">
      <w:pPr>
        <w:rPr>
          <w:szCs w:val="19"/>
        </w:rPr>
      </w:pPr>
      <w:r w:rsidRPr="00FE502F">
        <w:rPr>
          <w:szCs w:val="19"/>
        </w:rPr>
        <w:t>While replacement of BasicsCards is free, replacement cards can only be issued in person. In some remote areas, where Centrelink does not have a permanent presence and Centrelink staff visit periodically, this can result in delays of</w:t>
      </w:r>
      <w:r w:rsidRPr="009655C3">
        <w:rPr>
          <w:szCs w:val="19"/>
        </w:rPr>
        <w:t xml:space="preserve"> up to six weeks for the provision of a replacement card. </w:t>
      </w:r>
      <w:r w:rsidR="00ED02A4" w:rsidRPr="00ED02A4">
        <w:rPr>
          <w:szCs w:val="19"/>
        </w:rPr>
        <w:t xml:space="preserve">Sometimes in these cases some the funds may be transferred </w:t>
      </w:r>
      <w:r w:rsidR="00ED02A4">
        <w:rPr>
          <w:szCs w:val="19"/>
        </w:rPr>
        <w:t xml:space="preserve">to </w:t>
      </w:r>
      <w:r w:rsidR="00ED02A4" w:rsidRPr="00ED02A4">
        <w:rPr>
          <w:szCs w:val="19"/>
        </w:rPr>
        <w:t>an account at a store, which can be drawn upon or in some cases a “store card” is issued by the store and this is used in lieu of a BasicsCard</w:t>
      </w:r>
      <w:r w:rsidR="00A8053C" w:rsidRPr="00ED02A4">
        <w:rPr>
          <w:szCs w:val="19"/>
        </w:rPr>
        <w:t>.</w:t>
      </w:r>
    </w:p>
    <w:p w:rsidR="005E1FE0" w:rsidRPr="00DF38B2" w:rsidRDefault="005E1FE0" w:rsidP="006654AE">
      <w:pPr>
        <w:rPr>
          <w:szCs w:val="19"/>
        </w:rPr>
      </w:pPr>
      <w:r w:rsidRPr="009655C3">
        <w:rPr>
          <w:szCs w:val="19"/>
        </w:rPr>
        <w:lastRenderedPageBreak/>
        <w:t>BasicsCard holders receive a statement of transaction on their BasicsCard every three months or upon request from Centrelin</w:t>
      </w:r>
      <w:r w:rsidRPr="00DF38B2">
        <w:rPr>
          <w:szCs w:val="19"/>
        </w:rPr>
        <w:t>k.</w:t>
      </w:r>
      <w:r w:rsidRPr="00DF38B2">
        <w:rPr>
          <w:rStyle w:val="FootnoteReference"/>
        </w:rPr>
        <w:footnoteReference w:id="34"/>
      </w:r>
      <w:r w:rsidRPr="00DF38B2">
        <w:rPr>
          <w:szCs w:val="19"/>
        </w:rPr>
        <w:t xml:space="preserve"> Customers can check the balance of their BasicsCard in several ways. These include by:</w:t>
      </w:r>
    </w:p>
    <w:p w:rsidR="005E1FE0" w:rsidRPr="009655C3" w:rsidRDefault="005E1FE0" w:rsidP="006654AE">
      <w:pPr>
        <w:pStyle w:val="dot"/>
      </w:pPr>
      <w:r w:rsidRPr="00FE502F">
        <w:t>having a BasicsCard balance printed on EFTPOS receipts</w:t>
      </w:r>
      <w:r w:rsidRPr="009655C3">
        <w:rPr>
          <w:vertAlign w:val="superscript"/>
        </w:rPr>
        <w:footnoteReference w:id="35"/>
      </w:r>
      <w:r w:rsidRPr="009655C3">
        <w:t xml:space="preserve"> </w:t>
      </w:r>
    </w:p>
    <w:p w:rsidR="005E1FE0" w:rsidRPr="00DF38B2" w:rsidRDefault="005E1FE0" w:rsidP="006654AE">
      <w:pPr>
        <w:pStyle w:val="dot"/>
      </w:pPr>
      <w:r w:rsidRPr="009655C3">
        <w:t>using a BasicsCard Kiosk</w:t>
      </w:r>
      <w:r w:rsidRPr="00DF38B2">
        <w:rPr>
          <w:vertAlign w:val="superscript"/>
        </w:rPr>
        <w:footnoteReference w:id="36"/>
      </w:r>
      <w:r w:rsidRPr="00DF38B2">
        <w:t xml:space="preserve"> </w:t>
      </w:r>
    </w:p>
    <w:p w:rsidR="005E1FE0" w:rsidRPr="00DF38B2" w:rsidRDefault="005E1FE0" w:rsidP="006654AE">
      <w:pPr>
        <w:pStyle w:val="dot"/>
      </w:pPr>
      <w:r w:rsidRPr="00DF38B2">
        <w:t xml:space="preserve">by calling the </w:t>
      </w:r>
      <w:r w:rsidR="005E4CAC">
        <w:t>income management</w:t>
      </w:r>
      <w:r w:rsidRPr="00DF38B2">
        <w:t xml:space="preserve"> line</w:t>
      </w:r>
      <w:r w:rsidR="00A66DDF">
        <w:t xml:space="preserve"> </w:t>
      </w:r>
      <w:r w:rsidRPr="00DF38B2">
        <w:t>run by Centrelink</w:t>
      </w:r>
      <w:r w:rsidRPr="00DF38B2">
        <w:rPr>
          <w:rStyle w:val="FootnoteReference"/>
        </w:rPr>
        <w:footnoteReference w:id="37"/>
      </w:r>
    </w:p>
    <w:p w:rsidR="005E1FE0" w:rsidRPr="00DF38B2" w:rsidRDefault="005E1FE0" w:rsidP="006654AE">
      <w:pPr>
        <w:pStyle w:val="dot"/>
      </w:pPr>
      <w:r w:rsidRPr="00DF38B2">
        <w:t>checking the online BasicsCard balance enquiry service operated by Centrelink</w:t>
      </w:r>
    </w:p>
    <w:p w:rsidR="005E1FE0" w:rsidRPr="00DF38B2" w:rsidRDefault="005E1FE0" w:rsidP="006654AE">
      <w:pPr>
        <w:pStyle w:val="dot"/>
      </w:pPr>
      <w:proofErr w:type="gramStart"/>
      <w:r w:rsidRPr="00DF38B2">
        <w:t>visiting</w:t>
      </w:r>
      <w:proofErr w:type="gramEnd"/>
      <w:r w:rsidRPr="00DF38B2">
        <w:t xml:space="preserve"> any Centrelink Customer Service Centre.</w:t>
      </w:r>
    </w:p>
    <w:p w:rsidR="005E1FE0" w:rsidRPr="00DF38B2" w:rsidRDefault="005E1FE0" w:rsidP="006654AE">
      <w:pPr>
        <w:rPr>
          <w:szCs w:val="19"/>
        </w:rPr>
      </w:pPr>
      <w:r w:rsidRPr="00DF38B2">
        <w:rPr>
          <w:szCs w:val="19"/>
        </w:rPr>
        <w:t>As at 16 May 2014 there were 879 merchants in the Northern Territory able to accept a BasicsCard.</w:t>
      </w:r>
    </w:p>
    <w:p w:rsidR="005E1FE0" w:rsidRPr="00DF38B2" w:rsidRDefault="005E1FE0" w:rsidP="006654AE">
      <w:pPr>
        <w:pStyle w:val="Heading3"/>
      </w:pPr>
      <w:bookmarkStart w:id="63" w:name="_Toc403738976"/>
      <w:r w:rsidRPr="00DF38B2">
        <w:t>Reviews of income management decisions</w:t>
      </w:r>
      <w:bookmarkEnd w:id="63"/>
    </w:p>
    <w:p w:rsidR="005E1FE0" w:rsidRPr="00DF38B2" w:rsidRDefault="005E1FE0" w:rsidP="006654AE">
      <w:pPr>
        <w:rPr>
          <w:szCs w:val="19"/>
        </w:rPr>
      </w:pPr>
      <w:proofErr w:type="gramStart"/>
      <w:r w:rsidRPr="00DF38B2">
        <w:rPr>
          <w:szCs w:val="19"/>
        </w:rPr>
        <w:t>People who disagree with decisions to place them on Compulsory or Vulnerable Income Management, or who have an application for exemption from Compulsory Income Management rejected, have access to the full range of appeal rights available to Centrelink customers for all other Centrelink decisions</w:t>
      </w:r>
      <w:r w:rsidR="00A1421A">
        <w:rPr>
          <w:szCs w:val="19"/>
        </w:rPr>
        <w:t>.</w:t>
      </w:r>
      <w:proofErr w:type="gramEnd"/>
      <w:r w:rsidR="00A1421A">
        <w:rPr>
          <w:szCs w:val="19"/>
        </w:rPr>
        <w:t xml:space="preserve"> </w:t>
      </w:r>
      <w:r w:rsidRPr="00DF38B2">
        <w:rPr>
          <w:szCs w:val="19"/>
        </w:rPr>
        <w:t>These can be exercised through Centrelink’s Authorised Review Officers, the Social Security Appeals Tribunal, the Administrative Appeals Tribunal</w:t>
      </w:r>
      <w:r w:rsidR="000A6BC5">
        <w:rPr>
          <w:szCs w:val="19"/>
        </w:rPr>
        <w:t>,</w:t>
      </w:r>
      <w:r w:rsidRPr="00DF38B2">
        <w:rPr>
          <w:szCs w:val="19"/>
        </w:rPr>
        <w:t xml:space="preserve"> and court appeals. In addition, individuals on </w:t>
      </w:r>
      <w:r w:rsidR="00EF3E03">
        <w:rPr>
          <w:szCs w:val="19"/>
        </w:rPr>
        <w:t xml:space="preserve">assessed </w:t>
      </w:r>
      <w:r w:rsidRPr="00DF38B2">
        <w:rPr>
          <w:szCs w:val="19"/>
        </w:rPr>
        <w:t>Vulnerable Income Management have access to the Centrelink Social Workers reconsideration process</w:t>
      </w:r>
      <w:r w:rsidR="00EF3E03">
        <w:rPr>
          <w:szCs w:val="19"/>
        </w:rPr>
        <w:t xml:space="preserve"> and there are some review processes available for those on the automatic measures</w:t>
      </w:r>
      <w:r w:rsidR="00FF555C">
        <w:rPr>
          <w:szCs w:val="19"/>
        </w:rPr>
        <w:t>.</w:t>
      </w:r>
      <w:r w:rsidRPr="00DF38B2">
        <w:rPr>
          <w:szCs w:val="19"/>
        </w:rPr>
        <w:t xml:space="preserve"> </w:t>
      </w:r>
    </w:p>
    <w:p w:rsidR="005E1FE0" w:rsidRPr="00DF38B2" w:rsidRDefault="005E1FE0" w:rsidP="006654AE">
      <w:pPr>
        <w:rPr>
          <w:szCs w:val="19"/>
        </w:rPr>
      </w:pPr>
      <w:r w:rsidRPr="00DF38B2">
        <w:rPr>
          <w:szCs w:val="19"/>
        </w:rPr>
        <w:t>Where a decision to place a person onto income management or to refuse an exemption is being reviewed under Social Security Law, the person continues to be income managed while their review is considered, unless otherwise directed by the relevant tribunal or court.</w:t>
      </w:r>
    </w:p>
    <w:p w:rsidR="005E1FE0" w:rsidRPr="009655C3" w:rsidRDefault="005E1FE0" w:rsidP="006654AE">
      <w:pPr>
        <w:rPr>
          <w:szCs w:val="19"/>
        </w:rPr>
      </w:pPr>
      <w:r w:rsidRPr="00DF38B2">
        <w:rPr>
          <w:szCs w:val="19"/>
        </w:rPr>
        <w:t xml:space="preserve">In the case of those subject to Child Protection Income Management, the imposition of income management can be appealed by making application to the child protection authority within the Northern Territory Department of Children and Families (DCF) with regard to the decision by this agency to refer them for income management. </w:t>
      </w:r>
      <w:r w:rsidR="00DF38B2" w:rsidRPr="00FE3703">
        <w:rPr>
          <w:szCs w:val="19"/>
        </w:rPr>
        <w:t>Separately</w:t>
      </w:r>
      <w:r w:rsidR="00DF38B2" w:rsidRPr="00DF38B2">
        <w:rPr>
          <w:szCs w:val="19"/>
        </w:rPr>
        <w:t>,</w:t>
      </w:r>
      <w:r w:rsidR="00DF38B2" w:rsidRPr="00FE502F">
        <w:rPr>
          <w:szCs w:val="19"/>
        </w:rPr>
        <w:t xml:space="preserve"> while on the measure</w:t>
      </w:r>
      <w:r w:rsidR="00DF38B2" w:rsidRPr="009655C3">
        <w:rPr>
          <w:szCs w:val="19"/>
        </w:rPr>
        <w:t>, individuals can also appeal a Centrelink decision relate</w:t>
      </w:r>
      <w:r w:rsidR="00DF38B2" w:rsidRPr="00DF38B2">
        <w:rPr>
          <w:szCs w:val="19"/>
        </w:rPr>
        <w:t>d to how their Centrelink or Department of Veteran</w:t>
      </w:r>
      <w:r w:rsidR="00DF38B2">
        <w:rPr>
          <w:szCs w:val="19"/>
        </w:rPr>
        <w:t>s</w:t>
      </w:r>
      <w:r w:rsidR="000A6BC5">
        <w:rPr>
          <w:szCs w:val="19"/>
        </w:rPr>
        <w:t>’</w:t>
      </w:r>
      <w:r w:rsidR="00DF38B2" w:rsidRPr="00DF38B2">
        <w:rPr>
          <w:szCs w:val="19"/>
        </w:rPr>
        <w:t xml:space="preserve"> Affairs </w:t>
      </w:r>
      <w:r w:rsidR="00DF38B2" w:rsidRPr="00FE502F">
        <w:rPr>
          <w:szCs w:val="19"/>
        </w:rPr>
        <w:t>payments are being income managed</w:t>
      </w:r>
      <w:r w:rsidR="000A6BC5">
        <w:rPr>
          <w:szCs w:val="19"/>
        </w:rPr>
        <w:t>,</w:t>
      </w:r>
      <w:r w:rsidR="00DF38B2" w:rsidRPr="00FE502F">
        <w:rPr>
          <w:szCs w:val="19"/>
        </w:rPr>
        <w:t xml:space="preserve"> but not the income management decision itself.</w:t>
      </w:r>
    </w:p>
    <w:p w:rsidR="005E1FE0" w:rsidRPr="00DF38B2" w:rsidRDefault="005E1FE0" w:rsidP="006654AE">
      <w:pPr>
        <w:pStyle w:val="Heading3"/>
      </w:pPr>
      <w:bookmarkStart w:id="64" w:name="_Ref392621065"/>
      <w:bookmarkStart w:id="65" w:name="_Toc403738977"/>
      <w:r w:rsidRPr="00DF38B2">
        <w:t>Transition from NTER Income Management</w:t>
      </w:r>
      <w:bookmarkEnd w:id="64"/>
      <w:bookmarkEnd w:id="65"/>
    </w:p>
    <w:p w:rsidR="005E1FE0" w:rsidRPr="00DF38B2" w:rsidRDefault="005E1FE0" w:rsidP="006654AE">
      <w:pPr>
        <w:rPr>
          <w:szCs w:val="19"/>
        </w:rPr>
      </w:pPr>
      <w:r w:rsidRPr="00DF38B2">
        <w:t>Given that the N</w:t>
      </w:r>
      <w:r w:rsidR="00C32D5A">
        <w:t xml:space="preserve">ew </w:t>
      </w:r>
      <w:r w:rsidRPr="00DF38B2">
        <w:t>I</w:t>
      </w:r>
      <w:r w:rsidR="00C32D5A">
        <w:t xml:space="preserve">ncome </w:t>
      </w:r>
      <w:r w:rsidRPr="00DF38B2">
        <w:t>M</w:t>
      </w:r>
      <w:r w:rsidR="00C32D5A">
        <w:t>anagement</w:t>
      </w:r>
      <w:r w:rsidRPr="00DF38B2">
        <w:t xml:space="preserve"> population was initially comp</w:t>
      </w:r>
      <w:r w:rsidR="00C43DD2">
        <w:t>osed</w:t>
      </w:r>
      <w:r w:rsidRPr="00DF38B2">
        <w:t xml:space="preserve"> largely of people who had been on NTER Income Management, the process of transitioning from NTER Income Management to New Income Management has had a significant impact on the New Income Management program. The fact that income management had been part of the NTER also affected the attitudes and responses of those subject to the new measure when New Income Management was introduced</w:t>
      </w:r>
      <w:r w:rsidR="00A1421A">
        <w:t xml:space="preserve">. </w:t>
      </w:r>
      <w:r w:rsidRPr="00DF38B2">
        <w:rPr>
          <w:szCs w:val="19"/>
        </w:rPr>
        <w:t>The administrative process of transition from NTER Income Management onto New Income Management is discussed in this section, with data on the transition being presented in Chapter 4.</w:t>
      </w:r>
    </w:p>
    <w:p w:rsidR="005E1FE0" w:rsidRPr="00DF38B2" w:rsidRDefault="005E1FE0" w:rsidP="006654AE">
      <w:pPr>
        <w:pStyle w:val="Heading4"/>
      </w:pPr>
      <w:r w:rsidRPr="00DF38B2">
        <w:t>Initial rollout of New Income Management to people on NTER Income Management</w:t>
      </w:r>
    </w:p>
    <w:p w:rsidR="005E1FE0" w:rsidRPr="00DF38B2" w:rsidRDefault="005E1FE0" w:rsidP="006654AE">
      <w:pPr>
        <w:rPr>
          <w:szCs w:val="19"/>
        </w:rPr>
      </w:pPr>
      <w:r w:rsidRPr="00DF38B2">
        <w:rPr>
          <w:szCs w:val="19"/>
        </w:rPr>
        <w:t xml:space="preserve">Implementation of New Income Management commenced on 9 August 2010 in the Barkly region. The program was then progressively rolled out geographically from the south to the north of the Northern Territory. The second region to have New Income Management implemented was Alice Springs, </w:t>
      </w:r>
      <w:r w:rsidRPr="00DF38B2">
        <w:rPr>
          <w:szCs w:val="19"/>
        </w:rPr>
        <w:lastRenderedPageBreak/>
        <w:t>Katherine, East Arnhem Land</w:t>
      </w:r>
      <w:r w:rsidR="00D76AEA">
        <w:rPr>
          <w:szCs w:val="19"/>
        </w:rPr>
        <w:t>,</w:t>
      </w:r>
      <w:r w:rsidRPr="00DF38B2">
        <w:rPr>
          <w:szCs w:val="19"/>
        </w:rPr>
        <w:t xml:space="preserve"> and other outback areas commencing on 30 August 2010. The rollout in the remaining outback areas commenced on 2 September 2010, and in Darwin and Palmerston on 4 October 2010 (Macklin, 2010).</w:t>
      </w:r>
    </w:p>
    <w:p w:rsidR="005E1FE0" w:rsidRPr="00DF38B2" w:rsidRDefault="005E1FE0" w:rsidP="006654AE">
      <w:pPr>
        <w:rPr>
          <w:szCs w:val="19"/>
        </w:rPr>
      </w:pPr>
      <w:r w:rsidRPr="00DF38B2">
        <w:rPr>
          <w:szCs w:val="19"/>
        </w:rPr>
        <w:t>The process for moving onto New Income Management depended upon whether an individual was subject to NTER Income Management at the time New Income Management was implemented and, if so, whether they would qualify for Compulsory Income Management.</w:t>
      </w:r>
    </w:p>
    <w:p w:rsidR="005E1FE0" w:rsidRPr="00DF38B2" w:rsidRDefault="005E1FE0" w:rsidP="006654AE">
      <w:pPr>
        <w:rPr>
          <w:szCs w:val="19"/>
        </w:rPr>
      </w:pPr>
      <w:r w:rsidRPr="00DF38B2">
        <w:rPr>
          <w:szCs w:val="19"/>
        </w:rPr>
        <w:t>All individuals who were on NTER Income Management who became subject to compulsory forms of New Income Management, as a consequence of the type of income support payment they received and the length of time they had been in receipt of the payment, were automatically transferred to Compulsory Income Management under New Income Management.</w:t>
      </w:r>
      <w:r w:rsidRPr="00DF38B2">
        <w:rPr>
          <w:rStyle w:val="FootnoteReference"/>
        </w:rPr>
        <w:footnoteReference w:id="38"/>
      </w:r>
      <w:r w:rsidR="005D1CC5">
        <w:t xml:space="preserve"> </w:t>
      </w:r>
    </w:p>
    <w:p w:rsidR="005E1FE0" w:rsidRPr="00DF38B2" w:rsidRDefault="005E1FE0" w:rsidP="006654AE">
      <w:pPr>
        <w:rPr>
          <w:szCs w:val="19"/>
        </w:rPr>
      </w:pPr>
      <w:r w:rsidRPr="00FE502F">
        <w:rPr>
          <w:szCs w:val="19"/>
        </w:rPr>
        <w:t>The general approach taken was that when individuals came in cont</w:t>
      </w:r>
      <w:r w:rsidRPr="009655C3">
        <w:rPr>
          <w:szCs w:val="19"/>
        </w:rPr>
        <w:t>act with Centrelink they were advised that the form of income management they were on had changed and an explanation provided as to how New Income Management operated, as well as being informed that they could choose to apply for an exemption if they wishe</w:t>
      </w:r>
      <w:r w:rsidRPr="00DF38B2">
        <w:rPr>
          <w:szCs w:val="19"/>
        </w:rPr>
        <w:t>d where they believed they could meet the exemption criteria.</w:t>
      </w:r>
    </w:p>
    <w:p w:rsidR="005E1FE0" w:rsidRPr="00DF38B2" w:rsidRDefault="005E1FE0" w:rsidP="006654AE">
      <w:pPr>
        <w:rPr>
          <w:szCs w:val="19"/>
        </w:rPr>
      </w:pPr>
      <w:r w:rsidRPr="00DF38B2">
        <w:rPr>
          <w:szCs w:val="19"/>
        </w:rPr>
        <w:t xml:space="preserve">When the transition from NTER Income Management to New Income Management commenced in a particular area, those subject to NTER Income Management, but not subject to the compulsory New Income Management measures (Compulsory, Child Protection or Vulnerable Income Management), continued under the NTER Income Management arrangements until they had an interview with Centrelink. In the interview with Centrelink it was explained to them that they would cease being subject to NTER Income Management and that they could either volunteer for Voluntary Income Management or </w:t>
      </w:r>
      <w:r w:rsidR="00D76AEA">
        <w:rPr>
          <w:szCs w:val="19"/>
        </w:rPr>
        <w:t>cease</w:t>
      </w:r>
      <w:r w:rsidRPr="00DF38B2">
        <w:rPr>
          <w:szCs w:val="19"/>
        </w:rPr>
        <w:t xml:space="preserve"> being income managed. Those who were not transitioned to a compulsory form of New Income Management were mainly receiving the Disability Support Pension or the Age Pension.</w:t>
      </w:r>
    </w:p>
    <w:p w:rsidR="005E1FE0" w:rsidRPr="00DF38B2" w:rsidRDefault="005E1FE0" w:rsidP="006654AE">
      <w:pPr>
        <w:pStyle w:val="Heading4"/>
      </w:pPr>
      <w:r w:rsidRPr="00DF38B2">
        <w:t xml:space="preserve">People </w:t>
      </w:r>
      <w:r w:rsidRPr="00DF38B2">
        <w:rPr>
          <w:u w:val="single"/>
        </w:rPr>
        <w:t>not</w:t>
      </w:r>
      <w:r w:rsidRPr="00DF38B2">
        <w:t xml:space="preserve"> subject to NTER Income Management but subject to Compulsory Income Management</w:t>
      </w:r>
    </w:p>
    <w:p w:rsidR="005E1FE0" w:rsidRPr="00DF38B2" w:rsidRDefault="005E1FE0" w:rsidP="006654AE">
      <w:pPr>
        <w:rPr>
          <w:szCs w:val="19"/>
        </w:rPr>
      </w:pPr>
      <w:r w:rsidRPr="00DF38B2">
        <w:rPr>
          <w:szCs w:val="19"/>
        </w:rPr>
        <w:t xml:space="preserve">People who were not subject to NTER Income Management but subject to Compulsory Income Management were either: </w:t>
      </w:r>
    </w:p>
    <w:p w:rsidR="005E1FE0" w:rsidRPr="00DF38B2" w:rsidRDefault="005E1FE0" w:rsidP="006654AE">
      <w:pPr>
        <w:pStyle w:val="dot"/>
      </w:pPr>
      <w:r w:rsidRPr="00DF38B2">
        <w:t xml:space="preserve">people who were living in an NTER area and who became eligible for Compulsory Income Management after New Income Management was introduced because of the length of time they had been in receipt of income support payments, or </w:t>
      </w:r>
    </w:p>
    <w:p w:rsidR="005E1FE0" w:rsidRPr="00DF38B2" w:rsidRDefault="005E1FE0" w:rsidP="006654AE">
      <w:pPr>
        <w:pStyle w:val="dot"/>
      </w:pPr>
      <w:proofErr w:type="gramStart"/>
      <w:r w:rsidRPr="00DF38B2">
        <w:t>people</w:t>
      </w:r>
      <w:proofErr w:type="gramEnd"/>
      <w:r w:rsidRPr="00DF38B2">
        <w:t xml:space="preserve"> who were living in a non-NTER area into which income management had expanded. </w:t>
      </w:r>
    </w:p>
    <w:p w:rsidR="005E1FE0" w:rsidRPr="00DF38B2" w:rsidRDefault="005E1FE0" w:rsidP="006654AE">
      <w:pPr>
        <w:rPr>
          <w:szCs w:val="19"/>
        </w:rPr>
      </w:pPr>
      <w:r w:rsidRPr="00DF38B2">
        <w:rPr>
          <w:szCs w:val="19"/>
        </w:rPr>
        <w:t>This latter group received a letter advising them that they were subject to Compulsory Income Management and that they needed to contact Centrelink. If they did not attend the scheduled interview with Centrelink, in urban areas they became subject to income management after 28 days. In remote areas this period was extended to 56 days to take account of the potential problems with arranging a meeting with Centrelink. If they were placed on income management after failing to attend a scheduled interview, half of their payments were placed in their income management account. The person was unable to spend this part of their payment until they obtained a BasicsCard or made other arrangements to allocate their income</w:t>
      </w:r>
      <w:r w:rsidR="00A04470">
        <w:rPr>
          <w:szCs w:val="19"/>
        </w:rPr>
        <w:t xml:space="preserve"> </w:t>
      </w:r>
      <w:r w:rsidRPr="00DF38B2">
        <w:rPr>
          <w:szCs w:val="19"/>
        </w:rPr>
        <w:t>managed money to approved spending. This group had the opportunity to apply for an exemption if they believed that they met the criteria for exemption.</w:t>
      </w:r>
    </w:p>
    <w:p w:rsidR="005E1FE0" w:rsidRPr="00DF38B2" w:rsidRDefault="005E1FE0" w:rsidP="006654AE">
      <w:pPr>
        <w:pStyle w:val="Heading2"/>
      </w:pPr>
      <w:bookmarkStart w:id="66" w:name="_Toc403738978"/>
      <w:r w:rsidRPr="00DF38B2">
        <w:t>Supporting programs and initiatives</w:t>
      </w:r>
      <w:bookmarkEnd w:id="66"/>
    </w:p>
    <w:p w:rsidR="005E1FE0" w:rsidRPr="00DF38B2" w:rsidRDefault="005E1FE0" w:rsidP="006654AE">
      <w:r w:rsidRPr="00DF38B2">
        <w:t>Two direct measures were introduced to support the implementation of New Income Management</w:t>
      </w:r>
      <w:r w:rsidR="00A1421A">
        <w:t xml:space="preserve">. </w:t>
      </w:r>
      <w:r w:rsidRPr="00DF38B2">
        <w:t>Both of these are concerned with building up the financial management skills of people who are subject to income management.</w:t>
      </w:r>
    </w:p>
    <w:p w:rsidR="005E1FE0" w:rsidRPr="00DF38B2" w:rsidRDefault="005E1FE0" w:rsidP="006654AE">
      <w:pPr>
        <w:pStyle w:val="Heading3"/>
      </w:pPr>
      <w:bookmarkStart w:id="67" w:name="_Toc403738979"/>
      <w:r w:rsidRPr="00DF38B2">
        <w:lastRenderedPageBreak/>
        <w:t xml:space="preserve">Matched Savings </w:t>
      </w:r>
      <w:r w:rsidR="00FF46E5">
        <w:t xml:space="preserve">Scheme </w:t>
      </w:r>
      <w:r w:rsidRPr="00DF38B2">
        <w:t>Payment</w:t>
      </w:r>
      <w:bookmarkEnd w:id="67"/>
    </w:p>
    <w:p w:rsidR="00D76AEA" w:rsidRDefault="005E1FE0" w:rsidP="006654AE">
      <w:pPr>
        <w:rPr>
          <w:szCs w:val="19"/>
        </w:rPr>
      </w:pPr>
      <w:r w:rsidRPr="00DF38B2">
        <w:rPr>
          <w:szCs w:val="19"/>
        </w:rPr>
        <w:t xml:space="preserve">The Matched Savings </w:t>
      </w:r>
      <w:r w:rsidR="00FF46E5">
        <w:rPr>
          <w:szCs w:val="19"/>
        </w:rPr>
        <w:t xml:space="preserve">Scheme </w:t>
      </w:r>
      <w:r w:rsidRPr="00DF38B2">
        <w:rPr>
          <w:szCs w:val="19"/>
        </w:rPr>
        <w:t>Payment is a component of New Income Management designed to encourage people on income management to develop a savings pattern and increase their capacity to manage their money. Under this scheme Centrelink matches savings dollar for dollar, up to a maximum of $500. In order to be eligible for the Matched Savings</w:t>
      </w:r>
      <w:r w:rsidR="00FF46E5">
        <w:rPr>
          <w:szCs w:val="19"/>
        </w:rPr>
        <w:t xml:space="preserve"> Scheme</w:t>
      </w:r>
      <w:r w:rsidRPr="00DF38B2">
        <w:rPr>
          <w:szCs w:val="19"/>
        </w:rPr>
        <w:t xml:space="preserve"> Payment, the person has to complete an </w:t>
      </w:r>
      <w:r w:rsidR="00FF46E5">
        <w:rPr>
          <w:szCs w:val="19"/>
        </w:rPr>
        <w:t>A</w:t>
      </w:r>
      <w:r w:rsidRPr="00DF38B2">
        <w:rPr>
          <w:szCs w:val="19"/>
        </w:rPr>
        <w:t xml:space="preserve">pproved </w:t>
      </w:r>
      <w:r w:rsidR="00FF46E5">
        <w:rPr>
          <w:szCs w:val="19"/>
        </w:rPr>
        <w:t>M</w:t>
      </w:r>
      <w:r w:rsidRPr="00DF38B2">
        <w:rPr>
          <w:szCs w:val="19"/>
        </w:rPr>
        <w:t xml:space="preserve">oney </w:t>
      </w:r>
      <w:r w:rsidR="00FF46E5">
        <w:rPr>
          <w:szCs w:val="19"/>
        </w:rPr>
        <w:t>M</w:t>
      </w:r>
      <w:r w:rsidRPr="00DF38B2">
        <w:rPr>
          <w:szCs w:val="19"/>
        </w:rPr>
        <w:t>anagement or similar approved course, and have achieved a ‘pattern of saving’ over a minimum of 13 weeks.</w:t>
      </w:r>
      <w:r w:rsidRPr="00DF38B2">
        <w:rPr>
          <w:vertAlign w:val="superscript"/>
        </w:rPr>
        <w:footnoteReference w:id="39"/>
      </w:r>
      <w:r w:rsidR="00B84AFE">
        <w:rPr>
          <w:szCs w:val="19"/>
        </w:rPr>
        <w:t xml:space="preserve"> </w:t>
      </w:r>
      <w:r w:rsidRPr="00DF38B2">
        <w:rPr>
          <w:szCs w:val="19"/>
        </w:rPr>
        <w:t xml:space="preserve">The Matched Savings </w:t>
      </w:r>
      <w:r w:rsidR="00FF46E5">
        <w:rPr>
          <w:szCs w:val="19"/>
        </w:rPr>
        <w:t xml:space="preserve">Scheme </w:t>
      </w:r>
      <w:r w:rsidRPr="00DF38B2">
        <w:rPr>
          <w:szCs w:val="19"/>
        </w:rPr>
        <w:t>Payment is available to people subject to Compulsory Income Management, Child Protection Income Management and Vulnerable Income Man</w:t>
      </w:r>
      <w:r w:rsidRPr="00FE502F">
        <w:rPr>
          <w:szCs w:val="19"/>
        </w:rPr>
        <w:t xml:space="preserve">agement. A person can only receive a Matched Savings </w:t>
      </w:r>
      <w:r w:rsidR="00FF46E5">
        <w:rPr>
          <w:szCs w:val="19"/>
        </w:rPr>
        <w:t xml:space="preserve">Scheme </w:t>
      </w:r>
      <w:r w:rsidRPr="00FE502F">
        <w:rPr>
          <w:szCs w:val="19"/>
        </w:rPr>
        <w:t xml:space="preserve">Payment once. </w:t>
      </w:r>
    </w:p>
    <w:p w:rsidR="005E1FE0" w:rsidRPr="00DF38B2" w:rsidRDefault="005E1FE0" w:rsidP="006654AE">
      <w:pPr>
        <w:rPr>
          <w:szCs w:val="19"/>
        </w:rPr>
      </w:pPr>
      <w:r w:rsidRPr="009655C3">
        <w:rPr>
          <w:szCs w:val="19"/>
        </w:rPr>
        <w:t xml:space="preserve">The matched savings have to </w:t>
      </w:r>
      <w:r w:rsidR="00533A21">
        <w:rPr>
          <w:szCs w:val="19"/>
        </w:rPr>
        <w:t>derive</w:t>
      </w:r>
      <w:r w:rsidRPr="009655C3">
        <w:rPr>
          <w:szCs w:val="19"/>
        </w:rPr>
        <w:t xml:space="preserve"> from non-income managed income (discretionary income) and are saved into a non-income management</w:t>
      </w:r>
      <w:r w:rsidRPr="00DF38B2">
        <w:rPr>
          <w:szCs w:val="19"/>
        </w:rPr>
        <w:t xml:space="preserve"> account that the individual needs to hold with a financial institution. In order to receive the matched amount, the person subject to income management must provide Centrelink with a certificate showing completion of an </w:t>
      </w:r>
      <w:r w:rsidR="00FF46E5">
        <w:rPr>
          <w:szCs w:val="19"/>
        </w:rPr>
        <w:t>A</w:t>
      </w:r>
      <w:r w:rsidR="00FF46E5" w:rsidRPr="00DF38B2">
        <w:rPr>
          <w:szCs w:val="19"/>
        </w:rPr>
        <w:t xml:space="preserve">pproved </w:t>
      </w:r>
      <w:r w:rsidR="00FF46E5">
        <w:rPr>
          <w:szCs w:val="19"/>
        </w:rPr>
        <w:t>M</w:t>
      </w:r>
      <w:r w:rsidRPr="00DF38B2">
        <w:rPr>
          <w:szCs w:val="19"/>
        </w:rPr>
        <w:t xml:space="preserve">oney </w:t>
      </w:r>
      <w:r w:rsidR="00FF46E5">
        <w:rPr>
          <w:szCs w:val="19"/>
        </w:rPr>
        <w:t>M</w:t>
      </w:r>
      <w:r w:rsidRPr="00DF38B2">
        <w:rPr>
          <w:szCs w:val="19"/>
        </w:rPr>
        <w:t>anagement course</w:t>
      </w:r>
      <w:r w:rsidR="00533A21">
        <w:rPr>
          <w:szCs w:val="19"/>
        </w:rPr>
        <w:t>,</w:t>
      </w:r>
      <w:r w:rsidRPr="00DF38B2">
        <w:rPr>
          <w:szCs w:val="19"/>
        </w:rPr>
        <w:t xml:space="preserve"> and in addition must provide a Financial Institution Statement which shows their regular payments into their account.</w:t>
      </w:r>
    </w:p>
    <w:p w:rsidR="005E1FE0" w:rsidRPr="00DF38B2" w:rsidRDefault="005E1FE0" w:rsidP="006654AE">
      <w:pPr>
        <w:pStyle w:val="Heading3"/>
      </w:pPr>
      <w:bookmarkStart w:id="68" w:name="_Toc403738980"/>
      <w:r w:rsidRPr="00DF38B2">
        <w:t>Money management and financial counselling</w:t>
      </w:r>
      <w:bookmarkEnd w:id="68"/>
    </w:p>
    <w:p w:rsidR="005E1FE0" w:rsidRPr="00DF38B2" w:rsidRDefault="005E1FE0" w:rsidP="006654AE">
      <w:pPr>
        <w:rPr>
          <w:szCs w:val="19"/>
        </w:rPr>
      </w:pPr>
      <w:r w:rsidRPr="00DF38B2">
        <w:rPr>
          <w:szCs w:val="19"/>
        </w:rPr>
        <w:t xml:space="preserve">The Australian Government funds money management and financial counselling services through the Financial Management Program, which </w:t>
      </w:r>
      <w:r w:rsidR="00FB275C" w:rsidRPr="00DF38B2">
        <w:rPr>
          <w:szCs w:val="19"/>
        </w:rPr>
        <w:t xml:space="preserve">has an objective of </w:t>
      </w:r>
      <w:r w:rsidRPr="00DF38B2">
        <w:rPr>
          <w:szCs w:val="19"/>
        </w:rPr>
        <w:t>build</w:t>
      </w:r>
      <w:r w:rsidR="00B87814" w:rsidRPr="00DF38B2">
        <w:rPr>
          <w:szCs w:val="19"/>
        </w:rPr>
        <w:t>ing</w:t>
      </w:r>
      <w:r w:rsidRPr="00DF38B2">
        <w:rPr>
          <w:szCs w:val="19"/>
        </w:rPr>
        <w:t xml:space="preserve"> financial resilience and wellbeing among those most at risk of financial and social exclusion and disadvantage. The program aims to help vulnerable people across a range of income and financial literacy levels to manage their money, overcome financial adversity, participate in their communities, and plan for the medium to long-term by fostering the improved use and management of money, and helping people </w:t>
      </w:r>
      <w:r w:rsidR="00244196">
        <w:rPr>
          <w:szCs w:val="19"/>
        </w:rPr>
        <w:t xml:space="preserve">to </w:t>
      </w:r>
      <w:r w:rsidRPr="00DF38B2">
        <w:rPr>
          <w:szCs w:val="19"/>
        </w:rPr>
        <w:t>address immediate needs in times of financial crisis.</w:t>
      </w:r>
    </w:p>
    <w:p w:rsidR="005E1FE0" w:rsidRPr="00DF38B2" w:rsidRDefault="005E1FE0" w:rsidP="006654AE">
      <w:pPr>
        <w:rPr>
          <w:szCs w:val="19"/>
        </w:rPr>
      </w:pPr>
      <w:r w:rsidRPr="00DF38B2">
        <w:rPr>
          <w:szCs w:val="19"/>
        </w:rPr>
        <w:t xml:space="preserve">The provision of financial information, education and services, and the new incentives for saving, </w:t>
      </w:r>
      <w:r w:rsidR="00244196">
        <w:rPr>
          <w:szCs w:val="19"/>
        </w:rPr>
        <w:t xml:space="preserve">are intended </w:t>
      </w:r>
      <w:r w:rsidRPr="00DF38B2">
        <w:rPr>
          <w:szCs w:val="19"/>
        </w:rPr>
        <w:t>to achieve improved savings and household budgeting, which in turn could result, for example, in the ability to purchase consumer durables that meet households</w:t>
      </w:r>
      <w:r w:rsidR="00244196">
        <w:rPr>
          <w:szCs w:val="19"/>
        </w:rPr>
        <w:t>’</w:t>
      </w:r>
      <w:r w:rsidRPr="00DF38B2">
        <w:rPr>
          <w:szCs w:val="19"/>
        </w:rPr>
        <w:t xml:space="preserve"> everyday needs</w:t>
      </w:r>
      <w:r w:rsidR="00244196">
        <w:rPr>
          <w:szCs w:val="19"/>
        </w:rPr>
        <w:t>,</w:t>
      </w:r>
      <w:r w:rsidRPr="00DF38B2">
        <w:rPr>
          <w:szCs w:val="19"/>
        </w:rPr>
        <w:t xml:space="preserve"> such as washing machines and fridges. Better financial management is intended to assist families in meeting important bills such as rent and utilities, which could in turn lead to more stable housing</w:t>
      </w:r>
      <w:r w:rsidR="00244196">
        <w:rPr>
          <w:szCs w:val="19"/>
        </w:rPr>
        <w:t>,</w:t>
      </w:r>
      <w:r w:rsidRPr="00DF38B2">
        <w:rPr>
          <w:szCs w:val="19"/>
        </w:rPr>
        <w:t xml:space="preserve"> thereby reducing the risk of eviction</w:t>
      </w:r>
      <w:r w:rsidR="00244196">
        <w:rPr>
          <w:szCs w:val="19"/>
        </w:rPr>
        <w:t xml:space="preserve"> and</w:t>
      </w:r>
      <w:r w:rsidRPr="00DF38B2">
        <w:rPr>
          <w:szCs w:val="19"/>
        </w:rPr>
        <w:t xml:space="preserve"> homelessness.</w:t>
      </w:r>
    </w:p>
    <w:p w:rsidR="005E1FE0" w:rsidRPr="00DF38B2" w:rsidRDefault="00ED02A4" w:rsidP="006654AE">
      <w:pPr>
        <w:rPr>
          <w:rFonts w:eastAsiaTheme="majorEastAsia"/>
          <w:kern w:val="32"/>
        </w:rPr>
      </w:pPr>
      <w:r w:rsidRPr="00ED02A4">
        <w:rPr>
          <w:szCs w:val="19"/>
        </w:rPr>
        <w:t xml:space="preserve">The initial funding for the provision of financial counselling through the New Income Management package was $53 million over the period 2010-11 to 2013-14 including Departmental funding. This funding was provided via the Financial Management Program for both Commonwealth Financial Counselling </w:t>
      </w:r>
      <w:r w:rsidR="005E1FE0" w:rsidRPr="00DF38B2">
        <w:rPr>
          <w:rStyle w:val="FootnoteReference"/>
        </w:rPr>
        <w:footnoteReference w:id="40"/>
      </w:r>
      <w:r w:rsidR="005E1FE0" w:rsidRPr="00DF38B2">
        <w:rPr>
          <w:szCs w:val="19"/>
        </w:rPr>
        <w:t xml:space="preserve"> </w:t>
      </w:r>
      <w:r w:rsidRPr="00ED02A4">
        <w:rPr>
          <w:szCs w:val="19"/>
        </w:rPr>
        <w:t xml:space="preserve">and Money Management </w:t>
      </w:r>
      <w:r w:rsidR="003F5DAE">
        <w:rPr>
          <w:szCs w:val="19"/>
        </w:rPr>
        <w:t>Se</w:t>
      </w:r>
      <w:r w:rsidRPr="00ED02A4">
        <w:rPr>
          <w:szCs w:val="19"/>
        </w:rPr>
        <w:t xml:space="preserve">rvices including training and mentoring support for workers through the Financial Management Resource Support Unit. Over the period 2010-14, approximately $40 million was used to deliver Financial Counselling and Money Management </w:t>
      </w:r>
      <w:r w:rsidR="003F5DAE">
        <w:rPr>
          <w:szCs w:val="19"/>
        </w:rPr>
        <w:t>S</w:t>
      </w:r>
      <w:r w:rsidRPr="00ED02A4">
        <w:rPr>
          <w:szCs w:val="19"/>
        </w:rPr>
        <w:t xml:space="preserve">ervices. Unutilised funding was allocated to support other areas where income management was later introduced including in the Anangu Pitjantjatjara Yankunytjatjara (APY) Lands and </w:t>
      </w:r>
      <w:proofErr w:type="spellStart"/>
      <w:r w:rsidRPr="00ED02A4">
        <w:rPr>
          <w:szCs w:val="19"/>
        </w:rPr>
        <w:t>Ngaanyatjarra</w:t>
      </w:r>
      <w:proofErr w:type="spellEnd"/>
      <w:r w:rsidRPr="00ED02A4">
        <w:rPr>
          <w:szCs w:val="19"/>
        </w:rPr>
        <w:t xml:space="preserve"> Lands, to provide funding for Cooking in Stores trials and internet kiosk trials, and to establish and operate telephone financial counselling in the Northern Territory</w:t>
      </w:r>
      <w:r>
        <w:rPr>
          <w:szCs w:val="19"/>
        </w:rPr>
        <w:t>.</w:t>
      </w:r>
      <w:r w:rsidR="005E1FE0" w:rsidRPr="00DF38B2">
        <w:rPr>
          <w:rStyle w:val="FootnoteReference"/>
          <w:rFonts w:eastAsiaTheme="majorEastAsia"/>
          <w:kern w:val="32"/>
        </w:rPr>
        <w:footnoteReference w:id="41"/>
      </w:r>
    </w:p>
    <w:p w:rsidR="005E1FE0" w:rsidRPr="00FE502F" w:rsidRDefault="005E1FE0" w:rsidP="006654AE">
      <w:pPr>
        <w:pStyle w:val="Heading4"/>
      </w:pPr>
      <w:r w:rsidRPr="00FE502F">
        <w:t xml:space="preserve">Money management </w:t>
      </w:r>
      <w:r w:rsidR="00ED02A4">
        <w:t>and financial counselling</w:t>
      </w:r>
    </w:p>
    <w:p w:rsidR="005E1FE0" w:rsidRPr="00DF38B2" w:rsidRDefault="005E1FE0" w:rsidP="006654AE">
      <w:pPr>
        <w:tabs>
          <w:tab w:val="left" w:pos="3261"/>
        </w:tabs>
        <w:rPr>
          <w:szCs w:val="19"/>
        </w:rPr>
      </w:pPr>
      <w:r w:rsidRPr="009655C3">
        <w:rPr>
          <w:szCs w:val="19"/>
        </w:rPr>
        <w:t>Thirteen community organisations have been contracted by the Australian Government to provide money management services as part of the New Income Management package. As at 30 December 2013 these org</w:t>
      </w:r>
      <w:r w:rsidRPr="00DF38B2">
        <w:rPr>
          <w:szCs w:val="19"/>
        </w:rPr>
        <w:t xml:space="preserve">anisations employed 58 people in the </w:t>
      </w:r>
      <w:r w:rsidR="00407AEF">
        <w:rPr>
          <w:szCs w:val="19"/>
        </w:rPr>
        <w:t>Northern Territory</w:t>
      </w:r>
      <w:r w:rsidRPr="00DF38B2">
        <w:rPr>
          <w:szCs w:val="19"/>
        </w:rPr>
        <w:t>.</w:t>
      </w:r>
      <w:r w:rsidRPr="00DF38B2">
        <w:rPr>
          <w:rStyle w:val="FootnoteReference"/>
        </w:rPr>
        <w:footnoteReference w:id="42"/>
      </w:r>
    </w:p>
    <w:p w:rsidR="005E1FE0" w:rsidRPr="00DF38B2" w:rsidRDefault="005E1FE0" w:rsidP="006654AE">
      <w:pPr>
        <w:rPr>
          <w:szCs w:val="19"/>
        </w:rPr>
      </w:pPr>
      <w:r w:rsidRPr="00FE502F">
        <w:rPr>
          <w:szCs w:val="19"/>
        </w:rPr>
        <w:lastRenderedPageBreak/>
        <w:t>People with complex financial issues or those in financial stress or crisis may be referred to financial counsellors who are able to provide more detailed and higher levels of assistance.</w:t>
      </w:r>
      <w:r w:rsidRPr="00DF38B2">
        <w:rPr>
          <w:vertAlign w:val="superscript"/>
        </w:rPr>
        <w:footnoteReference w:id="43"/>
      </w:r>
      <w:r w:rsidR="00B84AFE">
        <w:t xml:space="preserve"> </w:t>
      </w:r>
    </w:p>
    <w:p w:rsidR="005E1FE0" w:rsidRPr="009655C3" w:rsidRDefault="005E1FE0" w:rsidP="006654AE">
      <w:pPr>
        <w:rPr>
          <w:szCs w:val="19"/>
        </w:rPr>
      </w:pPr>
      <w:r w:rsidRPr="00FE502F">
        <w:rPr>
          <w:szCs w:val="19"/>
        </w:rPr>
        <w:t>The typ</w:t>
      </w:r>
      <w:r w:rsidRPr="009655C3">
        <w:rPr>
          <w:szCs w:val="19"/>
        </w:rPr>
        <w:t>es of support that can be provided by money management services are:</w:t>
      </w:r>
    </w:p>
    <w:p w:rsidR="005E1FE0" w:rsidRPr="00DF38B2" w:rsidRDefault="005E1FE0" w:rsidP="006654AE">
      <w:pPr>
        <w:pStyle w:val="dot"/>
      </w:pPr>
      <w:r w:rsidRPr="00DF38B2">
        <w:t>providing education and intensive coaching in financial literacy and budgeting</w:t>
      </w:r>
    </w:p>
    <w:p w:rsidR="005E1FE0" w:rsidRPr="00DF38B2" w:rsidRDefault="005E1FE0" w:rsidP="006654AE">
      <w:pPr>
        <w:pStyle w:val="dot"/>
      </w:pPr>
      <w:r w:rsidRPr="00DF38B2">
        <w:t>providing tools to implement individual and family budgeting and savings, and debt management plans, including on-going budget monitoring</w:t>
      </w:r>
    </w:p>
    <w:p w:rsidR="005E1FE0" w:rsidRPr="00DF38B2" w:rsidRDefault="005E1FE0" w:rsidP="006654AE">
      <w:pPr>
        <w:pStyle w:val="dot"/>
      </w:pPr>
      <w:r w:rsidRPr="00DF38B2">
        <w:t>organising related family support and referrals</w:t>
      </w:r>
    </w:p>
    <w:p w:rsidR="005E1FE0" w:rsidRPr="00DF38B2" w:rsidRDefault="005E1FE0" w:rsidP="006654AE">
      <w:pPr>
        <w:pStyle w:val="dot"/>
      </w:pPr>
      <w:r w:rsidRPr="00DF38B2">
        <w:t>assisting with accessing financial institutions and financial services information</w:t>
      </w:r>
    </w:p>
    <w:p w:rsidR="005E1FE0" w:rsidRPr="00DF38B2" w:rsidRDefault="005E1FE0" w:rsidP="006654AE">
      <w:pPr>
        <w:pStyle w:val="dot"/>
      </w:pPr>
      <w:r w:rsidRPr="00DF38B2">
        <w:t>delivering education and information sessions relating to money management services that meet local community needs</w:t>
      </w:r>
    </w:p>
    <w:p w:rsidR="005E1FE0" w:rsidRPr="00DF38B2" w:rsidRDefault="005E1FE0" w:rsidP="006654AE">
      <w:pPr>
        <w:pStyle w:val="dot"/>
      </w:pPr>
      <w:proofErr w:type="gramStart"/>
      <w:r w:rsidRPr="00DF38B2">
        <w:t>delivering</w:t>
      </w:r>
      <w:proofErr w:type="gramEnd"/>
      <w:r w:rsidRPr="00DF38B2">
        <w:t xml:space="preserve"> approved money management courses to improve participants’ understanding of how to manage their money, plan for the future, and </w:t>
      </w:r>
      <w:r w:rsidR="00244196">
        <w:t>identify</w:t>
      </w:r>
      <w:r w:rsidRPr="00DF38B2">
        <w:t xml:space="preserve"> what services are available to them.</w:t>
      </w:r>
    </w:p>
    <w:p w:rsidR="005E1FE0" w:rsidRPr="00DF38B2" w:rsidRDefault="005E1FE0" w:rsidP="006654AE">
      <w:pPr>
        <w:rPr>
          <w:szCs w:val="19"/>
        </w:rPr>
      </w:pPr>
      <w:r w:rsidRPr="00DF38B2">
        <w:rPr>
          <w:szCs w:val="19"/>
        </w:rPr>
        <w:t>One of the services provided by money management is an approved money management course. Such courses are based on the Financial Literacy Competency Standards from the Financial Services Training Package. The course covers topics such as developing and using a personal budget, developing and using a saving plan, and developing an understanding of debt and consumer credit (Australian Government, 2014, Section 11.1.15.20).</w:t>
      </w:r>
      <w:r w:rsidRPr="00DF38B2">
        <w:rPr>
          <w:rStyle w:val="FootnoteReference"/>
        </w:rPr>
        <w:footnoteReference w:id="44"/>
      </w:r>
    </w:p>
    <w:p w:rsidR="005E1FE0" w:rsidRPr="00FE502F" w:rsidRDefault="005E1FE0" w:rsidP="006654AE">
      <w:pPr>
        <w:pStyle w:val="Heading2"/>
      </w:pPr>
      <w:bookmarkStart w:id="69" w:name="_Toc403738981"/>
      <w:r w:rsidRPr="00FE502F">
        <w:t>Broader context</w:t>
      </w:r>
      <w:bookmarkEnd w:id="69"/>
    </w:p>
    <w:p w:rsidR="0040485A" w:rsidRPr="0040485A" w:rsidRDefault="0040485A" w:rsidP="006654AE">
      <w:pPr>
        <w:rPr>
          <w:szCs w:val="19"/>
        </w:rPr>
      </w:pPr>
      <w:r w:rsidRPr="0040485A">
        <w:rPr>
          <w:szCs w:val="19"/>
        </w:rPr>
        <w:t xml:space="preserve">As has been indicated earlier in this chapter, New Income Management is only one of a range of policies impacting on people in the Northern Territory. </w:t>
      </w:r>
    </w:p>
    <w:p w:rsidR="0040485A" w:rsidRPr="0040485A" w:rsidRDefault="0040485A" w:rsidP="006654AE">
      <w:pPr>
        <w:rPr>
          <w:szCs w:val="19"/>
        </w:rPr>
      </w:pPr>
      <w:proofErr w:type="gramStart"/>
      <w:r w:rsidRPr="0040485A">
        <w:rPr>
          <w:szCs w:val="19"/>
        </w:rPr>
        <w:t>As outlined in Chapter 1, the NTER commenced in 2007.</w:t>
      </w:r>
      <w:proofErr w:type="gramEnd"/>
      <w:r w:rsidRPr="0040485A">
        <w:rPr>
          <w:szCs w:val="19"/>
        </w:rPr>
        <w:t xml:space="preserve"> While a number of the activities under the NTER were short-term immediate interventions, the NTER also instituted many ongoing policies and programs. A number of these directly complement New Income Management, including actions to control alcohol, drugs and pornography and to link aspects of the receipt of welfare with children’s school attendance, while many more are interventions that complement the wider goals of welfare reform and improved service delivery in the NTER communities. </w:t>
      </w:r>
    </w:p>
    <w:p w:rsidR="0040485A" w:rsidRPr="0040485A" w:rsidRDefault="0040485A" w:rsidP="006654AE">
      <w:pPr>
        <w:rPr>
          <w:szCs w:val="19"/>
        </w:rPr>
      </w:pPr>
      <w:r w:rsidRPr="0040485A">
        <w:rPr>
          <w:szCs w:val="19"/>
        </w:rPr>
        <w:t xml:space="preserve">In 2012, further funding for programs in the Northern Territory was provided by the Australian Government under the Stronger Futures in the Northern Territory National Partnership Agreement (Agreement). This Agreement provides $3.4 billion of funding over 10-years for 47 programmes and activities </w:t>
      </w:r>
      <w:proofErr w:type="gramStart"/>
      <w:r w:rsidRPr="0040485A">
        <w:rPr>
          <w:szCs w:val="19"/>
        </w:rPr>
        <w:t>under</w:t>
      </w:r>
      <w:proofErr w:type="gramEnd"/>
      <w:r w:rsidRPr="0040485A">
        <w:rPr>
          <w:szCs w:val="19"/>
        </w:rPr>
        <w:t xml:space="preserve"> nine Implementation Plans.</w:t>
      </w:r>
      <w:r>
        <w:rPr>
          <w:rStyle w:val="FootnoteReference"/>
          <w:szCs w:val="19"/>
        </w:rPr>
        <w:footnoteReference w:id="45"/>
      </w:r>
      <w:r w:rsidR="005D1CC5">
        <w:rPr>
          <w:szCs w:val="19"/>
        </w:rPr>
        <w:t xml:space="preserve"> </w:t>
      </w:r>
    </w:p>
    <w:p w:rsidR="005E1FE0" w:rsidRPr="00DF38B2" w:rsidRDefault="0040485A" w:rsidP="006654AE">
      <w:pPr>
        <w:rPr>
          <w:szCs w:val="19"/>
        </w:rPr>
      </w:pPr>
      <w:r w:rsidRPr="0040485A">
        <w:rPr>
          <w:szCs w:val="19"/>
        </w:rPr>
        <w:t xml:space="preserve">Complementing the policies and programs introduced by the Federal Government, the Northern Territory Government had also introduced, expanded and revised its own programs. The following section briefly </w:t>
      </w:r>
      <w:r w:rsidRPr="0040485A">
        <w:rPr>
          <w:szCs w:val="19"/>
        </w:rPr>
        <w:lastRenderedPageBreak/>
        <w:t>looks at some of the changes that have occurred. The list is not exhaustive, but is illustrative of the way in which the environment in which income management operates has changed.</w:t>
      </w:r>
    </w:p>
    <w:p w:rsidR="005E1FE0" w:rsidRPr="00DF38B2" w:rsidRDefault="005E1FE0" w:rsidP="008525AF">
      <w:pPr>
        <w:pStyle w:val="h4l3"/>
      </w:pPr>
      <w:r w:rsidRPr="00DF38B2">
        <w:t>Government Business Managers</w:t>
      </w:r>
      <w:r w:rsidR="0040485A">
        <w:t xml:space="preserve"> </w:t>
      </w:r>
      <w:r w:rsidR="0040485A" w:rsidRPr="0040485A">
        <w:t>(Government Engagement Coordinators)</w:t>
      </w:r>
    </w:p>
    <w:p w:rsidR="0040485A" w:rsidRPr="0040485A" w:rsidRDefault="0040485A" w:rsidP="006654AE">
      <w:r w:rsidRPr="0040485A">
        <w:t>Some 65 Government Business Managers were initially appointed to 72 remote communities as part of the NTER. The role of Government Business Managers</w:t>
      </w:r>
      <w:r w:rsidRPr="0040485A">
        <w:rPr>
          <w:vertAlign w:val="superscript"/>
        </w:rPr>
        <w:footnoteReference w:id="46"/>
      </w:r>
      <w:r w:rsidRPr="0040485A">
        <w:t xml:space="preserve">, most of </w:t>
      </w:r>
      <w:proofErr w:type="gramStart"/>
      <w:r w:rsidRPr="0040485A">
        <w:t>whom</w:t>
      </w:r>
      <w:proofErr w:type="gramEnd"/>
      <w:r w:rsidRPr="0040485A">
        <w:t xml:space="preserve"> lived within the communities to which they had been appointed included:</w:t>
      </w:r>
    </w:p>
    <w:p w:rsidR="0040485A" w:rsidRPr="0040485A" w:rsidRDefault="0040485A" w:rsidP="006654AE">
      <w:pPr>
        <w:pStyle w:val="dot"/>
      </w:pPr>
      <w:r w:rsidRPr="0040485A">
        <w:t>“providing the key liaison and consultation point in communities, including communicating the NTER measures at the local level, engaging with elders, and working collaboratively with other government representatives, including at the Territory and local levels;</w:t>
      </w:r>
    </w:p>
    <w:p w:rsidR="0040485A" w:rsidRPr="0040485A" w:rsidRDefault="0040485A" w:rsidP="006654AE">
      <w:pPr>
        <w:pStyle w:val="dot"/>
      </w:pPr>
      <w:r w:rsidRPr="0040485A">
        <w:t>managing and coordinating the day-to-day activities of staff from different Australian Government agencies based in the community; and</w:t>
      </w:r>
    </w:p>
    <w:p w:rsidR="0040485A" w:rsidRPr="0040485A" w:rsidRDefault="0040485A" w:rsidP="006654AE">
      <w:pPr>
        <w:pStyle w:val="dot"/>
      </w:pPr>
      <w:proofErr w:type="gramStart"/>
      <w:r w:rsidRPr="0040485A">
        <w:t>providing</w:t>
      </w:r>
      <w:proofErr w:type="gramEnd"/>
      <w:r w:rsidRPr="0040485A">
        <w:t xml:space="preserve"> feedback on progress and local issues and concerns to government and to the NTER Operations Centre. Their knowledge and information guides coordinate government action and decision making tailored to the particular needs of a community.” (DSS, 2014b)</w:t>
      </w:r>
      <w:r w:rsidR="005D1CC5">
        <w:t xml:space="preserve"> </w:t>
      </w:r>
    </w:p>
    <w:p w:rsidR="0040485A" w:rsidRPr="0040485A" w:rsidRDefault="0040485A" w:rsidP="006654AE">
      <w:r w:rsidRPr="0040485A">
        <w:t>Through undertaking these functions, Government Business Managers were seen as a mechanism to improve the effectiveness of existing programs as well as help to implement new programs. This included addressing the problems associated with programs being planned independently and delivered by a range of government departments with little informed understanding of individual community needs.</w:t>
      </w:r>
    </w:p>
    <w:p w:rsidR="0040485A" w:rsidRPr="0040485A" w:rsidRDefault="0040485A" w:rsidP="006654AE">
      <w:r w:rsidRPr="0040485A">
        <w:t xml:space="preserve">As such it would be expected that the appointment of these managers should have considerably increased the effectiveness of policies, as they impact at the level of the community and the individual. </w:t>
      </w:r>
    </w:p>
    <w:p w:rsidR="0040485A" w:rsidRPr="0040485A" w:rsidRDefault="0040485A" w:rsidP="006654AE">
      <w:pPr>
        <w:rPr>
          <w:rFonts w:asciiTheme="minorHAnsi" w:eastAsiaTheme="minorHAnsi" w:hAnsiTheme="minorHAnsi"/>
          <w:sz w:val="22"/>
        </w:rPr>
      </w:pPr>
      <w:r w:rsidRPr="0040485A">
        <w:t>Recently, as part of Stronger Futures in the Northern Territory, the Australian Government has reworked the Government Business Manager function and introduced Remote Engagement Teams. These teams consisting of Government Engagement Coordinators (previously termed Government Business Managers) and Indigenous Engagement Officers. These teams are working across approximately 50 communities, including homelands and town camps. The main focus of these teams is described as attempting to strengthen engagement with local people and organisations and support community involvement in local planning processes and the delivery of programmes and services in their community.</w:t>
      </w:r>
      <w:r w:rsidR="005D1CC5">
        <w:rPr>
          <w:rFonts w:asciiTheme="minorHAnsi" w:eastAsiaTheme="minorHAnsi" w:hAnsiTheme="minorHAnsi"/>
          <w:sz w:val="22"/>
        </w:rPr>
        <w:t xml:space="preserve"> </w:t>
      </w:r>
    </w:p>
    <w:p w:rsidR="005E1FE0" w:rsidRPr="00DF38B2" w:rsidRDefault="005E1FE0" w:rsidP="006654AE">
      <w:pPr>
        <w:pStyle w:val="Heading4"/>
      </w:pPr>
      <w:r w:rsidRPr="00DF38B2">
        <w:t>School Enrolment and Attendance Measure (SEAM)</w:t>
      </w:r>
    </w:p>
    <w:p w:rsidR="00F377B1" w:rsidRPr="00F377B1" w:rsidRDefault="00F377B1" w:rsidP="006654AE">
      <w:pPr>
        <w:rPr>
          <w:szCs w:val="19"/>
        </w:rPr>
      </w:pPr>
      <w:r w:rsidRPr="00F377B1">
        <w:rPr>
          <w:szCs w:val="19"/>
        </w:rPr>
        <w:t xml:space="preserve">The objective of the School Enrolment and Attendance (through Welfare Reform) Measure (SEAM) is to enhance the obligations on parents – or those with responsibility for a child – to ensure that children of compulsory school-age are enrolled in school and attend school regularly. In the first instance SEAM is intended to identify enrolment and attendance problems and seeks to provide assistance, such as Centrelink social work support to families, to fix these problems. </w:t>
      </w:r>
    </w:p>
    <w:p w:rsidR="00F377B1" w:rsidRPr="00F377B1" w:rsidRDefault="00F377B1" w:rsidP="006654AE">
      <w:pPr>
        <w:rPr>
          <w:szCs w:val="19"/>
        </w:rPr>
      </w:pPr>
      <w:r w:rsidRPr="00F377B1">
        <w:rPr>
          <w:szCs w:val="19"/>
        </w:rPr>
        <w:t>Where this initial intervention is unsuccessful in achieving a suitable outcome the program can involve the suspension of income support payments</w:t>
      </w:r>
      <w:r w:rsidR="0065415A">
        <w:rPr>
          <w:szCs w:val="19"/>
        </w:rPr>
        <w:t>.</w:t>
      </w:r>
      <w:r w:rsidR="005E1FE0" w:rsidRPr="00DF38B2">
        <w:rPr>
          <w:rStyle w:val="FootnoteReference"/>
        </w:rPr>
        <w:footnoteReference w:id="47"/>
      </w:r>
      <w:r w:rsidR="005E1FE0" w:rsidRPr="00DF38B2">
        <w:rPr>
          <w:szCs w:val="19"/>
        </w:rPr>
        <w:t xml:space="preserve"> </w:t>
      </w:r>
      <w:r w:rsidRPr="00F377B1">
        <w:rPr>
          <w:szCs w:val="19"/>
        </w:rPr>
        <w:t>The purpose of this punitive element is “to encourage responsible parental or carer action” (DEEWR, 2012).</w:t>
      </w:r>
    </w:p>
    <w:p w:rsidR="00F377B1" w:rsidRDefault="00F377B1" w:rsidP="006654AE">
      <w:pPr>
        <w:rPr>
          <w:szCs w:val="19"/>
        </w:rPr>
      </w:pPr>
      <w:r w:rsidRPr="00F377B1">
        <w:t>The SEAM Trial started in January 2009 in 14 schools in six sites in the Northern Territory</w:t>
      </w:r>
      <w:r w:rsidRPr="00F377B1">
        <w:rPr>
          <w:vertAlign w:val="superscript"/>
        </w:rPr>
        <w:footnoteReference w:id="48"/>
      </w:r>
      <w:r w:rsidRPr="00F377B1">
        <w:t xml:space="preserve"> and was subsequently extended to cover more sites and communities. </w:t>
      </w:r>
      <w:r w:rsidRPr="00F377B1">
        <w:rPr>
          <w:szCs w:val="19"/>
        </w:rPr>
        <w:t>The program is currently operating in 15 sites in the Northern Territory.</w:t>
      </w:r>
      <w:r w:rsidRPr="00F377B1">
        <w:rPr>
          <w:vertAlign w:val="superscript"/>
        </w:rPr>
        <w:footnoteReference w:id="49"/>
      </w:r>
      <w:r w:rsidRPr="00F377B1">
        <w:rPr>
          <w:szCs w:val="19"/>
        </w:rPr>
        <w:t xml:space="preserve"> People subject to income management can also be subject to penalties applied through the SEAM program. It is planned to further expand the SEAM program so that by the beginning of 2015 it is operating in 52 schools in 23 sites</w:t>
      </w:r>
      <w:r>
        <w:rPr>
          <w:szCs w:val="19"/>
        </w:rPr>
        <w:t>.</w:t>
      </w:r>
    </w:p>
    <w:p w:rsidR="005E1FE0" w:rsidRPr="00FE502F" w:rsidRDefault="005E1FE0" w:rsidP="006654AE">
      <w:pPr>
        <w:pStyle w:val="Heading4"/>
      </w:pPr>
      <w:r w:rsidRPr="00FE502F">
        <w:lastRenderedPageBreak/>
        <w:t>School Nutrition Program</w:t>
      </w:r>
    </w:p>
    <w:p w:rsidR="00F377B1" w:rsidRPr="00F377B1" w:rsidRDefault="00F377B1" w:rsidP="006654AE">
      <w:r w:rsidRPr="00F377B1">
        <w:t xml:space="preserve">The School Nutrition Program is a breakfast and/or lunch service for school-aged children living in remote communities in the Northern Territory. The program is part of Stronger Futures (the NTER Emergency Response) and is administered by the Australian Government Department of Education. The program involves communities being funded to establish a school nutrition program, which involves employing local workers to prepare and deliver the meals. This program’s objective is to increase school attendance, the performance of children, and to improve their nutrition. The food provided under this program needs to meet the Northern Territory Government Canteen Guidelines, which are based on the National Health Schools Canteens guidelines. These seek to ensure that healthy foods, including fruit and vegetables are on the menu, while limiting the intake of other items such as high-sugar breakfast cereals, un-iced cakes, ice cream and savoury hot food items, and banning items such as soft drinks, iced cakes, fruit drinks other than pure juices, and confectionery. </w:t>
      </w:r>
    </w:p>
    <w:p w:rsidR="00F377B1" w:rsidRDefault="00F377B1" w:rsidP="006654AE">
      <w:pPr>
        <w:rPr>
          <w:rFonts w:eastAsia="Times New Roman"/>
        </w:rPr>
      </w:pPr>
      <w:r w:rsidRPr="00F377B1">
        <w:t>The program is designed so that the costs of the meals are met by parents through their income management</w:t>
      </w:r>
      <w:r w:rsidRPr="00F377B1">
        <w:rPr>
          <w:rFonts w:eastAsia="Times New Roman"/>
        </w:rPr>
        <w:t xml:space="preserve"> contributions, Centrepay or cash contributions</w:t>
      </w:r>
      <w:r w:rsidR="0065415A">
        <w:rPr>
          <w:rFonts w:eastAsia="Times New Roman"/>
        </w:rPr>
        <w:t>. A</w:t>
      </w:r>
      <w:r w:rsidRPr="00F377B1">
        <w:rPr>
          <w:rFonts w:eastAsia="Times New Roman"/>
        </w:rPr>
        <w:t>s discussed in Chapter 6, the payment for this service is an identified priority for the allocation of income managed funds in a quasi-mandatory fashion. The program subsidises the costs to parents by providing financial assistance for infrastructure and other costs, including salaries for program employees (DSS, 2014c</w:t>
      </w:r>
      <w:r>
        <w:rPr>
          <w:rFonts w:eastAsia="Times New Roman"/>
        </w:rPr>
        <w:t>)</w:t>
      </w:r>
    </w:p>
    <w:p w:rsidR="005E1FE0" w:rsidRPr="00FE502F" w:rsidRDefault="005E1FE0" w:rsidP="006654AE">
      <w:pPr>
        <w:pStyle w:val="Heading4"/>
      </w:pPr>
      <w:r w:rsidRPr="00FE502F">
        <w:t>Northern Territory alcohol policies</w:t>
      </w:r>
    </w:p>
    <w:p w:rsidR="00F377B1" w:rsidRPr="00DF38B2" w:rsidRDefault="00F377B1" w:rsidP="006654AE">
      <w:pPr>
        <w:rPr>
          <w:szCs w:val="19"/>
        </w:rPr>
      </w:pPr>
      <w:r w:rsidRPr="009655C3">
        <w:rPr>
          <w:szCs w:val="19"/>
        </w:rPr>
        <w:t>There are several significant alcohol</w:t>
      </w:r>
      <w:r>
        <w:rPr>
          <w:szCs w:val="19"/>
        </w:rPr>
        <w:t>-</w:t>
      </w:r>
      <w:r w:rsidRPr="009655C3">
        <w:rPr>
          <w:szCs w:val="19"/>
        </w:rPr>
        <w:t>related policies that have operated in the Northern Territory during the period in which income management has been</w:t>
      </w:r>
      <w:r w:rsidRPr="00DF38B2">
        <w:rPr>
          <w:szCs w:val="19"/>
        </w:rPr>
        <w:t xml:space="preserve"> operating. Some of these policies were in place well before the NTER, while others were introduced as part of the NTER</w:t>
      </w:r>
      <w:r w:rsidR="0065415A">
        <w:rPr>
          <w:szCs w:val="19"/>
        </w:rPr>
        <w:t>,</w:t>
      </w:r>
      <w:r w:rsidRPr="00DF38B2">
        <w:rPr>
          <w:szCs w:val="19"/>
        </w:rPr>
        <w:t xml:space="preserve"> and yet others have been introduced since the implementation of New Income Management. In broad terms the policies include:</w:t>
      </w:r>
    </w:p>
    <w:p w:rsidR="00F377B1" w:rsidRPr="00DF38B2" w:rsidRDefault="00364FB0" w:rsidP="006654AE">
      <w:pPr>
        <w:pStyle w:val="dot"/>
      </w:pPr>
      <w:r>
        <w:t>T</w:t>
      </w:r>
      <w:r w:rsidR="00F377B1" w:rsidRPr="00DF38B2">
        <w:t>he development of community based Alcohol Management Plans</w:t>
      </w:r>
      <w:r w:rsidR="00F377B1">
        <w:t xml:space="preserve"> in some towns and a number of remote communities</w:t>
      </w:r>
      <w:r w:rsidR="00F377B1" w:rsidRPr="00DF38B2">
        <w:t>.</w:t>
      </w:r>
      <w:r w:rsidR="00F377B1">
        <w:t xml:space="preserve"> These Alcohol Management Plans include payday supply restrictions, alcohol management plans and Electronic Management Enforcement Systems (ID systems).</w:t>
      </w:r>
    </w:p>
    <w:p w:rsidR="00F377B1" w:rsidRPr="00DF38B2" w:rsidRDefault="00364FB0" w:rsidP="006654AE">
      <w:pPr>
        <w:pStyle w:val="dot"/>
      </w:pPr>
      <w:r>
        <w:t>R</w:t>
      </w:r>
      <w:r w:rsidR="00F377B1" w:rsidRPr="00DF38B2">
        <w:t>estrictions on areas in which drinking can occur</w:t>
      </w:r>
      <w:r w:rsidR="00F377B1">
        <w:t>,</w:t>
      </w:r>
      <w:r w:rsidR="00F377B1" w:rsidRPr="00DF38B2">
        <w:t xml:space="preserve"> including alcohol bans in many remote communities and town camps in Alice Springs and Darwin, as well as higher levels of enforcement of existing bans.</w:t>
      </w:r>
    </w:p>
    <w:p w:rsidR="00F377B1" w:rsidRPr="00DF38B2" w:rsidRDefault="00364FB0" w:rsidP="006654AE">
      <w:pPr>
        <w:pStyle w:val="dot"/>
      </w:pPr>
      <w:r>
        <w:t xml:space="preserve">The </w:t>
      </w:r>
      <w:r w:rsidR="00F377B1" w:rsidRPr="00DF38B2">
        <w:t>use of liquor permits.</w:t>
      </w:r>
    </w:p>
    <w:p w:rsidR="00F377B1" w:rsidRPr="00DF38B2" w:rsidRDefault="00364FB0" w:rsidP="006654AE">
      <w:pPr>
        <w:pStyle w:val="dot"/>
      </w:pPr>
      <w:r>
        <w:t>T</w:t>
      </w:r>
      <w:r w:rsidR="00F377B1" w:rsidRPr="00DF38B2">
        <w:t>he ability to issue banning notices to individuals for up to 48</w:t>
      </w:r>
      <w:r w:rsidR="00F377B1">
        <w:t xml:space="preserve"> </w:t>
      </w:r>
      <w:r w:rsidR="00F377B1" w:rsidRPr="00DF38B2">
        <w:t>hours</w:t>
      </w:r>
      <w:r w:rsidR="00F377B1">
        <w:t>,</w:t>
      </w:r>
      <w:r w:rsidR="00F377B1" w:rsidRPr="00DF38B2">
        <w:t xml:space="preserve"> or banning individuals for up to 12</w:t>
      </w:r>
      <w:r w:rsidR="00F377B1">
        <w:t xml:space="preserve"> </w:t>
      </w:r>
      <w:r w:rsidR="00F377B1" w:rsidRPr="00DF38B2">
        <w:t>months (exclusion order).</w:t>
      </w:r>
    </w:p>
    <w:p w:rsidR="00F377B1" w:rsidRPr="00F377B1" w:rsidRDefault="00364FB0" w:rsidP="006654AE">
      <w:pPr>
        <w:pStyle w:val="dot"/>
      </w:pPr>
      <w:r>
        <w:t>M</w:t>
      </w:r>
      <w:r w:rsidR="00F377B1" w:rsidRPr="00F377B1">
        <w:t xml:space="preserve">andatory alcohol treatment for people repeatedly taken into police protective custody due to their alcohol abuse (commenced 1 July 2013). Orders </w:t>
      </w:r>
      <w:r w:rsidR="0065415A">
        <w:t xml:space="preserve">are </w:t>
      </w:r>
      <w:r w:rsidR="00F377B1" w:rsidRPr="00F377B1">
        <w:t>made by the Alcohol Mandatory Treatment Tribunal Northern Territory Department of Health (2013b).</w:t>
      </w:r>
      <w:r w:rsidR="005D1CC5">
        <w:rPr>
          <w:rStyle w:val="FootnoteReference"/>
          <w:vertAlign w:val="baseline"/>
        </w:rPr>
        <w:t xml:space="preserve"> </w:t>
      </w:r>
      <w:r w:rsidR="00F377B1" w:rsidRPr="00F377B1">
        <w:rPr>
          <w:rStyle w:val="FootnoteReference"/>
          <w:vertAlign w:val="baseline"/>
        </w:rPr>
        <w:t>Orders mandate treatment and aftercare for people who chronically abuse alcohol. In December 2014 Alcohol Protection Orders were introduced</w:t>
      </w:r>
      <w:r>
        <w:t>.</w:t>
      </w:r>
    </w:p>
    <w:p w:rsidR="00F377B1" w:rsidRPr="00DF38B2" w:rsidRDefault="00364FB0" w:rsidP="006654AE">
      <w:pPr>
        <w:pStyle w:val="dot"/>
      </w:pPr>
      <w:r>
        <w:t>T</w:t>
      </w:r>
      <w:r w:rsidR="00F377B1" w:rsidRPr="00DF38B2">
        <w:t xml:space="preserve">he </w:t>
      </w:r>
      <w:r w:rsidR="00F377B1">
        <w:t>B</w:t>
      </w:r>
      <w:r w:rsidR="00F377B1" w:rsidRPr="00DF38B2">
        <w:t>anned Drinkers Register</w:t>
      </w:r>
      <w:r w:rsidR="00F377B1">
        <w:t>,</w:t>
      </w:r>
      <w:r w:rsidR="00F377B1" w:rsidRPr="00DF38B2">
        <w:t xml:space="preserve"> which operated </w:t>
      </w:r>
      <w:r w:rsidR="00F377B1">
        <w:t>from July 2011 to August 2012; o</w:t>
      </w:r>
      <w:r w:rsidR="00F377B1" w:rsidRPr="00DF38B2">
        <w:t xml:space="preserve">perated via an electronic system which required customers to present photo identification before buying alcohol. People on the register were banned from buying alcohol. </w:t>
      </w:r>
    </w:p>
    <w:p w:rsidR="005E1FE0" w:rsidRPr="00DF38B2" w:rsidRDefault="005E1FE0" w:rsidP="006654AE">
      <w:pPr>
        <w:pStyle w:val="Heading4"/>
      </w:pPr>
      <w:r w:rsidRPr="00DF38B2">
        <w:t>Extended policing</w:t>
      </w:r>
    </w:p>
    <w:p w:rsidR="00F377B1" w:rsidRPr="00DF38B2" w:rsidRDefault="00F377B1" w:rsidP="006654AE">
      <w:r w:rsidRPr="00DF38B2">
        <w:t>Since the NTER was announced by the former Australian Government in June 2007</w:t>
      </w:r>
      <w:r>
        <w:t xml:space="preserve"> and continued through Stronger Futures</w:t>
      </w:r>
      <w:r w:rsidRPr="00DF38B2">
        <w:t xml:space="preserve">, </w:t>
      </w:r>
      <w:r>
        <w:t xml:space="preserve">the Australian Government has provided funding for the establishment of </w:t>
      </w:r>
      <w:r w:rsidRPr="00DF38B2">
        <w:t xml:space="preserve">temporary police stations </w:t>
      </w:r>
      <w:r>
        <w:t xml:space="preserve">in 18 remote Indigenous communities </w:t>
      </w:r>
      <w:r w:rsidRPr="00DF38B2">
        <w:t xml:space="preserve">across the Northern Territory. The stations are being provided with all the equipment necessary to carry out policing functions in remote Australia. The initial establishment of temporary stations is being complemented by the construction of </w:t>
      </w:r>
      <w:r>
        <w:t>nine</w:t>
      </w:r>
      <w:r w:rsidRPr="00DF38B2">
        <w:t xml:space="preserve"> permanent stations. </w:t>
      </w:r>
      <w:r>
        <w:t>Of the 18 ‘temporary stations’, 5 have been, or will shortly be, made permanent police station</w:t>
      </w:r>
      <w:r w:rsidR="0065415A">
        <w:t>s</w:t>
      </w:r>
      <w:r>
        <w:t>.</w:t>
      </w:r>
    </w:p>
    <w:p w:rsidR="00F377B1" w:rsidRDefault="00F377B1" w:rsidP="006654AE">
      <w:r w:rsidRPr="00DF38B2">
        <w:t>Currently more than 60 additional police officers are working in remote communities that previously did not have a permanent police presence</w:t>
      </w:r>
      <w:r>
        <w:t xml:space="preserve"> (DSS, 2009)</w:t>
      </w:r>
      <w:r w:rsidRPr="00DF38B2">
        <w:t>.</w:t>
      </w:r>
      <w:r>
        <w:rPr>
          <w:rStyle w:val="FootnoteReference"/>
        </w:rPr>
        <w:t xml:space="preserve"> </w:t>
      </w:r>
      <w:r w:rsidRPr="00DF38B2">
        <w:t xml:space="preserve">Continued support is being provided to community </w:t>
      </w:r>
      <w:r w:rsidRPr="00DF38B2">
        <w:lastRenderedPageBreak/>
        <w:t>night patrol services</w:t>
      </w:r>
      <w:r>
        <w:t xml:space="preserve"> operating in 81 communities. </w:t>
      </w:r>
      <w:r w:rsidRPr="00DF38B2">
        <w:t xml:space="preserve">These services act to support community members, especially women and children, and </w:t>
      </w:r>
      <w:r>
        <w:t xml:space="preserve">to </w:t>
      </w:r>
      <w:r w:rsidRPr="00DF38B2">
        <w:t>defuse violent incidents before serious consequences arise</w:t>
      </w:r>
      <w:r>
        <w:t>, thereby seeking</w:t>
      </w:r>
      <w:r w:rsidRPr="00DF38B2">
        <w:t xml:space="preserve"> to improve the safety of the community. As well as increasing safety, this initiative employs more than 350 people in N</w:t>
      </w:r>
      <w:r>
        <w:t>orthern Territory</w:t>
      </w:r>
      <w:r w:rsidRPr="00DF38B2">
        <w:t xml:space="preserve"> communities.</w:t>
      </w:r>
    </w:p>
    <w:p w:rsidR="005E1FE0" w:rsidRPr="00DF38B2" w:rsidRDefault="005E1FE0" w:rsidP="006654AE">
      <w:pPr>
        <w:pStyle w:val="Heading4"/>
      </w:pPr>
      <w:r w:rsidRPr="00DF38B2">
        <w:t>Remote School Attendance strategy</w:t>
      </w:r>
    </w:p>
    <w:p w:rsidR="00F377B1" w:rsidRPr="00DF38B2" w:rsidRDefault="00F377B1" w:rsidP="006654AE">
      <w:r w:rsidRPr="00DF38B2">
        <w:t>While this measure has only been introduced in 2014 and is outside the time period considered in the analysis, it is noted here as it is possible that its introduction may have impacted upon the responses obtained in some of the later consultations and othe</w:t>
      </w:r>
      <w:r>
        <w:t xml:space="preserve">r qualitative data collection. </w:t>
      </w:r>
      <w:r w:rsidRPr="00DF38B2">
        <w:t xml:space="preserve">The Federal </w:t>
      </w:r>
      <w:r w:rsidR="0065415A">
        <w:t>G</w:t>
      </w:r>
      <w:r w:rsidR="0065415A" w:rsidRPr="00DF38B2">
        <w:t xml:space="preserve">overnment’s </w:t>
      </w:r>
      <w:r w:rsidRPr="00DF38B2">
        <w:t>remote school attendance strategy builds upon existing initiatives adopted by the N</w:t>
      </w:r>
      <w:r>
        <w:t>orthern Territory</w:t>
      </w:r>
      <w:r w:rsidRPr="00DF38B2">
        <w:t xml:space="preserve"> Government</w:t>
      </w:r>
      <w:r>
        <w:t>,</w:t>
      </w:r>
      <w:r w:rsidRPr="00DF38B2">
        <w:t xml:space="preserve"> including </w:t>
      </w:r>
      <w:r>
        <w:t>its</w:t>
      </w:r>
      <w:r w:rsidRPr="00DF38B2">
        <w:t xml:space="preserve"> “Every child, every day” initiative introduced in 2010</w:t>
      </w:r>
      <w:r>
        <w:t>,</w:t>
      </w:r>
      <w:r w:rsidRPr="00DF38B2">
        <w:t xml:space="preserve"> and a tightening of the </w:t>
      </w:r>
      <w:r w:rsidRPr="00DF38B2">
        <w:rPr>
          <w:i/>
        </w:rPr>
        <w:t>Education Act (NT)</w:t>
      </w:r>
      <w:r w:rsidRPr="00DF38B2">
        <w:t xml:space="preserve"> in 2011.</w:t>
      </w:r>
    </w:p>
    <w:p w:rsidR="00F377B1" w:rsidRPr="00DF38B2" w:rsidRDefault="00F377B1" w:rsidP="006654AE">
      <w:r w:rsidRPr="00DF38B2">
        <w:t xml:space="preserve">The program provides funding to employ school attendance supervisors and school attendance officers to help </w:t>
      </w:r>
      <w:r>
        <w:t>children to attend</w:t>
      </w:r>
      <w:r w:rsidRPr="00DF38B2">
        <w:t xml:space="preserve"> school. Total funding for the program is $46.5 million and while the program operates in some locations outside of the </w:t>
      </w:r>
      <w:r w:rsidR="00407AEF">
        <w:t>Northern Territory</w:t>
      </w:r>
      <w:r w:rsidRPr="00DF38B2">
        <w:t xml:space="preserve">, most of the locations are within the Territory. </w:t>
      </w:r>
    </w:p>
    <w:p w:rsidR="005E1FE0" w:rsidRPr="00DF38B2" w:rsidRDefault="005E1FE0" w:rsidP="006654AE">
      <w:pPr>
        <w:pStyle w:val="Heading4"/>
      </w:pPr>
      <w:r w:rsidRPr="00DF38B2">
        <w:t xml:space="preserve">Stores Licensing </w:t>
      </w:r>
    </w:p>
    <w:p w:rsidR="00F377B1" w:rsidRDefault="00F377B1" w:rsidP="006654AE">
      <w:r w:rsidRPr="00DF38B2">
        <w:t>The Commonwealth Government has implemented a range of initiatives to promote food security</w:t>
      </w:r>
      <w:r>
        <w:t xml:space="preserve"> and to provide fresh and healthy food to</w:t>
      </w:r>
      <w:r w:rsidRPr="00DF38B2">
        <w:t xml:space="preserve"> remote communities</w:t>
      </w:r>
      <w:r>
        <w:t>. The initiatives</w:t>
      </w:r>
      <w:r w:rsidRPr="00DF38B2">
        <w:t xml:space="preserve"> includ</w:t>
      </w:r>
      <w:r>
        <w:t>e</w:t>
      </w:r>
      <w:r w:rsidRPr="00DF38B2">
        <w:t xml:space="preserve"> the licensing and monitoring of stores in some 90 remote commun</w:t>
      </w:r>
      <w:r>
        <w:t xml:space="preserve">ities. Community Store Licensing commenced in 2007. </w:t>
      </w:r>
      <w:r w:rsidRPr="00DF38B2">
        <w:t>The licensing requirements for the stores include that they stock a range of “safe and good quality food, drink and grocery items to meet the nutritional and related household needs of remote communities”, as well as policies relating to the promotion of better nutritional out</w:t>
      </w:r>
      <w:r>
        <w:t xml:space="preserve">comes and financial practices. A further requirement of licencing was that stores stopped providing </w:t>
      </w:r>
      <w:r w:rsidRPr="00DF38B2">
        <w:t>informal credit</w:t>
      </w:r>
      <w:r>
        <w:t xml:space="preserve"> – which is known as</w:t>
      </w:r>
      <w:r w:rsidRPr="00DF38B2">
        <w:t xml:space="preserve"> </w:t>
      </w:r>
      <w:r>
        <w:t>‘</w:t>
      </w:r>
      <w:r w:rsidRPr="00DF38B2">
        <w:t>book-up</w:t>
      </w:r>
      <w:r>
        <w:t xml:space="preserve">’. The provision of ‘book-up’ meant that many people were permanently in debt to the store and as a consequence </w:t>
      </w:r>
      <w:r w:rsidRPr="00DF38B2">
        <w:t>it</w:t>
      </w:r>
      <w:r>
        <w:t xml:space="preserve"> was </w:t>
      </w:r>
      <w:r w:rsidRPr="00DF38B2">
        <w:t>a major contributor to a cycle of debt</w:t>
      </w:r>
      <w:r>
        <w:t xml:space="preserve"> that many people in remote communities experienced</w:t>
      </w:r>
      <w:r w:rsidRPr="00DF38B2">
        <w:t>.</w:t>
      </w:r>
    </w:p>
    <w:p w:rsidR="00F377B1" w:rsidRPr="00903E86" w:rsidRDefault="00F377B1" w:rsidP="006654AE">
      <w:r w:rsidRPr="00903E86">
        <w:t>When licensing of community stores was introduced in 2007 under the NTER Act, Centrelink guidelines stated that stores in prescribed areas could not accept income managed</w:t>
      </w:r>
      <w:r w:rsidR="00DB2253">
        <w:t xml:space="preserve"> funds or </w:t>
      </w:r>
      <w:r w:rsidRPr="00903E86">
        <w:t>BasicsCard unless they were licensed under the Act. Under the Stronger Futures in the Northern Territory Act 2012</w:t>
      </w:r>
      <w:r w:rsidRPr="00943F6D">
        <w:t xml:space="preserve"> </w:t>
      </w:r>
      <w:r w:rsidRPr="00903E86">
        <w:t>prescribed communities no longer apply and all community stores in the food security areas that are important for food security for Aboriginal communities are within the scope of the licensing provisions. The food security areas cover the entire N</w:t>
      </w:r>
      <w:r>
        <w:t xml:space="preserve">orthern </w:t>
      </w:r>
      <w:r w:rsidRPr="00903E86">
        <w:t>T</w:t>
      </w:r>
      <w:r>
        <w:t>erritory</w:t>
      </w:r>
      <w:r w:rsidRPr="00903E86">
        <w:t xml:space="preserve"> except for major urban centres like Alice Springs, Darwin and Palmerston. The Stronger Futures in the Northern Territory Act 2012</w:t>
      </w:r>
      <w:r w:rsidRPr="00943F6D">
        <w:t xml:space="preserve"> </w:t>
      </w:r>
      <w:r w:rsidRPr="00903E86">
        <w:t>does not require a store to be licensed to be able to accept income managed funds/BasicsCard, however, under revised guidelines, if it has been determined that a store is required to be licensed, the store must remain licensed for such access to continue.</w:t>
      </w:r>
      <w:r w:rsidR="005D1CC5">
        <w:t xml:space="preserve"> </w:t>
      </w:r>
      <w:r w:rsidRPr="00903E86">
        <w:t xml:space="preserve">Licensing does allow for certain conditions to be imposed in relation to income managed funds, for example a condition may be made to state that a store must facilitate </w:t>
      </w:r>
      <w:r w:rsidR="005E4CAC">
        <w:t>income management</w:t>
      </w:r>
      <w:r w:rsidRPr="00903E86">
        <w:t xml:space="preserve"> arrangements for customers. </w:t>
      </w:r>
    </w:p>
    <w:p w:rsidR="00F377B1" w:rsidRPr="00DF38B2" w:rsidRDefault="00F377B1" w:rsidP="006654AE">
      <w:r w:rsidRPr="00DF38B2">
        <w:t xml:space="preserve">The government has also established a </w:t>
      </w:r>
      <w:r>
        <w:t xml:space="preserve">wholly owned </w:t>
      </w:r>
      <w:r w:rsidRPr="00DF38B2">
        <w:t xml:space="preserve">company, Outback Stores, to help </w:t>
      </w:r>
      <w:r>
        <w:t xml:space="preserve">to </w:t>
      </w:r>
      <w:r w:rsidRPr="00DF38B2">
        <w:t>improve and sustain the network of remote community stores. The role of the company includes “</w:t>
      </w:r>
      <w:proofErr w:type="spellStart"/>
      <w:r w:rsidRPr="00DF38B2">
        <w:t>subsidis</w:t>
      </w:r>
      <w:proofErr w:type="spellEnd"/>
      <w:r w:rsidRPr="00DF38B2">
        <w:t>[</w:t>
      </w:r>
      <w:proofErr w:type="spellStart"/>
      <w:r w:rsidRPr="00DF38B2">
        <w:t>ing</w:t>
      </w:r>
      <w:proofErr w:type="spellEnd"/>
      <w:r w:rsidRPr="00DF38B2">
        <w:t>] stores that are not commercially viable but are important to their remote communities. At the request of a community, Outback Stores will also manage the local store on their behalf and, if a store is profitable, return the profits to the community.”</w:t>
      </w:r>
      <w:r>
        <w:t xml:space="preserve"> (DAFF, 2013)</w:t>
      </w:r>
    </w:p>
    <w:p w:rsidR="005E1FE0" w:rsidRPr="00DF38B2" w:rsidRDefault="00F377B1" w:rsidP="006654AE">
      <w:r w:rsidRPr="00DF38B2">
        <w:t>These policies are also complemented by Northern Territory Government initiatives including the “Market Ba</w:t>
      </w:r>
      <w:r>
        <w:t xml:space="preserve">sket Survey” of remote stores. </w:t>
      </w:r>
      <w:r w:rsidRPr="00DF38B2">
        <w:t xml:space="preserve">This has been in place </w:t>
      </w:r>
      <w:r w:rsidRPr="00C43DD2">
        <w:t xml:space="preserve">since 1998 and monitors and reports on food cost, availability, variety and quality in remote community stores. The survey also collects and reports information on: store management, employment of Aboriginal people, </w:t>
      </w:r>
      <w:proofErr w:type="gramStart"/>
      <w:r w:rsidRPr="00C43DD2">
        <w:t>existence</w:t>
      </w:r>
      <w:proofErr w:type="gramEnd"/>
      <w:r w:rsidRPr="00C43DD2">
        <w:t xml:space="preserve"> of a store nutrition policy, community development initiatives and nutrition promotions</w:t>
      </w:r>
      <w:r w:rsidR="00A8053C" w:rsidRPr="00C43DD2">
        <w:t>.</w:t>
      </w:r>
    </w:p>
    <w:p w:rsidR="005E1FE0" w:rsidRPr="00DF38B2" w:rsidRDefault="005E1FE0" w:rsidP="006654AE">
      <w:pPr>
        <w:pStyle w:val="Heading4"/>
      </w:pPr>
      <w:r w:rsidRPr="00DF38B2">
        <w:lastRenderedPageBreak/>
        <w:t>Child and related health programs</w:t>
      </w:r>
    </w:p>
    <w:p w:rsidR="00F377B1" w:rsidRPr="00DF38B2" w:rsidRDefault="00F377B1" w:rsidP="006654AE">
      <w:r w:rsidRPr="00DF38B2">
        <w:t xml:space="preserve">There are a number </w:t>
      </w:r>
      <w:r w:rsidR="00DB2253">
        <w:t xml:space="preserve">of </w:t>
      </w:r>
      <w:r w:rsidRPr="00DF38B2">
        <w:t xml:space="preserve">very significant policies and programs that have been implemented, including under the NTER, as well as pre-existing and more recent initiatives aimed at improving the health of Indigenous children in the </w:t>
      </w:r>
      <w:r w:rsidR="00407AEF">
        <w:t>Northern Territory</w:t>
      </w:r>
      <w:r w:rsidRPr="00DF38B2">
        <w:t>. Together these programs provide many millions of dollars in additional funding and attempt to generate more appropriate and better coordinated health services. Examples include:</w:t>
      </w:r>
    </w:p>
    <w:p w:rsidR="00F377B1" w:rsidRPr="009721E4" w:rsidRDefault="00F377B1" w:rsidP="006654AE">
      <w:pPr>
        <w:pStyle w:val="dot"/>
      </w:pPr>
      <w:r w:rsidRPr="00DF38B2">
        <w:t xml:space="preserve">Stronger Futures in the Northern Territory </w:t>
      </w:r>
      <w:r>
        <w:t xml:space="preserve">National Partnership Agreement </w:t>
      </w:r>
      <w:r w:rsidRPr="00DF38B2">
        <w:t>– Health: involves Australian Government funding of $7</w:t>
      </w:r>
      <w:r>
        <w:t>13.5</w:t>
      </w:r>
      <w:r w:rsidRPr="00DF38B2">
        <w:t xml:space="preserve"> million over </w:t>
      </w:r>
      <w:r>
        <w:t>ten</w:t>
      </w:r>
      <w:r w:rsidRPr="00DF38B2">
        <w:t xml:space="preserve"> years</w:t>
      </w:r>
      <w:r>
        <w:t xml:space="preserve"> provided to assist in addressing the challenges in accessing health care services by many Indigenous people in the Northern Territory. The funding is used to </w:t>
      </w:r>
      <w:r w:rsidRPr="00DF38B2">
        <w:t>support</w:t>
      </w:r>
      <w:r w:rsidRPr="009721E4">
        <w:t xml:space="preserve"> improved access and coordination and health care service delivery in remote areas, including facilitating delivery of specialist and audiology health services for high disease burden conditions such as oral health and hearing health. It also includes access to child abuse trauma counselling and support services via the Mobile Outreach Service </w:t>
      </w:r>
      <w:proofErr w:type="gramStart"/>
      <w:r w:rsidRPr="009721E4">
        <w:rPr>
          <w:i/>
        </w:rPr>
        <w:t>Plus</w:t>
      </w:r>
      <w:proofErr w:type="gramEnd"/>
      <w:r w:rsidRPr="009721E4">
        <w:t xml:space="preserve"> program.</w:t>
      </w:r>
    </w:p>
    <w:p w:rsidR="00F377B1" w:rsidRDefault="0065415A" w:rsidP="006654AE">
      <w:pPr>
        <w:pStyle w:val="dot"/>
      </w:pPr>
      <w:r>
        <w:t>H</w:t>
      </w:r>
      <w:r w:rsidR="00F377B1" w:rsidRPr="00DF38B2">
        <w:t>ealth services targeted at Indigenous children including in hearing, oral health, child abuse trauma counselling and support services via the Mobile Outreach Program; funding for primary health care; and additional alcohol and other drug workers</w:t>
      </w:r>
      <w:r w:rsidR="00F377B1">
        <w:t xml:space="preserve"> (Department of Health, 2014).</w:t>
      </w:r>
      <w:r w:rsidR="00F377B1">
        <w:rPr>
          <w:rStyle w:val="FootnoteReference"/>
        </w:rPr>
        <w:t xml:space="preserve"> </w:t>
      </w:r>
    </w:p>
    <w:p w:rsidR="00F377B1" w:rsidRPr="00DF38B2" w:rsidRDefault="00F377B1" w:rsidP="006654AE">
      <w:pPr>
        <w:pStyle w:val="dot"/>
      </w:pPr>
      <w:r w:rsidRPr="00DF38B2">
        <w:t>Stronger Indigenous Health Services Primary Health Care Service Maintenance Grants Program: funding to Aboriginal Community Controlled Health Organisations to repair, maintain and upgrade primary health care clinics and staff housing</w:t>
      </w:r>
      <w:r>
        <w:t xml:space="preserve"> (Department of Health, 2014).</w:t>
      </w:r>
      <w:r w:rsidR="005D1CC5">
        <w:rPr>
          <w:rStyle w:val="FootnoteReference"/>
        </w:rPr>
        <w:t xml:space="preserve"> </w:t>
      </w:r>
    </w:p>
    <w:p w:rsidR="00F377B1" w:rsidRPr="00DF38B2" w:rsidRDefault="00F377B1" w:rsidP="006654AE">
      <w:pPr>
        <w:pStyle w:val="dot"/>
      </w:pPr>
      <w:r w:rsidRPr="00DF38B2">
        <w:t>Australia</w:t>
      </w:r>
      <w:r>
        <w:t>-</w:t>
      </w:r>
      <w:r w:rsidRPr="00DF38B2">
        <w:t>wide Aboriginal and Torres Strait Islander Health Programs including: the Eye and Ear Health Program; National Partnership Agreement for Indigenous Early Childhood Development (including New Directions: Mothers and Babies Service); Australian Nurse</w:t>
      </w:r>
      <w:r>
        <w:t>–</w:t>
      </w:r>
      <w:r w:rsidRPr="00DF38B2">
        <w:t>Family Partnership Program; and the Health for Life Program.</w:t>
      </w:r>
    </w:p>
    <w:p w:rsidR="005E1FE0" w:rsidRPr="00DF38B2" w:rsidRDefault="00F377B1" w:rsidP="006654AE">
      <w:r w:rsidRPr="00DF38B2">
        <w:t>There is also a range of wider initiatives complementing these child health initiatives</w:t>
      </w:r>
      <w:r>
        <w:t xml:space="preserve"> that </w:t>
      </w:r>
      <w:r w:rsidRPr="00DF38B2">
        <w:t>seek to improve nutr</w:t>
      </w:r>
      <w:r w:rsidR="00FF555C">
        <w:t>ition.</w:t>
      </w:r>
    </w:p>
    <w:p w:rsidR="005E1FE0" w:rsidRPr="00DF38B2" w:rsidRDefault="005E1FE0" w:rsidP="006654AE">
      <w:pPr>
        <w:pStyle w:val="Heading4"/>
      </w:pPr>
      <w:r w:rsidRPr="00DF38B2">
        <w:t xml:space="preserve">Child protection policies and programs </w:t>
      </w:r>
    </w:p>
    <w:p w:rsidR="00F377B1" w:rsidRPr="00F377B1" w:rsidRDefault="00F377B1" w:rsidP="006654AE">
      <w:r w:rsidRPr="00F377B1">
        <w:t xml:space="preserve">Since the introduction of New Income Management there have been two major developments in child protection in the Northern Territory that have a direct bearing on Child Protection Income Management. The first was an enquiry into the child protection system in the Northern Territory headed by Dr Howard Bath. The enquiry made a number of recommendations about how child protection services should be delivered in the </w:t>
      </w:r>
      <w:r w:rsidR="00407AEF">
        <w:t>Northern Territory</w:t>
      </w:r>
      <w:r w:rsidRPr="00F377B1">
        <w:t>, emphasising the need to support vulnerable families and intervene earlier to prevent child abuse and neglect (</w:t>
      </w:r>
      <w:proofErr w:type="spellStart"/>
      <w:r w:rsidRPr="00F377B1">
        <w:t>Bamblett</w:t>
      </w:r>
      <w:proofErr w:type="spellEnd"/>
      <w:r w:rsidRPr="00F377B1">
        <w:t xml:space="preserve">, Bath &amp; </w:t>
      </w:r>
      <w:proofErr w:type="spellStart"/>
      <w:r w:rsidRPr="00F377B1">
        <w:t>Roseby</w:t>
      </w:r>
      <w:proofErr w:type="spellEnd"/>
      <w:r w:rsidRPr="00F377B1">
        <w:t>, 2010). The second change has been the introduction of the Intensive Family Support Service (IFSS).</w:t>
      </w:r>
    </w:p>
    <w:p w:rsidR="00F377B1" w:rsidRPr="00F377B1" w:rsidRDefault="00F377B1" w:rsidP="006654AE">
      <w:pPr>
        <w:rPr>
          <w:rFonts w:ascii="Arial" w:hAnsi="Arial" w:cs="Arial"/>
          <w:color w:val="000000"/>
        </w:rPr>
      </w:pPr>
      <w:r w:rsidRPr="00F377B1">
        <w:t>IFSS is a free support service that provides intensive support to families in their homes and communities to help them improve the health, safety and wellbeing of their children. IFSS is available to families with children aged 0 to 12 years where neglect has been substantiated and where a parent is on Child Protection Income Management.</w:t>
      </w:r>
      <w:r w:rsidRPr="00F377B1">
        <w:rPr>
          <w:vertAlign w:val="superscript"/>
        </w:rPr>
        <w:footnoteReference w:id="50"/>
      </w:r>
      <w:r w:rsidRPr="00F377B1">
        <w:t xml:space="preserve"> The referral pathway to IFSS is through Child Protection Income Management by the Department of Children and Families in order to be eligible for the service. The key objectives of IFSS are to reduce child neglect, keep families together, and reduce the use of out-of-home care by enhancing parenting skills. </w:t>
      </w:r>
    </w:p>
    <w:p w:rsidR="00F377B1" w:rsidRPr="00F377B1" w:rsidRDefault="00F377B1" w:rsidP="006654AE">
      <w:r w:rsidRPr="00F377B1">
        <w:t>IFSS also aims to strengthen the local Indigenous workforce through the provision of employment and training opportunities for staff involved in the delivery of IFSS (Australian Government, 2013b).</w:t>
      </w:r>
      <w:r w:rsidR="005D1CC5">
        <w:rPr>
          <w:vertAlign w:val="superscript"/>
        </w:rPr>
        <w:t xml:space="preserve"> </w:t>
      </w:r>
      <w:r w:rsidRPr="00F377B1">
        <w:t xml:space="preserve">The </w:t>
      </w:r>
      <w:bookmarkStart w:id="70" w:name="_Toc283205716"/>
      <w:bookmarkEnd w:id="70"/>
      <w:r w:rsidRPr="00F377B1">
        <w:t xml:space="preserve">IFSS formed part of the Australian Government’s package in response to the Bath Report, to support the Northern Territory Government’s increased use of Child Protection Income Management, and to ensure that people on Child Protection Income Management were able to access complimentary family support. IFSS now forms part of Stronger Futures in the Northern Territory as one of the suite of services delivered as part of the Child, Youth, Family and Community Wellbeing Package seeking to meet the different needs of families and communities. </w:t>
      </w:r>
    </w:p>
    <w:p w:rsidR="005E1FE0" w:rsidRPr="00DF38B2" w:rsidRDefault="00F377B1" w:rsidP="006654AE">
      <w:r w:rsidRPr="00F377B1">
        <w:lastRenderedPageBreak/>
        <w:t>The IFSS also provides funding designed to strengthen other services that support the safety and wellbeing of children, youth and families, build the capacity of non-government organisations, particularly Aboriginal controlled organisations and support the training and employment of Aboriginal people working in the human service</w:t>
      </w:r>
      <w:r w:rsidR="00FF555C">
        <w:t>s sector in remote communities.</w:t>
      </w:r>
    </w:p>
    <w:p w:rsidR="005E1FE0" w:rsidRPr="00DF38B2" w:rsidRDefault="005E1FE0" w:rsidP="006654AE">
      <w:pPr>
        <w:pStyle w:val="Heading4"/>
      </w:pPr>
      <w:r w:rsidRPr="00DF38B2">
        <w:t>Housing</w:t>
      </w:r>
    </w:p>
    <w:p w:rsidR="005E1FE0" w:rsidRPr="00DF38B2" w:rsidRDefault="00F377B1" w:rsidP="006654AE">
      <w:r w:rsidRPr="00F377B1">
        <w:t>It is recognised that poor-quality and overcrowded housing is a major contributor to adverse health and other outcomes. In 2008, at the time of the NTER, the National Partnership Agreement on Remote Indigenous Housing (NPARIH) was implemented in order to attempt to increase the housing stock in order to reduce the extent of overcrowding and to improve the quality of the existing housing stock. By the end of 2013, in the Northern Territory, this program had resulted in 941 new houses, with a further 2,929 existing houses rebuilt or refurbished, resulting in around 3,500 new or replacement bedrooms being added to the housing stock</w:t>
      </w:r>
      <w:proofErr w:type="gramStart"/>
      <w:r w:rsidRPr="00F377B1">
        <w:t>.</w:t>
      </w:r>
      <w:r w:rsidR="0065415A">
        <w:t>.</w:t>
      </w:r>
      <w:proofErr w:type="gramEnd"/>
      <w:r w:rsidRPr="00F377B1">
        <w:rPr>
          <w:vertAlign w:val="superscript"/>
        </w:rPr>
        <w:footnoteReference w:id="51"/>
      </w:r>
      <w:r w:rsidRPr="00F377B1">
        <w:t xml:space="preserve"> The NPARIH is due to finish on 30 June 2018. In 2012-13 the Stronger Futures Housing Implementation Plan commenced.</w:t>
      </w:r>
      <w:r w:rsidR="005D1CC5">
        <w:t xml:space="preserve"> </w:t>
      </w:r>
      <w:r w:rsidRPr="00F377B1">
        <w:t>The Stronger Futures Housing works aim to delivery upgrades to existing public housing stock to improve the amenity and durability of the dwelling. Works are also undertaken to remove high-risk asbestos from public housing and other community buildings.</w:t>
      </w:r>
      <w:r w:rsidRPr="00F377B1">
        <w:rPr>
          <w:vertAlign w:val="superscript"/>
        </w:rPr>
        <w:footnoteReference w:id="52"/>
      </w:r>
      <w:r w:rsidRPr="00F377B1">
        <w:t>There have also been very substantial changes to the management of public and community housing, including in remote communit</w:t>
      </w:r>
      <w:r w:rsidR="00FF555C">
        <w:t>ies, in the Northern Territory.</w:t>
      </w:r>
    </w:p>
    <w:p w:rsidR="005E1FE0" w:rsidRPr="00DF38B2" w:rsidRDefault="005E1FE0" w:rsidP="006654AE">
      <w:pPr>
        <w:pStyle w:val="Heading2"/>
      </w:pPr>
      <w:bookmarkStart w:id="71" w:name="_Toc403738982"/>
      <w:r w:rsidRPr="00DF38B2">
        <w:t>Conclusion</w:t>
      </w:r>
      <w:bookmarkEnd w:id="71"/>
    </w:p>
    <w:p w:rsidR="005E1FE0" w:rsidRPr="00DF38B2" w:rsidRDefault="005E1FE0" w:rsidP="006654AE">
      <w:pPr>
        <w:rPr>
          <w:szCs w:val="19"/>
        </w:rPr>
      </w:pPr>
      <w:r w:rsidRPr="00DF38B2">
        <w:rPr>
          <w:szCs w:val="19"/>
        </w:rPr>
        <w:t>This chapter provides an overview of the design of New Income Management and how it operates. Subsequent chapters deal with specific aspects of New Income Management and provide further details on aspects of its design and operation.</w:t>
      </w:r>
    </w:p>
    <w:p w:rsidR="005E1FE0" w:rsidRPr="00DF38B2" w:rsidRDefault="005E1FE0" w:rsidP="006654AE">
      <w:pPr>
        <w:rPr>
          <w:szCs w:val="19"/>
        </w:rPr>
      </w:pPr>
      <w:r w:rsidRPr="00DF38B2">
        <w:rPr>
          <w:szCs w:val="19"/>
        </w:rPr>
        <w:t>In terms of understanding the impact of the program, it is important to note the extent to which it is only one of a range of policy interventions in the Northern Territory, and that the experience and views of individuals are likely to be shaped not just by New Income Management</w:t>
      </w:r>
      <w:r w:rsidR="006429AB">
        <w:rPr>
          <w:szCs w:val="19"/>
        </w:rPr>
        <w:t>,</w:t>
      </w:r>
      <w:r w:rsidRPr="00DF38B2">
        <w:rPr>
          <w:szCs w:val="19"/>
        </w:rPr>
        <w:t xml:space="preserve"> but also </w:t>
      </w:r>
      <w:r w:rsidR="006429AB">
        <w:rPr>
          <w:szCs w:val="19"/>
        </w:rPr>
        <w:t xml:space="preserve">by </w:t>
      </w:r>
      <w:r w:rsidRPr="00DF38B2">
        <w:rPr>
          <w:szCs w:val="19"/>
        </w:rPr>
        <w:t xml:space="preserve">the preceding NTER Income Management arrangements and the very wide range of policies and programs </w:t>
      </w:r>
      <w:r w:rsidR="006429AB">
        <w:rPr>
          <w:szCs w:val="19"/>
        </w:rPr>
        <w:t>that</w:t>
      </w:r>
      <w:r w:rsidRPr="00DF38B2">
        <w:rPr>
          <w:szCs w:val="19"/>
        </w:rPr>
        <w:t xml:space="preserve"> are in place, especially in remote communities. </w:t>
      </w:r>
    </w:p>
    <w:p w:rsidR="00947349" w:rsidRDefault="00947349" w:rsidP="006654AE">
      <w:pPr>
        <w:spacing w:line="276" w:lineRule="auto"/>
        <w:jc w:val="left"/>
      </w:pPr>
      <w:r>
        <w:br w:type="page"/>
      </w:r>
    </w:p>
    <w:p w:rsidR="005E1FE0" w:rsidRDefault="005E1FE0" w:rsidP="006654AE"/>
    <w:p w:rsidR="00947349" w:rsidRPr="00DF38B2" w:rsidRDefault="00947349" w:rsidP="006654AE">
      <w:pPr>
        <w:sectPr w:rsidR="00947349" w:rsidRPr="00DF38B2" w:rsidSect="00285084">
          <w:headerReference w:type="even" r:id="rId35"/>
          <w:headerReference w:type="default" r:id="rId36"/>
          <w:footerReference w:type="even" r:id="rId37"/>
          <w:footerReference w:type="default" r:id="rId38"/>
          <w:headerReference w:type="first" r:id="rId39"/>
          <w:footerReference w:type="first" r:id="rId40"/>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72" w:name="_Toc403738983"/>
      <w:r w:rsidRPr="00DF38B2">
        <w:lastRenderedPageBreak/>
        <w:t>Evaluation processes and data sources</w:t>
      </w:r>
      <w:bookmarkEnd w:id="72"/>
    </w:p>
    <w:p w:rsidR="005E1FE0" w:rsidRPr="00DF38B2" w:rsidRDefault="005E1FE0" w:rsidP="004F3A3D">
      <w:pPr>
        <w:pStyle w:val="Heading2"/>
        <w:spacing w:before="1134"/>
        <w:ind w:left="855" w:hanging="855"/>
        <w:rPr>
          <w:szCs w:val="19"/>
        </w:rPr>
      </w:pPr>
      <w:bookmarkStart w:id="73" w:name="_Toc403738984"/>
      <w:r w:rsidRPr="00DF38B2">
        <w:t>Introduction</w:t>
      </w:r>
      <w:bookmarkEnd w:id="73"/>
    </w:p>
    <w:p w:rsidR="005E1FE0" w:rsidRPr="00DF38B2" w:rsidRDefault="005E1FE0" w:rsidP="006654AE">
      <w:r w:rsidRPr="00DF38B2">
        <w:t xml:space="preserve">This chapter provides a summary of the methodological approach to the evaluation and the data sources used. Further detail on the methods and </w:t>
      </w:r>
      <w:r w:rsidR="00D5404D">
        <w:t>data are</w:t>
      </w:r>
      <w:r w:rsidRPr="00DF38B2">
        <w:t xml:space="preserve"> provided in relevant chapters. A detailed overview of the evaluation methodology </w:t>
      </w:r>
      <w:r w:rsidR="000F03E0">
        <w:t xml:space="preserve">is available </w:t>
      </w:r>
      <w:r w:rsidRPr="00DF38B2">
        <w:t>in the Evaluation Framework (SPRC &amp; AIFS, 2010).</w:t>
      </w:r>
    </w:p>
    <w:p w:rsidR="005E1FE0" w:rsidRPr="00DF38B2" w:rsidRDefault="005E1FE0" w:rsidP="006654AE">
      <w:pPr>
        <w:pStyle w:val="Heading2"/>
      </w:pPr>
      <w:bookmarkStart w:id="74" w:name="_Toc403738985"/>
      <w:r w:rsidRPr="00DF38B2">
        <w:t>Evaluation methods and components</w:t>
      </w:r>
      <w:bookmarkEnd w:id="74"/>
    </w:p>
    <w:p w:rsidR="00DB5E5B" w:rsidRDefault="005E1FE0" w:rsidP="006654AE">
      <w:pPr>
        <w:pStyle w:val="dot"/>
        <w:numPr>
          <w:ilvl w:val="0"/>
          <w:numId w:val="0"/>
        </w:numPr>
      </w:pPr>
      <w:r w:rsidRPr="00DF38B2">
        <w:t xml:space="preserve">The evaluation methodology is a </w:t>
      </w:r>
      <w:r w:rsidR="0065415A">
        <w:t>mixed-</w:t>
      </w:r>
      <w:r w:rsidRPr="00DF38B2">
        <w:t>methods approach which has involved a number of data collections and analys</w:t>
      </w:r>
      <w:r w:rsidR="000F03E0">
        <w:t>e</w:t>
      </w:r>
      <w:r w:rsidRPr="00DF38B2">
        <w:t xml:space="preserve">s of </w:t>
      </w:r>
      <w:r w:rsidR="0098392C">
        <w:t xml:space="preserve">existing surveys </w:t>
      </w:r>
      <w:r w:rsidRPr="00DF38B2">
        <w:t xml:space="preserve">and administrative data. </w:t>
      </w:r>
      <w:r w:rsidR="00DB5E5B">
        <w:t>As part of the evaluation</w:t>
      </w:r>
      <w:r w:rsidR="00DB5E5B" w:rsidRPr="00DF38B2">
        <w:t xml:space="preserve"> </w:t>
      </w:r>
      <w:r w:rsidRPr="00DF38B2">
        <w:t xml:space="preserve">data </w:t>
      </w:r>
      <w:r w:rsidR="00DB5E5B">
        <w:t xml:space="preserve">has been collected from people </w:t>
      </w:r>
      <w:r w:rsidRPr="00DF38B2">
        <w:t>subject to income management</w:t>
      </w:r>
      <w:r w:rsidR="000F03E0">
        <w:t>,</w:t>
      </w:r>
      <w:r w:rsidRPr="00DF38B2">
        <w:t xml:space="preserve"> </w:t>
      </w:r>
      <w:r w:rsidR="00DB5E5B">
        <w:t xml:space="preserve">DHS and DSS </w:t>
      </w:r>
      <w:r w:rsidRPr="00DF38B2">
        <w:t>staff</w:t>
      </w:r>
      <w:r w:rsidR="001D5E12">
        <w:t>,</w:t>
      </w:r>
      <w:r w:rsidRPr="00DF38B2">
        <w:t xml:space="preserve"> </w:t>
      </w:r>
      <w:r w:rsidR="00DB5E5B">
        <w:t xml:space="preserve">people working in money management and financial counselling services, </w:t>
      </w:r>
      <w:r w:rsidRPr="00DF38B2">
        <w:t xml:space="preserve">from organisations </w:t>
      </w:r>
      <w:r w:rsidR="00DB5E5B">
        <w:t xml:space="preserve">that </w:t>
      </w:r>
      <w:r w:rsidRPr="00DF38B2">
        <w:t>work with people subject to income management</w:t>
      </w:r>
      <w:r w:rsidR="00DB5E5B">
        <w:t xml:space="preserve"> (such as legal services) and from other services providers in areas such as emergency relief</w:t>
      </w:r>
      <w:r w:rsidR="001D5E12">
        <w:t>,</w:t>
      </w:r>
      <w:r w:rsidR="00DB5E5B">
        <w:t xml:space="preserve"> housing and child protection</w:t>
      </w:r>
      <w:r w:rsidRPr="00DF38B2">
        <w:t>.</w:t>
      </w:r>
      <w:r w:rsidR="005D1CC5">
        <w:t xml:space="preserve"> </w:t>
      </w:r>
      <w:r w:rsidRPr="00DF38B2">
        <w:t xml:space="preserve">Further details on these are presented in this chapter. </w:t>
      </w:r>
    </w:p>
    <w:p w:rsidR="00DB5E5B" w:rsidRPr="00DF38B2" w:rsidRDefault="00DB5E5B" w:rsidP="006654AE">
      <w:pPr>
        <w:pStyle w:val="dot"/>
        <w:numPr>
          <w:ilvl w:val="0"/>
          <w:numId w:val="0"/>
        </w:numPr>
      </w:pPr>
      <w:r w:rsidRPr="00DF38B2">
        <w:t xml:space="preserve">In addition to this survey and qualitative data, </w:t>
      </w:r>
      <w:r w:rsidR="00B7352B" w:rsidRPr="00DF38B2">
        <w:t xml:space="preserve">a wide range of administrative </w:t>
      </w:r>
      <w:r w:rsidR="00B7352B">
        <w:t>data is</w:t>
      </w:r>
      <w:r w:rsidRPr="00DF38B2">
        <w:t xml:space="preserve"> used. This has been drawn from Centrelink operational and payment data, child protection system data, transaction data from merchants</w:t>
      </w:r>
      <w:r>
        <w:t>,</w:t>
      </w:r>
      <w:r w:rsidRPr="00DF38B2">
        <w:t xml:space="preserve"> and Northern Territory level data on alcohol sales, school enrolment and attendance. In addition, data from a range of other surveys collected for other purposes but which provide data for the Northern </w:t>
      </w:r>
      <w:proofErr w:type="gramStart"/>
      <w:r w:rsidRPr="00DF38B2">
        <w:t>Territory</w:t>
      </w:r>
      <w:r w:rsidR="0065415A">
        <w:t>,</w:t>
      </w:r>
      <w:proofErr w:type="gramEnd"/>
      <w:r w:rsidRPr="00DF38B2">
        <w:t xml:space="preserve"> are used. These include ABS surveys and a range of other official government data collections about children.</w:t>
      </w:r>
    </w:p>
    <w:p w:rsidR="005E1FE0" w:rsidRPr="00DF38B2" w:rsidRDefault="0072208A" w:rsidP="006654AE">
      <w:pPr>
        <w:pStyle w:val="dot"/>
        <w:numPr>
          <w:ilvl w:val="0"/>
          <w:numId w:val="0"/>
        </w:numPr>
      </w:pPr>
      <w:r>
        <w:t>In order to address</w:t>
      </w:r>
      <w:r w:rsidRPr="00DF38B2">
        <w:t xml:space="preserve"> </w:t>
      </w:r>
      <w:r w:rsidR="005E1FE0" w:rsidRPr="00DF38B2">
        <w:t xml:space="preserve">the challenges involved in </w:t>
      </w:r>
      <w:r w:rsidRPr="00DF38B2">
        <w:t>evaluati</w:t>
      </w:r>
      <w:r>
        <w:t>ng</w:t>
      </w:r>
      <w:r w:rsidRPr="00DF38B2">
        <w:t xml:space="preserve"> </w:t>
      </w:r>
      <w:r w:rsidR="005E1FE0" w:rsidRPr="00DF38B2">
        <w:t xml:space="preserve">income management </w:t>
      </w:r>
      <w:r w:rsidR="000F03E0">
        <w:t>that</w:t>
      </w:r>
      <w:r w:rsidR="005E1FE0" w:rsidRPr="00DF38B2">
        <w:t xml:space="preserve"> have been outlined in Chapter 1, the broad evaluation methodology involves drawing together findings from </w:t>
      </w:r>
      <w:r>
        <w:t>a wide</w:t>
      </w:r>
      <w:r w:rsidR="005E1FE0" w:rsidRPr="00DF38B2">
        <w:t xml:space="preserve"> range of sources in order to identify common and consistent trends and outcomes, and </w:t>
      </w:r>
      <w:r w:rsidR="000F03E0">
        <w:t>by means of</w:t>
      </w:r>
      <w:r w:rsidR="005E1FE0" w:rsidRPr="00DF38B2">
        <w:t xml:space="preserve"> this process of triangulation</w:t>
      </w:r>
      <w:r w:rsidR="0065415A">
        <w:t>,</w:t>
      </w:r>
      <w:r w:rsidR="005E1FE0" w:rsidRPr="00DF38B2">
        <w:t xml:space="preserve"> verify the robustness of the findings.</w:t>
      </w:r>
    </w:p>
    <w:p w:rsidR="005E1FE0" w:rsidRPr="00DF38B2" w:rsidRDefault="005E1FE0" w:rsidP="006654AE">
      <w:pPr>
        <w:pStyle w:val="dot"/>
        <w:numPr>
          <w:ilvl w:val="0"/>
          <w:numId w:val="0"/>
        </w:numPr>
      </w:pPr>
      <w:r w:rsidRPr="00DF38B2">
        <w:t xml:space="preserve">The major evaluation components are summarised in </w:t>
      </w:r>
      <w:r w:rsidRPr="00F157EE">
        <w:fldChar w:fldCharType="begin"/>
      </w:r>
      <w:r w:rsidRPr="00DF38B2">
        <w:instrText xml:space="preserve"> REF _Ref393028931 \h </w:instrText>
      </w:r>
      <w:r w:rsidRPr="00F157EE">
        <w:fldChar w:fldCharType="separate"/>
      </w:r>
      <w:r w:rsidR="00906D13" w:rsidRPr="00DF38B2">
        <w:t xml:space="preserve">Table </w:t>
      </w:r>
      <w:r w:rsidR="00906D13">
        <w:rPr>
          <w:noProof/>
        </w:rPr>
        <w:t>3</w:t>
      </w:r>
      <w:r w:rsidR="00906D13">
        <w:noBreakHyphen/>
      </w:r>
      <w:r w:rsidR="00906D13">
        <w:rPr>
          <w:noProof/>
        </w:rPr>
        <w:t>1</w:t>
      </w:r>
      <w:r w:rsidRPr="00F157EE">
        <w:fldChar w:fldCharType="end"/>
      </w:r>
      <w:r w:rsidRPr="00DF38B2">
        <w:t>.</w:t>
      </w:r>
    </w:p>
    <w:p w:rsidR="005E1FE0" w:rsidRPr="00DF38B2" w:rsidRDefault="005E1FE0" w:rsidP="006654AE">
      <w:pPr>
        <w:pStyle w:val="dot"/>
        <w:numPr>
          <w:ilvl w:val="0"/>
          <w:numId w:val="0"/>
        </w:numPr>
      </w:pPr>
      <w:r w:rsidRPr="00DF38B2">
        <w:t>The evaluation methodology involves considering a wide range of existing indicators a</w:t>
      </w:r>
      <w:r w:rsidR="000F03E0">
        <w:t>s well as</w:t>
      </w:r>
      <w:r w:rsidRPr="00DF38B2">
        <w:t xml:space="preserve"> indicators specifically derived for this evaluation. In this no specific indicator is seen as being definitive. The reason for this is that if income management is achieving its objectives of achieving substantial improvements in wellbeing and improved financial management skills and capabilities</w:t>
      </w:r>
      <w:r w:rsidR="000B5E41">
        <w:t>,</w:t>
      </w:r>
      <w:r w:rsidRPr="00DF38B2">
        <w:t xml:space="preserve"> then it would be expected that this would be consistently</w:t>
      </w:r>
      <w:r w:rsidRPr="00DF38B2">
        <w:rPr>
          <w:rStyle w:val="FootnoteReference"/>
        </w:rPr>
        <w:footnoteReference w:id="53"/>
      </w:r>
      <w:r w:rsidRPr="00DF38B2">
        <w:t xml:space="preserve"> reflected at least across a number of the indicators examined. It is worth bearing in mind that when a large number of indicators </w:t>
      </w:r>
      <w:r w:rsidR="000B5E41">
        <w:t>is</w:t>
      </w:r>
      <w:r w:rsidRPr="00DF38B2">
        <w:t xml:space="preserve"> considered </w:t>
      </w:r>
      <w:r w:rsidR="000B5E41">
        <w:t xml:space="preserve">– </w:t>
      </w:r>
      <w:r w:rsidRPr="00DF38B2">
        <w:t>as is the case in this evaluation</w:t>
      </w:r>
      <w:r w:rsidR="000B5E41">
        <w:t xml:space="preserve"> –</w:t>
      </w:r>
      <w:r w:rsidRPr="00DF38B2">
        <w:t xml:space="preserve"> even if a program is having no impact on outcomes, there will be a small number that </w:t>
      </w:r>
      <w:r w:rsidR="008C63EF">
        <w:t>may be</w:t>
      </w:r>
      <w:r w:rsidRPr="00DF38B2">
        <w:t xml:space="preserve"> positive or negative </w:t>
      </w:r>
      <w:r w:rsidR="000B5E41">
        <w:lastRenderedPageBreak/>
        <w:t>merely by</w:t>
      </w:r>
      <w:r w:rsidRPr="00DF38B2">
        <w:t xml:space="preserve"> chance</w:t>
      </w:r>
      <w:r w:rsidR="000B5E41">
        <w:t>;</w:t>
      </w:r>
      <w:r w:rsidR="008C63EF">
        <w:rPr>
          <w:rStyle w:val="FootnoteReference"/>
        </w:rPr>
        <w:footnoteReference w:id="54"/>
      </w:r>
      <w:r w:rsidR="000B5E41">
        <w:t xml:space="preserve"> as such,</w:t>
      </w:r>
      <w:r w:rsidRPr="00DF38B2">
        <w:t xml:space="preserve"> an isolated positive or negative indicator cannot be interpreted as a measure of the success or otherwise of a program.</w:t>
      </w:r>
    </w:p>
    <w:p w:rsidR="005E1FE0" w:rsidRPr="00DF38B2" w:rsidRDefault="005E1FE0" w:rsidP="006654AE">
      <w:pPr>
        <w:pStyle w:val="dot"/>
        <w:numPr>
          <w:ilvl w:val="0"/>
          <w:numId w:val="0"/>
        </w:numPr>
      </w:pPr>
      <w:r w:rsidRPr="00DF38B2">
        <w:t xml:space="preserve">This approach not only reflects </w:t>
      </w:r>
      <w:r w:rsidR="0098392C">
        <w:t xml:space="preserve">official </w:t>
      </w:r>
      <w:r w:rsidRPr="00DF38B2">
        <w:t>statements about the purpose of income management</w:t>
      </w:r>
      <w:r w:rsidR="000B5E41">
        <w:t>,</w:t>
      </w:r>
      <w:r w:rsidRPr="00DF38B2">
        <w:t xml:space="preserve"> which articulate the range of different outcomes it was intended to produce</w:t>
      </w:r>
      <w:r w:rsidR="000B5E41">
        <w:t xml:space="preserve"> –</w:t>
      </w:r>
      <w:r w:rsidRPr="00DF38B2">
        <w:t xml:space="preserve"> and underlies the detailed evaluation framework with its focus on “the short, medium and long term impacts … on individuals, their families and communities”</w:t>
      </w:r>
      <w:r w:rsidR="000B5E41">
        <w:t xml:space="preserve"> –</w:t>
      </w:r>
      <w:r w:rsidRPr="00DF38B2">
        <w:t xml:space="preserve"> but </w:t>
      </w:r>
      <w:r w:rsidR="000B5E41">
        <w:t xml:space="preserve">it </w:t>
      </w:r>
      <w:r w:rsidRPr="00DF38B2">
        <w:t xml:space="preserve">also </w:t>
      </w:r>
      <w:r w:rsidR="000B5E41">
        <w:t xml:space="preserve">reflects </w:t>
      </w:r>
      <w:r w:rsidRPr="00DF38B2">
        <w:t>the scale of the program. Income management encompasses a large proportion of the Northern Territory population in receipt of income support payments</w:t>
      </w:r>
      <w:r w:rsidR="000B5E41">
        <w:t>,</w:t>
      </w:r>
      <w:r w:rsidRPr="00DF38B2">
        <w:t xml:space="preserve"> which in turn is a substantial share of the Northern Territory population. This means that if income management has a widespread substantial impact </w:t>
      </w:r>
      <w:r w:rsidR="000B5E41">
        <w:t>in</w:t>
      </w:r>
      <w:r w:rsidRPr="00DF38B2">
        <w:t xml:space="preserve"> addressing disadvantage and major problems prevalent in the affected population</w:t>
      </w:r>
      <w:r w:rsidR="000B5E41">
        <w:t>,</w:t>
      </w:r>
      <w:r w:rsidRPr="00DF38B2">
        <w:t xml:space="preserve"> this should show up in a range of indicators measured at the Northern Territory level.</w:t>
      </w:r>
    </w:p>
    <w:p w:rsidR="005E1FE0" w:rsidRPr="00DF38B2" w:rsidRDefault="005E1FE0" w:rsidP="006654AE">
      <w:pPr>
        <w:pStyle w:val="Caption"/>
      </w:pPr>
      <w:bookmarkStart w:id="75" w:name="_Ref393028931"/>
      <w:bookmarkStart w:id="76" w:name="_Toc403739405"/>
      <w:r w:rsidRPr="00DF38B2">
        <w:t xml:space="preserve">Table </w:t>
      </w:r>
      <w:fldSimple w:instr=" STYLEREF 1 \s ">
        <w:r w:rsidR="00906D13">
          <w:rPr>
            <w:noProof/>
          </w:rPr>
          <w:t>3</w:t>
        </w:r>
      </w:fldSimple>
      <w:r w:rsidR="00D40B64">
        <w:noBreakHyphen/>
      </w:r>
      <w:fldSimple w:instr=" SEQ Table \* ARABIC \s 1 ">
        <w:r w:rsidR="00906D13">
          <w:rPr>
            <w:noProof/>
          </w:rPr>
          <w:t>1</w:t>
        </w:r>
      </w:fldSimple>
      <w:bookmarkEnd w:id="75"/>
      <w:r w:rsidRPr="00DF38B2">
        <w:tab/>
        <w:t>Summary of major evaluation components</w:t>
      </w:r>
      <w:bookmarkEnd w:id="7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able has two columns – the first listing the 8  major elements of the evaluation data collection and the second providing some more details of the these and timing where this is relevant.&#10;The detail of the table is as follows:&#10;Component 1. Longitudinal Survey of New Income Management (LSNIM)&#10;Details and timing:&#10;Survey of people subject to income management in the NT and a control group sample of people outside the NT and not subject to IM.&#10;Quantitative and qualitative components&#10;Wave 1: December 2011 and March 2012 &#10;Wave 2: September 2013 and January 2014&#10;Component 2: Online survey of Centrelink staff, NT Department of Children and Families child protection workers, and money management and financial counselling staff.&#10;Details and timing:&#10;Undertaken in 2011 and 2012&#10;Component3: Qualitative interviews and focus groups with intermediaries.&#10;Details and timing:&#10;Staff from the Commonwealth Department of Human Services (DHS) /Centrelink, Northern Territory Department of Children and Families, Money Management and Financial Counselling providers, NGOs and peak bodies&#10;Undertaken in 2011 and 2014&#10;Component 4: Review of DHS social worker assessment reports for assessed Vulnerable&#10;Details and timing:&#10;2014&#10;Component 5: Analysis of stores sales data.&#10;Details and timing:&#10;Extensive analysis of data on sales from two groups of remote community stores and for a number of urban stores. Data spans the period from 2009 to 2013 with detailed data for 2013 and 2014.&#10;Component 6: Interviews with child protection caseworkers.&#10;Details and timing:&#10;Interviews focus on anonymised cases of families where the parents are subject to Child Protection Income Management. Data collected in 2014&#10;Component 7: Aggregate indicators for Northern Territory&#10;Details and timing:&#10;Data for a wide range of indicators at the NT (and in some cases regional level) and national level compiled. Data generally spans period before and after introduction of income management&#10;Indicators related to child health, development and learning outcomes; school participation, diet, alcohol and tobacco consumption, alcohol-related harm and criminal justice measures&#10;Component 8: DHS administrative data related to income management&#10;Details and timing:&#10;The evaluation has undertaken a systematic analysis of a range of administrative data on the population subject to income management, and on the actual patterns of spending of these funds&#10;Data spans the period from the introduction of income management to December 2013&#10;"/>
      </w:tblPr>
      <w:tblGrid>
        <w:gridCol w:w="4275"/>
        <w:gridCol w:w="4275"/>
      </w:tblGrid>
      <w:tr w:rsidR="005E1FE0" w:rsidRPr="00DF38B2" w:rsidTr="001B260D">
        <w:trPr>
          <w:tblHeader/>
        </w:trPr>
        <w:tc>
          <w:tcPr>
            <w:tcW w:w="4275" w:type="dxa"/>
          </w:tcPr>
          <w:p w:rsidR="005E1FE0" w:rsidRPr="00DF38B2" w:rsidRDefault="005E1FE0" w:rsidP="006654AE">
            <w:pPr>
              <w:pStyle w:val="tabletextleft"/>
              <w:rPr>
                <w:b/>
              </w:rPr>
            </w:pPr>
            <w:r w:rsidRPr="00DF38B2">
              <w:rPr>
                <w:b/>
              </w:rPr>
              <w:t>Component</w:t>
            </w:r>
          </w:p>
        </w:tc>
        <w:tc>
          <w:tcPr>
            <w:tcW w:w="4275" w:type="dxa"/>
          </w:tcPr>
          <w:p w:rsidR="005E1FE0" w:rsidRPr="00DF38B2" w:rsidRDefault="005E1FE0" w:rsidP="006654AE">
            <w:pPr>
              <w:pStyle w:val="tabletextleft"/>
              <w:ind w:left="227" w:hanging="227"/>
              <w:rPr>
                <w:b/>
              </w:rPr>
            </w:pPr>
            <w:r w:rsidRPr="00DF38B2">
              <w:rPr>
                <w:b/>
              </w:rPr>
              <w:t>Details and timing</w:t>
            </w:r>
          </w:p>
        </w:tc>
      </w:tr>
      <w:tr w:rsidR="005E1FE0" w:rsidRPr="00DF38B2" w:rsidTr="00FD2E09">
        <w:tc>
          <w:tcPr>
            <w:tcW w:w="4275" w:type="dxa"/>
          </w:tcPr>
          <w:p w:rsidR="005E1FE0" w:rsidRPr="00DF38B2" w:rsidRDefault="005E1FE0" w:rsidP="006654AE">
            <w:pPr>
              <w:pStyle w:val="tabletextleft"/>
              <w:ind w:left="227" w:hanging="227"/>
              <w:jc w:val="left"/>
            </w:pPr>
            <w:r w:rsidRPr="00DF38B2">
              <w:t>Longitudinal Survey of New Income Management (LSNIM)</w:t>
            </w:r>
          </w:p>
        </w:tc>
        <w:tc>
          <w:tcPr>
            <w:tcW w:w="4275" w:type="dxa"/>
          </w:tcPr>
          <w:p w:rsidR="005E1FE0" w:rsidRPr="00DF38B2" w:rsidRDefault="005E1FE0" w:rsidP="006654AE">
            <w:pPr>
              <w:pStyle w:val="tabletextleft"/>
              <w:ind w:left="227" w:hanging="227"/>
              <w:jc w:val="left"/>
            </w:pPr>
            <w:r w:rsidRPr="00DF38B2">
              <w:t>Survey of people subject to income management in the NT and a control group sample of people outside the NT and not subject to IM</w:t>
            </w:r>
            <w:r w:rsidR="0072208A">
              <w:t>.</w:t>
            </w:r>
          </w:p>
          <w:p w:rsidR="005E1FE0" w:rsidRPr="00DF38B2" w:rsidRDefault="005E1FE0" w:rsidP="006654AE">
            <w:pPr>
              <w:pStyle w:val="tabletextleft"/>
              <w:ind w:left="227" w:hanging="227"/>
              <w:jc w:val="left"/>
            </w:pPr>
            <w:r w:rsidRPr="00DF38B2">
              <w:t>Quantitative and qualitative components</w:t>
            </w:r>
          </w:p>
          <w:p w:rsidR="005E1FE0" w:rsidRPr="00DF38B2" w:rsidRDefault="005E1FE0" w:rsidP="006654AE">
            <w:pPr>
              <w:pStyle w:val="tabletextleft"/>
              <w:ind w:left="227" w:hanging="227"/>
              <w:jc w:val="left"/>
            </w:pPr>
            <w:r w:rsidRPr="00DF38B2">
              <w:t xml:space="preserve">Wave 1: December 2011 and March 2012 </w:t>
            </w:r>
          </w:p>
          <w:p w:rsidR="005E1FE0" w:rsidRPr="00DF38B2" w:rsidRDefault="005E1FE0" w:rsidP="006654AE">
            <w:pPr>
              <w:pStyle w:val="tabletextleft"/>
              <w:ind w:left="227" w:hanging="227"/>
              <w:jc w:val="left"/>
            </w:pPr>
            <w:r w:rsidRPr="00DF38B2">
              <w:t>Wave 2: September 2013 and January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Online survey of Centrelink staff, NT Department of Children and Families child protection workers</w:t>
            </w:r>
            <w:r w:rsidR="00D36FF8">
              <w:t>,</w:t>
            </w:r>
            <w:r w:rsidRPr="00DF38B2">
              <w:t xml:space="preserve"> and money management and financial counselling staff</w:t>
            </w:r>
          </w:p>
        </w:tc>
        <w:tc>
          <w:tcPr>
            <w:tcW w:w="4275" w:type="dxa"/>
          </w:tcPr>
          <w:p w:rsidR="005E1FE0" w:rsidRPr="00DF38B2" w:rsidRDefault="005E1FE0" w:rsidP="006654AE">
            <w:pPr>
              <w:pStyle w:val="tabletextleft"/>
              <w:ind w:left="227" w:hanging="227"/>
              <w:jc w:val="left"/>
            </w:pPr>
            <w:r w:rsidRPr="00DF38B2">
              <w:t>Undertaken in 2011 and 2012</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Qualitative interviews and focus groups with intermediaries </w:t>
            </w:r>
          </w:p>
        </w:tc>
        <w:tc>
          <w:tcPr>
            <w:tcW w:w="4275" w:type="dxa"/>
          </w:tcPr>
          <w:p w:rsidR="005E1FE0" w:rsidRPr="00DF38B2" w:rsidRDefault="005E1FE0" w:rsidP="006654AE">
            <w:pPr>
              <w:pStyle w:val="tabletextleft"/>
              <w:spacing w:after="60"/>
              <w:ind w:left="227" w:hanging="227"/>
              <w:jc w:val="left"/>
            </w:pPr>
            <w:r w:rsidRPr="00DF38B2">
              <w:t xml:space="preserve">Staff from </w:t>
            </w:r>
            <w:r w:rsidR="0072208A">
              <w:t xml:space="preserve">the </w:t>
            </w:r>
            <w:r w:rsidRPr="00DF38B2">
              <w:t>Commonwealth Department of Human Services</w:t>
            </w:r>
            <w:r w:rsidR="00060511">
              <w:t xml:space="preserve"> </w:t>
            </w:r>
            <w:r w:rsidR="0072208A">
              <w:t>(</w:t>
            </w:r>
            <w:r w:rsidR="00060511">
              <w:t>DHS</w:t>
            </w:r>
            <w:r w:rsidR="0072208A">
              <w:t>) /Centrelink</w:t>
            </w:r>
            <w:r w:rsidRPr="00DF38B2">
              <w:t>, Northern Territory Department of Children and Families, Money Management and Financial Counselling providers, NGOs and peak bodies</w:t>
            </w:r>
          </w:p>
          <w:p w:rsidR="005E1FE0" w:rsidRPr="00DF38B2" w:rsidRDefault="005E1FE0" w:rsidP="006654AE">
            <w:pPr>
              <w:pStyle w:val="tabletextleft"/>
              <w:spacing w:after="60"/>
              <w:ind w:left="227" w:hanging="227"/>
              <w:jc w:val="left"/>
            </w:pPr>
            <w:r w:rsidRPr="00DF38B2">
              <w:t xml:space="preserve">Undertaken in </w:t>
            </w:r>
            <w:r w:rsidR="0072208A">
              <w:t xml:space="preserve">2011 and </w:t>
            </w:r>
            <w:r w:rsidRPr="00DF38B2">
              <w:t>2014</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Review of </w:t>
            </w:r>
            <w:r w:rsidR="00060511">
              <w:t xml:space="preserve">DHS </w:t>
            </w:r>
            <w:r w:rsidRPr="00DF38B2">
              <w:t>social worker assessment reports for assessed Vulnerable</w:t>
            </w:r>
          </w:p>
        </w:tc>
        <w:tc>
          <w:tcPr>
            <w:tcW w:w="4275" w:type="dxa"/>
          </w:tcPr>
          <w:p w:rsidR="005E1FE0" w:rsidRPr="00DF38B2" w:rsidRDefault="005E1FE0" w:rsidP="006654AE">
            <w:pPr>
              <w:pStyle w:val="tabletextleft"/>
              <w:spacing w:after="60"/>
              <w:ind w:left="227" w:hanging="227"/>
              <w:jc w:val="left"/>
            </w:pPr>
            <w:r w:rsidRPr="00DF38B2">
              <w:t>2014</w:t>
            </w:r>
          </w:p>
        </w:tc>
      </w:tr>
      <w:tr w:rsidR="005E1FE0" w:rsidRPr="00DF38B2" w:rsidTr="00FD2E09">
        <w:tc>
          <w:tcPr>
            <w:tcW w:w="4275" w:type="dxa"/>
          </w:tcPr>
          <w:p w:rsidR="005E1FE0" w:rsidRPr="00DF38B2" w:rsidRDefault="005E1FE0" w:rsidP="006654AE">
            <w:pPr>
              <w:pStyle w:val="tabletextleft"/>
              <w:ind w:left="227" w:hanging="227"/>
              <w:jc w:val="left"/>
            </w:pPr>
            <w:r w:rsidRPr="00DF38B2">
              <w:t>Analysis of stores sales data</w:t>
            </w:r>
          </w:p>
        </w:tc>
        <w:tc>
          <w:tcPr>
            <w:tcW w:w="4275" w:type="dxa"/>
          </w:tcPr>
          <w:p w:rsidR="005E1FE0" w:rsidRPr="00DF38B2" w:rsidRDefault="005E1FE0" w:rsidP="006654AE">
            <w:pPr>
              <w:pStyle w:val="tabletextleft"/>
              <w:spacing w:after="60"/>
              <w:ind w:left="227" w:hanging="227"/>
              <w:jc w:val="left"/>
            </w:pPr>
            <w:r w:rsidRPr="00DF38B2">
              <w:t>Extensive analysis of data on sales from two groups of remote community store</w:t>
            </w:r>
            <w:r w:rsidR="00433A52">
              <w:t>s and for a number of urban stores.</w:t>
            </w:r>
            <w:r w:rsidR="0072208A">
              <w:t xml:space="preserve"> Data spans the period from 2009 to 2013 with detailed data for 2013 and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Interviews with child protection caseworkers </w:t>
            </w:r>
          </w:p>
        </w:tc>
        <w:tc>
          <w:tcPr>
            <w:tcW w:w="4275" w:type="dxa"/>
          </w:tcPr>
          <w:p w:rsidR="005E1FE0" w:rsidRPr="00DF38B2" w:rsidRDefault="005E1FE0" w:rsidP="006654AE">
            <w:pPr>
              <w:pStyle w:val="tabletextleft"/>
              <w:spacing w:after="60"/>
              <w:ind w:left="227" w:hanging="227"/>
              <w:jc w:val="left"/>
            </w:pPr>
            <w:r w:rsidRPr="00DF38B2">
              <w:t>Interviews focus on anonymised cases of families where the parents are subject to Child Protection Income Management</w:t>
            </w:r>
            <w:r w:rsidR="0072208A">
              <w:t>. Data collected in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Aggregate indicators for Northern Territory</w:t>
            </w:r>
          </w:p>
        </w:tc>
        <w:tc>
          <w:tcPr>
            <w:tcW w:w="4275" w:type="dxa"/>
          </w:tcPr>
          <w:p w:rsidR="005E1FE0" w:rsidRPr="00DF38B2" w:rsidRDefault="005E1FE0" w:rsidP="006654AE">
            <w:pPr>
              <w:pStyle w:val="tabletextleft"/>
              <w:spacing w:after="60"/>
              <w:ind w:left="227" w:hanging="227"/>
              <w:jc w:val="left"/>
            </w:pPr>
            <w:r w:rsidRPr="00DF38B2">
              <w:t xml:space="preserve">Data for a wide range of indicators at the NT (and in some cases regional level) and </w:t>
            </w:r>
            <w:r w:rsidR="0072208A">
              <w:t>national</w:t>
            </w:r>
            <w:r w:rsidR="0072208A" w:rsidRPr="00DF38B2">
              <w:t xml:space="preserve"> </w:t>
            </w:r>
            <w:r w:rsidRPr="00DF38B2">
              <w:t>level compiled. Data generally spans period before and after introduction of income management</w:t>
            </w:r>
          </w:p>
          <w:p w:rsidR="005E1FE0" w:rsidRPr="00DF38B2" w:rsidRDefault="005E1FE0" w:rsidP="006654AE">
            <w:pPr>
              <w:pStyle w:val="tabletextleft"/>
              <w:spacing w:after="60"/>
              <w:ind w:left="227" w:hanging="227"/>
              <w:jc w:val="left"/>
            </w:pPr>
            <w:r w:rsidRPr="00DF38B2">
              <w:t xml:space="preserve">Indicators related to child health, development and learning outcomes; school participation, diet, alcohol and tobacco consumption, </w:t>
            </w:r>
            <w:r w:rsidR="00FE0C92">
              <w:t>alcohol-related</w:t>
            </w:r>
            <w:r w:rsidRPr="00DF38B2">
              <w:t xml:space="preserve"> harm and criminal justice measures</w:t>
            </w:r>
          </w:p>
        </w:tc>
      </w:tr>
      <w:tr w:rsidR="005E1FE0" w:rsidRPr="00DF38B2" w:rsidTr="00FD2E09">
        <w:tc>
          <w:tcPr>
            <w:tcW w:w="4275" w:type="dxa"/>
          </w:tcPr>
          <w:p w:rsidR="005E1FE0" w:rsidRPr="00DF38B2" w:rsidRDefault="00060511" w:rsidP="006654AE">
            <w:pPr>
              <w:pStyle w:val="tabletextleft"/>
              <w:ind w:left="227" w:hanging="227"/>
              <w:jc w:val="left"/>
            </w:pPr>
            <w:r>
              <w:t>DHS</w:t>
            </w:r>
            <w:r w:rsidR="005E1FE0" w:rsidRPr="00DF38B2">
              <w:t xml:space="preserve"> administrative data related to income management</w:t>
            </w:r>
          </w:p>
        </w:tc>
        <w:tc>
          <w:tcPr>
            <w:tcW w:w="4275" w:type="dxa"/>
          </w:tcPr>
          <w:p w:rsidR="005E1FE0" w:rsidRPr="00DF38B2" w:rsidRDefault="005E1FE0" w:rsidP="006654AE">
            <w:pPr>
              <w:pStyle w:val="tabletextleft"/>
              <w:spacing w:after="60"/>
              <w:ind w:left="227" w:hanging="227"/>
              <w:jc w:val="left"/>
            </w:pPr>
            <w:r w:rsidRPr="00DF38B2">
              <w:t>The evaluation has undertaken a systematic analysis of a range of administrative data on the population subject to income management, and on the actual patterns of spending of these funds</w:t>
            </w:r>
          </w:p>
          <w:p w:rsidR="005E1FE0" w:rsidRPr="00DF38B2" w:rsidRDefault="005E1FE0" w:rsidP="006654AE">
            <w:pPr>
              <w:pStyle w:val="tabletextleft"/>
              <w:spacing w:after="60"/>
              <w:ind w:left="227" w:hanging="227"/>
              <w:jc w:val="left"/>
            </w:pPr>
            <w:r w:rsidRPr="00DF38B2">
              <w:t>Data spans the period from the introduction of income management to December 2013</w:t>
            </w:r>
          </w:p>
        </w:tc>
      </w:tr>
    </w:tbl>
    <w:p w:rsidR="00D847C3" w:rsidRDefault="00D847C3" w:rsidP="006654AE">
      <w:pPr>
        <w:pStyle w:val="tablenotes"/>
        <w:keepNext w:val="0"/>
      </w:pPr>
    </w:p>
    <w:p w:rsidR="005E1FE0" w:rsidRPr="00DF38B2" w:rsidRDefault="005E1FE0" w:rsidP="006654AE">
      <w:pPr>
        <w:pStyle w:val="Heading3"/>
      </w:pPr>
      <w:bookmarkStart w:id="77" w:name="_Toc403738986"/>
      <w:r w:rsidRPr="00DF38B2">
        <w:lastRenderedPageBreak/>
        <w:t>Government administrative data related to the operation of income management</w:t>
      </w:r>
      <w:bookmarkEnd w:id="77"/>
    </w:p>
    <w:p w:rsidR="005E1FE0" w:rsidRPr="00DF38B2" w:rsidRDefault="005E1FE0" w:rsidP="006654AE">
      <w:r w:rsidRPr="00DF38B2">
        <w:t>A range of confidentialised unit record</w:t>
      </w:r>
      <w:r w:rsidR="00D36FF8">
        <w:t>-</w:t>
      </w:r>
      <w:r w:rsidRPr="00DF38B2">
        <w:t xml:space="preserve">level </w:t>
      </w:r>
      <w:r w:rsidR="00060511">
        <w:t xml:space="preserve">Commonwealth </w:t>
      </w:r>
      <w:r w:rsidRPr="00DF38B2">
        <w:t>Department of Human Services</w:t>
      </w:r>
      <w:r w:rsidR="00060511">
        <w:t xml:space="preserve"> (DHS)</w:t>
      </w:r>
      <w:r w:rsidRPr="00DF38B2">
        <w:t xml:space="preserve"> administrative data has been provided for the purposes of the evaluation. As confidentialised data it has been stripped of all identifiers such as names and addresses and the Customer Reference Number before being provided to the </w:t>
      </w:r>
      <w:r w:rsidR="0072208A">
        <w:t>evaluation</w:t>
      </w:r>
      <w:r w:rsidRPr="00DF38B2">
        <w:t xml:space="preserve">. </w:t>
      </w:r>
      <w:r w:rsidR="00060511">
        <w:t>DHS</w:t>
      </w:r>
      <w:r w:rsidRPr="00DF38B2">
        <w:t xml:space="preserve"> administrative data used </w:t>
      </w:r>
      <w:r w:rsidR="00711762" w:rsidRPr="00DF38B2">
        <w:t xml:space="preserve">in the evaluation </w:t>
      </w:r>
      <w:r w:rsidRPr="00DF38B2">
        <w:t xml:space="preserve">includes: </w:t>
      </w:r>
    </w:p>
    <w:p w:rsidR="005E1FE0" w:rsidRDefault="005E1FE0" w:rsidP="006654AE">
      <w:pPr>
        <w:pStyle w:val="dot"/>
      </w:pPr>
      <w:r w:rsidRPr="00DF38B2">
        <w:t>Multiple cross</w:t>
      </w:r>
      <w:r w:rsidR="00D36FF8">
        <w:t>-</w:t>
      </w:r>
      <w:r w:rsidRPr="00DF38B2">
        <w:t>section data on all people who have been income manage</w:t>
      </w:r>
      <w:r w:rsidR="00D36FF8">
        <w:t>d</w:t>
      </w:r>
      <w:r w:rsidRPr="00DF38B2">
        <w:t xml:space="preserve"> and who have been on income support. Data on those on income management has been provided since mid-2010. Key variables in </w:t>
      </w:r>
      <w:r w:rsidR="00115F4A">
        <w:t>these data</w:t>
      </w:r>
      <w:r w:rsidRPr="00DF38B2">
        <w:t xml:space="preserve"> include: whether currently in receipt of income support and on which payment; whether subject to income management and which measure; region of residence; and a range of characteristics</w:t>
      </w:r>
      <w:r w:rsidR="00D36FF8">
        <w:t xml:space="preserve">, </w:t>
      </w:r>
      <w:r w:rsidR="00966BA8">
        <w:t>including</w:t>
      </w:r>
      <w:r w:rsidRPr="00DF38B2">
        <w:t xml:space="preserve"> Indigenous status, gender, age, whether they have a partner, if they have children for whom they claim Family Tax Benefit</w:t>
      </w:r>
      <w:r w:rsidR="00D36FF8">
        <w:t>,</w:t>
      </w:r>
      <w:r w:rsidRPr="00DF38B2">
        <w:t xml:space="preserve"> and country of birth. On some records there is some additional data where this is collected for specific program administrative purposes. This includes information for some on visa class and disability – where these are relevant for assessment purposes, as well as why payments have been ceased – for example</w:t>
      </w:r>
      <w:r w:rsidR="00D36FF8">
        <w:t>,</w:t>
      </w:r>
      <w:r w:rsidRPr="00DF38B2">
        <w:t xml:space="preserve"> when </w:t>
      </w:r>
      <w:r w:rsidR="001D5E12">
        <w:t>DHS</w:t>
      </w:r>
      <w:r w:rsidRPr="00DF38B2">
        <w:t xml:space="preserve"> know</w:t>
      </w:r>
      <w:r w:rsidR="001D5E12">
        <w:t>s</w:t>
      </w:r>
      <w:r w:rsidRPr="00DF38B2">
        <w:t xml:space="preserve"> this is because of incarceration or death. </w:t>
      </w:r>
    </w:p>
    <w:p w:rsidR="005E1FE0" w:rsidRPr="00DF38B2" w:rsidRDefault="005E1FE0" w:rsidP="006654AE">
      <w:pPr>
        <w:pStyle w:val="dot"/>
        <w:numPr>
          <w:ilvl w:val="0"/>
          <w:numId w:val="0"/>
        </w:numPr>
        <w:ind w:left="357"/>
      </w:pPr>
      <w:r w:rsidRPr="00DF38B2">
        <w:t>Th</w:t>
      </w:r>
      <w:r w:rsidR="001D5E12">
        <w:t>e dataset</w:t>
      </w:r>
      <w:r w:rsidRPr="00DF38B2">
        <w:t xml:space="preserve"> also includes some </w:t>
      </w:r>
      <w:r w:rsidR="001D5E12">
        <w:t>information</w:t>
      </w:r>
      <w:r w:rsidR="001D5E12" w:rsidRPr="00DF38B2">
        <w:t xml:space="preserve"> </w:t>
      </w:r>
      <w:r w:rsidRPr="00DF38B2">
        <w:t>on exemptions</w:t>
      </w:r>
      <w:r w:rsidR="00D36FF8">
        <w:t>,</w:t>
      </w:r>
      <w:r w:rsidRPr="00DF38B2">
        <w:t xml:space="preserve"> including whether </w:t>
      </w:r>
      <w:r w:rsidR="001D5E12">
        <w:t>people</w:t>
      </w:r>
      <w:r w:rsidR="001D5E12" w:rsidRPr="00DF38B2">
        <w:t xml:space="preserve"> </w:t>
      </w:r>
      <w:r w:rsidRPr="00DF38B2">
        <w:t>have a current exemption or have applied for one in the past</w:t>
      </w:r>
      <w:r w:rsidR="00D36FF8">
        <w:t>,</w:t>
      </w:r>
      <w:r w:rsidRPr="00DF38B2">
        <w:t xml:space="preserve"> and the outcome of the application and reasons for an exemption being, or not being, granted. </w:t>
      </w:r>
    </w:p>
    <w:p w:rsidR="005E1FE0" w:rsidRPr="00DF38B2" w:rsidRDefault="005E1FE0" w:rsidP="006654AE">
      <w:pPr>
        <w:pStyle w:val="dot"/>
      </w:pPr>
      <w:r w:rsidRPr="00DF38B2">
        <w:t xml:space="preserve">Two special analytical data sets for October 2011 and 2013 which have permitted the above detail to be integrated with daily level transactions </w:t>
      </w:r>
      <w:r w:rsidR="0072208A">
        <w:t xml:space="preserve">and balances </w:t>
      </w:r>
      <w:r w:rsidRPr="00DF38B2">
        <w:t>on income management and BasicsCard accounts, along with information on Centrepay activities.</w:t>
      </w:r>
    </w:p>
    <w:p w:rsidR="005E1FE0" w:rsidRPr="00DF38B2" w:rsidRDefault="005E1FE0" w:rsidP="006654AE">
      <w:pPr>
        <w:pStyle w:val="dot"/>
      </w:pPr>
      <w:r w:rsidRPr="00DF38B2">
        <w:t xml:space="preserve">Data related to </w:t>
      </w:r>
      <w:r w:rsidR="0065415A">
        <w:t xml:space="preserve">the </w:t>
      </w:r>
      <w:r w:rsidRPr="00DF38B2">
        <w:t>BasicsCard</w:t>
      </w:r>
      <w:r w:rsidR="00D36FF8">
        <w:t>,</w:t>
      </w:r>
      <w:r w:rsidRPr="00DF38B2">
        <w:t xml:space="preserve"> including BasicsCards issued, and de-identified summary data on individual transactions</w:t>
      </w:r>
      <w:r w:rsidR="00D36FF8">
        <w:t>,</w:t>
      </w:r>
      <w:r w:rsidRPr="00DF38B2">
        <w:t xml:space="preserve"> whether or not these are successful.</w:t>
      </w:r>
    </w:p>
    <w:p w:rsidR="005E1FE0" w:rsidRPr="00DF38B2" w:rsidRDefault="00762D6D" w:rsidP="006654AE">
      <w:r>
        <w:t>W</w:t>
      </w:r>
      <w:r w:rsidRPr="00DF38B2">
        <w:t xml:space="preserve">hile these datasets provide a very significant set of information for </w:t>
      </w:r>
      <w:r>
        <w:t xml:space="preserve">use in </w:t>
      </w:r>
      <w:r w:rsidRPr="00DF38B2">
        <w:t>the evaluation</w:t>
      </w:r>
      <w:r w:rsidR="00683B21">
        <w:t xml:space="preserve"> they have</w:t>
      </w:r>
      <w:r>
        <w:t xml:space="preserve"> </w:t>
      </w:r>
      <w:r w:rsidR="005E1FE0" w:rsidRPr="00DF38B2">
        <w:t>some limitations</w:t>
      </w:r>
      <w:r>
        <w:t xml:space="preserve">. </w:t>
      </w:r>
      <w:r w:rsidR="00683B21">
        <w:t>First they do not provide information on</w:t>
      </w:r>
      <w:r w:rsidR="005E1FE0" w:rsidRPr="00DF38B2">
        <w:t xml:space="preserve"> characteristics </w:t>
      </w:r>
      <w:r>
        <w:t>that</w:t>
      </w:r>
      <w:r w:rsidR="005E1FE0" w:rsidRPr="00DF38B2">
        <w:t xml:space="preserve"> are not required for administrative purposes</w:t>
      </w:r>
      <w:r w:rsidR="00683B21">
        <w:t>.</w:t>
      </w:r>
      <w:r w:rsidR="005D1CC5">
        <w:t xml:space="preserve"> </w:t>
      </w:r>
      <w:r w:rsidR="00683B21">
        <w:t>Second, as</w:t>
      </w:r>
      <w:r w:rsidR="005E1FE0" w:rsidRPr="00DF38B2">
        <w:t xml:space="preserve"> </w:t>
      </w:r>
      <w:r>
        <w:t>data</w:t>
      </w:r>
      <w:r w:rsidR="005E1FE0" w:rsidRPr="00DF38B2">
        <w:t xml:space="preserve"> </w:t>
      </w:r>
      <w:r w:rsidR="00683B21">
        <w:t xml:space="preserve">is </w:t>
      </w:r>
      <w:r w:rsidR="005E1FE0" w:rsidRPr="00DF38B2">
        <w:t xml:space="preserve">drawn from a number of different datasets, using different extraction techniques and filters, there can be minor discrepancies between the reported numbers of persons in particular situations at any one point in time. </w:t>
      </w:r>
    </w:p>
    <w:p w:rsidR="005E1FE0" w:rsidRPr="00DF38B2" w:rsidRDefault="005E1FE0" w:rsidP="006654AE">
      <w:r w:rsidRPr="00DF38B2">
        <w:t xml:space="preserve">Aggregate summary data from Money Management and Financial Counselling Services was also provided for the purposes of the evaluation. This includes information on </w:t>
      </w:r>
      <w:r w:rsidR="00762D6D">
        <w:t xml:space="preserve">the </w:t>
      </w:r>
      <w:r w:rsidRPr="00DF38B2">
        <w:t>number of clients’ access</w:t>
      </w:r>
      <w:r w:rsidR="008C63EF">
        <w:t>ing</w:t>
      </w:r>
      <w:r w:rsidRPr="00DF38B2">
        <w:t xml:space="preserve"> different types of services</w:t>
      </w:r>
      <w:r w:rsidR="00762D6D">
        <w:t>,</w:t>
      </w:r>
      <w:r w:rsidRPr="00DF38B2">
        <w:t xml:space="preserve"> and some summary information on the characteristics of clients. Other administrative data related to the Matched Savings Scheme </w:t>
      </w:r>
      <w:r w:rsidR="00D95B12">
        <w:t>P</w:t>
      </w:r>
      <w:r w:rsidRPr="00DF38B2">
        <w:t>ayments, reviews and appeals.</w:t>
      </w:r>
    </w:p>
    <w:p w:rsidR="005E1FE0" w:rsidRPr="00DF38B2" w:rsidRDefault="005E1FE0" w:rsidP="006654AE">
      <w:pPr>
        <w:pStyle w:val="Heading3"/>
      </w:pPr>
      <w:bookmarkStart w:id="78" w:name="_Toc403738987"/>
      <w:r w:rsidRPr="00DF38B2">
        <w:t>Store sales data</w:t>
      </w:r>
      <w:bookmarkEnd w:id="78"/>
    </w:p>
    <w:p w:rsidR="005E1FE0" w:rsidRPr="00DF38B2" w:rsidRDefault="005E1FE0" w:rsidP="006654AE">
      <w:r w:rsidRPr="00DF38B2">
        <w:t>Data on sales was provided by two groups of remote community stores</w:t>
      </w:r>
      <w:r w:rsidR="00433A52">
        <w:t xml:space="preserve"> and for a number of urban stores</w:t>
      </w:r>
      <w:r w:rsidRPr="00DF38B2">
        <w:t xml:space="preserve">. The </w:t>
      </w:r>
      <w:r w:rsidR="00433A52">
        <w:t>urban stores information</w:t>
      </w:r>
      <w:r w:rsidRPr="00DF38B2">
        <w:t xml:space="preserve"> </w:t>
      </w:r>
      <w:r w:rsidR="001D5E12">
        <w:t xml:space="preserve">contains </w:t>
      </w:r>
      <w:r w:rsidRPr="00DF38B2">
        <w:t xml:space="preserve">data on BasicsCard and total expenditure at a detailed </w:t>
      </w:r>
      <w:r w:rsidR="00433A52" w:rsidRPr="00DF38B2">
        <w:t>pro</w:t>
      </w:r>
      <w:r w:rsidR="00433A52">
        <w:t>duct</w:t>
      </w:r>
      <w:r w:rsidR="00433A52" w:rsidRPr="00DF38B2">
        <w:t xml:space="preserve"> </w:t>
      </w:r>
      <w:r w:rsidRPr="00DF38B2">
        <w:t xml:space="preserve">level for the period 2009 to 2013. </w:t>
      </w:r>
    </w:p>
    <w:p w:rsidR="005E1FE0" w:rsidRPr="00DF38B2" w:rsidRDefault="005E1FE0" w:rsidP="006654AE">
      <w:r w:rsidRPr="00DF38B2">
        <w:t xml:space="preserve">The two groups of remote community stores provided detailed transaction data documenting individual transactions made using BasicsCards on a single day, along with total sales </w:t>
      </w:r>
      <w:r w:rsidR="008C63EF">
        <w:t xml:space="preserve">on that day </w:t>
      </w:r>
      <w:r w:rsidRPr="00DF38B2">
        <w:t>at the same level of disaggregation. In addition</w:t>
      </w:r>
      <w:r w:rsidR="008C22EA">
        <w:t>,</w:t>
      </w:r>
      <w:r w:rsidRPr="00DF38B2">
        <w:t xml:space="preserve"> these stores have provided some longer</w:t>
      </w:r>
      <w:r w:rsidR="008C22EA">
        <w:t>-</w:t>
      </w:r>
      <w:r w:rsidRPr="00DF38B2">
        <w:t>term aggregate data on specific sales including tobacco</w:t>
      </w:r>
      <w:r w:rsidR="00711762" w:rsidRPr="00DF38B2">
        <w:t>, with some further data also being made available from urban stores</w:t>
      </w:r>
      <w:r w:rsidRPr="00DF38B2">
        <w:t xml:space="preserve">. </w:t>
      </w:r>
    </w:p>
    <w:p w:rsidR="005E1FE0" w:rsidRPr="00DF38B2" w:rsidRDefault="005E1FE0" w:rsidP="006654AE">
      <w:pPr>
        <w:pStyle w:val="Heading3"/>
      </w:pPr>
      <w:bookmarkStart w:id="79" w:name="_Toc399681722"/>
      <w:bookmarkStart w:id="80" w:name="_Toc399687314"/>
      <w:bookmarkStart w:id="81" w:name="_Toc403738988"/>
      <w:bookmarkEnd w:id="79"/>
      <w:bookmarkEnd w:id="80"/>
      <w:r w:rsidRPr="00DF38B2">
        <w:t>Aggregate outcome data</w:t>
      </w:r>
      <w:bookmarkEnd w:id="81"/>
    </w:p>
    <w:p w:rsidR="005E1FE0" w:rsidRPr="00DF38B2" w:rsidRDefault="005E1FE0" w:rsidP="006654AE">
      <w:r w:rsidRPr="00DF38B2">
        <w:t xml:space="preserve">The program logic for income managements suggests that income management is expected to have an impact upon </w:t>
      </w:r>
      <w:r w:rsidR="008C22EA">
        <w:t xml:space="preserve">a </w:t>
      </w:r>
      <w:r w:rsidRPr="00DF38B2">
        <w:t>range of broader outcomes</w:t>
      </w:r>
      <w:r w:rsidR="008C22EA">
        <w:t xml:space="preserve"> – </w:t>
      </w:r>
      <w:r w:rsidRPr="00DF38B2">
        <w:t xml:space="preserve">as outlined in the </w:t>
      </w:r>
      <w:r w:rsidR="00683B21">
        <w:t>e</w:t>
      </w:r>
      <w:r w:rsidRPr="00DF38B2">
        <w:t xml:space="preserve">valuation </w:t>
      </w:r>
      <w:r w:rsidR="00683B21">
        <w:t>f</w:t>
      </w:r>
      <w:r w:rsidR="00683B21" w:rsidRPr="00DF38B2">
        <w:t>ramework</w:t>
      </w:r>
      <w:r w:rsidR="00683B21">
        <w:t xml:space="preserve"> (SPRC &amp; AIFS, 2010)</w:t>
      </w:r>
      <w:r w:rsidRPr="00DF38B2">
        <w:t xml:space="preserve">. Aggregate data for a wide range of indicators has been collated for the purposes of the evaluation, including indicators </w:t>
      </w:r>
      <w:r w:rsidR="00683B21">
        <w:t xml:space="preserve">of </w:t>
      </w:r>
      <w:r w:rsidRPr="00DF38B2">
        <w:t>child developmental outcomes and protection, school enrolments and attendance, alcohol and tobacco consumption, alcohol</w:t>
      </w:r>
      <w:r w:rsidR="008C22EA">
        <w:t>-</w:t>
      </w:r>
      <w:r w:rsidRPr="00DF38B2">
        <w:t>related harm</w:t>
      </w:r>
      <w:r w:rsidR="008C22EA">
        <w:t>,</w:t>
      </w:r>
      <w:r w:rsidRPr="00DF38B2">
        <w:t xml:space="preserve"> and incarceration rates. For almost all of the</w:t>
      </w:r>
      <w:r w:rsidR="00683B21">
        <w:t>se</w:t>
      </w:r>
      <w:r w:rsidRPr="00DF38B2">
        <w:t xml:space="preserve"> indicators data collected before and after the introduction of income management is available.</w:t>
      </w:r>
    </w:p>
    <w:p w:rsidR="005E1FE0" w:rsidRPr="00DF38B2" w:rsidRDefault="005E1FE0" w:rsidP="006654AE">
      <w:r w:rsidRPr="00DF38B2">
        <w:lastRenderedPageBreak/>
        <w:t>Wherever possible</w:t>
      </w:r>
      <w:r w:rsidR="008C22EA">
        <w:t>,</w:t>
      </w:r>
      <w:r w:rsidRPr="00DF38B2">
        <w:t xml:space="preserve"> </w:t>
      </w:r>
      <w:r w:rsidR="00D5404D">
        <w:t>data are</w:t>
      </w:r>
      <w:r w:rsidRPr="00DF38B2">
        <w:t xml:space="preserve"> provided for the Northern Territory as a whole, </w:t>
      </w:r>
      <w:r w:rsidR="00AE74AA">
        <w:t xml:space="preserve">for sub-regions of the Northern Territory </w:t>
      </w:r>
      <w:r w:rsidRPr="00DF38B2">
        <w:t xml:space="preserve">and for Australia as a whole. The aggregate outcome data </w:t>
      </w:r>
      <w:r w:rsidR="008C22EA">
        <w:t>derives</w:t>
      </w:r>
      <w:r w:rsidRPr="00DF38B2">
        <w:t xml:space="preserve"> from a wide range of sources including </w:t>
      </w:r>
      <w:r w:rsidR="00912565">
        <w:t>ABS</w:t>
      </w:r>
      <w:r w:rsidRPr="00DF38B2">
        <w:t xml:space="preserve"> data, national child data collections (Australian Early Development Index</w:t>
      </w:r>
      <w:r w:rsidR="008C22EA">
        <w:t>;</w:t>
      </w:r>
      <w:r w:rsidRPr="00DF38B2">
        <w:t xml:space="preserve"> NAPLAN), child health data, hospital data, alcohol supply data, criminal justice data, child protection system data</w:t>
      </w:r>
      <w:r w:rsidR="008C22EA">
        <w:t>,</w:t>
      </w:r>
      <w:r w:rsidRPr="00DF38B2">
        <w:t xml:space="preserve"> and education department data. </w:t>
      </w:r>
    </w:p>
    <w:p w:rsidR="005E1FE0" w:rsidRPr="00DF38B2" w:rsidRDefault="005E1FE0" w:rsidP="006654AE">
      <w:pPr>
        <w:pStyle w:val="Heading3"/>
      </w:pPr>
      <w:bookmarkStart w:id="82" w:name="_Toc403738989"/>
      <w:r w:rsidRPr="00DF38B2">
        <w:t>Longitudinal Survey of New Income Management (LSNIM)</w:t>
      </w:r>
      <w:bookmarkEnd w:id="82"/>
    </w:p>
    <w:p w:rsidR="005E1FE0" w:rsidRPr="00DF38B2" w:rsidRDefault="005E1FE0" w:rsidP="006654AE">
      <w:r w:rsidRPr="00DF38B2">
        <w:t>A two</w:t>
      </w:r>
      <w:r w:rsidR="008C22EA">
        <w:t>-</w:t>
      </w:r>
      <w:r w:rsidRPr="00DF38B2">
        <w:t>wave longitudinal study of people subject to income management</w:t>
      </w:r>
      <w:r w:rsidR="00683B21">
        <w:t xml:space="preserve">, </w:t>
      </w:r>
      <w:r w:rsidR="00683B21" w:rsidRPr="00DF38B2">
        <w:t>the Longitudinal Survey of New Income Management (LSNIM</w:t>
      </w:r>
      <w:r w:rsidR="00A8053C" w:rsidRPr="00DF38B2">
        <w:t>),</w:t>
      </w:r>
      <w:r w:rsidRPr="00DF38B2">
        <w:t xml:space="preserve"> was conducted as part of the evaluation. The first wave of </w:t>
      </w:r>
      <w:r w:rsidR="00683B21">
        <w:t xml:space="preserve">the LSNIM </w:t>
      </w:r>
      <w:r w:rsidRPr="00DF38B2">
        <w:t>was undertaken between December 2011 and March 2012</w:t>
      </w:r>
      <w:r w:rsidR="008C22EA">
        <w:t>,</w:t>
      </w:r>
      <w:r w:rsidRPr="00DF38B2">
        <w:t xml:space="preserve"> and the second wave between September 2013 and January 2014.</w:t>
      </w:r>
    </w:p>
    <w:p w:rsidR="005E1FE0" w:rsidRPr="00DF38B2" w:rsidRDefault="005E1FE0" w:rsidP="006654AE">
      <w:r w:rsidRPr="00DF38B2">
        <w:t xml:space="preserve">The LSNIM is </w:t>
      </w:r>
      <w:r w:rsidR="00711762" w:rsidRPr="00DF38B2">
        <w:t xml:space="preserve">a sample survey </w:t>
      </w:r>
      <w:r w:rsidRPr="00DF38B2">
        <w:t xml:space="preserve">of people on income management in the Northern Territory, with a contrast group of people receiving income support and living in similar circumstances in remote and regional locations in other states who were not subject to income management. The purpose of the survey was to gather people’s views about the impact of income management on their own wellbeing and that of their families and communities, and the changes that have </w:t>
      </w:r>
      <w:r w:rsidR="008C22EA">
        <w:t>occurred</w:t>
      </w:r>
      <w:r w:rsidRPr="00DF38B2">
        <w:t xml:space="preserve"> since the introduction of income management. The survey also asked about their interactions with </w:t>
      </w:r>
      <w:r w:rsidR="00060511">
        <w:t>DHS</w:t>
      </w:r>
      <w:r w:rsidRPr="00DF38B2">
        <w:t xml:space="preserve">, whether they had tried to exempt themselves from income management, and what other services they had accessed </w:t>
      </w:r>
      <w:r w:rsidRPr="00DF38B2">
        <w:fldChar w:fldCharType="begin"/>
      </w:r>
      <w:r w:rsidRPr="00DF38B2">
        <w:instrText xml:space="preserve"> ADDIN EN.CITE &lt;EndNote&gt;&lt;Cite&gt;&lt;Author&gt;Bray&lt;/Author&gt;&lt;Year&gt;2012&lt;/Year&gt;&lt;RecNum&gt;57&lt;/RecNum&gt;&lt;DisplayText&gt;(Bray, Gray et al. 2012)&lt;/DisplayText&gt;&lt;record&gt;&lt;rec-number&gt;57&lt;/rec-number&gt;&lt;foreign-keys&gt;&lt;key app="EN" db-id="zpa55de51tspetevspaxav03d2vzxrstpw2v"&gt;57&lt;/key&gt;&lt;/foreign-keys&gt;&lt;ref-type name="Report"&gt;27&lt;/ref-type&gt;&lt;contributors&gt;&lt;authors&gt;&lt;author&gt;Bray, J R., &lt;/author&gt;&lt;author&gt;Gray, M,  &lt;/author&gt;&lt;author&gt;Hand, K., &lt;/author&gt;&lt;author&gt;Bradbury, B., &lt;/author&gt;&lt;author&gt;Eastman, C. &lt;/author&gt;&lt;author&gt;Katz, I. &lt;/author&gt;&lt;/authors&gt;&lt;/contributors&gt;&lt;titles&gt;&lt;title&gt;Evaluating New Income Management in the Northern Territory: First Evaluation Report&lt;/title&gt;&lt;/titles&gt;&lt;dates&gt;&lt;year&gt;2012&lt;/year&gt;&lt;/dates&gt;&lt;pub-location&gt;Canberra&lt;/pub-location&gt;&lt;publisher&gt;Department of Families, Housing, Community Services and Indigenous Affairs &lt;/publisher&gt;&lt;urls&gt;&lt;related-urls&gt;&lt;url&gt;http://www.fahcsia.gov.au/sites/default/files/documents/11_2012/nim_first_evaluation_report.pdf &lt;/url&gt;&lt;/related-urls&gt;&lt;/urls&gt;&lt;/record&gt;&lt;/Cite&gt;&lt;/EndNote&gt;</w:instrText>
      </w:r>
      <w:r w:rsidRPr="00DF38B2">
        <w:fldChar w:fldCharType="separate"/>
      </w:r>
      <w:r w:rsidRPr="00DF38B2">
        <w:t>(</w:t>
      </w:r>
      <w:hyperlink w:anchor="_ENREF_1" w:tooltip="Bray, 2012 #57" w:history="1">
        <w:r w:rsidRPr="00FE502F">
          <w:t>Bray</w:t>
        </w:r>
        <w:r w:rsidR="00FF555C">
          <w:t xml:space="preserve"> et al.</w:t>
        </w:r>
        <w:r w:rsidRPr="00FE502F">
          <w:t>, 2012</w:t>
        </w:r>
      </w:hyperlink>
      <w:r w:rsidRPr="00DF38B2">
        <w:t>)</w:t>
      </w:r>
      <w:r w:rsidRPr="00DF38B2">
        <w:fldChar w:fldCharType="end"/>
      </w:r>
      <w:r w:rsidR="00445BB3">
        <w:t xml:space="preserve">. </w:t>
      </w:r>
    </w:p>
    <w:p w:rsidR="005E1FE0" w:rsidRPr="009655C3" w:rsidRDefault="005E1FE0" w:rsidP="006654AE">
      <w:r w:rsidRPr="00FE502F">
        <w:t>Eighty-fiv</w:t>
      </w:r>
      <w:r w:rsidRPr="009655C3">
        <w:t>e per cent of survey respondents in the first wave agreed to be contacted again for the sec</w:t>
      </w:r>
      <w:r w:rsidR="00445BB3">
        <w:t xml:space="preserve">ond stage (Wave 2). </w:t>
      </w:r>
      <w:r w:rsidRPr="009655C3">
        <w:t>By following up the same cohort, the evaluation aimed to be able to examine the longer-term effects of in</w:t>
      </w:r>
      <w:r w:rsidR="00445BB3">
        <w:t xml:space="preserve">come management on recipients. </w:t>
      </w:r>
      <w:r w:rsidRPr="009655C3">
        <w:t>In order to mitigate the effects of attrition, the second wave sample was topped</w:t>
      </w:r>
      <w:r w:rsidR="00772166">
        <w:t>-</w:t>
      </w:r>
      <w:r w:rsidRPr="009655C3">
        <w:t xml:space="preserve">up with the inclusion of a further group of participants who fulfilled the selection criteria. </w:t>
      </w:r>
    </w:p>
    <w:p w:rsidR="005E1FE0" w:rsidRPr="00DF38B2" w:rsidRDefault="005E1FE0" w:rsidP="006654AE">
      <w:r w:rsidRPr="00DF38B2">
        <w:t xml:space="preserve">The inclusion of a comparison group, who were not on income management, assisted in assessing whether changes in the lives of participants and their families had been a result of income management or whether other factors were associated with changes in wellbeing. The survey was conducted by Colmar </w:t>
      </w:r>
      <w:proofErr w:type="spellStart"/>
      <w:r w:rsidRPr="00DF38B2">
        <w:t>Brunton</w:t>
      </w:r>
      <w:proofErr w:type="spellEnd"/>
      <w:r w:rsidRPr="00DF38B2">
        <w:t xml:space="preserve"> Social Research. Details of the sampling strategy, recruitment, survey methods and limitations are described in detail in </w:t>
      </w:r>
      <w:r w:rsidR="00711762" w:rsidRPr="00DF38B2">
        <w:t xml:space="preserve">the fieldwork report at </w:t>
      </w:r>
      <w:r w:rsidRPr="00DF38B2">
        <w:t xml:space="preserve">Appendix </w:t>
      </w:r>
      <w:r w:rsidR="00711762" w:rsidRPr="00DF38B2">
        <w:t xml:space="preserve">B. </w:t>
      </w:r>
    </w:p>
    <w:p w:rsidR="005E1FE0" w:rsidRPr="00DF38B2" w:rsidRDefault="005E1FE0" w:rsidP="006654AE">
      <w:pPr>
        <w:pStyle w:val="Heading4"/>
      </w:pPr>
      <w:r w:rsidRPr="00DF38B2">
        <w:t>Sample</w:t>
      </w:r>
    </w:p>
    <w:p w:rsidR="005E1FE0" w:rsidRPr="00DF38B2" w:rsidRDefault="005E1FE0" w:rsidP="006654AE">
      <w:r w:rsidRPr="00DF38B2">
        <w:t xml:space="preserve">The </w:t>
      </w:r>
      <w:r w:rsidR="00772166">
        <w:t>W</w:t>
      </w:r>
      <w:r w:rsidRPr="00DF38B2">
        <w:t xml:space="preserve">ave 2 LSNIM sample </w:t>
      </w:r>
      <w:r w:rsidR="00711762" w:rsidRPr="00DF38B2">
        <w:t>was drawn from</w:t>
      </w:r>
      <w:r w:rsidRPr="00DF38B2">
        <w:t xml:space="preserve"> people who participated in </w:t>
      </w:r>
      <w:r w:rsidR="00772166">
        <w:t>W</w:t>
      </w:r>
      <w:r w:rsidRPr="00DF38B2">
        <w:t xml:space="preserve">ave 1 </w:t>
      </w:r>
      <w:r w:rsidR="00711762" w:rsidRPr="00DF38B2">
        <w:t>and agreed to participate in the second wave</w:t>
      </w:r>
      <w:r w:rsidR="00772166">
        <w:t>,</w:t>
      </w:r>
      <w:r w:rsidR="00711762" w:rsidRPr="00DF38B2">
        <w:t xml:space="preserve"> </w:t>
      </w:r>
      <w:r w:rsidRPr="00DF38B2">
        <w:t xml:space="preserve">and a top-up sample of people who did not participate in </w:t>
      </w:r>
      <w:r w:rsidR="00772166">
        <w:t>W</w:t>
      </w:r>
      <w:r w:rsidRPr="00DF38B2">
        <w:t xml:space="preserve">ave 1, but were on income management at the time the </w:t>
      </w:r>
      <w:r w:rsidR="00772166">
        <w:t>W</w:t>
      </w:r>
      <w:r w:rsidRPr="00DF38B2">
        <w:t xml:space="preserve">ave 2 top-up sampling was undertaken. The </w:t>
      </w:r>
      <w:r w:rsidR="00772166">
        <w:t>W</w:t>
      </w:r>
      <w:r w:rsidRPr="00DF38B2">
        <w:t xml:space="preserve">ave 2 sample of 1,083 respondents consisted of 598 respondents who also participated in </w:t>
      </w:r>
      <w:r w:rsidR="00772166">
        <w:t>W</w:t>
      </w:r>
      <w:r w:rsidRPr="00DF38B2">
        <w:t xml:space="preserve">ave </w:t>
      </w:r>
      <w:r w:rsidR="00772166">
        <w:t xml:space="preserve">1 </w:t>
      </w:r>
      <w:r w:rsidRPr="00DF38B2">
        <w:t xml:space="preserve">and the 485 from the top-up sample who did not participate in Wave 1. </w:t>
      </w:r>
      <w:r w:rsidR="003A03C8">
        <w:t>The s</w:t>
      </w:r>
      <w:r w:rsidR="003A03C8" w:rsidRPr="003A03C8">
        <w:t xml:space="preserve">econd stage </w:t>
      </w:r>
      <w:r w:rsidR="00772166">
        <w:t>comprising</w:t>
      </w:r>
      <w:r w:rsidR="003A03C8">
        <w:t xml:space="preserve"> 1,083 </w:t>
      </w:r>
      <w:r w:rsidR="00772166">
        <w:t>people included</w:t>
      </w:r>
      <w:r w:rsidR="003A03C8">
        <w:t xml:space="preserve"> </w:t>
      </w:r>
      <w:r w:rsidR="003A03C8" w:rsidRPr="003A03C8">
        <w:t xml:space="preserve">924 </w:t>
      </w:r>
      <w:r w:rsidR="003A03C8">
        <w:t xml:space="preserve">respondents </w:t>
      </w:r>
      <w:r w:rsidR="003A03C8" w:rsidRPr="003A03C8">
        <w:t>from the N</w:t>
      </w:r>
      <w:r w:rsidR="00C74BD2">
        <w:t xml:space="preserve">orthern </w:t>
      </w:r>
      <w:r w:rsidR="00772166">
        <w:t>T</w:t>
      </w:r>
      <w:r w:rsidR="00C74BD2">
        <w:t>erritory</w:t>
      </w:r>
      <w:r w:rsidR="003A03C8" w:rsidRPr="003A03C8">
        <w:t xml:space="preserve"> and 159 </w:t>
      </w:r>
      <w:r w:rsidR="00772166">
        <w:t>from</w:t>
      </w:r>
      <w:r w:rsidR="003A03C8" w:rsidRPr="003A03C8">
        <w:t xml:space="preserve"> the contrast sites</w:t>
      </w:r>
      <w:r w:rsidR="00772166">
        <w:t>.</w:t>
      </w:r>
      <w:r w:rsidR="003A03C8" w:rsidRPr="003A03C8">
        <w:t xml:space="preserve"> </w:t>
      </w:r>
      <w:r w:rsidRPr="00DF38B2">
        <w:t xml:space="preserve">The sample attrition rate between </w:t>
      </w:r>
      <w:r w:rsidR="00772166">
        <w:t>W</w:t>
      </w:r>
      <w:r w:rsidRPr="00DF38B2">
        <w:t>ave</w:t>
      </w:r>
      <w:r w:rsidR="00772166">
        <w:t>s</w:t>
      </w:r>
      <w:r w:rsidRPr="00DF38B2">
        <w:t xml:space="preserve"> 1 and 2 was 65.8 per cent. Chapter 7 presents </w:t>
      </w:r>
      <w:r w:rsidR="00772166">
        <w:t>further</w:t>
      </w:r>
      <w:r w:rsidRPr="00DF38B2">
        <w:t xml:space="preserve"> detail on the effective retention rate for usable cross-wave quantitative analysis.</w:t>
      </w:r>
    </w:p>
    <w:p w:rsidR="005E1FE0" w:rsidRPr="00DF38B2" w:rsidRDefault="005E1FE0" w:rsidP="006654AE">
      <w:r w:rsidRPr="00DF38B2">
        <w:t xml:space="preserve">As in the first wave, potential participants were sent a letter from </w:t>
      </w:r>
      <w:r w:rsidR="00BA4E03">
        <w:t>DSS</w:t>
      </w:r>
      <w:r w:rsidRPr="00DF38B2">
        <w:t xml:space="preserve"> to advise them of the evaluation</w:t>
      </w:r>
      <w:r w:rsidR="00772166">
        <w:t>,</w:t>
      </w:r>
      <w:r w:rsidRPr="00DF38B2">
        <w:t xml:space="preserve"> which provided a two</w:t>
      </w:r>
      <w:r w:rsidR="00772166">
        <w:t>-</w:t>
      </w:r>
      <w:r w:rsidRPr="00DF38B2">
        <w:t>week period in which to decide wh</w:t>
      </w:r>
      <w:r w:rsidR="00445BB3">
        <w:t xml:space="preserve">ether to opt out of the study. </w:t>
      </w:r>
      <w:r w:rsidRPr="00DF38B2">
        <w:t xml:space="preserve">Prior to providing contact details to the research team, </w:t>
      </w:r>
      <w:r w:rsidR="00BA4E03">
        <w:t>DSS</w:t>
      </w:r>
      <w:r w:rsidRPr="00DF38B2">
        <w:t xml:space="preserve"> removed any people from the sample who opted out of the study or where contact details for the person were unknown.</w:t>
      </w:r>
      <w:r w:rsidR="00445BB3">
        <w:t xml:space="preserve"> </w:t>
      </w:r>
    </w:p>
    <w:p w:rsidR="005E1FE0" w:rsidRPr="00DF38B2" w:rsidRDefault="005E1FE0" w:rsidP="006654AE">
      <w:pPr>
        <w:pStyle w:val="Heading4"/>
      </w:pPr>
      <w:r w:rsidRPr="00DF38B2">
        <w:t>Survey sites</w:t>
      </w:r>
    </w:p>
    <w:p w:rsidR="005E1FE0" w:rsidRPr="00DF38B2" w:rsidRDefault="005E1FE0" w:rsidP="006654AE">
      <w:r w:rsidRPr="00DF38B2">
        <w:t xml:space="preserve">LSNIM was conducted </w:t>
      </w:r>
      <w:r w:rsidR="00772166">
        <w:t xml:space="preserve">in </w:t>
      </w:r>
      <w:r w:rsidRPr="00DF38B2">
        <w:t>six remote Indigenous communities</w:t>
      </w:r>
      <w:r w:rsidR="00772166">
        <w:t xml:space="preserve">: </w:t>
      </w:r>
      <w:r w:rsidRPr="00DF38B2">
        <w:t>three in the Top End and three in central Australia</w:t>
      </w:r>
      <w:r w:rsidR="00683B21">
        <w:t xml:space="preserve"> and in </w:t>
      </w:r>
      <w:r w:rsidRPr="00DF38B2">
        <w:t>Darwin and Alice Springs</w:t>
      </w:r>
      <w:r w:rsidR="00772166">
        <w:t xml:space="preserve">, </w:t>
      </w:r>
      <w:r w:rsidRPr="00DF38B2">
        <w:t>including nearby communities and town camps. Communities were chosen because they had relatively</w:t>
      </w:r>
      <w:r w:rsidR="00683B21">
        <w:t xml:space="preserve"> large</w:t>
      </w:r>
      <w:r w:rsidRPr="00DF38B2">
        <w:t xml:space="preserve"> numbers of people on income management, and </w:t>
      </w:r>
      <w:r w:rsidR="00772166">
        <w:t xml:space="preserve">were sites </w:t>
      </w:r>
      <w:r w:rsidRPr="00DF38B2">
        <w:t xml:space="preserve">where data collection did not clash with any other research activity. The selected </w:t>
      </w:r>
      <w:r w:rsidR="00772166">
        <w:t>s</w:t>
      </w:r>
      <w:r w:rsidRPr="00DF38B2">
        <w:t xml:space="preserve">ites were chosen to reflect the diversity of the </w:t>
      </w:r>
      <w:r w:rsidR="00407AEF">
        <w:t>Northern Territory</w:t>
      </w:r>
      <w:r w:rsidRPr="00DF38B2">
        <w:t>.</w:t>
      </w:r>
    </w:p>
    <w:p w:rsidR="005E1FE0" w:rsidRPr="00DF38B2" w:rsidRDefault="005E1FE0" w:rsidP="006654AE">
      <w:r w:rsidRPr="00DF38B2">
        <w:t>Non-Indigenous participants were oversampled in order to allow for analysis at the subgroup level and also to provide some insight into the possible impact of income management on non-Indigenous income support recipients.</w:t>
      </w:r>
    </w:p>
    <w:p w:rsidR="005E1FE0" w:rsidRPr="00DF38B2" w:rsidRDefault="005E1FE0" w:rsidP="006654AE">
      <w:pPr>
        <w:pStyle w:val="Heading4"/>
      </w:pPr>
      <w:r w:rsidRPr="00DF38B2">
        <w:lastRenderedPageBreak/>
        <w:t xml:space="preserve">Community consent </w:t>
      </w:r>
    </w:p>
    <w:p w:rsidR="005E1FE0" w:rsidRPr="00DF38B2" w:rsidRDefault="005E1FE0" w:rsidP="006654AE">
      <w:r w:rsidRPr="00DF38B2">
        <w:t xml:space="preserve">Community consent to undertake both stages of the evaluation was obtained in each of the Indigenous remote communities and </w:t>
      </w:r>
      <w:r w:rsidR="00683B21">
        <w:t>Alice Springs and Darwin</w:t>
      </w:r>
      <w:r w:rsidR="00683B21" w:rsidRPr="00DF38B2">
        <w:t xml:space="preserve"> </w:t>
      </w:r>
      <w:r w:rsidRPr="00DF38B2">
        <w:t xml:space="preserve">town camps. Consent was not required to undertake the evaluation in the </w:t>
      </w:r>
      <w:r w:rsidR="00683B21">
        <w:t>“non-tow</w:t>
      </w:r>
      <w:r w:rsidR="00683B21" w:rsidRPr="00DF38B2">
        <w:t>n</w:t>
      </w:r>
      <w:r w:rsidR="00683B21">
        <w:t xml:space="preserve"> camp”</w:t>
      </w:r>
      <w:r w:rsidR="00683B21" w:rsidRPr="00DF38B2">
        <w:t xml:space="preserve"> </w:t>
      </w:r>
      <w:r w:rsidRPr="00DF38B2">
        <w:t>areas of Alice Springs and Darwin. The approach to community consent varied for each community. Relevant authorities in every Aboriginal community involved in the research gave written permission for the research to take place in their community.</w:t>
      </w:r>
    </w:p>
    <w:p w:rsidR="005E1FE0" w:rsidRPr="00DF38B2" w:rsidRDefault="005E1FE0" w:rsidP="006654AE">
      <w:pPr>
        <w:pStyle w:val="Heading4"/>
      </w:pPr>
      <w:r w:rsidRPr="00DF38B2">
        <w:t>Qualitative interviews</w:t>
      </w:r>
    </w:p>
    <w:p w:rsidR="005E1FE0" w:rsidRPr="00DF38B2" w:rsidRDefault="005E1FE0" w:rsidP="006654AE">
      <w:r w:rsidRPr="00DF38B2">
        <w:t>Both waves of the LSNIM included semi-structured qualitative interviews</w:t>
      </w:r>
      <w:r w:rsidR="00772166">
        <w:t>,</w:t>
      </w:r>
      <w:r w:rsidRPr="00DF38B2">
        <w:t xml:space="preserve"> which were conducted alongside the main LSNIM interviews. The interviews sought to gain in-depth information relating to people’s </w:t>
      </w:r>
      <w:r w:rsidR="00D847C3">
        <w:t>views about</w:t>
      </w:r>
      <w:r w:rsidRPr="00DF38B2">
        <w:t xml:space="preserve"> income management and its impact on their lives.</w:t>
      </w:r>
      <w:r w:rsidR="005D1CC5">
        <w:t xml:space="preserve"> </w:t>
      </w:r>
      <w:r w:rsidR="00D847C3">
        <w:t xml:space="preserve">In </w:t>
      </w:r>
      <w:r w:rsidR="00A8053C">
        <w:t>the first wave</w:t>
      </w:r>
      <w:r w:rsidRPr="00DF38B2">
        <w:t xml:space="preserve"> 95 interviews were conducted</w:t>
      </w:r>
      <w:r w:rsidR="0065415A">
        <w:t>,</w:t>
      </w:r>
      <w:r w:rsidRPr="00DF38B2">
        <w:t xml:space="preserve"> and 46 </w:t>
      </w:r>
      <w:r w:rsidR="00D847C3">
        <w:t xml:space="preserve">interviews were undertaken </w:t>
      </w:r>
      <w:r w:rsidRPr="00DF38B2">
        <w:t xml:space="preserve">in </w:t>
      </w:r>
      <w:r w:rsidR="00772166">
        <w:t>W</w:t>
      </w:r>
      <w:r w:rsidRPr="00DF38B2">
        <w:t>ave 2. Interviews were not conducted in the contrast sites in the first phase</w:t>
      </w:r>
      <w:r w:rsidR="00772166">
        <w:t>,</w:t>
      </w:r>
      <w:r w:rsidRPr="00DF38B2">
        <w:t xml:space="preserve"> but in the second phase 6 interviews were conducted with community members in the remote contrast sites at the request of participants.</w:t>
      </w:r>
    </w:p>
    <w:p w:rsidR="005E1FE0" w:rsidRPr="00DF38B2" w:rsidRDefault="005E1FE0" w:rsidP="006654AE">
      <w:pPr>
        <w:pStyle w:val="Heading3"/>
      </w:pPr>
      <w:bookmarkStart w:id="83" w:name="_Toc403738990"/>
      <w:r w:rsidRPr="00DF38B2">
        <w:t>Interviews with intermediaries</w:t>
      </w:r>
      <w:bookmarkEnd w:id="83"/>
    </w:p>
    <w:p w:rsidR="005E1FE0" w:rsidRPr="00DF38B2" w:rsidRDefault="005E1FE0" w:rsidP="006654AE">
      <w:pPr>
        <w:rPr>
          <w:bCs/>
          <w:iCs/>
        </w:rPr>
      </w:pPr>
      <w:r w:rsidRPr="00DF38B2">
        <w:t xml:space="preserve">Interviews </w:t>
      </w:r>
      <w:r w:rsidR="00772166">
        <w:t xml:space="preserve">– </w:t>
      </w:r>
      <w:r w:rsidRPr="00DF38B2">
        <w:t>both group and individual</w:t>
      </w:r>
      <w:r w:rsidR="00772166">
        <w:t xml:space="preserve"> –</w:t>
      </w:r>
      <w:r w:rsidRPr="00DF38B2">
        <w:rPr>
          <w:bCs/>
          <w:iCs/>
        </w:rPr>
        <w:t xml:space="preserve"> </w:t>
      </w:r>
      <w:r w:rsidR="00D847C3">
        <w:rPr>
          <w:bCs/>
          <w:iCs/>
        </w:rPr>
        <w:t>were</w:t>
      </w:r>
      <w:r w:rsidRPr="00DF38B2">
        <w:rPr>
          <w:bCs/>
          <w:iCs/>
        </w:rPr>
        <w:t xml:space="preserve"> undertaken with 120 </w:t>
      </w:r>
      <w:r w:rsidRPr="00DF38B2">
        <w:t>intermediaries from a range of agencies to explore both the functioning of aspects of income management and of the perceived impacts of different</w:t>
      </w:r>
      <w:r w:rsidR="00D847C3">
        <w:t xml:space="preserve"> income management</w:t>
      </w:r>
      <w:r w:rsidRPr="00DF38B2">
        <w:t xml:space="preserve"> measures. </w:t>
      </w:r>
    </w:p>
    <w:p w:rsidR="005E1FE0" w:rsidRPr="00DF38B2" w:rsidRDefault="005E1FE0" w:rsidP="006654AE">
      <w:pPr>
        <w:rPr>
          <w:szCs w:val="19"/>
        </w:rPr>
      </w:pPr>
      <w:r w:rsidRPr="00DF38B2">
        <w:t xml:space="preserve">These interviews contribute both </w:t>
      </w:r>
      <w:r w:rsidR="00772166" w:rsidRPr="00DF38B2">
        <w:t xml:space="preserve">to </w:t>
      </w:r>
      <w:r w:rsidRPr="00DF38B2">
        <w:t>a broad understanding of</w:t>
      </w:r>
      <w:r w:rsidR="00D847C3">
        <w:t xml:space="preserve"> the operation and impacts of</w:t>
      </w:r>
      <w:r w:rsidRPr="00DF38B2">
        <w:t xml:space="preserve"> </w:t>
      </w:r>
      <w:r w:rsidR="00D847C3">
        <w:t xml:space="preserve">income management </w:t>
      </w:r>
      <w:r w:rsidRPr="00DF38B2">
        <w:t>a</w:t>
      </w:r>
      <w:r w:rsidR="00772166">
        <w:t>nd</w:t>
      </w:r>
      <w:r w:rsidRPr="00DF38B2">
        <w:t xml:space="preserve"> </w:t>
      </w:r>
      <w:r w:rsidR="00D847C3">
        <w:t>understanding of specific</w:t>
      </w:r>
      <w:r w:rsidRPr="00DF38B2">
        <w:t xml:space="preserve"> income management</w:t>
      </w:r>
      <w:r w:rsidR="00D847C3">
        <w:t xml:space="preserve"> measures</w:t>
      </w:r>
      <w:r w:rsidRPr="00DF38B2">
        <w:t xml:space="preserve"> such as the </w:t>
      </w:r>
      <w:r w:rsidRPr="00DF38B2">
        <w:rPr>
          <w:szCs w:val="19"/>
        </w:rPr>
        <w:t>Vulnerable Welfare Payment Recipient measure and the Child Protection Income Management</w:t>
      </w:r>
      <w:r w:rsidR="00D847C3">
        <w:rPr>
          <w:szCs w:val="19"/>
        </w:rPr>
        <w:t>. I</w:t>
      </w:r>
      <w:r w:rsidRPr="00DF38B2">
        <w:rPr>
          <w:szCs w:val="19"/>
        </w:rPr>
        <w:t>nterviews were conducted with:</w:t>
      </w:r>
    </w:p>
    <w:p w:rsidR="005E1FE0" w:rsidRPr="00DF38B2" w:rsidRDefault="005E1FE0" w:rsidP="006654AE">
      <w:pPr>
        <w:pStyle w:val="dot"/>
      </w:pPr>
      <w:r w:rsidRPr="00DF38B2">
        <w:t>40 staff from money management and financial counselling services</w:t>
      </w:r>
    </w:p>
    <w:p w:rsidR="005E1FE0" w:rsidRPr="00DF38B2" w:rsidRDefault="005E1FE0" w:rsidP="006654AE">
      <w:pPr>
        <w:pStyle w:val="dot"/>
      </w:pPr>
      <w:r w:rsidRPr="00DF38B2">
        <w:t>43 staff from the Australian Government Department of Human services</w:t>
      </w:r>
      <w:r w:rsidR="00772166">
        <w:t>. This included:</w:t>
      </w:r>
      <w:r w:rsidRPr="00DF38B2">
        <w:t xml:space="preserve"> 24 social workers who participated in interviews focused on the Vulnerable Welfare Payment Recipient measure and income management more broadly</w:t>
      </w:r>
      <w:r w:rsidR="00772166">
        <w:t>, and</w:t>
      </w:r>
      <w:r w:rsidRPr="00DF38B2">
        <w:t xml:space="preserve"> Customer Service Officers, remote servicing staff, </w:t>
      </w:r>
      <w:r w:rsidR="00E32EC1" w:rsidRPr="00DF38B2">
        <w:t>Income Management Coordination Officer</w:t>
      </w:r>
      <w:r w:rsidR="00E32EC1">
        <w:t>s</w:t>
      </w:r>
      <w:r w:rsidR="00E32EC1" w:rsidRPr="00DF38B2">
        <w:t xml:space="preserve"> </w:t>
      </w:r>
      <w:r w:rsidRPr="00DF38B2">
        <w:t>and exemptions staff</w:t>
      </w:r>
    </w:p>
    <w:p w:rsidR="005E1FE0" w:rsidRPr="00DF38B2" w:rsidRDefault="000D3BE7" w:rsidP="006654AE">
      <w:pPr>
        <w:pStyle w:val="dot"/>
      </w:pPr>
      <w:r w:rsidRPr="000D3BE7">
        <w:t>49 child protection staff (including managers and caseworkers) about the Child Protection Income Management measure and the impacts of income management in the communities more broadly (26 staff participated in interviews focused on these broader issues and 23 staff discussed these issues as part of the case file interviews outlined below)</w:t>
      </w:r>
    </w:p>
    <w:p w:rsidR="005E1FE0" w:rsidRPr="00DF38B2" w:rsidRDefault="005E1FE0" w:rsidP="006654AE">
      <w:pPr>
        <w:pStyle w:val="dot"/>
      </w:pPr>
      <w:proofErr w:type="gramStart"/>
      <w:r w:rsidRPr="00DF38B2">
        <w:t>representatives</w:t>
      </w:r>
      <w:proofErr w:type="gramEnd"/>
      <w:r w:rsidRPr="00DF38B2">
        <w:t xml:space="preserve"> of service providers and agencies that work with or represent people subject to income management</w:t>
      </w:r>
      <w:r w:rsidR="00270A0E">
        <w:t>,</w:t>
      </w:r>
      <w:r w:rsidRPr="00DF38B2">
        <w:t xml:space="preserve"> including both legal services and peak bodies. </w:t>
      </w:r>
    </w:p>
    <w:p w:rsidR="005E1FE0" w:rsidRPr="00DF38B2" w:rsidRDefault="005E1FE0" w:rsidP="006654AE">
      <w:pPr>
        <w:pStyle w:val="Heading3"/>
      </w:pPr>
      <w:bookmarkStart w:id="84" w:name="_Toc403738991"/>
      <w:r w:rsidRPr="00DF38B2">
        <w:t>Case file interviews with Child Protection caseworkers from the N</w:t>
      </w:r>
      <w:r w:rsidR="00C74BD2">
        <w:t xml:space="preserve">orthern </w:t>
      </w:r>
      <w:r w:rsidRPr="00DF38B2">
        <w:t>T</w:t>
      </w:r>
      <w:r w:rsidR="00C74BD2">
        <w:t>erritory</w:t>
      </w:r>
      <w:r w:rsidRPr="00DF38B2">
        <w:t xml:space="preserve"> Department of Children and Families</w:t>
      </w:r>
      <w:bookmarkEnd w:id="84"/>
    </w:p>
    <w:p w:rsidR="000D3BE7" w:rsidRDefault="000D3BE7" w:rsidP="006654AE">
      <w:r>
        <w:t xml:space="preserve">The </w:t>
      </w:r>
      <w:r w:rsidR="004F2FEC">
        <w:t>F</w:t>
      </w:r>
      <w:r>
        <w:t xml:space="preserve">irst </w:t>
      </w:r>
      <w:r w:rsidR="004F2FEC">
        <w:t>E</w:t>
      </w:r>
      <w:r>
        <w:t xml:space="preserve">valuation </w:t>
      </w:r>
      <w:r w:rsidR="004F2FEC">
        <w:t>R</w:t>
      </w:r>
      <w:r>
        <w:t>eport contained only limited data regarding the impact of Child Protection Income Management. The small numbers subject to Child Protection Income Management meant that the sample for the longitudinal client study (LSNIM) did not provide a sufficient sample of people subject to this measure to allow analysis for the subgroup. It was also not possible to conduct a separate quantitative analysis of the impact of income management on this group. Qualitative interviews with clients also did not specifically identify issues related to this measure.</w:t>
      </w:r>
    </w:p>
    <w:p w:rsidR="000D3BE7" w:rsidRDefault="000D3BE7" w:rsidP="006654AE">
      <w:r>
        <w:t>The second stage of the evaluation sought to address this gap in data through the conduct of a more focused study of the Child Protection Income Management measure and its impact on children and families. In addition to interviews with child protection workers from the Northern Territory Department of Children and Families and other intermediaries, 23 interviews with child protection caseworkers about 32 case files interviews have been undertaken.</w:t>
      </w:r>
    </w:p>
    <w:p w:rsidR="005E1FE0" w:rsidRPr="00DF38B2" w:rsidRDefault="000D3BE7" w:rsidP="006654AE">
      <w:r>
        <w:lastRenderedPageBreak/>
        <w:t>Caseworkers of selected cases were identified and asked to respond to the following evaluation questions: why families were referred to the Child Protection Income Management measure; what supports they received and, where relevant, why the measure was either extended or discontinued; and what impact the Child Protection Income Management measure had on the parenting capacities of the parents/carers and the wellbeing of children. Caseworkers/managers extracted relevant data directly from the paper files, which they retain. These interviews were conducted anonymously in the sense that the name of the client was not disclosed to the evaluation team, and no specific identifying data were provided. Overall, 18 cases were derived from a sample list of 103 families selected from DHS data were able to be matched to caseworkers still employed by DCF. Another 14 discussions were undertaken concerning cases that were not on the final sample list but were cases they felt able to discuss in detail</w:t>
      </w:r>
      <w:r w:rsidR="00A8053C">
        <w:t>.</w:t>
      </w:r>
    </w:p>
    <w:p w:rsidR="005E1FE0" w:rsidRPr="00DF38B2" w:rsidRDefault="005E1FE0" w:rsidP="006654AE">
      <w:pPr>
        <w:pStyle w:val="Heading3"/>
      </w:pPr>
      <w:bookmarkStart w:id="85" w:name="_Toc403738992"/>
      <w:r w:rsidRPr="00DF38B2">
        <w:t>Vulnerable Welfare Payment Recipient social work assessment report review</w:t>
      </w:r>
      <w:bookmarkEnd w:id="85"/>
    </w:p>
    <w:p w:rsidR="005E1FE0" w:rsidRPr="00DF38B2" w:rsidRDefault="005E1FE0" w:rsidP="006654AE">
      <w:r w:rsidRPr="00DF38B2">
        <w:t>The First Evaluation Report found that, due to the small numbers of people on the Vulnerable Welfare Payment Recipient measure, the evaluation was not able to draw conclusions about the impact of the measure on individuals and families or to ascertain their views about the measure. In the second stage of the evaluation additional information was gathered regarding the use of the measure and its impact on individuals</w:t>
      </w:r>
      <w:r w:rsidR="00A1421A">
        <w:t xml:space="preserve">. </w:t>
      </w:r>
    </w:p>
    <w:p w:rsidR="005E1FE0" w:rsidRPr="00DF38B2" w:rsidRDefault="005E1FE0" w:rsidP="006654AE">
      <w:r w:rsidRPr="00DF38B2">
        <w:t xml:space="preserve">As mentioned in Chapter 2, the initial form of the Vulnerable Welfare Payment Recipient measure was designed to provide </w:t>
      </w:r>
      <w:r w:rsidR="00060511">
        <w:t>DHS</w:t>
      </w:r>
      <w:r w:rsidRPr="00DF38B2">
        <w:t xml:space="preserve"> social workers with an additional tool to help individuals who were vulnerable and/or considered to be at risk. Being placed on this form of income management</w:t>
      </w:r>
      <w:r w:rsidR="00E45EFB">
        <w:t xml:space="preserve"> –</w:t>
      </w:r>
      <w:r w:rsidRPr="00DF38B2">
        <w:t xml:space="preserve"> referred to in this report as assessed Vulnerable Income Management</w:t>
      </w:r>
      <w:r w:rsidR="00E45EFB">
        <w:t xml:space="preserve"> –</w:t>
      </w:r>
      <w:r w:rsidRPr="00DF38B2">
        <w:t xml:space="preserve"> requires an assessment of vulnerability completed by a social worker. A review of </w:t>
      </w:r>
      <w:r w:rsidR="00CC6215">
        <w:t>30</w:t>
      </w:r>
      <w:r w:rsidR="00CC6215" w:rsidRPr="00DF38B2">
        <w:t xml:space="preserve"> </w:t>
      </w:r>
      <w:r w:rsidRPr="00DF38B2">
        <w:t>randomly selected social work assessment reports was completed. Half of the assessment reports related to people on the measure living in urban areas</w:t>
      </w:r>
      <w:r w:rsidR="00E45EFB">
        <w:t>,</w:t>
      </w:r>
      <w:r w:rsidRPr="00DF38B2">
        <w:t xml:space="preserve"> and half living in remote areas of the </w:t>
      </w:r>
      <w:r w:rsidR="00407AEF">
        <w:t>Northern Territory</w:t>
      </w:r>
      <w:r w:rsidRPr="00DF38B2">
        <w:t xml:space="preserve">. </w:t>
      </w:r>
      <w:r w:rsidR="00E45EFB">
        <w:t>P</w:t>
      </w:r>
      <w:r w:rsidR="00E45EFB" w:rsidRPr="00DF38B2">
        <w:t>rior to providing the reports to the research team</w:t>
      </w:r>
      <w:r w:rsidR="00E45EFB">
        <w:t xml:space="preserve">, </w:t>
      </w:r>
      <w:r w:rsidR="00060511">
        <w:t>DHS</w:t>
      </w:r>
      <w:r w:rsidRPr="00DF38B2">
        <w:t xml:space="preserve"> removed identifying information except for information relating to gender and age. </w:t>
      </w:r>
    </w:p>
    <w:p w:rsidR="005E1FE0" w:rsidRPr="00DF38B2" w:rsidRDefault="005E1FE0" w:rsidP="006654AE">
      <w:r w:rsidRPr="00DF38B2">
        <w:t xml:space="preserve">A tool was developed and used to review each report (Appendix </w:t>
      </w:r>
      <w:r w:rsidR="001C0BE0">
        <w:t>G</w:t>
      </w:r>
      <w:r w:rsidRPr="00DF38B2">
        <w:t>). The review tool was designed to capture information relating to the characteristics and circumstances of people on the measure, the range of circumstances under which people are deemed suitable to exit the measure, the impact of the measure on the recipients, and what additional interventions or supports assist in addressing or minimising vulnerability. Three researchers were involved in completing the reviews. Data from the reviews were thematically analysed in terms of the reported views of recipients, wellbeing and level of vulnerability; the presence of any substance abuse; the availability of any formal supports</w:t>
      </w:r>
      <w:r w:rsidR="00E45EFB">
        <w:t xml:space="preserve"> or</w:t>
      </w:r>
      <w:r w:rsidRPr="00DF38B2">
        <w:t xml:space="preserve"> informal supports; family relationships; their ability to manage their finances; a</w:t>
      </w:r>
      <w:r w:rsidR="00E45EFB">
        <w:t>nd</w:t>
      </w:r>
      <w:r w:rsidRPr="00DF38B2">
        <w:t xml:space="preserve"> information relating to the Vulnerable Income Management assessment process.</w:t>
      </w:r>
    </w:p>
    <w:p w:rsidR="005E1FE0" w:rsidRPr="00DF38B2" w:rsidRDefault="005E1FE0" w:rsidP="006654AE">
      <w:pPr>
        <w:pStyle w:val="Heading2"/>
      </w:pPr>
      <w:bookmarkStart w:id="86" w:name="_Toc403738993"/>
      <w:r w:rsidRPr="00DF38B2">
        <w:t>Ethics approval</w:t>
      </w:r>
      <w:bookmarkEnd w:id="86"/>
    </w:p>
    <w:p w:rsidR="005E1FE0" w:rsidRPr="00DF38B2" w:rsidRDefault="005E1FE0" w:rsidP="006654AE">
      <w:r w:rsidRPr="00DF38B2">
        <w:t xml:space="preserve">As outlined in the First Evaluation Report, ethics approval was sought separately for the baseline and main evaluation components </w:t>
      </w:r>
      <w:r w:rsidR="00E45EFB">
        <w:t xml:space="preserve">– </w:t>
      </w:r>
      <w:r w:rsidRPr="00DF38B2">
        <w:t xml:space="preserve">the latter including the survey of people on income management. Approval was sought from </w:t>
      </w:r>
      <w:r w:rsidR="00E45EFB">
        <w:t xml:space="preserve">the </w:t>
      </w:r>
      <w:r w:rsidRPr="00DF38B2">
        <w:t xml:space="preserve">UNSW </w:t>
      </w:r>
      <w:r w:rsidR="000853F3">
        <w:t xml:space="preserve">Australia </w:t>
      </w:r>
      <w:r w:rsidRPr="00DF38B2">
        <w:t xml:space="preserve">Human Ethics Research Committee, the Human Ethics Research Committee of the Northern Territory Department of Health and Menzies School of Health Research, and the Central Australian Human Research Ethics Committee. Community feedback sessions were completed at the end of </w:t>
      </w:r>
      <w:r w:rsidR="00E45EFB">
        <w:t>W</w:t>
      </w:r>
      <w:r w:rsidRPr="00DF38B2">
        <w:t>ave 1.</w:t>
      </w:r>
    </w:p>
    <w:p w:rsidR="005E1FE0" w:rsidRPr="00DF38B2" w:rsidRDefault="005E1FE0" w:rsidP="006654AE">
      <w:r w:rsidRPr="00DF38B2">
        <w:t>As reported above, the evaluation plan was revised after the first stage to focus on specific areas which were considered to be of particular interest. In addition</w:t>
      </w:r>
      <w:r w:rsidR="00E45EFB">
        <w:t>,</w:t>
      </w:r>
      <w:r w:rsidRPr="00DF38B2">
        <w:t xml:space="preserve"> the survey instrument and topic guides for the qualitative interviews were amended to reflect the focus of the evaluation.</w:t>
      </w:r>
    </w:p>
    <w:p w:rsidR="005E1FE0" w:rsidRPr="00DF38B2" w:rsidRDefault="005E1FE0" w:rsidP="006654AE">
      <w:r w:rsidRPr="00DF38B2">
        <w:t xml:space="preserve">For the second stage of the evaluation, including </w:t>
      </w:r>
      <w:r w:rsidR="00E45EFB">
        <w:t>W</w:t>
      </w:r>
      <w:r w:rsidRPr="00DF38B2">
        <w:t xml:space="preserve">ave 2 of the LSNIM, additional approval was sought from each ethics committee concerning the revisions to the LSNIM survey instrument and the methodologies to be used for the second stage of the evaluation. Ethics approval was provided by each of the three committees as follows: UNSW Australia Human Ethics Research Committee (ref HC11169, approved 14 August 2013); the Human Ethics Research Committee of the Northern Territory Department of Health and Menzies School of Health Research (ref HOMER-2011-1627, </w:t>
      </w:r>
      <w:r w:rsidR="00E45EFB">
        <w:t xml:space="preserve">approved </w:t>
      </w:r>
      <w:r w:rsidRPr="00DF38B2">
        <w:t xml:space="preserve">6 September 2013); and the Central Australian Human Research Ethics Committee (ref HREC-12-108, approved 1 November </w:t>
      </w:r>
      <w:r w:rsidRPr="00DF38B2">
        <w:lastRenderedPageBreak/>
        <w:t>2013). As reported above, consent was provided by each of the relevant remote communities prior to commencement of fieldwork. A second set of community feedback sessions w</w:t>
      </w:r>
      <w:r w:rsidR="00AE74AA">
        <w:t>as</w:t>
      </w:r>
      <w:r w:rsidRPr="00DF38B2">
        <w:t xml:space="preserve"> conducted after completion of the analysis </w:t>
      </w:r>
      <w:r w:rsidR="00AE74AA">
        <w:t xml:space="preserve">and </w:t>
      </w:r>
      <w:r w:rsidRPr="00DF38B2">
        <w:t xml:space="preserve">feedback </w:t>
      </w:r>
      <w:r w:rsidR="00AE74AA">
        <w:t xml:space="preserve">has been </w:t>
      </w:r>
      <w:r w:rsidRPr="00DF38B2">
        <w:t>incor</w:t>
      </w:r>
      <w:r w:rsidR="00445BB3">
        <w:t>porated into th</w:t>
      </w:r>
      <w:r w:rsidR="00AE74AA">
        <w:t>is</w:t>
      </w:r>
      <w:r w:rsidR="00445BB3">
        <w:t xml:space="preserve"> report.</w:t>
      </w:r>
    </w:p>
    <w:p w:rsidR="005E1FE0" w:rsidRPr="00DF38B2" w:rsidRDefault="005E1FE0" w:rsidP="006654AE">
      <w:r w:rsidRPr="00DF38B2">
        <w:t xml:space="preserve">The ethical requirements for this research included that: participants should give informed consent to participation and </w:t>
      </w:r>
      <w:r w:rsidR="00E45EFB">
        <w:t>retained</w:t>
      </w:r>
      <w:r w:rsidRPr="00DF38B2">
        <w:t xml:space="preserve"> the right to withdraw at any stage; Indigenous communities were to provide consent to undertake the research; feedback should be provided to the communities; no individual should be identifiable in the report; communities should similarly not be identifiable</w:t>
      </w:r>
      <w:r w:rsidR="00E45EFB">
        <w:t>,</w:t>
      </w:r>
      <w:r w:rsidRPr="00DF38B2">
        <w:t xml:space="preserve"> other than the urban communities of Darwin and Alice Springs.</w:t>
      </w:r>
    </w:p>
    <w:p w:rsidR="005E1FE0" w:rsidRPr="00DF38B2" w:rsidRDefault="005E1FE0" w:rsidP="006654AE">
      <w:pPr>
        <w:spacing w:line="276" w:lineRule="auto"/>
        <w:jc w:val="left"/>
      </w:pPr>
      <w:r w:rsidRPr="00DF38B2">
        <w:br w:type="page"/>
      </w:r>
    </w:p>
    <w:p w:rsidR="005E1FE0" w:rsidRPr="00DF38B2" w:rsidRDefault="005E1FE0" w:rsidP="006654AE"/>
    <w:p w:rsidR="005E1FE0" w:rsidRPr="00DF38B2" w:rsidRDefault="005E1FE0" w:rsidP="006654AE">
      <w:pPr>
        <w:sectPr w:rsidR="005E1FE0" w:rsidRPr="00DF38B2" w:rsidSect="00285084">
          <w:headerReference w:type="even" r:id="rId41"/>
          <w:headerReference w:type="default" r:id="rId42"/>
          <w:footerReference w:type="even" r:id="rId43"/>
          <w:footerReference w:type="default" r:id="rId44"/>
          <w:headerReference w:type="first" r:id="rId45"/>
          <w:footerReference w:type="first" r:id="rId46"/>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87" w:name="_Toc403738994"/>
      <w:r w:rsidRPr="00DF38B2">
        <w:lastRenderedPageBreak/>
        <w:t>The population on income management</w:t>
      </w:r>
      <w:bookmarkEnd w:id="87"/>
    </w:p>
    <w:p w:rsidR="005E1FE0" w:rsidRPr="00DF38B2" w:rsidRDefault="005E1FE0" w:rsidP="004F3A3D">
      <w:pPr>
        <w:spacing w:before="1134" w:after="210"/>
      </w:pPr>
      <w:r w:rsidRPr="00DF38B2">
        <w:t xml:space="preserve">This chapter provides detailed information on the characteristics of the population subject to income management. It specifically considers the number of people on the different streams of income management over time, how long they remain being income managed and what happens to them when they cease to be so. It describes the characteristics of the current population and also looks at the extent to which there have been changes from when New Income Management </w:t>
      </w:r>
      <w:r w:rsidR="0074530D">
        <w:t>commenced being</w:t>
      </w:r>
      <w:r w:rsidRPr="00DF38B2">
        <w:t xml:space="preserve"> implemented </w:t>
      </w:r>
      <w:r w:rsidR="00E235E5">
        <w:t>in mid-</w:t>
      </w:r>
      <w:r w:rsidRPr="00DF38B2">
        <w:t>2010.</w:t>
      </w:r>
    </w:p>
    <w:p w:rsidR="005E1FE0" w:rsidRPr="00DF38B2" w:rsidRDefault="005E1FE0" w:rsidP="006654AE">
      <w:r w:rsidRPr="00DF38B2">
        <w:t xml:space="preserve">The analysis focuses on the period to </w:t>
      </w:r>
      <w:r w:rsidR="00AE74AA">
        <w:t>December</w:t>
      </w:r>
      <w:r w:rsidR="00E235E5">
        <w:t xml:space="preserve"> </w:t>
      </w:r>
      <w:r w:rsidRPr="00DF38B2">
        <w:t>2013. The chapter:</w:t>
      </w:r>
    </w:p>
    <w:p w:rsidR="005E1FE0" w:rsidRPr="00DF38B2" w:rsidRDefault="005E1FE0" w:rsidP="006654AE">
      <w:pPr>
        <w:pStyle w:val="dot"/>
      </w:pPr>
      <w:r w:rsidRPr="00DF38B2">
        <w:t>Reports on the relative roles of the different programs in determining the overall income</w:t>
      </w:r>
      <w:r w:rsidR="00A04470">
        <w:t xml:space="preserve"> </w:t>
      </w:r>
      <w:r w:rsidRPr="00DF38B2">
        <w:t>managed population, and how this has developed over time</w:t>
      </w:r>
      <w:r w:rsidR="00D847C3">
        <w:t>.</w:t>
      </w:r>
    </w:p>
    <w:p w:rsidR="005E1FE0" w:rsidRPr="00DF38B2" w:rsidRDefault="005E1FE0" w:rsidP="006654AE">
      <w:pPr>
        <w:pStyle w:val="dot"/>
      </w:pPr>
      <w:r w:rsidRPr="00DF38B2">
        <w:t>Examines the key demographic characteristics of the population</w:t>
      </w:r>
      <w:r w:rsidR="00D847C3">
        <w:t>.</w:t>
      </w:r>
    </w:p>
    <w:p w:rsidR="005E1FE0" w:rsidRPr="00DF38B2" w:rsidRDefault="005E1FE0" w:rsidP="006654AE">
      <w:pPr>
        <w:pStyle w:val="dot"/>
      </w:pPr>
      <w:r w:rsidRPr="00DF38B2">
        <w:t>Reviews the incidence of income management – that is the proportion of the income support population to which the policy applies</w:t>
      </w:r>
      <w:r w:rsidR="00D847C3">
        <w:t>.</w:t>
      </w:r>
    </w:p>
    <w:p w:rsidR="005E1FE0" w:rsidRPr="00DF38B2" w:rsidRDefault="005E1FE0" w:rsidP="006654AE">
      <w:pPr>
        <w:pStyle w:val="dot"/>
      </w:pPr>
      <w:r w:rsidRPr="00DF38B2">
        <w:t>Examines the time people spend on income management and some of the factors associated with this</w:t>
      </w:r>
      <w:r w:rsidR="00D847C3">
        <w:t>.</w:t>
      </w:r>
    </w:p>
    <w:p w:rsidR="005E1FE0" w:rsidRPr="00DF38B2" w:rsidRDefault="005E1FE0" w:rsidP="006654AE">
      <w:pPr>
        <w:pStyle w:val="dot"/>
      </w:pPr>
      <w:r w:rsidRPr="00DF38B2">
        <w:t>Reports on the u</w:t>
      </w:r>
      <w:r w:rsidR="00E235E5">
        <w:t>se</w:t>
      </w:r>
      <w:r w:rsidRPr="00DF38B2">
        <w:t xml:space="preserve"> of some of the supplementary measures associated with the income management initiative. </w:t>
      </w:r>
    </w:p>
    <w:p w:rsidR="005E1FE0" w:rsidRPr="00DF38B2" w:rsidRDefault="005E1FE0" w:rsidP="006654AE">
      <w:pPr>
        <w:pStyle w:val="Heading2"/>
        <w:ind w:left="578" w:hanging="578"/>
      </w:pPr>
      <w:bookmarkStart w:id="88" w:name="_Toc403738995"/>
      <w:r w:rsidRPr="00DF38B2">
        <w:t>Introduction and background to data</w:t>
      </w:r>
      <w:bookmarkEnd w:id="88"/>
    </w:p>
    <w:p w:rsidR="005E1FE0" w:rsidRPr="00DF38B2" w:rsidRDefault="005E1FE0" w:rsidP="006654AE">
      <w:r w:rsidRPr="00DF38B2">
        <w:t xml:space="preserve">The analysis is based upon administrative data derived from </w:t>
      </w:r>
      <w:r w:rsidR="00E235E5">
        <w:t xml:space="preserve">the </w:t>
      </w:r>
      <w:r w:rsidR="00060511">
        <w:t>DHS</w:t>
      </w:r>
      <w:r w:rsidRPr="00DF38B2">
        <w:t xml:space="preserve"> data system </w:t>
      </w:r>
      <w:r w:rsidR="00D2600E">
        <w:t xml:space="preserve">on the administration of the program through Centrelink that has been </w:t>
      </w:r>
      <w:r w:rsidRPr="00DF38B2">
        <w:t xml:space="preserve">supplied for the purposes of the evaluation. A summary of the </w:t>
      </w:r>
      <w:r w:rsidR="00D2600E">
        <w:t>DHS/</w:t>
      </w:r>
      <w:r w:rsidRPr="00DF38B2">
        <w:t>Centrelink Administrative datasets used in the evaluation is provided in Chapter 3. In reporting on these it is noted that the data, as administrative by-products, are often complex and at times incomplete. These data characteristics require various decisions to identify appropriate populations</w:t>
      </w:r>
      <w:r w:rsidR="00E235E5">
        <w:t>,</w:t>
      </w:r>
      <w:r w:rsidRPr="00DF38B2">
        <w:t xml:space="preserve"> and as a consequence data used here may not match official program statistics as released by </w:t>
      </w:r>
      <w:r w:rsidR="007E5C25">
        <w:t>DSS</w:t>
      </w:r>
      <w:r w:rsidRPr="00DF38B2">
        <w:t xml:space="preserve"> and </w:t>
      </w:r>
      <w:r w:rsidR="00060511">
        <w:t>DHS</w:t>
      </w:r>
      <w:r w:rsidRPr="00DF38B2">
        <w:t xml:space="preserve">. Because the data </w:t>
      </w:r>
      <w:r w:rsidR="00E235E5">
        <w:t>are</w:t>
      </w:r>
      <w:r w:rsidRPr="00DF38B2">
        <w:t xml:space="preserve"> drawn from a series of different datasets, often designed to meet specific reporting requirements, some small inconsistencies in actual numbers </w:t>
      </w:r>
      <w:r w:rsidR="002C314B">
        <w:t>may also</w:t>
      </w:r>
      <w:r w:rsidR="002C314B" w:rsidRPr="00DF38B2">
        <w:t xml:space="preserve"> </w:t>
      </w:r>
      <w:r w:rsidRPr="00DF38B2">
        <w:t xml:space="preserve">occur. These inconsistencies do not have any material impact upon the analysis or the conclusions that are drawn. The data has been perturbed in small cells to preserve confidentiality. Where </w:t>
      </w:r>
      <w:r w:rsidR="00D5404D">
        <w:t>data are</w:t>
      </w:r>
      <w:r w:rsidRPr="00DF38B2">
        <w:t xml:space="preserve"> reported on Indigenous status, this refers to voluntary self-identification in Centrelink records. People who did not state their Indigenous status are </w:t>
      </w:r>
      <w:r w:rsidR="005C60B5">
        <w:t xml:space="preserve">included with </w:t>
      </w:r>
      <w:r w:rsidRPr="00DF38B2">
        <w:t>non-Indigenous.</w:t>
      </w:r>
      <w:r w:rsidR="00AE74AA">
        <w:rPr>
          <w:rStyle w:val="FootnoteReference"/>
        </w:rPr>
        <w:footnoteReference w:id="55"/>
      </w:r>
    </w:p>
    <w:p w:rsidR="005E1FE0" w:rsidRPr="00DF38B2" w:rsidRDefault="005E1FE0" w:rsidP="006654AE">
      <w:pPr>
        <w:pStyle w:val="Heading2"/>
        <w:ind w:left="578" w:hanging="578"/>
      </w:pPr>
      <w:bookmarkStart w:id="89" w:name="_Toc403738996"/>
      <w:r w:rsidRPr="00DF38B2">
        <w:lastRenderedPageBreak/>
        <w:t xml:space="preserve">The Northern Territory </w:t>
      </w:r>
      <w:r w:rsidR="005E4CAC">
        <w:t>income management</w:t>
      </w:r>
      <w:r w:rsidRPr="00DF38B2">
        <w:t xml:space="preserve"> population</w:t>
      </w:r>
      <w:bookmarkEnd w:id="89"/>
      <w:r w:rsidRPr="00DF38B2">
        <w:t xml:space="preserve"> </w:t>
      </w:r>
    </w:p>
    <w:p w:rsidR="005E1FE0" w:rsidRPr="00DF38B2" w:rsidRDefault="005E1FE0" w:rsidP="006654AE">
      <w:bookmarkStart w:id="90" w:name="_Toc321430410"/>
      <w:bookmarkStart w:id="91" w:name="_Toc321761680"/>
      <w:bookmarkStart w:id="92" w:name="_Toc321254529"/>
      <w:bookmarkStart w:id="93" w:name="_Toc328601577"/>
      <w:bookmarkStart w:id="94" w:name="_Toc329051355"/>
      <w:bookmarkStart w:id="95" w:name="_Toc335915843"/>
      <w:r w:rsidRPr="00DF38B2">
        <w:t xml:space="preserve">This section provides an overview of the numbers of people subject to each stream of </w:t>
      </w:r>
      <w:r w:rsidR="005E4CAC">
        <w:t>income management</w:t>
      </w:r>
      <w:r w:rsidRPr="00DF38B2">
        <w:t xml:space="preserve"> in the Northern Territory</w:t>
      </w:r>
      <w:r w:rsidRPr="00DF38B2">
        <w:rPr>
          <w:rStyle w:val="FootnoteReference"/>
        </w:rPr>
        <w:footnoteReference w:id="56"/>
      </w:r>
      <w:r w:rsidRPr="00DF38B2">
        <w:t xml:space="preserve"> and how this has changed since August 2010. It then provides an overview of the Indigenous status, gender and type of </w:t>
      </w:r>
      <w:r w:rsidR="009D7612">
        <w:t>i</w:t>
      </w:r>
      <w:r w:rsidRPr="00DF38B2">
        <w:t xml:space="preserve">ncome </w:t>
      </w:r>
      <w:r w:rsidR="009D7612">
        <w:t>s</w:t>
      </w:r>
      <w:r w:rsidRPr="00DF38B2">
        <w:t xml:space="preserve">upport </w:t>
      </w:r>
      <w:r w:rsidR="009D7612">
        <w:t>p</w:t>
      </w:r>
      <w:r w:rsidRPr="00DF38B2">
        <w:t>ayment received for those subject to income management</w:t>
      </w:r>
      <w:r w:rsidR="00E235E5">
        <w:t>,</w:t>
      </w:r>
      <w:r w:rsidRPr="00DF38B2">
        <w:t xml:space="preserve"> using data for December 2013.</w:t>
      </w:r>
    </w:p>
    <w:p w:rsidR="005E1FE0" w:rsidRPr="009655C3" w:rsidRDefault="005E1FE0" w:rsidP="006654AE">
      <w:pPr>
        <w:pStyle w:val="Heading3"/>
      </w:pPr>
      <w:bookmarkStart w:id="96" w:name="_Toc403738997"/>
      <w:r w:rsidRPr="00FE502F">
        <w:t xml:space="preserve">Numbers subject to </w:t>
      </w:r>
      <w:r w:rsidR="005E4CAC">
        <w:t>income management</w:t>
      </w:r>
      <w:r w:rsidRPr="00FE502F">
        <w:t xml:space="preserve"> in the Northern Te</w:t>
      </w:r>
      <w:r w:rsidRPr="009655C3">
        <w:t>rritory since August 2010</w:t>
      </w:r>
      <w:bookmarkEnd w:id="96"/>
    </w:p>
    <w:p w:rsidR="005E1FE0" w:rsidRPr="00DF38B2" w:rsidRDefault="005E1FE0" w:rsidP="006654AE">
      <w:r w:rsidRPr="009655C3">
        <w:t>There were 16,869 people on income management in the Northern Territory just prior to the transition from NTER Income Management to New Income Management in late July 2010 (</w:t>
      </w:r>
      <w:r w:rsidRPr="00DF38B2">
        <w:fldChar w:fldCharType="begin"/>
      </w:r>
      <w:r w:rsidRPr="00DF38B2">
        <w:instrText xml:space="preserve"> REF _Ref389790984 \h </w:instrText>
      </w:r>
      <w:r w:rsidRPr="00DF38B2">
        <w:fldChar w:fldCharType="separate"/>
      </w:r>
      <w:r w:rsidR="00906D13" w:rsidRPr="00DF38B2">
        <w:t xml:space="preserve">Figure </w:t>
      </w:r>
      <w:r w:rsidR="00906D13">
        <w:rPr>
          <w:noProof/>
        </w:rPr>
        <w:t>4</w:t>
      </w:r>
      <w:r w:rsidR="00906D13" w:rsidRPr="00DF38B2">
        <w:noBreakHyphen/>
      </w:r>
      <w:r w:rsidR="00906D13">
        <w:rPr>
          <w:noProof/>
        </w:rPr>
        <w:t>1</w:t>
      </w:r>
      <w:r w:rsidRPr="00DF38B2">
        <w:fldChar w:fldCharType="end"/>
      </w:r>
      <w:r w:rsidRPr="00DF38B2">
        <w:t>). New Income Management was rolled out progressively across the Northern Territor</w:t>
      </w:r>
      <w:r w:rsidRPr="00FE502F">
        <w:t>y from August to December 2010. The numbers on NTER Income Management fell rapidly to 346 by December 2010 and to 20 by June 2011. As New Income Management was progressively rolled out across the</w:t>
      </w:r>
      <w:r w:rsidRPr="009655C3">
        <w:t xml:space="preserve"> Northern Territory and replaced NTER Income Management, the total number of people in the N</w:t>
      </w:r>
      <w:r w:rsidR="00C74BD2">
        <w:t xml:space="preserve">orthern </w:t>
      </w:r>
      <w:r w:rsidR="00E235E5">
        <w:t>T</w:t>
      </w:r>
      <w:r w:rsidR="00C74BD2">
        <w:t>erritory</w:t>
      </w:r>
      <w:r w:rsidRPr="009655C3">
        <w:t xml:space="preserve"> subject to income management fell to a low of 15,209 in mid-October 2010, but since that time has increased to 18,</w:t>
      </w:r>
      <w:r w:rsidR="00F9041A">
        <w:t>300</w:t>
      </w:r>
      <w:r w:rsidR="00F9041A">
        <w:rPr>
          <w:rStyle w:val="FootnoteReference"/>
        </w:rPr>
        <w:footnoteReference w:id="57"/>
      </w:r>
      <w:r w:rsidR="00711762" w:rsidRPr="009655C3">
        <w:t xml:space="preserve"> </w:t>
      </w:r>
      <w:r w:rsidR="002C314B">
        <w:t>as at</w:t>
      </w:r>
      <w:r w:rsidR="002C314B" w:rsidRPr="00DF38B2">
        <w:t xml:space="preserve"> </w:t>
      </w:r>
      <w:r w:rsidR="00711762" w:rsidRPr="00DF38B2">
        <w:t>20 December 2013</w:t>
      </w:r>
      <w:r w:rsidRPr="00DF38B2">
        <w:t xml:space="preserve">. This growth has largely been as a consequence of changes in the size and composition of the income support population in the </w:t>
      </w:r>
      <w:r w:rsidR="00407AEF" w:rsidRPr="00DF38B2">
        <w:t>N</w:t>
      </w:r>
      <w:r w:rsidR="00407AEF">
        <w:t>orthern Territory</w:t>
      </w:r>
      <w:r w:rsidRPr="00DF38B2">
        <w:t>, although it has also been affected by changes to the income management program, including the introduction of some additional streams.</w:t>
      </w:r>
    </w:p>
    <w:p w:rsidR="005E1FE0" w:rsidRPr="009655C3" w:rsidRDefault="005E1FE0" w:rsidP="006654AE">
      <w:r w:rsidRPr="00FE502F">
        <w:t>As documented in Chapter 2, in 2010 when New Income Management was first implemented, it had four streams: Compulsory; Voluntary; Vulnerable; and Child Protection. From December 2012 a fifth steam, Support People at Risk</w:t>
      </w:r>
      <w:r w:rsidRPr="009655C3">
        <w:t xml:space="preserve"> (SPAR), was introduced. This stream consists of people referred to </w:t>
      </w:r>
      <w:r w:rsidR="005E4CAC">
        <w:t>income management</w:t>
      </w:r>
      <w:r w:rsidRPr="009655C3">
        <w:t xml:space="preserve"> under the</w:t>
      </w:r>
      <w:r w:rsidR="00C74BD2">
        <w:t xml:space="preserve"> Northern Territory </w:t>
      </w:r>
      <w:r w:rsidRPr="009655C3">
        <w:t>alcohol mandatory treatment program</w:t>
      </w:r>
      <w:r w:rsidR="00797E34">
        <w:t xml:space="preserve"> (see </w:t>
      </w:r>
      <w:r w:rsidR="00797E34" w:rsidRPr="006C31EF">
        <w:t>Northern Territory Department of Health</w:t>
      </w:r>
      <w:r w:rsidR="00797E34">
        <w:t xml:space="preserve">, </w:t>
      </w:r>
      <w:r w:rsidR="00797E34" w:rsidRPr="006C31EF">
        <w:t>2013</w:t>
      </w:r>
      <w:r w:rsidR="00797E34">
        <w:t>b)</w:t>
      </w:r>
      <w:r w:rsidRPr="009655C3">
        <w:t>. In 2013 the program was further extended by additional streams of people being identified under the vulnerable measure.</w:t>
      </w:r>
    </w:p>
    <w:p w:rsidR="005E1FE0" w:rsidRPr="00DF38B2" w:rsidRDefault="005E1FE0" w:rsidP="006654AE">
      <w:r w:rsidRPr="00DF38B2">
        <w:t>The growth in the income</w:t>
      </w:r>
      <w:r w:rsidR="00A04470">
        <w:t xml:space="preserve"> </w:t>
      </w:r>
      <w:r w:rsidRPr="00DF38B2">
        <w:t>managed population in the Northern Territory was mainly comprised of growth in the Compulsory Income Management measure. This has increased steadily</w:t>
      </w:r>
      <w:r w:rsidR="004C409A">
        <w:t xml:space="preserve">, </w:t>
      </w:r>
      <w:r w:rsidRPr="00DF38B2">
        <w:t>from full rollout of New Income Management</w:t>
      </w:r>
      <w:r w:rsidR="002C314B">
        <w:t>, rising</w:t>
      </w:r>
      <w:r w:rsidRPr="00DF38B2">
        <w:t xml:space="preserve"> from </w:t>
      </w:r>
      <w:r w:rsidR="00F9041A">
        <w:t>10,647</w:t>
      </w:r>
      <w:r w:rsidRPr="00DF38B2">
        <w:t xml:space="preserve"> on 28 January 2011 to 14,</w:t>
      </w:r>
      <w:r w:rsidR="0004165E" w:rsidRPr="00DF38B2">
        <w:t>0</w:t>
      </w:r>
      <w:r w:rsidR="00F9041A">
        <w:t>50</w:t>
      </w:r>
      <w:r w:rsidR="0004165E" w:rsidRPr="00DF38B2">
        <w:t xml:space="preserve"> </w:t>
      </w:r>
      <w:r w:rsidRPr="00DF38B2">
        <w:t xml:space="preserve">by </w:t>
      </w:r>
      <w:r w:rsidR="0004165E" w:rsidRPr="00DF38B2">
        <w:t>December 2013</w:t>
      </w:r>
      <w:r w:rsidRPr="00DF38B2">
        <w:t xml:space="preserve">. Of the population on income management in the Northern Territory, the proportion of people that are on the Compulsory Income Management measure has crept up from about 70 per cent in early 2011 to be around 76 to </w:t>
      </w:r>
      <w:r w:rsidR="00F9041A" w:rsidRPr="00DF38B2">
        <w:t>7</w:t>
      </w:r>
      <w:r w:rsidR="00F9041A">
        <w:t>8</w:t>
      </w:r>
      <w:r w:rsidR="00F9041A" w:rsidRPr="00DF38B2">
        <w:t> </w:t>
      </w:r>
      <w:r w:rsidRPr="00DF38B2">
        <w:t>per cent by late 2013.</w:t>
      </w:r>
    </w:p>
    <w:p w:rsidR="005E1FE0" w:rsidRPr="00DF38B2" w:rsidRDefault="005E1FE0" w:rsidP="006654AE">
      <w:r w:rsidRPr="00DF38B2">
        <w:t>The number of people on Voluntary Income Management reached a peak of 4,</w:t>
      </w:r>
      <w:r w:rsidR="00F9041A">
        <w:t>707</w:t>
      </w:r>
      <w:r w:rsidR="004C409A">
        <w:t xml:space="preserve"> </w:t>
      </w:r>
      <w:r w:rsidRPr="00DF38B2">
        <w:t xml:space="preserve">in </w:t>
      </w:r>
      <w:r w:rsidR="00F9041A">
        <w:t>December 2010</w:t>
      </w:r>
      <w:r w:rsidR="004C409A">
        <w:t>,</w:t>
      </w:r>
      <w:r w:rsidRPr="00DF38B2">
        <w:t xml:space="preserve"> as many people who were subject to NTER Income Management, but who were not subject to Compulsory Income Management, moved to Voluntary Income Management (see Bray et al.</w:t>
      </w:r>
      <w:r w:rsidR="004C409A">
        <w:t xml:space="preserve">, </w:t>
      </w:r>
      <w:r w:rsidRPr="00DF38B2">
        <w:t>2012 for detailed analysis of the transition from NTER I</w:t>
      </w:r>
      <w:r w:rsidR="005E4CAC">
        <w:t xml:space="preserve">ncome </w:t>
      </w:r>
      <w:r w:rsidRPr="00DF38B2">
        <w:t>M</w:t>
      </w:r>
      <w:r w:rsidR="005E4CAC">
        <w:t>anagement</w:t>
      </w:r>
      <w:r w:rsidRPr="00DF38B2">
        <w:t xml:space="preserve"> to N</w:t>
      </w:r>
      <w:r w:rsidR="00C32D5A">
        <w:t xml:space="preserve">ew </w:t>
      </w:r>
      <w:r w:rsidRPr="00DF38B2">
        <w:t>I</w:t>
      </w:r>
      <w:r w:rsidR="00C32D5A">
        <w:t xml:space="preserve">ncome </w:t>
      </w:r>
      <w:r w:rsidRPr="00DF38B2">
        <w:t>M</w:t>
      </w:r>
      <w:r w:rsidR="00C32D5A">
        <w:t>anagement</w:t>
      </w:r>
      <w:r w:rsidRPr="00DF38B2">
        <w:t>). The number of people on Voluntary Income Management has slowly but steadily declined to 3,</w:t>
      </w:r>
      <w:r w:rsidR="0004165E" w:rsidRPr="00DF38B2">
        <w:t xml:space="preserve">675 </w:t>
      </w:r>
      <w:r w:rsidRPr="00DF38B2">
        <w:t xml:space="preserve">in </w:t>
      </w:r>
      <w:r w:rsidR="0004165E" w:rsidRPr="00DF38B2">
        <w:t>December 2013</w:t>
      </w:r>
      <w:r w:rsidRPr="00DF38B2">
        <w:t>.</w:t>
      </w:r>
    </w:p>
    <w:p w:rsidR="005E1FE0" w:rsidRPr="00DF38B2" w:rsidRDefault="005E1FE0" w:rsidP="006654AE">
      <w:r w:rsidRPr="00DF38B2">
        <w:t xml:space="preserve">The number of people on the different income management measures in the Northern Territory over the period July 2010 to December 2013 </w:t>
      </w:r>
      <w:r w:rsidR="004C409A">
        <w:t>is</w:t>
      </w:r>
      <w:r w:rsidRPr="00DF38B2">
        <w:t xml:space="preserve"> shown in </w:t>
      </w:r>
      <w:r w:rsidRPr="00DF38B2">
        <w:fldChar w:fldCharType="begin"/>
      </w:r>
      <w:r w:rsidRPr="00DF38B2">
        <w:instrText xml:space="preserve"> REF _Ref389790984 \h  \* MERGEFORMAT </w:instrText>
      </w:r>
      <w:r w:rsidRPr="00DF38B2">
        <w:fldChar w:fldCharType="separate"/>
      </w:r>
      <w:r w:rsidR="00906D13" w:rsidRPr="00DF38B2">
        <w:t xml:space="preserve">Figure </w:t>
      </w:r>
      <w:r w:rsidR="00906D13">
        <w:t>4</w:t>
      </w:r>
      <w:r w:rsidR="00906D13" w:rsidRPr="00DF38B2">
        <w:noBreakHyphen/>
      </w:r>
      <w:r w:rsidR="00906D13">
        <w:t>1</w:t>
      </w:r>
      <w:r w:rsidRPr="00DF38B2">
        <w:fldChar w:fldCharType="end"/>
      </w:r>
      <w:r w:rsidRPr="00DF38B2">
        <w:t xml:space="preserve">, </w:t>
      </w:r>
      <w:r w:rsidRPr="00DF38B2">
        <w:fldChar w:fldCharType="begin"/>
      </w:r>
      <w:r w:rsidRPr="00DF38B2">
        <w:instrText xml:space="preserve"> REF _Ref391043471 \h  \* MERGEFORMAT </w:instrText>
      </w:r>
      <w:r w:rsidRPr="00DF38B2">
        <w:fldChar w:fldCharType="separate"/>
      </w:r>
      <w:r w:rsidR="00906D13" w:rsidRPr="00DF38B2">
        <w:t xml:space="preserve">Figure </w:t>
      </w:r>
      <w:r w:rsidR="00906D13">
        <w:t>4</w:t>
      </w:r>
      <w:r w:rsidR="00906D13" w:rsidRPr="00DF38B2">
        <w:noBreakHyphen/>
      </w:r>
      <w:r w:rsidR="00906D13">
        <w:t>3</w:t>
      </w:r>
      <w:r w:rsidRPr="00DF38B2">
        <w:fldChar w:fldCharType="end"/>
      </w:r>
      <w:r w:rsidRPr="00DF38B2">
        <w:t xml:space="preserve">, and </w:t>
      </w:r>
      <w:r w:rsidRPr="00DF38B2">
        <w:fldChar w:fldCharType="begin"/>
      </w:r>
      <w:r w:rsidRPr="00DF38B2">
        <w:instrText xml:space="preserve"> REF _Ref389829108 \h  \* MERGEFORMAT </w:instrText>
      </w:r>
      <w:r w:rsidRPr="00DF38B2">
        <w:fldChar w:fldCharType="separate"/>
      </w:r>
      <w:r w:rsidR="00906D13" w:rsidRPr="00DF38B2">
        <w:t xml:space="preserve">Figure </w:t>
      </w:r>
      <w:r w:rsidR="00906D13">
        <w:t>4</w:t>
      </w:r>
      <w:r w:rsidR="00906D13" w:rsidRPr="00DF38B2">
        <w:noBreakHyphen/>
      </w:r>
      <w:r w:rsidR="00906D13">
        <w:t>4</w:t>
      </w:r>
      <w:r w:rsidRPr="00DF38B2">
        <w:fldChar w:fldCharType="end"/>
      </w:r>
      <w:r w:rsidRPr="00DF38B2">
        <w:t xml:space="preserve">. These three </w:t>
      </w:r>
      <w:r w:rsidR="00D95B12">
        <w:t>figure</w:t>
      </w:r>
      <w:r w:rsidRPr="00DF38B2">
        <w:t xml:space="preserve">s are provided </w:t>
      </w:r>
      <w:r w:rsidR="004C409A">
        <w:t>because</w:t>
      </w:r>
      <w:r w:rsidRPr="00DF38B2">
        <w:t xml:space="preserve"> the numbers on the different programs</w:t>
      </w:r>
      <w:r w:rsidRPr="00FE502F">
        <w:t xml:space="preserve"> vary considerably, and the detail of trends in some of the smaller individual programs tends to becom</w:t>
      </w:r>
      <w:r w:rsidRPr="009655C3">
        <w:t xml:space="preserve">e lost when the </w:t>
      </w:r>
      <w:r w:rsidR="00D95B12">
        <w:t>figure</w:t>
      </w:r>
      <w:r w:rsidRPr="009655C3">
        <w:t xml:space="preserve">s are scaled by the number on the larger programs. This is illustrated in </w:t>
      </w:r>
      <w:r w:rsidRPr="00DF38B2">
        <w:fldChar w:fldCharType="begin"/>
      </w:r>
      <w:r w:rsidRPr="00DF38B2">
        <w:instrText xml:space="preserve"> REF _Ref391046166 \h </w:instrText>
      </w:r>
      <w:r w:rsidRPr="00DF38B2">
        <w:fldChar w:fldCharType="separate"/>
      </w:r>
      <w:r w:rsidR="00906D13" w:rsidRPr="00DF38B2">
        <w:t xml:space="preserve">Figure </w:t>
      </w:r>
      <w:r w:rsidR="00906D13">
        <w:rPr>
          <w:noProof/>
        </w:rPr>
        <w:t>4</w:t>
      </w:r>
      <w:r w:rsidR="00906D13" w:rsidRPr="00DF38B2">
        <w:noBreakHyphen/>
      </w:r>
      <w:r w:rsidR="00906D13">
        <w:rPr>
          <w:noProof/>
        </w:rPr>
        <w:t>2</w:t>
      </w:r>
      <w:r w:rsidRPr="00DF38B2">
        <w:fldChar w:fldCharType="end"/>
      </w:r>
      <w:r w:rsidRPr="00DF38B2">
        <w:t>.</w:t>
      </w:r>
    </w:p>
    <w:p w:rsidR="005E1FE0" w:rsidRPr="009655C3" w:rsidRDefault="005E1FE0" w:rsidP="006654AE">
      <w:r w:rsidRPr="00FE502F">
        <w:lastRenderedPageBreak/>
        <w:t>Compulsory Income Management accounts for 76.8 per cent of the income</w:t>
      </w:r>
      <w:r w:rsidR="00A04470">
        <w:t xml:space="preserve"> </w:t>
      </w:r>
      <w:r w:rsidRPr="00FE502F">
        <w:t>managed population in December 2013, with a further 2</w:t>
      </w:r>
      <w:r w:rsidRPr="009655C3">
        <w:t>0.1 per cent on Voluntary Income Management. This leaves the other 3.1 per cent of the population split between the remaining seven initiatives – with the proportions on these varying from 0.93 per cent on Assessed Vulnerable Income Management to just 0.02 per cent on the automatic Special Benefit Vulnerable measure.</w:t>
      </w:r>
    </w:p>
    <w:p w:rsidR="005E1FE0" w:rsidRPr="00DF38B2" w:rsidRDefault="005E1FE0" w:rsidP="006654AE">
      <w:pPr>
        <w:pStyle w:val="Caption"/>
        <w:keepLines/>
        <w:ind w:left="1439" w:hanging="1155"/>
      </w:pPr>
      <w:bookmarkStart w:id="97" w:name="_Ref389790984"/>
      <w:bookmarkStart w:id="98" w:name="_Toc40373949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97"/>
      <w:r w:rsidRPr="00DF38B2">
        <w:tab/>
        <w:t xml:space="preserve">Number of people on </w:t>
      </w:r>
      <w:r w:rsidR="005E4CAC">
        <w:t>income management</w:t>
      </w:r>
      <w:r w:rsidRPr="00DF38B2">
        <w:t xml:space="preserve"> in the Northern Territory by initiative, July 2010 to December 2013</w:t>
      </w:r>
      <w:bookmarkEnd w:id="98"/>
      <w:r w:rsidRPr="00DF38B2">
        <w:t xml:space="preserve"> </w:t>
      </w:r>
    </w:p>
    <w:p w:rsidR="005E1FE0" w:rsidRPr="00DF38B2" w:rsidRDefault="005E1FE0" w:rsidP="006654AE">
      <w:pPr>
        <w:keepNext/>
        <w:keepLines/>
      </w:pPr>
      <w:r w:rsidRPr="00DF38B2">
        <w:t xml:space="preserve"> </w:t>
      </w:r>
      <w:r w:rsidRPr="008E4D9D">
        <w:rPr>
          <w:noProof/>
        </w:rPr>
        <w:drawing>
          <wp:inline distT="0" distB="0" distL="0" distR="0" wp14:anchorId="08031B98" wp14:editId="7A4647F8">
            <wp:extent cx="5039995" cy="2737485"/>
            <wp:effectExtent l="0" t="0" r="8255" b="5715"/>
            <wp:docPr id="5" name="Picture 5" descr="Graph with eight lines showing, over the time period,  the number of people on: Compulsory Income Management, Child Protection Income Management, Cape York Welfare Income Management, NTER Income Management, Voluntary IM, Nominee IM, SPAR, Vulnerable IM (Total) and Total IM over time. Trend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2737485"/>
                    </a:xfrm>
                    <a:prstGeom prst="rect">
                      <a:avLst/>
                    </a:prstGeom>
                    <a:noFill/>
                    <a:ln>
                      <a:noFill/>
                    </a:ln>
                  </pic:spPr>
                </pic:pic>
              </a:graphicData>
            </a:graphic>
          </wp:inline>
        </w:drawing>
      </w:r>
    </w:p>
    <w:p w:rsidR="005E1FE0" w:rsidRPr="00FE502F" w:rsidRDefault="005E1FE0" w:rsidP="006654AE">
      <w:pPr>
        <w:pStyle w:val="tablenotes"/>
        <w:ind w:left="1440" w:hanging="873"/>
      </w:pPr>
      <w:r w:rsidRPr="00FE502F">
        <w:t>Notes:</w:t>
      </w:r>
      <w:r w:rsidRPr="00FE502F">
        <w:tab/>
        <w:t>At some points in time there was one person living in the</w:t>
      </w:r>
      <w:r w:rsidR="00C74BD2">
        <w:t xml:space="preserve"> Northern Territory </w:t>
      </w:r>
      <w:r w:rsidRPr="00FE502F">
        <w:t>who was on Cape York Income Management. Cape York IM is not shown in the figure.</w:t>
      </w:r>
    </w:p>
    <w:p w:rsidR="005E1FE0" w:rsidRDefault="005E1FE0" w:rsidP="006654AE">
      <w:pPr>
        <w:pStyle w:val="tablenotes"/>
      </w:pPr>
      <w:r w:rsidRPr="009655C3">
        <w:t xml:space="preserve">Source: </w:t>
      </w:r>
      <w:r w:rsidRPr="009655C3">
        <w:tab/>
      </w:r>
      <w:r w:rsidR="00305D80">
        <w:t xml:space="preserve">Derived from </w:t>
      </w:r>
      <w:r w:rsidRPr="009655C3">
        <w:t>DHS Administrative data provided for the purposes of the evaluation.</w:t>
      </w:r>
    </w:p>
    <w:p w:rsidR="00296744" w:rsidRPr="009655C3" w:rsidRDefault="00296744" w:rsidP="006654AE">
      <w:pPr>
        <w:pStyle w:val="tablefootnoteslastline"/>
      </w:pPr>
    </w:p>
    <w:p w:rsidR="005E1FE0" w:rsidRPr="00DF38B2" w:rsidRDefault="005E1FE0" w:rsidP="006654AE">
      <w:pPr>
        <w:pStyle w:val="Caption"/>
        <w:keepLines/>
        <w:ind w:left="1439" w:hanging="1155"/>
      </w:pPr>
      <w:bookmarkStart w:id="99" w:name="_Ref391046166"/>
      <w:bookmarkStart w:id="100" w:name="_Toc403739495"/>
      <w:bookmarkStart w:id="101" w:name="_Ref38979099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99"/>
      <w:r w:rsidRPr="00DF38B2">
        <w:t xml:space="preserve"> </w:t>
      </w:r>
      <w:r w:rsidR="001C0BE0">
        <w:tab/>
      </w:r>
      <w:r w:rsidRPr="00DF38B2">
        <w:t xml:space="preserve">Persons subject to </w:t>
      </w:r>
      <w:r w:rsidR="005E4CAC">
        <w:t>income management</w:t>
      </w:r>
      <w:r w:rsidRPr="00DF38B2">
        <w:t xml:space="preserve"> </w:t>
      </w:r>
      <w:r w:rsidR="00FF46E5">
        <w:t xml:space="preserve">in the Northern Territory </w:t>
      </w:r>
      <w:r w:rsidRPr="00DF38B2">
        <w:t xml:space="preserve">by </w:t>
      </w:r>
      <w:r w:rsidR="005E1DCA">
        <w:t>income management stream</w:t>
      </w:r>
      <w:r w:rsidRPr="00DF38B2">
        <w:t>, December 2013</w:t>
      </w:r>
      <w:bookmarkEnd w:id="100"/>
    </w:p>
    <w:p w:rsidR="005E1FE0" w:rsidRPr="00DF38B2" w:rsidRDefault="005E1FE0" w:rsidP="006654AE">
      <w:pPr>
        <w:keepNext/>
        <w:keepLines/>
        <w:jc w:val="center"/>
      </w:pPr>
      <w:r w:rsidRPr="008E4D9D">
        <w:rPr>
          <w:noProof/>
        </w:rPr>
        <w:drawing>
          <wp:inline distT="0" distB="0" distL="0" distR="0" wp14:anchorId="7543E64F" wp14:editId="48E75039">
            <wp:extent cx="4572000" cy="2743200"/>
            <wp:effectExtent l="0" t="0" r="0" b="0"/>
            <wp:docPr id="26" name="Picture 26" descr="Pie chart – data shown is: Compulsory 76.78%; Child Protection 0.45%; Voluntary 20.08%;Nominee IM 0.22%; SPAR 0.13%; Vulnerable: Assessed 0.93%; Vulnerable: Crisis Payment 0.48%; Vulnerable: UTLAH 0.90%; Vulnerable: Special Benefit 0.02%&#10;&#10;The data is further discuss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FE502F" w:rsidRDefault="005E1FE0" w:rsidP="006654AE">
      <w:pPr>
        <w:pStyle w:val="tablenotes"/>
      </w:pPr>
      <w:r w:rsidRPr="00FE502F">
        <w:t xml:space="preserve">Source: </w:t>
      </w:r>
      <w:r w:rsidR="004C409A">
        <w:tab/>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F87E87" w:rsidRDefault="00F87E87" w:rsidP="006654AE">
      <w:r w:rsidRPr="00DF38B2">
        <w:t>In raw numbers in December 2013 there were 18,300 people being income managed in the Northern Territory. The majority were subject to one of the two Compulsory Income Management measures</w:t>
      </w:r>
      <w:r>
        <w:t>:</w:t>
      </w:r>
      <w:r w:rsidRPr="00DF38B2">
        <w:t xml:space="preserve"> Disengaged Youth (3,981)</w:t>
      </w:r>
      <w:r>
        <w:t>;</w:t>
      </w:r>
      <w:r w:rsidRPr="00DF38B2">
        <w:t xml:space="preserve"> and Long-term Welfare Recipient (10,071). These two measures comprise over three</w:t>
      </w:r>
      <w:r>
        <w:t>-</w:t>
      </w:r>
      <w:r w:rsidRPr="00DF38B2">
        <w:t xml:space="preserve">quarters of those subject to </w:t>
      </w:r>
      <w:r w:rsidR="005E4CAC">
        <w:t>income management</w:t>
      </w:r>
      <w:r w:rsidRPr="00DF38B2">
        <w:t>. A further 3,675 people were subject to Voluntary Income Management</w:t>
      </w:r>
      <w:r>
        <w:t>,</w:t>
      </w:r>
      <w:r w:rsidRPr="00DF38B2">
        <w:t xml:space="preserve"> which comprises 20.1 per cent of all those on </w:t>
      </w:r>
      <w:r w:rsidR="005E4CAC">
        <w:t>income management</w:t>
      </w:r>
      <w:r w:rsidRPr="00DF38B2">
        <w:t xml:space="preserve"> in the Northern </w:t>
      </w:r>
      <w:r w:rsidRPr="00DF38B2">
        <w:lastRenderedPageBreak/>
        <w:t xml:space="preserve">Territory. There were much smaller numbers on the other forms of </w:t>
      </w:r>
      <w:r w:rsidR="005E4CAC">
        <w:t>income management</w:t>
      </w:r>
      <w:r w:rsidRPr="00DF38B2">
        <w:t>, with 170 subject to assessed Vulnerable Income Management, 255 subject to automatic Vulnerable (165 on Un</w:t>
      </w:r>
      <w:r>
        <w:t>reasonable to</w:t>
      </w:r>
      <w:r w:rsidRPr="00DF38B2">
        <w:t xml:space="preserve"> Live at Home, 3 on Special Benefit</w:t>
      </w:r>
      <w:r>
        <w:t>,</w:t>
      </w:r>
      <w:r w:rsidRPr="00DF38B2">
        <w:t xml:space="preserve"> and 87 on Crisis Payment), 24 on SPAR Income Management</w:t>
      </w:r>
      <w:r>
        <w:t>,</w:t>
      </w:r>
      <w:r w:rsidRPr="00DF38B2">
        <w:t xml:space="preserve"> and 41 subject to Nominee Income management.</w:t>
      </w:r>
    </w:p>
    <w:p w:rsidR="00F87E87" w:rsidRPr="00DF38B2" w:rsidRDefault="00F87E87" w:rsidP="006654AE">
      <w:r>
        <w:t>Over time it is estimated that 34,950 people have been on income management at some stage in the Northern Territory since the introduction of New Income Management in 2010 until December 2013, 29,477 who have been on one of the compulsory measures at some time.</w:t>
      </w:r>
    </w:p>
    <w:p w:rsidR="005E1FE0" w:rsidRPr="00DF38B2" w:rsidRDefault="005E1FE0" w:rsidP="006654AE">
      <w:r w:rsidRPr="00DF38B2">
        <w:t>The numbers of people on Child Protection and SPAR Income Management have been small throughout the period that New Income Management has been in place. While also small in the aggregate, there has been some increase in the numbers on Child Protection Income Management, from around 50 in mid</w:t>
      </w:r>
      <w:r w:rsidR="004C409A">
        <w:t>-</w:t>
      </w:r>
      <w:r w:rsidRPr="00DF38B2">
        <w:t xml:space="preserve">2012 to around 90 in late 2012, and the number has remained at around this level. </w:t>
      </w:r>
    </w:p>
    <w:p w:rsidR="005E1FE0" w:rsidRPr="00DF38B2" w:rsidRDefault="005E1FE0" w:rsidP="006654AE">
      <w:pPr>
        <w:pStyle w:val="Caption"/>
        <w:ind w:left="1439" w:hanging="1155"/>
      </w:pPr>
      <w:bookmarkStart w:id="102" w:name="_Ref391043471"/>
      <w:bookmarkStart w:id="103" w:name="_Toc40373949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101"/>
      <w:bookmarkEnd w:id="102"/>
      <w:r w:rsidRPr="00DF38B2">
        <w:tab/>
        <w:t xml:space="preserve">Number of people on </w:t>
      </w:r>
      <w:r w:rsidR="005E4CAC">
        <w:t>income management</w:t>
      </w:r>
      <w:r w:rsidRPr="00DF38B2">
        <w:t xml:space="preserve"> in the Northern Territory by selected initiatives, July 2010 to December 2013</w:t>
      </w:r>
      <w:bookmarkEnd w:id="103"/>
    </w:p>
    <w:p w:rsidR="005E1FE0" w:rsidRPr="00DF38B2" w:rsidRDefault="005E1FE0" w:rsidP="006654AE">
      <w:pPr>
        <w:pStyle w:val="graphicpaste"/>
      </w:pPr>
      <w:r w:rsidRPr="008E4D9D">
        <w:rPr>
          <w:noProof/>
        </w:rPr>
        <w:drawing>
          <wp:inline distT="0" distB="0" distL="0" distR="0" wp14:anchorId="6CFD675B" wp14:editId="5073074B">
            <wp:extent cx="5073015" cy="2732405"/>
            <wp:effectExtent l="0" t="0" r="0" b="0"/>
            <wp:docPr id="18" name="Picture 18" descr="This graph shows in more detail the trends over the time period for some of the program elements included in Figure 4-1 – specifically Child Protection Income Management, Nominee IM, SPAR, Vulnerable IM (Total). Trends are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3015" cy="2732405"/>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Notes: </w:t>
      </w:r>
      <w:r w:rsidRPr="00DF38B2">
        <w:tab/>
        <w:t xml:space="preserve">This </w:t>
      </w:r>
      <w:r w:rsidR="00D95B12">
        <w:t>figure</w:t>
      </w:r>
      <w:r w:rsidRPr="00DF38B2">
        <w:t xml:space="preserve"> provides details of the smaller initiatives form</w:t>
      </w:r>
      <w:r w:rsidR="004C409A">
        <w:t>ing</w:t>
      </w:r>
      <w:r w:rsidRPr="00DF38B2">
        <w:t xml:space="preserve"> part of income management in the NT; it excludes NTER, Compulsory and Voluntary Income Management.</w:t>
      </w:r>
    </w:p>
    <w:p w:rsidR="005E1FE0" w:rsidRDefault="005E1FE0" w:rsidP="006654AE">
      <w:pPr>
        <w:pStyle w:val="tablenotes"/>
        <w:keepNext w:val="0"/>
      </w:pPr>
      <w:r w:rsidRPr="00DF38B2">
        <w:t>Source:</w:t>
      </w:r>
      <w:r w:rsidRPr="00DF38B2">
        <w:tab/>
      </w:r>
      <w:r w:rsidR="00305D80">
        <w:t>Derived from</w:t>
      </w:r>
      <w:r w:rsidRPr="00DF38B2">
        <w:t xml:space="preserve"> DHS Administrative data provided for the purposes of the evaluation.</w:t>
      </w:r>
    </w:p>
    <w:p w:rsidR="00296744" w:rsidRPr="00DF38B2" w:rsidRDefault="00296744" w:rsidP="006654AE">
      <w:pPr>
        <w:pStyle w:val="tablefootnoteslastline"/>
      </w:pPr>
    </w:p>
    <w:p w:rsidR="005E1FE0" w:rsidRPr="00DF38B2" w:rsidRDefault="005E1FE0" w:rsidP="006654AE">
      <w:r w:rsidRPr="00DF38B2">
        <w:t xml:space="preserve">There has been a notable increase in the number of people subject to Vulnerable Income Management from around 150 in mid-2013 to </w:t>
      </w:r>
      <w:r w:rsidR="00F9041A" w:rsidRPr="00DF38B2">
        <w:t>42</w:t>
      </w:r>
      <w:r w:rsidR="00F9041A">
        <w:t>4</w:t>
      </w:r>
      <w:r w:rsidR="00F9041A" w:rsidRPr="00DF38B2">
        <w:t xml:space="preserve"> </w:t>
      </w:r>
      <w:r w:rsidRPr="00DF38B2">
        <w:t xml:space="preserve">in December 2013, largely reflecting increasing numbers of people subject to the new forms of automatic Vulnerable Income Management (as shown in </w:t>
      </w:r>
      <w:r w:rsidRPr="00DF38B2">
        <w:fldChar w:fldCharType="begin"/>
      </w:r>
      <w:r w:rsidRPr="00DF38B2">
        <w:instrText xml:space="preserve"> REF _Ref389829108 \h </w:instrText>
      </w:r>
      <w:r w:rsidRPr="00DF38B2">
        <w:fldChar w:fldCharType="separate"/>
      </w:r>
      <w:r w:rsidR="00906D13" w:rsidRPr="00DF38B2">
        <w:t xml:space="preserve">Figure </w:t>
      </w:r>
      <w:r w:rsidR="00906D13">
        <w:rPr>
          <w:noProof/>
        </w:rPr>
        <w:t>4</w:t>
      </w:r>
      <w:r w:rsidR="00906D13" w:rsidRPr="00DF38B2">
        <w:noBreakHyphen/>
      </w:r>
      <w:r w:rsidR="00906D13">
        <w:rPr>
          <w:noProof/>
        </w:rPr>
        <w:t>4</w:t>
      </w:r>
      <w:r w:rsidRPr="00DF38B2">
        <w:fldChar w:fldCharType="end"/>
      </w:r>
      <w:r w:rsidRPr="00DF38B2">
        <w:t>). Indeed, as shown, the numbers of people subject to the assessed measure has remained relatively stable over the past two years at around 150 people, while the other measures have grown very rapidly</w:t>
      </w:r>
      <w:r w:rsidR="0004165E" w:rsidRPr="00FE502F">
        <w:t xml:space="preserve"> si</w:t>
      </w:r>
      <w:r w:rsidR="0004165E" w:rsidRPr="009655C3">
        <w:t>nce its introduction in July 2013</w:t>
      </w:r>
      <w:r w:rsidRPr="00DF38B2">
        <w:t>, to the point where, in December 2013 the number on the Un</w:t>
      </w:r>
      <w:r w:rsidR="005C60B5">
        <w:t>reasonable</w:t>
      </w:r>
      <w:r w:rsidRPr="00DF38B2">
        <w:t xml:space="preserve"> to Live at </w:t>
      </w:r>
      <w:r w:rsidR="005C60B5" w:rsidRPr="00DF38B2">
        <w:t>Home</w:t>
      </w:r>
      <w:r w:rsidR="005C60B5">
        <w:t xml:space="preserve"> (UTLAH) </w:t>
      </w:r>
      <w:r w:rsidRPr="00DF38B2">
        <w:t xml:space="preserve">measure </w:t>
      </w:r>
      <w:r w:rsidR="0004165E" w:rsidRPr="00DF38B2">
        <w:t xml:space="preserve">equals </w:t>
      </w:r>
      <w:r w:rsidRPr="00DF38B2">
        <w:t>the number of people on the assessed measure.</w:t>
      </w:r>
    </w:p>
    <w:p w:rsidR="005E1FE0" w:rsidRPr="00DF38B2" w:rsidRDefault="005E1FE0" w:rsidP="006654AE">
      <w:pPr>
        <w:pStyle w:val="Caption"/>
        <w:ind w:left="1439" w:hanging="1155"/>
      </w:pPr>
      <w:bookmarkStart w:id="104" w:name="_Ref389829108"/>
      <w:bookmarkStart w:id="105" w:name="_Toc40373949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104"/>
      <w:r w:rsidRPr="00DF38B2">
        <w:tab/>
        <w:t xml:space="preserve">Number of people on </w:t>
      </w:r>
      <w:r w:rsidR="005E4CAC">
        <w:t>income management</w:t>
      </w:r>
      <w:r w:rsidRPr="00DF38B2">
        <w:t xml:space="preserve"> in the Northern Territory: Composition of Vulnerable</w:t>
      </w:r>
      <w:r w:rsidR="005C60B5">
        <w:t xml:space="preserve"> streams</w:t>
      </w:r>
      <w:r w:rsidR="00D847C3" w:rsidRPr="00D847C3">
        <w:t>, July 2010 to December 2013</w:t>
      </w:r>
      <w:bookmarkEnd w:id="105"/>
    </w:p>
    <w:p w:rsidR="005E1FE0" w:rsidRPr="00DF38B2" w:rsidRDefault="005E1FE0" w:rsidP="006654AE">
      <w:pPr>
        <w:pStyle w:val="graphicpaste"/>
      </w:pPr>
      <w:r w:rsidRPr="008E4D9D">
        <w:rPr>
          <w:noProof/>
        </w:rPr>
        <w:drawing>
          <wp:inline distT="0" distB="0" distL="0" distR="0" wp14:anchorId="67EB9E09" wp14:editId="551ABEA6">
            <wp:extent cx="5073015" cy="2732405"/>
            <wp:effectExtent l="0" t="0" r="0" b="0"/>
            <wp:docPr id="24" name="Picture 24" descr="This graph shows the more detailed split of the data on people on “Vulnerable IM (Total)” shown in Figure 4-1 and 4-3 over the time period. In this figure data is shown by the program elements  - specifically Vulnerable: Assessed; Vulnerable: Crisis Payment; Vulnerable: UTLAH and  Vulnerable: Special Benefit. Trends in these elements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73015" cy="2732405"/>
                    </a:xfrm>
                    <a:prstGeom prst="rect">
                      <a:avLst/>
                    </a:prstGeom>
                    <a:noFill/>
                    <a:ln>
                      <a:noFill/>
                    </a:ln>
                  </pic:spPr>
                </pic:pic>
              </a:graphicData>
            </a:graphic>
          </wp:inline>
        </w:drawing>
      </w:r>
    </w:p>
    <w:p w:rsidR="005E1FE0" w:rsidRPr="00FE502F" w:rsidRDefault="005E1FE0" w:rsidP="006654AE">
      <w:pPr>
        <w:pStyle w:val="tablenotes"/>
      </w:pPr>
      <w:r w:rsidRPr="00FE502F">
        <w:t>Source:</w:t>
      </w:r>
      <w:r w:rsidRPr="00FE502F">
        <w:tab/>
        <w:t xml:space="preserve"> </w:t>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5E1FE0" w:rsidRPr="009655C3" w:rsidRDefault="005E1FE0" w:rsidP="006654AE">
      <w:pPr>
        <w:pStyle w:val="Heading2"/>
        <w:ind w:left="578" w:hanging="578"/>
      </w:pPr>
      <w:bookmarkStart w:id="106" w:name="_Toc403738998"/>
      <w:r w:rsidRPr="009655C3">
        <w:t>Key demographic characteristics</w:t>
      </w:r>
      <w:bookmarkEnd w:id="106"/>
    </w:p>
    <w:p w:rsidR="005E1FE0" w:rsidRPr="00DF38B2" w:rsidRDefault="005E1FE0" w:rsidP="006654AE">
      <w:r w:rsidRPr="00DF38B2">
        <w:t>This section considers the distribution of the income</w:t>
      </w:r>
      <w:r w:rsidR="00A04470">
        <w:t xml:space="preserve"> </w:t>
      </w:r>
      <w:r w:rsidRPr="00DF38B2">
        <w:t>managed population by major demographic characteristics including Indigenous status, gender, family status</w:t>
      </w:r>
      <w:r w:rsidR="004C409A">
        <w:t>,</w:t>
      </w:r>
      <w:r w:rsidRPr="00DF38B2">
        <w:t xml:space="preserve"> and country of birth. While for some of these characteristics trends over time are considered, in other cases the focus is on the structure of the population in December 2013. </w:t>
      </w:r>
    </w:p>
    <w:p w:rsidR="005E1FE0" w:rsidRPr="00DF38B2" w:rsidRDefault="005E1FE0" w:rsidP="006654AE">
      <w:pPr>
        <w:pStyle w:val="Heading3"/>
      </w:pPr>
      <w:bookmarkStart w:id="107" w:name="_Toc403738999"/>
      <w:r w:rsidRPr="00DF38B2">
        <w:t>Indigenous status</w:t>
      </w:r>
      <w:bookmarkEnd w:id="107"/>
    </w:p>
    <w:p w:rsidR="005E1FE0" w:rsidRPr="00FE502F" w:rsidRDefault="005E1FE0" w:rsidP="006654AE">
      <w:r w:rsidRPr="00DF38B2">
        <w:t>The overwhelming majority of people subject to income management are Indigenous</w:t>
      </w:r>
      <w:r w:rsidR="00FF555C">
        <w:t>.</w:t>
      </w:r>
      <w:r w:rsidRPr="00DF38B2">
        <w:t xml:space="preserve"> </w:t>
      </w:r>
      <w:r w:rsidRPr="00DF38B2">
        <w:fldChar w:fldCharType="begin"/>
      </w:r>
      <w:r w:rsidRPr="00DF38B2">
        <w:instrText xml:space="preserve"> REF _Ref391226608 \h </w:instrText>
      </w:r>
      <w:r w:rsidRPr="00DF38B2">
        <w:fldChar w:fldCharType="separate"/>
      </w:r>
      <w:r w:rsidR="00906D13" w:rsidRPr="00DF38B2">
        <w:t xml:space="preserve">Figure </w:t>
      </w:r>
      <w:r w:rsidR="00906D13">
        <w:rPr>
          <w:noProof/>
        </w:rPr>
        <w:t>4</w:t>
      </w:r>
      <w:r w:rsidR="00906D13" w:rsidRPr="00DF38B2">
        <w:noBreakHyphen/>
      </w:r>
      <w:r w:rsidR="00906D13">
        <w:rPr>
          <w:noProof/>
        </w:rPr>
        <w:t>5</w:t>
      </w:r>
      <w:r w:rsidRPr="00DF38B2">
        <w:fldChar w:fldCharType="end"/>
      </w:r>
      <w:r w:rsidRPr="00DF38B2">
        <w:t xml:space="preserve"> shows the proportion of the income management population who are identified as Indigenous over the period July 2010 to December 2013. The proportion </w:t>
      </w:r>
      <w:r w:rsidR="004C409A">
        <w:t xml:space="preserve">of people </w:t>
      </w:r>
      <w:r w:rsidRPr="00DF38B2">
        <w:t>who identified th</w:t>
      </w:r>
      <w:r w:rsidRPr="00FE502F">
        <w:t xml:space="preserve">emselves as Indigenous declined from 98.6 per cent in July 2010 to 90 per cent by May 2011. The proportion has remained at around 90 per cent from May 2011. </w:t>
      </w:r>
    </w:p>
    <w:p w:rsidR="005E1FE0" w:rsidRPr="00DF38B2" w:rsidRDefault="005E1FE0" w:rsidP="006654AE">
      <w:r w:rsidRPr="009655C3">
        <w:t>This pattern reflects the transition from income management under the NTER to New Income Management. The initial fall in the proportion of those on income management who are Indigenous reflects both the expansion of income management beyond the NTER</w:t>
      </w:r>
      <w:r w:rsidR="007B6104">
        <w:t>-</w:t>
      </w:r>
      <w:r w:rsidRPr="009655C3">
        <w:t>prescribed communities to cover all areas o</w:t>
      </w:r>
      <w:r w:rsidRPr="00DF38B2">
        <w:t>f the Northern Territory, and the changes in the targeting of the two programs which saw some of the original income</w:t>
      </w:r>
      <w:r w:rsidR="00A04470">
        <w:t xml:space="preserve"> </w:t>
      </w:r>
      <w:r w:rsidRPr="00DF38B2">
        <w:t xml:space="preserve">managed group exit the program. </w:t>
      </w:r>
    </w:p>
    <w:p w:rsidR="005E1FE0" w:rsidRPr="00DF38B2" w:rsidRDefault="005E1FE0" w:rsidP="006654AE">
      <w:pPr>
        <w:pStyle w:val="Caption"/>
      </w:pPr>
      <w:bookmarkStart w:id="108" w:name="_Ref391226608"/>
      <w:bookmarkStart w:id="109" w:name="_Toc40373949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108"/>
      <w:r w:rsidRPr="00DF38B2">
        <w:tab/>
        <w:t>Proportion of people on income management in the Northern Territory who are identified as Indigenous Australians, July 2010 to December 2013</w:t>
      </w:r>
      <w:bookmarkEnd w:id="109"/>
    </w:p>
    <w:p w:rsidR="005E1FE0" w:rsidRPr="00DF38B2" w:rsidRDefault="005E1FE0" w:rsidP="006654AE">
      <w:pPr>
        <w:pStyle w:val="graphicpaste"/>
      </w:pPr>
      <w:r w:rsidRPr="008E4D9D">
        <w:rPr>
          <w:noProof/>
        </w:rPr>
        <w:drawing>
          <wp:inline distT="0" distB="0" distL="0" distR="0" wp14:anchorId="7E10B80C" wp14:editId="6271AB14">
            <wp:extent cx="4572000" cy="2667000"/>
            <wp:effectExtent l="0" t="0" r="0" b="0"/>
            <wp:docPr id="29" name="Picture 29" descr="This is a single line graph showing over the time period the proportion of people on income management who identify as being Indigenous.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5E1FE0" w:rsidRPr="00FE502F" w:rsidRDefault="005E1FE0" w:rsidP="006654AE">
      <w:pPr>
        <w:pStyle w:val="tablenotes"/>
      </w:pPr>
      <w:r w:rsidRPr="00FE502F">
        <w:t xml:space="preserve">Source: </w:t>
      </w:r>
      <w:r w:rsidR="002532F6">
        <w:tab/>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5E1FE0" w:rsidRPr="00DF38B2" w:rsidRDefault="005E1FE0" w:rsidP="006654AE">
      <w:pPr>
        <w:pStyle w:val="Caption"/>
        <w:ind w:left="1439" w:hanging="1155"/>
      </w:pPr>
      <w:bookmarkStart w:id="110" w:name="_Ref389963576"/>
      <w:bookmarkStart w:id="111" w:name="_Ref390634467"/>
      <w:bookmarkStart w:id="112" w:name="_Toc403739406"/>
      <w:r w:rsidRPr="009655C3">
        <w:t xml:space="preserve">Table </w:t>
      </w:r>
      <w:fldSimple w:instr=" STYLEREF 1 \s ">
        <w:r w:rsidR="00906D13">
          <w:rPr>
            <w:noProof/>
          </w:rPr>
          <w:t>4</w:t>
        </w:r>
      </w:fldSimple>
      <w:r w:rsidR="00D40B64">
        <w:noBreakHyphen/>
      </w:r>
      <w:fldSimple w:instr=" SEQ Table \* ARABIC \s 1 ">
        <w:r w:rsidR="00906D13">
          <w:rPr>
            <w:noProof/>
          </w:rPr>
          <w:t>1</w:t>
        </w:r>
      </w:fldSimple>
      <w:bookmarkEnd w:id="110"/>
      <w:bookmarkEnd w:id="111"/>
      <w:r w:rsidRPr="00DF38B2">
        <w:tab/>
        <w:t>Income</w:t>
      </w:r>
      <w:r w:rsidR="00A04470">
        <w:t xml:space="preserve"> </w:t>
      </w:r>
      <w:r w:rsidRPr="00DF38B2">
        <w:t>managed population in Northern Territory by stream and Indigenous status, December 201</w:t>
      </w:r>
      <w:bookmarkEnd w:id="90"/>
      <w:bookmarkEnd w:id="91"/>
      <w:bookmarkEnd w:id="92"/>
      <w:bookmarkEnd w:id="93"/>
      <w:bookmarkEnd w:id="94"/>
      <w:bookmarkEnd w:id="95"/>
      <w:r w:rsidRPr="00DF38B2">
        <w:t>3</w:t>
      </w:r>
      <w:bookmarkEnd w:id="112"/>
    </w:p>
    <w:tbl>
      <w:tblPr>
        <w:tblStyle w:val="TableGrid"/>
        <w:tblW w:w="90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Description w:val="Table shows the population on Income Management by program element or stream. Seven data columns are detailed. The first three list the population on income management by Indigenous, non-Indigenous and total. The second three provides for each of these three categories the distribution of the population on each of the program elements as a percentage – that is summing vertically across the program elements to 100 per cent; the seventh column presents the proportion as a percentage within each of the income management elements which is Indigenous.&#10;The key statistics from the table are described in the text&#10;"/>
      </w:tblPr>
      <w:tblGrid>
        <w:gridCol w:w="1750"/>
        <w:gridCol w:w="1024"/>
        <w:gridCol w:w="1221"/>
        <w:gridCol w:w="1079"/>
        <w:gridCol w:w="77"/>
        <w:gridCol w:w="1002"/>
        <w:gridCol w:w="993"/>
        <w:gridCol w:w="1024"/>
        <w:gridCol w:w="880"/>
      </w:tblGrid>
      <w:tr w:rsidR="000E1342" w:rsidRPr="00DF38B2" w:rsidTr="000E1342">
        <w:trPr>
          <w:tblHeader/>
          <w:jc w:val="right"/>
        </w:trPr>
        <w:tc>
          <w:tcPr>
            <w:tcW w:w="1750" w:type="dxa"/>
            <w:tcBorders>
              <w:top w:val="single" w:sz="4" w:space="0" w:color="auto"/>
              <w:bottom w:val="single" w:sz="4" w:space="0" w:color="auto"/>
            </w:tcBorders>
          </w:tcPr>
          <w:p w:rsidR="000E1342" w:rsidRPr="009A06B6" w:rsidRDefault="000E1342" w:rsidP="000E1342">
            <w:pPr>
              <w:pStyle w:val="tabletextleft"/>
              <w:jc w:val="left"/>
            </w:pPr>
            <w:r w:rsidRPr="009A06B6">
              <w:t>Stream of income management</w:t>
            </w:r>
          </w:p>
        </w:tc>
        <w:tc>
          <w:tcPr>
            <w:tcW w:w="1024"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(Indigenous)</w:t>
            </w:r>
          </w:p>
        </w:tc>
        <w:tc>
          <w:tcPr>
            <w:tcW w:w="1221"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(Non- Indigenous)</w:t>
            </w:r>
          </w:p>
        </w:tc>
        <w:tc>
          <w:tcPr>
            <w:tcW w:w="1079"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(Total )</w:t>
            </w:r>
          </w:p>
        </w:tc>
        <w:tc>
          <w:tcPr>
            <w:tcW w:w="77" w:type="dxa"/>
            <w:tcBorders>
              <w:top w:val="single" w:sz="4" w:space="0" w:color="auto"/>
              <w:bottom w:val="single" w:sz="4" w:space="0" w:color="auto"/>
            </w:tcBorders>
          </w:tcPr>
          <w:p w:rsidR="000E1342" w:rsidRPr="009A06B6" w:rsidRDefault="000E1342" w:rsidP="006654AE">
            <w:pPr>
              <w:pStyle w:val="tabletextleft"/>
              <w:jc w:val="right"/>
              <w:rPr>
                <w:sz w:val="16"/>
              </w:rPr>
            </w:pPr>
          </w:p>
        </w:tc>
        <w:tc>
          <w:tcPr>
            <w:tcW w:w="1002"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Distribution by Indigenous identity (Indigenous)</w:t>
            </w:r>
          </w:p>
        </w:tc>
        <w:tc>
          <w:tcPr>
            <w:tcW w:w="993"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 xml:space="preserve">Distribution by Indigenous identity </w:t>
            </w:r>
            <w:r w:rsidRPr="009A06B6">
              <w:rPr>
                <w:sz w:val="16"/>
              </w:rPr>
              <w:br/>
              <w:t>(Non- Indigenous)</w:t>
            </w:r>
          </w:p>
        </w:tc>
        <w:tc>
          <w:tcPr>
            <w:tcW w:w="1024"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 xml:space="preserve">Distribution by Indigenous identity </w:t>
            </w:r>
            <w:r w:rsidRPr="009A06B6">
              <w:rPr>
                <w:sz w:val="16"/>
              </w:rPr>
              <w:br/>
              <w:t>(Total)</w:t>
            </w:r>
          </w:p>
        </w:tc>
        <w:tc>
          <w:tcPr>
            <w:tcW w:w="880" w:type="dxa"/>
            <w:tcBorders>
              <w:top w:val="single" w:sz="4" w:space="0" w:color="auto"/>
              <w:bottom w:val="single" w:sz="4" w:space="0" w:color="auto"/>
            </w:tcBorders>
          </w:tcPr>
          <w:p w:rsidR="000E1342" w:rsidRPr="000E1342" w:rsidRDefault="000E1342" w:rsidP="006654AE">
            <w:pPr>
              <w:pStyle w:val="tabletextleft"/>
              <w:rPr>
                <w:sz w:val="16"/>
              </w:rPr>
            </w:pPr>
            <w:r w:rsidRPr="009A06B6">
              <w:rPr>
                <w:sz w:val="16"/>
              </w:rPr>
              <w:t>Proportion Indigenous</w:t>
            </w:r>
          </w:p>
        </w:tc>
      </w:tr>
      <w:tr w:rsidR="005E1FE0" w:rsidRPr="000E1342" w:rsidTr="000E1342">
        <w:trPr>
          <w:jc w:val="right"/>
        </w:trPr>
        <w:tc>
          <w:tcPr>
            <w:tcW w:w="1750" w:type="dxa"/>
            <w:tcBorders>
              <w:top w:val="single" w:sz="4" w:space="0" w:color="auto"/>
            </w:tcBorders>
          </w:tcPr>
          <w:p w:rsidR="005E1FE0" w:rsidRPr="000E1342" w:rsidRDefault="005E1FE0" w:rsidP="006654AE">
            <w:pPr>
              <w:pStyle w:val="tabletextleft"/>
              <w:rPr>
                <w:sz w:val="16"/>
              </w:rPr>
            </w:pPr>
          </w:p>
        </w:tc>
        <w:tc>
          <w:tcPr>
            <w:tcW w:w="3324" w:type="dxa"/>
            <w:gridSpan w:val="3"/>
            <w:tcBorders>
              <w:top w:val="single" w:sz="4" w:space="0" w:color="auto"/>
            </w:tcBorders>
          </w:tcPr>
          <w:p w:rsidR="005E1FE0" w:rsidRPr="000E1342" w:rsidRDefault="005E1FE0" w:rsidP="006654AE">
            <w:pPr>
              <w:pStyle w:val="tabletextleft"/>
              <w:jc w:val="center"/>
              <w:rPr>
                <w:sz w:val="16"/>
              </w:rPr>
            </w:pPr>
            <w:r w:rsidRPr="000E1342">
              <w:rPr>
                <w:sz w:val="16"/>
              </w:rPr>
              <w:t>Number</w:t>
            </w:r>
          </w:p>
        </w:tc>
        <w:tc>
          <w:tcPr>
            <w:tcW w:w="77" w:type="dxa"/>
            <w:tcBorders>
              <w:top w:val="single" w:sz="4" w:space="0" w:color="auto"/>
            </w:tcBorders>
          </w:tcPr>
          <w:p w:rsidR="005E1FE0" w:rsidRPr="000E1342" w:rsidRDefault="005E1FE0" w:rsidP="006654AE">
            <w:pPr>
              <w:pStyle w:val="tabletextleft"/>
              <w:jc w:val="center"/>
              <w:rPr>
                <w:sz w:val="16"/>
              </w:rPr>
            </w:pPr>
          </w:p>
        </w:tc>
        <w:tc>
          <w:tcPr>
            <w:tcW w:w="3019" w:type="dxa"/>
            <w:gridSpan w:val="3"/>
            <w:tcBorders>
              <w:top w:val="single" w:sz="4" w:space="0" w:color="auto"/>
            </w:tcBorders>
          </w:tcPr>
          <w:p w:rsidR="005E1FE0" w:rsidRPr="000E1342" w:rsidRDefault="005E1FE0" w:rsidP="006654AE">
            <w:pPr>
              <w:pStyle w:val="tabletextleft"/>
              <w:jc w:val="center"/>
              <w:rPr>
                <w:sz w:val="16"/>
              </w:rPr>
            </w:pPr>
            <w:r w:rsidRPr="000E1342">
              <w:rPr>
                <w:sz w:val="16"/>
              </w:rPr>
              <w:t>- % -</w:t>
            </w:r>
          </w:p>
        </w:tc>
        <w:tc>
          <w:tcPr>
            <w:tcW w:w="880" w:type="dxa"/>
            <w:tcBorders>
              <w:top w:val="single" w:sz="4" w:space="0" w:color="auto"/>
            </w:tcBorders>
          </w:tcPr>
          <w:p w:rsidR="005E1FE0" w:rsidRPr="000E1342" w:rsidRDefault="005E1FE0" w:rsidP="006654AE">
            <w:pPr>
              <w:pStyle w:val="tabletextleft"/>
              <w:jc w:val="center"/>
              <w:rPr>
                <w:sz w:val="16"/>
              </w:rPr>
            </w:pPr>
            <w:r w:rsidRPr="000E1342">
              <w:rPr>
                <w:sz w:val="16"/>
              </w:rPr>
              <w:t>- % -</w:t>
            </w:r>
          </w:p>
        </w:tc>
      </w:tr>
      <w:tr w:rsidR="0004165E" w:rsidRPr="00DF38B2" w:rsidTr="000E1342">
        <w:trPr>
          <w:jc w:val="right"/>
        </w:trPr>
        <w:tc>
          <w:tcPr>
            <w:tcW w:w="2774" w:type="dxa"/>
            <w:gridSpan w:val="2"/>
            <w:vAlign w:val="bottom"/>
          </w:tcPr>
          <w:p w:rsidR="005E1FE0" w:rsidRPr="00DF38B2" w:rsidRDefault="005E1FE0" w:rsidP="006654AE">
            <w:pPr>
              <w:pStyle w:val="tabletextleft"/>
            </w:pPr>
            <w:r w:rsidRPr="00DF38B2">
              <w:t xml:space="preserve">Compulsory </w:t>
            </w:r>
          </w:p>
        </w:tc>
        <w:tc>
          <w:tcPr>
            <w:tcW w:w="1221" w:type="dxa"/>
            <w:vAlign w:val="bottom"/>
          </w:tcPr>
          <w:p w:rsidR="005E1FE0" w:rsidRPr="00DF38B2" w:rsidRDefault="005E1FE0" w:rsidP="006654AE">
            <w:pPr>
              <w:pStyle w:val="tabletextleft"/>
            </w:pPr>
          </w:p>
        </w:tc>
        <w:tc>
          <w:tcPr>
            <w:tcW w:w="1079" w:type="dxa"/>
            <w:vAlign w:val="bottom"/>
          </w:tcPr>
          <w:p w:rsidR="005E1FE0" w:rsidRPr="00DF38B2" w:rsidRDefault="005E1FE0" w:rsidP="006654AE">
            <w:pPr>
              <w:pStyle w:val="tabletextleft"/>
            </w:pPr>
          </w:p>
        </w:tc>
        <w:tc>
          <w:tcPr>
            <w:tcW w:w="77" w:type="dxa"/>
          </w:tcPr>
          <w:p w:rsidR="005E1FE0" w:rsidRPr="00DF38B2" w:rsidRDefault="005E1FE0" w:rsidP="006654AE">
            <w:pPr>
              <w:pStyle w:val="tabletextleft"/>
            </w:pPr>
          </w:p>
        </w:tc>
        <w:tc>
          <w:tcPr>
            <w:tcW w:w="1002" w:type="dxa"/>
            <w:vAlign w:val="bottom"/>
          </w:tcPr>
          <w:p w:rsidR="005E1FE0" w:rsidRPr="00DF38B2" w:rsidRDefault="005E1FE0" w:rsidP="006654AE">
            <w:pPr>
              <w:pStyle w:val="tabletextleft"/>
            </w:pPr>
          </w:p>
        </w:tc>
        <w:tc>
          <w:tcPr>
            <w:tcW w:w="993" w:type="dxa"/>
            <w:vAlign w:val="bottom"/>
          </w:tcPr>
          <w:p w:rsidR="005E1FE0" w:rsidRPr="00DF38B2" w:rsidRDefault="005E1FE0" w:rsidP="006654AE">
            <w:pPr>
              <w:pStyle w:val="tabletextleft"/>
            </w:pPr>
          </w:p>
        </w:tc>
        <w:tc>
          <w:tcPr>
            <w:tcW w:w="1024" w:type="dxa"/>
            <w:vAlign w:val="bottom"/>
          </w:tcPr>
          <w:p w:rsidR="005E1FE0" w:rsidRPr="00DF38B2" w:rsidRDefault="005E1FE0" w:rsidP="006654AE">
            <w:pPr>
              <w:pStyle w:val="tabletextleft"/>
            </w:pPr>
          </w:p>
        </w:tc>
        <w:tc>
          <w:tcPr>
            <w:tcW w:w="880" w:type="dxa"/>
          </w:tcPr>
          <w:p w:rsidR="005E1FE0" w:rsidRPr="00DF38B2" w:rsidRDefault="005E1FE0" w:rsidP="006654AE">
            <w:pPr>
              <w:pStyle w:val="tabletextleft"/>
            </w:pP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Disengaged Youth</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3,573</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408</w:t>
            </w:r>
          </w:p>
        </w:tc>
        <w:tc>
          <w:tcPr>
            <w:tcW w:w="1079" w:type="dxa"/>
            <w:vAlign w:val="center"/>
          </w:tcPr>
          <w:p w:rsidR="005E1FE0" w:rsidRPr="00DF38B2" w:rsidRDefault="005E1FE0" w:rsidP="006654AE">
            <w:pPr>
              <w:pStyle w:val="tabletextleft"/>
              <w:jc w:val="right"/>
              <w:rPr>
                <w:color w:val="000000"/>
                <w:szCs w:val="16"/>
              </w:rPr>
            </w:pPr>
            <w:r w:rsidRPr="00F157EE">
              <w:rPr>
                <w:color w:val="000000"/>
              </w:rPr>
              <w:t>3,981</w:t>
            </w:r>
          </w:p>
        </w:tc>
        <w:tc>
          <w:tcPr>
            <w:tcW w:w="77" w:type="dxa"/>
          </w:tcPr>
          <w:p w:rsidR="005E1FE0" w:rsidRPr="00F157EE" w:rsidRDefault="005E1FE0" w:rsidP="006654AE">
            <w:pPr>
              <w:pStyle w:val="tabletextleft"/>
              <w:jc w:val="right"/>
              <w:rPr>
                <w:color w:val="000000"/>
              </w:rPr>
            </w:pPr>
          </w:p>
        </w:tc>
        <w:tc>
          <w:tcPr>
            <w:tcW w:w="1002" w:type="dxa"/>
            <w:vAlign w:val="center"/>
          </w:tcPr>
          <w:p w:rsidR="005E1FE0" w:rsidRPr="00DF38B2" w:rsidRDefault="005E1FE0" w:rsidP="006654AE">
            <w:pPr>
              <w:pStyle w:val="tabletextleft"/>
              <w:jc w:val="right"/>
              <w:rPr>
                <w:color w:val="000000"/>
                <w:szCs w:val="16"/>
              </w:rPr>
            </w:pPr>
            <w:r w:rsidRPr="00F157EE">
              <w:rPr>
                <w:color w:val="000000"/>
              </w:rPr>
              <w:t>21.6</w:t>
            </w:r>
          </w:p>
        </w:tc>
        <w:tc>
          <w:tcPr>
            <w:tcW w:w="993" w:type="dxa"/>
            <w:vAlign w:val="center"/>
          </w:tcPr>
          <w:p w:rsidR="005E1FE0" w:rsidRPr="00DF38B2" w:rsidRDefault="005E1FE0" w:rsidP="006654AE">
            <w:pPr>
              <w:pStyle w:val="tabletextleft"/>
              <w:jc w:val="right"/>
              <w:rPr>
                <w:color w:val="000000"/>
                <w:szCs w:val="16"/>
              </w:rPr>
            </w:pPr>
            <w:r w:rsidRPr="00F157EE">
              <w:rPr>
                <w:color w:val="000000"/>
              </w:rPr>
              <w:t>22.8</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21.8</w:t>
            </w:r>
          </w:p>
        </w:tc>
        <w:tc>
          <w:tcPr>
            <w:tcW w:w="880" w:type="dxa"/>
            <w:vAlign w:val="center"/>
          </w:tcPr>
          <w:p w:rsidR="005E1FE0" w:rsidRPr="00DF38B2" w:rsidRDefault="005E1FE0" w:rsidP="006654AE">
            <w:pPr>
              <w:pStyle w:val="tabletextleft"/>
              <w:jc w:val="right"/>
              <w:rPr>
                <w:color w:val="000000"/>
                <w:szCs w:val="16"/>
              </w:rPr>
            </w:pPr>
            <w:r w:rsidRPr="00F157EE">
              <w:rPr>
                <w:color w:val="000000"/>
              </w:rPr>
              <w:t>89.8</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Long-Term Welfare</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8,829</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1,242</w:t>
            </w:r>
          </w:p>
        </w:tc>
        <w:tc>
          <w:tcPr>
            <w:tcW w:w="1079" w:type="dxa"/>
            <w:vAlign w:val="center"/>
          </w:tcPr>
          <w:p w:rsidR="005E1FE0" w:rsidRPr="00DF38B2" w:rsidRDefault="005E1FE0" w:rsidP="006654AE">
            <w:pPr>
              <w:pStyle w:val="tabletextleft"/>
              <w:jc w:val="right"/>
              <w:rPr>
                <w:color w:val="000000"/>
                <w:szCs w:val="16"/>
              </w:rPr>
            </w:pPr>
            <w:r w:rsidRPr="00F157EE">
              <w:rPr>
                <w:color w:val="000000"/>
              </w:rPr>
              <w:t>10,071</w:t>
            </w:r>
          </w:p>
        </w:tc>
        <w:tc>
          <w:tcPr>
            <w:tcW w:w="77" w:type="dxa"/>
          </w:tcPr>
          <w:p w:rsidR="005E1FE0" w:rsidRPr="00F157EE" w:rsidRDefault="005E1FE0" w:rsidP="006654AE">
            <w:pPr>
              <w:pStyle w:val="tabletextleft"/>
              <w:jc w:val="right"/>
              <w:rPr>
                <w:color w:val="000000"/>
              </w:rPr>
            </w:pPr>
          </w:p>
        </w:tc>
        <w:tc>
          <w:tcPr>
            <w:tcW w:w="1002" w:type="dxa"/>
            <w:vAlign w:val="center"/>
          </w:tcPr>
          <w:p w:rsidR="005E1FE0" w:rsidRPr="00DF38B2" w:rsidRDefault="005E1FE0" w:rsidP="006654AE">
            <w:pPr>
              <w:pStyle w:val="tabletextleft"/>
              <w:jc w:val="right"/>
              <w:rPr>
                <w:color w:val="000000"/>
                <w:szCs w:val="16"/>
              </w:rPr>
            </w:pPr>
            <w:r w:rsidRPr="00F157EE">
              <w:rPr>
                <w:color w:val="000000"/>
              </w:rPr>
              <w:t>53.5</w:t>
            </w:r>
          </w:p>
        </w:tc>
        <w:tc>
          <w:tcPr>
            <w:tcW w:w="993" w:type="dxa"/>
            <w:vAlign w:val="center"/>
          </w:tcPr>
          <w:p w:rsidR="005E1FE0" w:rsidRPr="00FE502F" w:rsidRDefault="005E1FE0" w:rsidP="006654AE">
            <w:pPr>
              <w:pStyle w:val="tabletextleft"/>
              <w:jc w:val="right"/>
              <w:rPr>
                <w:color w:val="000000"/>
                <w:szCs w:val="16"/>
              </w:rPr>
            </w:pPr>
            <w:r w:rsidRPr="00FE502F">
              <w:rPr>
                <w:color w:val="000000"/>
                <w:szCs w:val="16"/>
              </w:rPr>
              <w:t>69.5</w:t>
            </w:r>
          </w:p>
        </w:tc>
        <w:tc>
          <w:tcPr>
            <w:tcW w:w="1024" w:type="dxa"/>
            <w:vAlign w:val="center"/>
          </w:tcPr>
          <w:p w:rsidR="005E1FE0" w:rsidRPr="009655C3" w:rsidRDefault="005E1FE0" w:rsidP="006654AE">
            <w:pPr>
              <w:pStyle w:val="tabletextleft"/>
              <w:jc w:val="right"/>
              <w:rPr>
                <w:color w:val="000000"/>
                <w:szCs w:val="16"/>
              </w:rPr>
            </w:pPr>
            <w:r w:rsidRPr="009655C3">
              <w:rPr>
                <w:color w:val="000000"/>
                <w:szCs w:val="16"/>
              </w:rPr>
              <w:t>55.0</w:t>
            </w:r>
          </w:p>
        </w:tc>
        <w:tc>
          <w:tcPr>
            <w:tcW w:w="880" w:type="dxa"/>
            <w:vAlign w:val="center"/>
          </w:tcPr>
          <w:p w:rsidR="005E1FE0" w:rsidRPr="00DF38B2" w:rsidRDefault="005E1FE0" w:rsidP="006654AE">
            <w:pPr>
              <w:pStyle w:val="tabletextleft"/>
              <w:jc w:val="right"/>
              <w:rPr>
                <w:color w:val="000000"/>
                <w:szCs w:val="16"/>
              </w:rPr>
            </w:pPr>
            <w:r w:rsidRPr="00F157EE">
              <w:rPr>
                <w:color w:val="000000"/>
              </w:rPr>
              <w:t>87.7</w:t>
            </w:r>
          </w:p>
        </w:tc>
      </w:tr>
      <w:tr w:rsidR="0004165E" w:rsidRPr="00DF38B2" w:rsidTr="000E1342">
        <w:trPr>
          <w:jc w:val="right"/>
        </w:trPr>
        <w:tc>
          <w:tcPr>
            <w:tcW w:w="1750" w:type="dxa"/>
            <w:vAlign w:val="bottom"/>
          </w:tcPr>
          <w:p w:rsidR="005E1FE0" w:rsidRPr="00DF38B2" w:rsidRDefault="005E1FE0" w:rsidP="006654AE">
            <w:pPr>
              <w:pStyle w:val="tabletextleft"/>
              <w:jc w:val="left"/>
              <w:rPr>
                <w:i/>
              </w:rPr>
            </w:pPr>
            <w:r w:rsidRPr="00DF38B2">
              <w:rPr>
                <w:i/>
              </w:rPr>
              <w:t>Total Compulsory</w:t>
            </w:r>
          </w:p>
        </w:tc>
        <w:tc>
          <w:tcPr>
            <w:tcW w:w="1024" w:type="dxa"/>
            <w:vAlign w:val="center"/>
          </w:tcPr>
          <w:p w:rsidR="005E1FE0" w:rsidRPr="00DF38B2" w:rsidRDefault="005E1FE0" w:rsidP="006654AE">
            <w:pPr>
              <w:pStyle w:val="tabletextleft"/>
              <w:jc w:val="right"/>
              <w:rPr>
                <w:i/>
                <w:iCs/>
                <w:color w:val="000000"/>
                <w:szCs w:val="16"/>
              </w:rPr>
            </w:pPr>
            <w:r w:rsidRPr="00F157EE">
              <w:rPr>
                <w:i/>
                <w:iCs/>
                <w:color w:val="000000"/>
              </w:rPr>
              <w:t>12,402</w:t>
            </w:r>
          </w:p>
        </w:tc>
        <w:tc>
          <w:tcPr>
            <w:tcW w:w="1221" w:type="dxa"/>
            <w:vAlign w:val="center"/>
          </w:tcPr>
          <w:p w:rsidR="005E1FE0" w:rsidRPr="00DF38B2" w:rsidRDefault="005E1FE0" w:rsidP="006654AE">
            <w:pPr>
              <w:pStyle w:val="tabletextleft"/>
              <w:jc w:val="right"/>
              <w:rPr>
                <w:i/>
                <w:iCs/>
                <w:color w:val="000000"/>
                <w:szCs w:val="16"/>
              </w:rPr>
            </w:pPr>
            <w:r w:rsidRPr="00F157EE">
              <w:rPr>
                <w:i/>
                <w:iCs/>
                <w:color w:val="000000"/>
              </w:rPr>
              <w:t>1,650</w:t>
            </w:r>
          </w:p>
        </w:tc>
        <w:tc>
          <w:tcPr>
            <w:tcW w:w="1079" w:type="dxa"/>
            <w:vAlign w:val="center"/>
          </w:tcPr>
          <w:p w:rsidR="005E1FE0" w:rsidRPr="00FE502F" w:rsidRDefault="005E1FE0" w:rsidP="006654AE">
            <w:pPr>
              <w:pStyle w:val="tabletextleft"/>
              <w:jc w:val="right"/>
              <w:rPr>
                <w:i/>
                <w:color w:val="000000"/>
                <w:szCs w:val="16"/>
              </w:rPr>
            </w:pPr>
            <w:r w:rsidRPr="00FE502F">
              <w:rPr>
                <w:i/>
                <w:color w:val="000000"/>
                <w:szCs w:val="16"/>
              </w:rPr>
              <w:t>14,052</w:t>
            </w:r>
          </w:p>
        </w:tc>
        <w:tc>
          <w:tcPr>
            <w:tcW w:w="77" w:type="dxa"/>
          </w:tcPr>
          <w:p w:rsidR="005E1FE0" w:rsidRPr="009655C3" w:rsidRDefault="005E1FE0" w:rsidP="006654AE">
            <w:pPr>
              <w:pStyle w:val="tabletextleft"/>
              <w:jc w:val="right"/>
              <w:rPr>
                <w:i/>
                <w:color w:val="000000"/>
                <w:szCs w:val="16"/>
              </w:rPr>
            </w:pPr>
          </w:p>
        </w:tc>
        <w:tc>
          <w:tcPr>
            <w:tcW w:w="1002" w:type="dxa"/>
            <w:vAlign w:val="center"/>
          </w:tcPr>
          <w:p w:rsidR="005E1FE0" w:rsidRPr="00DF38B2" w:rsidRDefault="005E1FE0" w:rsidP="006654AE">
            <w:pPr>
              <w:pStyle w:val="tabletextleft"/>
              <w:jc w:val="right"/>
              <w:rPr>
                <w:i/>
                <w:color w:val="000000"/>
                <w:szCs w:val="16"/>
              </w:rPr>
            </w:pPr>
            <w:r w:rsidRPr="00DF38B2">
              <w:rPr>
                <w:i/>
                <w:color w:val="000000"/>
                <w:szCs w:val="16"/>
              </w:rPr>
              <w:t>75.1</w:t>
            </w:r>
          </w:p>
        </w:tc>
        <w:tc>
          <w:tcPr>
            <w:tcW w:w="993" w:type="dxa"/>
            <w:vAlign w:val="center"/>
          </w:tcPr>
          <w:p w:rsidR="005E1FE0" w:rsidRPr="00DF38B2" w:rsidRDefault="005E1FE0" w:rsidP="006654AE">
            <w:pPr>
              <w:pStyle w:val="tabletextleft"/>
              <w:jc w:val="right"/>
              <w:rPr>
                <w:i/>
                <w:color w:val="000000"/>
                <w:szCs w:val="16"/>
              </w:rPr>
            </w:pPr>
            <w:r w:rsidRPr="00DF38B2">
              <w:rPr>
                <w:i/>
                <w:color w:val="000000"/>
                <w:szCs w:val="16"/>
              </w:rPr>
              <w:t>92.4</w:t>
            </w:r>
          </w:p>
        </w:tc>
        <w:tc>
          <w:tcPr>
            <w:tcW w:w="1024" w:type="dxa"/>
            <w:vAlign w:val="center"/>
          </w:tcPr>
          <w:p w:rsidR="005E1FE0" w:rsidRPr="00DF38B2" w:rsidRDefault="005E1FE0" w:rsidP="006654AE">
            <w:pPr>
              <w:pStyle w:val="tabletextleft"/>
              <w:jc w:val="right"/>
              <w:rPr>
                <w:i/>
                <w:color w:val="000000"/>
                <w:szCs w:val="16"/>
              </w:rPr>
            </w:pPr>
            <w:r w:rsidRPr="00DF38B2">
              <w:rPr>
                <w:i/>
                <w:color w:val="000000"/>
                <w:szCs w:val="16"/>
              </w:rPr>
              <w:t>76.8</w:t>
            </w:r>
          </w:p>
        </w:tc>
        <w:tc>
          <w:tcPr>
            <w:tcW w:w="880" w:type="dxa"/>
            <w:vAlign w:val="center"/>
          </w:tcPr>
          <w:p w:rsidR="005E1FE0" w:rsidRPr="00DF38B2" w:rsidRDefault="005E1FE0" w:rsidP="006654AE">
            <w:pPr>
              <w:pStyle w:val="tabletextleft"/>
              <w:jc w:val="right"/>
              <w:rPr>
                <w:i/>
                <w:color w:val="000000"/>
                <w:szCs w:val="16"/>
              </w:rPr>
            </w:pPr>
            <w:r w:rsidRPr="00DF38B2">
              <w:rPr>
                <w:i/>
                <w:color w:val="000000"/>
                <w:szCs w:val="16"/>
              </w:rPr>
              <w:t>88.3</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Child Protection </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76</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7</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83</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0.4</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91.6</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Voluntary </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3,620</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55</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3,675</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21.9</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3.1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20.1</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98.5</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Assessed Vulnerable</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167</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3</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170</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1.0</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0.9</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98.2</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Automatic Vulnerable</w:t>
            </w:r>
          </w:p>
        </w:tc>
        <w:tc>
          <w:tcPr>
            <w:tcW w:w="1024" w:type="dxa"/>
            <w:vAlign w:val="center"/>
          </w:tcPr>
          <w:p w:rsidR="005E1FE0" w:rsidRPr="00DF38B2" w:rsidRDefault="005E1FE0" w:rsidP="006654AE">
            <w:pPr>
              <w:pStyle w:val="tabletextleft"/>
              <w:jc w:val="right"/>
              <w:rPr>
                <w:color w:val="000000"/>
                <w:szCs w:val="16"/>
              </w:rPr>
            </w:pPr>
          </w:p>
        </w:tc>
        <w:tc>
          <w:tcPr>
            <w:tcW w:w="1221" w:type="dxa"/>
            <w:vAlign w:val="center"/>
          </w:tcPr>
          <w:p w:rsidR="005E1FE0" w:rsidRPr="00DF38B2" w:rsidRDefault="005E1FE0" w:rsidP="006654AE">
            <w:pPr>
              <w:pStyle w:val="tabletextleft"/>
              <w:jc w:val="right"/>
              <w:rPr>
                <w:color w:val="000000"/>
                <w:szCs w:val="16"/>
              </w:rPr>
            </w:pPr>
          </w:p>
        </w:tc>
        <w:tc>
          <w:tcPr>
            <w:tcW w:w="1079" w:type="dxa"/>
            <w:vAlign w:val="center"/>
          </w:tcPr>
          <w:p w:rsidR="005E1FE0" w:rsidRPr="00DF38B2" w:rsidRDefault="005E1FE0" w:rsidP="006654AE">
            <w:pPr>
              <w:pStyle w:val="tabletextleft"/>
              <w:jc w:val="right"/>
              <w:rPr>
                <w:color w:val="000000"/>
                <w:szCs w:val="16"/>
              </w:rPr>
            </w:pPr>
          </w:p>
        </w:tc>
        <w:tc>
          <w:tcPr>
            <w:tcW w:w="77" w:type="dxa"/>
          </w:tcPr>
          <w:p w:rsidR="005E1FE0" w:rsidRPr="00DF38B2"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p>
        </w:tc>
        <w:tc>
          <w:tcPr>
            <w:tcW w:w="993" w:type="dxa"/>
            <w:vAlign w:val="center"/>
          </w:tcPr>
          <w:p w:rsidR="005E1FE0" w:rsidRPr="00DF38B2" w:rsidRDefault="005E1FE0" w:rsidP="006654AE">
            <w:pPr>
              <w:pStyle w:val="tabletextleft"/>
              <w:jc w:val="right"/>
              <w:rPr>
                <w:color w:val="000000"/>
                <w:szCs w:val="16"/>
              </w:rPr>
            </w:pPr>
          </w:p>
        </w:tc>
        <w:tc>
          <w:tcPr>
            <w:tcW w:w="1024" w:type="dxa"/>
            <w:vAlign w:val="center"/>
          </w:tcPr>
          <w:p w:rsidR="005E1FE0" w:rsidRPr="00DF38B2" w:rsidRDefault="005E1FE0" w:rsidP="006654AE">
            <w:pPr>
              <w:pStyle w:val="tabletextleft"/>
              <w:jc w:val="right"/>
              <w:rPr>
                <w:color w:val="000000"/>
                <w:szCs w:val="16"/>
              </w:rPr>
            </w:pPr>
          </w:p>
        </w:tc>
        <w:tc>
          <w:tcPr>
            <w:tcW w:w="880" w:type="dxa"/>
            <w:vAlign w:val="center"/>
          </w:tcPr>
          <w:p w:rsidR="005E1FE0" w:rsidRPr="00DF38B2" w:rsidRDefault="005E1FE0" w:rsidP="006654AE">
            <w:pPr>
              <w:pStyle w:val="tabletextleft"/>
              <w:jc w:val="right"/>
              <w:rPr>
                <w:color w:val="000000"/>
                <w:szCs w:val="16"/>
              </w:rPr>
            </w:pP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Un</w:t>
            </w:r>
            <w:r w:rsidR="00EF3E03">
              <w:t>reason</w:t>
            </w:r>
            <w:r w:rsidRPr="00DF38B2">
              <w:t>able to Live at Home</w:t>
            </w:r>
          </w:p>
        </w:tc>
        <w:tc>
          <w:tcPr>
            <w:tcW w:w="1024" w:type="dxa"/>
            <w:vAlign w:val="bottom"/>
          </w:tcPr>
          <w:p w:rsidR="005E1FE0" w:rsidRPr="00DF38B2" w:rsidRDefault="005E1FE0" w:rsidP="006654AE">
            <w:pPr>
              <w:pStyle w:val="tabletextleft"/>
              <w:jc w:val="right"/>
              <w:rPr>
                <w:color w:val="000000"/>
                <w:szCs w:val="16"/>
              </w:rPr>
            </w:pPr>
            <w:r w:rsidRPr="00F157EE">
              <w:rPr>
                <w:color w:val="000000"/>
              </w:rPr>
              <w:t>102</w:t>
            </w:r>
          </w:p>
        </w:tc>
        <w:tc>
          <w:tcPr>
            <w:tcW w:w="1221" w:type="dxa"/>
            <w:vAlign w:val="bottom"/>
          </w:tcPr>
          <w:p w:rsidR="005E1FE0" w:rsidRPr="00DF38B2" w:rsidRDefault="005E1FE0" w:rsidP="006654AE">
            <w:pPr>
              <w:pStyle w:val="tabletextleft"/>
              <w:jc w:val="right"/>
              <w:rPr>
                <w:color w:val="000000"/>
                <w:szCs w:val="16"/>
              </w:rPr>
            </w:pPr>
            <w:r w:rsidRPr="00F157EE">
              <w:rPr>
                <w:color w:val="000000"/>
              </w:rPr>
              <w:t>63</w:t>
            </w:r>
          </w:p>
        </w:tc>
        <w:tc>
          <w:tcPr>
            <w:tcW w:w="1079" w:type="dxa"/>
            <w:vAlign w:val="bottom"/>
          </w:tcPr>
          <w:p w:rsidR="005E1FE0" w:rsidRPr="00DF38B2" w:rsidRDefault="005E1FE0" w:rsidP="006654AE">
            <w:pPr>
              <w:pStyle w:val="tabletextleft"/>
              <w:jc w:val="right"/>
              <w:rPr>
                <w:color w:val="000000"/>
                <w:szCs w:val="16"/>
              </w:rPr>
            </w:pPr>
            <w:r w:rsidRPr="00F157EE">
              <w:rPr>
                <w:color w:val="000000"/>
              </w:rPr>
              <w:t>165</w:t>
            </w:r>
          </w:p>
        </w:tc>
        <w:tc>
          <w:tcPr>
            <w:tcW w:w="77" w:type="dxa"/>
            <w:vAlign w:val="bottom"/>
          </w:tcPr>
          <w:p w:rsidR="005E1FE0" w:rsidRPr="00F157EE" w:rsidRDefault="005E1FE0" w:rsidP="006654AE">
            <w:pPr>
              <w:pStyle w:val="tabletextleft"/>
              <w:jc w:val="right"/>
              <w:rPr>
                <w:color w:val="000000"/>
              </w:rPr>
            </w:pPr>
          </w:p>
        </w:tc>
        <w:tc>
          <w:tcPr>
            <w:tcW w:w="1002" w:type="dxa"/>
            <w:vAlign w:val="bottom"/>
          </w:tcPr>
          <w:p w:rsidR="005E1FE0" w:rsidRPr="00DF38B2" w:rsidRDefault="005E1FE0" w:rsidP="006654AE">
            <w:pPr>
              <w:pStyle w:val="tabletextleft"/>
              <w:jc w:val="right"/>
              <w:rPr>
                <w:color w:val="000000"/>
                <w:szCs w:val="16"/>
              </w:rPr>
            </w:pPr>
            <w:r w:rsidRPr="00F157EE">
              <w:rPr>
                <w:color w:val="000000"/>
              </w:rPr>
              <w:t>0.6</w:t>
            </w:r>
          </w:p>
        </w:tc>
        <w:tc>
          <w:tcPr>
            <w:tcW w:w="993" w:type="dxa"/>
            <w:vAlign w:val="bottom"/>
          </w:tcPr>
          <w:p w:rsidR="005E1FE0" w:rsidRPr="00DF38B2" w:rsidRDefault="005E1FE0" w:rsidP="006654AE">
            <w:pPr>
              <w:pStyle w:val="tabletextleft"/>
              <w:jc w:val="right"/>
              <w:rPr>
                <w:color w:val="000000"/>
                <w:szCs w:val="16"/>
              </w:rPr>
            </w:pPr>
            <w:r w:rsidRPr="00F157EE">
              <w:rPr>
                <w:color w:val="000000"/>
              </w:rPr>
              <w:t>3.5</w:t>
            </w:r>
          </w:p>
        </w:tc>
        <w:tc>
          <w:tcPr>
            <w:tcW w:w="1024" w:type="dxa"/>
            <w:vAlign w:val="bottom"/>
          </w:tcPr>
          <w:p w:rsidR="005E1FE0" w:rsidRPr="00DF38B2" w:rsidRDefault="005E1FE0" w:rsidP="006654AE">
            <w:pPr>
              <w:pStyle w:val="tabletextleft"/>
              <w:jc w:val="right"/>
              <w:rPr>
                <w:color w:val="000000"/>
                <w:szCs w:val="16"/>
              </w:rPr>
            </w:pPr>
            <w:r w:rsidRPr="00F157EE">
              <w:rPr>
                <w:color w:val="000000"/>
              </w:rPr>
              <w:t>0.9</w:t>
            </w:r>
          </w:p>
        </w:tc>
        <w:tc>
          <w:tcPr>
            <w:tcW w:w="880" w:type="dxa"/>
            <w:vAlign w:val="bottom"/>
          </w:tcPr>
          <w:p w:rsidR="005E1FE0" w:rsidRPr="00DF38B2" w:rsidRDefault="005E1FE0" w:rsidP="006654AE">
            <w:pPr>
              <w:pStyle w:val="tabletextleft"/>
              <w:jc w:val="right"/>
              <w:rPr>
                <w:color w:val="000000"/>
                <w:szCs w:val="16"/>
              </w:rPr>
            </w:pPr>
            <w:r w:rsidRPr="00F157EE">
              <w:rPr>
                <w:color w:val="000000"/>
              </w:rPr>
              <w:t>61.8</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Special Benefit</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1</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2</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3</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33.3</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Crisis Payment</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82</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5</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87</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0.3</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94.3</w:t>
            </w:r>
          </w:p>
        </w:tc>
      </w:tr>
      <w:tr w:rsidR="0004165E" w:rsidRPr="00DF38B2" w:rsidTr="000E1342">
        <w:trPr>
          <w:jc w:val="right"/>
        </w:trPr>
        <w:tc>
          <w:tcPr>
            <w:tcW w:w="1750" w:type="dxa"/>
            <w:vAlign w:val="bottom"/>
          </w:tcPr>
          <w:p w:rsidR="005E1FE0" w:rsidRPr="00DF38B2" w:rsidRDefault="005E1FE0" w:rsidP="006654AE">
            <w:pPr>
              <w:pStyle w:val="tabletextleft"/>
              <w:jc w:val="left"/>
              <w:rPr>
                <w:i/>
              </w:rPr>
            </w:pPr>
            <w:r w:rsidRPr="00DF38B2">
              <w:rPr>
                <w:i/>
              </w:rPr>
              <w:t>Total Automatic Vulnerable</w:t>
            </w:r>
          </w:p>
        </w:tc>
        <w:tc>
          <w:tcPr>
            <w:tcW w:w="1024" w:type="dxa"/>
            <w:vAlign w:val="center"/>
          </w:tcPr>
          <w:p w:rsidR="005E1FE0" w:rsidRPr="00DF38B2" w:rsidRDefault="005E1FE0" w:rsidP="006654AE">
            <w:pPr>
              <w:pStyle w:val="tabletextleft"/>
              <w:jc w:val="right"/>
              <w:rPr>
                <w:i/>
                <w:color w:val="000000"/>
                <w:szCs w:val="16"/>
              </w:rPr>
            </w:pPr>
            <w:r w:rsidRPr="00F157EE">
              <w:rPr>
                <w:i/>
                <w:color w:val="000000"/>
              </w:rPr>
              <w:t>185</w:t>
            </w:r>
          </w:p>
        </w:tc>
        <w:tc>
          <w:tcPr>
            <w:tcW w:w="1221" w:type="dxa"/>
            <w:vAlign w:val="center"/>
          </w:tcPr>
          <w:p w:rsidR="005E1FE0" w:rsidRPr="00DF38B2" w:rsidRDefault="005E1FE0" w:rsidP="006654AE">
            <w:pPr>
              <w:pStyle w:val="tabletextleft"/>
              <w:jc w:val="right"/>
              <w:rPr>
                <w:i/>
                <w:color w:val="000000"/>
                <w:szCs w:val="16"/>
              </w:rPr>
            </w:pPr>
            <w:r w:rsidRPr="00F157EE">
              <w:rPr>
                <w:i/>
                <w:color w:val="000000"/>
              </w:rPr>
              <w:t>70</w:t>
            </w:r>
          </w:p>
        </w:tc>
        <w:tc>
          <w:tcPr>
            <w:tcW w:w="1079" w:type="dxa"/>
            <w:vAlign w:val="center"/>
          </w:tcPr>
          <w:p w:rsidR="005E1FE0" w:rsidRPr="00FE502F" w:rsidRDefault="005E1FE0" w:rsidP="006654AE">
            <w:pPr>
              <w:pStyle w:val="tabletextleft"/>
              <w:jc w:val="right"/>
              <w:rPr>
                <w:i/>
                <w:color w:val="000000"/>
                <w:szCs w:val="16"/>
              </w:rPr>
            </w:pPr>
            <w:r w:rsidRPr="00FE502F">
              <w:rPr>
                <w:i/>
                <w:color w:val="000000"/>
                <w:szCs w:val="16"/>
              </w:rPr>
              <w:t>255</w:t>
            </w:r>
          </w:p>
        </w:tc>
        <w:tc>
          <w:tcPr>
            <w:tcW w:w="77" w:type="dxa"/>
          </w:tcPr>
          <w:p w:rsidR="005E1FE0" w:rsidRPr="009655C3" w:rsidRDefault="005E1FE0" w:rsidP="006654AE">
            <w:pPr>
              <w:pStyle w:val="tabletextleft"/>
              <w:jc w:val="right"/>
              <w:rPr>
                <w:i/>
                <w:color w:val="000000"/>
                <w:szCs w:val="16"/>
              </w:rPr>
            </w:pPr>
          </w:p>
        </w:tc>
        <w:tc>
          <w:tcPr>
            <w:tcW w:w="1002" w:type="dxa"/>
            <w:vAlign w:val="center"/>
          </w:tcPr>
          <w:p w:rsidR="005E1FE0" w:rsidRPr="00DF38B2" w:rsidRDefault="005E1FE0" w:rsidP="006654AE">
            <w:pPr>
              <w:pStyle w:val="tabletextleft"/>
              <w:jc w:val="right"/>
              <w:rPr>
                <w:i/>
                <w:color w:val="000000"/>
                <w:szCs w:val="16"/>
              </w:rPr>
            </w:pPr>
            <w:r w:rsidRPr="00DF38B2">
              <w:rPr>
                <w:i/>
                <w:color w:val="000000"/>
                <w:szCs w:val="16"/>
              </w:rPr>
              <w:t>1.1</w:t>
            </w:r>
          </w:p>
        </w:tc>
        <w:tc>
          <w:tcPr>
            <w:tcW w:w="993" w:type="dxa"/>
            <w:vAlign w:val="center"/>
          </w:tcPr>
          <w:p w:rsidR="005E1FE0" w:rsidRPr="00DF38B2" w:rsidRDefault="005E1FE0" w:rsidP="006654AE">
            <w:pPr>
              <w:pStyle w:val="tabletextleft"/>
              <w:jc w:val="right"/>
              <w:rPr>
                <w:i/>
                <w:color w:val="000000"/>
                <w:szCs w:val="16"/>
              </w:rPr>
            </w:pPr>
            <w:r w:rsidRPr="00DF38B2">
              <w:rPr>
                <w:i/>
                <w:color w:val="000000"/>
                <w:szCs w:val="16"/>
              </w:rPr>
              <w:t>3.9</w:t>
            </w:r>
          </w:p>
        </w:tc>
        <w:tc>
          <w:tcPr>
            <w:tcW w:w="1024" w:type="dxa"/>
            <w:vAlign w:val="center"/>
          </w:tcPr>
          <w:p w:rsidR="005E1FE0" w:rsidRPr="00DF38B2" w:rsidRDefault="005E1FE0" w:rsidP="006654AE">
            <w:pPr>
              <w:pStyle w:val="tabletextleft"/>
              <w:jc w:val="right"/>
              <w:rPr>
                <w:i/>
                <w:color w:val="000000"/>
                <w:szCs w:val="16"/>
              </w:rPr>
            </w:pPr>
            <w:r w:rsidRPr="00DF38B2">
              <w:rPr>
                <w:i/>
                <w:color w:val="000000"/>
                <w:szCs w:val="16"/>
              </w:rPr>
              <w:t>1.4</w:t>
            </w:r>
          </w:p>
        </w:tc>
        <w:tc>
          <w:tcPr>
            <w:tcW w:w="880" w:type="dxa"/>
            <w:vAlign w:val="center"/>
          </w:tcPr>
          <w:p w:rsidR="005E1FE0" w:rsidRPr="00DF38B2" w:rsidRDefault="005E1FE0" w:rsidP="006654AE">
            <w:pPr>
              <w:pStyle w:val="tabletextleft"/>
              <w:jc w:val="right"/>
              <w:rPr>
                <w:i/>
                <w:color w:val="000000"/>
                <w:szCs w:val="16"/>
              </w:rPr>
            </w:pPr>
            <w:r w:rsidRPr="00DF38B2">
              <w:rPr>
                <w:i/>
                <w:color w:val="000000"/>
                <w:szCs w:val="16"/>
              </w:rPr>
              <w:t>72.5</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SPAR</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24</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0</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24</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100.0</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Nominee </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40</w:t>
            </w:r>
          </w:p>
        </w:tc>
        <w:tc>
          <w:tcPr>
            <w:tcW w:w="1221" w:type="dxa"/>
            <w:vAlign w:val="center"/>
          </w:tcPr>
          <w:p w:rsidR="005E1FE0" w:rsidRPr="00DF38B2" w:rsidRDefault="005E1FE0" w:rsidP="006654AE">
            <w:pPr>
              <w:pStyle w:val="tabletextleft"/>
              <w:jc w:val="right"/>
              <w:rPr>
                <w:color w:val="000000"/>
                <w:szCs w:val="16"/>
              </w:rPr>
            </w:pPr>
            <w:r w:rsidRPr="00DF38B2">
              <w:rPr>
                <w:color w:val="000000"/>
                <w:szCs w:val="16"/>
              </w:rPr>
              <w:t>1</w:t>
            </w:r>
          </w:p>
        </w:tc>
        <w:tc>
          <w:tcPr>
            <w:tcW w:w="1079" w:type="dxa"/>
            <w:vAlign w:val="center"/>
          </w:tcPr>
          <w:p w:rsidR="005E1FE0" w:rsidRPr="00DF38B2" w:rsidRDefault="005E1FE0" w:rsidP="006654AE">
            <w:pPr>
              <w:pStyle w:val="tabletextleft"/>
              <w:jc w:val="right"/>
              <w:rPr>
                <w:color w:val="000000"/>
                <w:szCs w:val="16"/>
              </w:rPr>
            </w:pPr>
            <w:r w:rsidRPr="00DF38B2">
              <w:rPr>
                <w:color w:val="000000"/>
                <w:szCs w:val="16"/>
              </w:rPr>
              <w:t>41</w:t>
            </w:r>
          </w:p>
        </w:tc>
        <w:tc>
          <w:tcPr>
            <w:tcW w:w="77" w:type="dxa"/>
          </w:tcPr>
          <w:p w:rsidR="005E1FE0" w:rsidRPr="00DF38B2"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97.6</w:t>
            </w:r>
          </w:p>
        </w:tc>
      </w:tr>
      <w:tr w:rsidR="0004165E" w:rsidRPr="00DF38B2" w:rsidTr="000E1342">
        <w:trPr>
          <w:jc w:val="right"/>
        </w:trPr>
        <w:tc>
          <w:tcPr>
            <w:tcW w:w="1750" w:type="dxa"/>
            <w:tcBorders>
              <w:bottom w:val="single" w:sz="4" w:space="0" w:color="auto"/>
            </w:tcBorders>
            <w:vAlign w:val="bottom"/>
          </w:tcPr>
          <w:p w:rsidR="005E1FE0" w:rsidRPr="00DF38B2" w:rsidRDefault="005E1FE0" w:rsidP="006654AE">
            <w:pPr>
              <w:pStyle w:val="tabletextleft"/>
              <w:jc w:val="left"/>
            </w:pPr>
            <w:r w:rsidRPr="00DF38B2">
              <w:t>Total</w:t>
            </w:r>
          </w:p>
        </w:tc>
        <w:tc>
          <w:tcPr>
            <w:tcW w:w="1024"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16,514</w:t>
            </w:r>
          </w:p>
        </w:tc>
        <w:tc>
          <w:tcPr>
            <w:tcW w:w="1221"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1,786</w:t>
            </w:r>
          </w:p>
        </w:tc>
        <w:tc>
          <w:tcPr>
            <w:tcW w:w="1079"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18,300</w:t>
            </w:r>
          </w:p>
        </w:tc>
        <w:tc>
          <w:tcPr>
            <w:tcW w:w="77" w:type="dxa"/>
            <w:tcBorders>
              <w:bottom w:val="single" w:sz="4" w:space="0" w:color="auto"/>
            </w:tcBorders>
          </w:tcPr>
          <w:p w:rsidR="005E1FE0" w:rsidRPr="00F157EE" w:rsidRDefault="005E1FE0" w:rsidP="006654AE">
            <w:pPr>
              <w:pStyle w:val="tabletextleft"/>
              <w:jc w:val="right"/>
              <w:rPr>
                <w:color w:val="000000"/>
              </w:rPr>
            </w:pPr>
          </w:p>
        </w:tc>
        <w:tc>
          <w:tcPr>
            <w:tcW w:w="1002"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993"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1024"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880" w:type="dxa"/>
            <w:tcBorders>
              <w:bottom w:val="single" w:sz="4" w:space="0" w:color="auto"/>
            </w:tcBorders>
            <w:vAlign w:val="center"/>
          </w:tcPr>
          <w:p w:rsidR="005E1FE0" w:rsidRPr="00FE502F" w:rsidRDefault="005E1FE0" w:rsidP="006654AE">
            <w:pPr>
              <w:pStyle w:val="tabletextleft"/>
              <w:jc w:val="right"/>
              <w:rPr>
                <w:color w:val="000000"/>
                <w:szCs w:val="16"/>
              </w:rPr>
            </w:pPr>
            <w:r w:rsidRPr="00FE502F">
              <w:rPr>
                <w:color w:val="000000"/>
                <w:szCs w:val="16"/>
              </w:rPr>
              <w:t>90.2</w:t>
            </w:r>
          </w:p>
        </w:tc>
      </w:tr>
    </w:tbl>
    <w:p w:rsidR="005E1FE0" w:rsidRDefault="005E1FE0" w:rsidP="006654AE">
      <w:pPr>
        <w:pStyle w:val="tablenotes"/>
      </w:pPr>
      <w:r w:rsidRPr="00DF38B2">
        <w:t>Source:</w:t>
      </w:r>
      <w:r w:rsidRPr="00DF38B2">
        <w:tab/>
        <w:t xml:space="preserve"> </w:t>
      </w:r>
      <w:r w:rsidR="00305D80">
        <w:t xml:space="preserve">Derived from </w:t>
      </w:r>
      <w:r w:rsidRPr="00DF38B2">
        <w:t>DHS Administrative data provided for the purposes of the evaluation.</w:t>
      </w:r>
    </w:p>
    <w:p w:rsidR="00296744" w:rsidRPr="00DF38B2" w:rsidRDefault="00296744" w:rsidP="006654AE">
      <w:pPr>
        <w:pStyle w:val="tablefootnoteslastline"/>
      </w:pPr>
    </w:p>
    <w:bookmarkStart w:id="113" w:name="_Ref390630510"/>
    <w:p w:rsidR="005E1FE0" w:rsidRPr="00DF38B2" w:rsidRDefault="005E1FE0" w:rsidP="006654AE">
      <w:r w:rsidRPr="00DF38B2">
        <w:fldChar w:fldCharType="begin"/>
      </w:r>
      <w:r w:rsidRPr="00DF38B2">
        <w:instrText xml:space="preserve"> REF _Ref389963576 \h </w:instrText>
      </w:r>
      <w:r w:rsidRPr="00DF38B2">
        <w:fldChar w:fldCharType="separate"/>
      </w:r>
      <w:r w:rsidR="00906D13" w:rsidRPr="009655C3">
        <w:t xml:space="preserve">Table </w:t>
      </w:r>
      <w:r w:rsidR="00906D13">
        <w:rPr>
          <w:noProof/>
        </w:rPr>
        <w:t>4</w:t>
      </w:r>
      <w:r w:rsidR="00906D13">
        <w:noBreakHyphen/>
      </w:r>
      <w:r w:rsidR="00906D13">
        <w:rPr>
          <w:noProof/>
        </w:rPr>
        <w:t>1</w:t>
      </w:r>
      <w:r w:rsidRPr="00DF38B2">
        <w:fldChar w:fldCharType="end"/>
      </w:r>
      <w:r w:rsidRPr="00DF38B2">
        <w:t xml:space="preserve"> shows the number of p</w:t>
      </w:r>
      <w:r w:rsidRPr="00FE502F">
        <w:t>eople subject to each of the New Income Management measures according to Indigenous status. Overall, there were 16,514 Indigenous and</w:t>
      </w:r>
      <w:r w:rsidRPr="009655C3">
        <w:t xml:space="preserve"> 1,786 non-Indigenous people subject to the measures</w:t>
      </w:r>
      <w:r w:rsidR="00896062">
        <w:t>,</w:t>
      </w:r>
      <w:r w:rsidRPr="009655C3">
        <w:t xml:space="preserve"> meaning that Indigenous Australians account for 90.2 per cent of those subject to income management. There are differences between the proportions of those subject to </w:t>
      </w:r>
      <w:r w:rsidR="005E4CAC">
        <w:t>income management</w:t>
      </w:r>
      <w:r w:rsidRPr="009655C3">
        <w:t xml:space="preserve"> who are Indigenous</w:t>
      </w:r>
      <w:r w:rsidRPr="00DF38B2">
        <w:t xml:space="preserve"> </w:t>
      </w:r>
      <w:r w:rsidR="00896062">
        <w:t>across</w:t>
      </w:r>
      <w:r w:rsidRPr="00DF38B2">
        <w:t xml:space="preserve"> the different streams of </w:t>
      </w:r>
      <w:r w:rsidR="005E4CAC">
        <w:t>income management</w:t>
      </w:r>
      <w:r w:rsidRPr="00DF38B2">
        <w:t>:</w:t>
      </w:r>
    </w:p>
    <w:p w:rsidR="005E1FE0" w:rsidRPr="00DF38B2" w:rsidRDefault="005E1FE0" w:rsidP="006654AE">
      <w:pPr>
        <w:pStyle w:val="dot"/>
      </w:pPr>
      <w:r w:rsidRPr="00DF38B2">
        <w:t xml:space="preserve">The </w:t>
      </w:r>
      <w:r w:rsidR="005C60B5">
        <w:t xml:space="preserve">stream with the </w:t>
      </w:r>
      <w:r w:rsidRPr="00DF38B2">
        <w:t xml:space="preserve">highest proportions </w:t>
      </w:r>
      <w:r w:rsidR="00896062">
        <w:t xml:space="preserve">of </w:t>
      </w:r>
      <w:r w:rsidR="005C60B5">
        <w:t xml:space="preserve">participants who identify as </w:t>
      </w:r>
      <w:r w:rsidRPr="00DF38B2">
        <w:t xml:space="preserve">Indigenous </w:t>
      </w:r>
      <w:r w:rsidR="005C60B5">
        <w:t>was</w:t>
      </w:r>
      <w:r w:rsidRPr="00DF38B2">
        <w:t xml:space="preserve"> SPAR Income Management</w:t>
      </w:r>
      <w:r w:rsidR="005C60B5">
        <w:t xml:space="preserve"> where all of the 24 participants in December 2013 were Indigenous</w:t>
      </w:r>
      <w:r w:rsidR="00896062">
        <w:t>.</w:t>
      </w:r>
    </w:p>
    <w:p w:rsidR="005E1FE0" w:rsidRPr="00DF38B2" w:rsidRDefault="005E1FE0" w:rsidP="006654AE">
      <w:pPr>
        <w:pStyle w:val="dot"/>
      </w:pPr>
      <w:r w:rsidRPr="00DF38B2">
        <w:t>This was followed by Voluntary Income Management (98.5 per cent), assessed Vulnerable Income Management (98.2 per cent) and Nominee Income Management (97.6 per cent)</w:t>
      </w:r>
      <w:r w:rsidR="00896062">
        <w:t>.</w:t>
      </w:r>
    </w:p>
    <w:p w:rsidR="005E1FE0" w:rsidRPr="00DF38B2" w:rsidRDefault="005E1FE0" w:rsidP="006654AE">
      <w:pPr>
        <w:pStyle w:val="dot"/>
      </w:pPr>
      <w:r w:rsidRPr="00DF38B2">
        <w:lastRenderedPageBreak/>
        <w:t>A slightly lower proportion of those subject to Compulsory Income Management are Indigenous (88.3 per cent)</w:t>
      </w:r>
      <w:r w:rsidR="00896062">
        <w:t>.</w:t>
      </w:r>
    </w:p>
    <w:p w:rsidR="005E1FE0" w:rsidRPr="00DF38B2" w:rsidRDefault="005E1FE0" w:rsidP="006654AE">
      <w:pPr>
        <w:pStyle w:val="dot"/>
      </w:pPr>
      <w:r w:rsidRPr="00DF38B2">
        <w:t xml:space="preserve">The lowest proportion (72.5 per cent) was recorded amongst those on the three </w:t>
      </w:r>
      <w:r w:rsidR="005E4CAC">
        <w:t>A</w:t>
      </w:r>
      <w:r w:rsidRPr="00DF38B2">
        <w:t>utomatic Vulnerable Income Management measures.</w:t>
      </w:r>
    </w:p>
    <w:p w:rsidR="005E1FE0" w:rsidRPr="00DF38B2" w:rsidRDefault="005E1FE0" w:rsidP="006654AE">
      <w:r w:rsidRPr="00DF38B2">
        <w:fldChar w:fldCharType="begin"/>
      </w:r>
      <w:r w:rsidRPr="00DF38B2">
        <w:instrText xml:space="preserve"> REF _Ref390634378 \h </w:instrText>
      </w:r>
      <w:r w:rsidRPr="00DF38B2">
        <w:fldChar w:fldCharType="separate"/>
      </w:r>
      <w:r w:rsidR="00906D13" w:rsidRPr="00DF38B2">
        <w:t xml:space="preserve">Figure </w:t>
      </w:r>
      <w:r w:rsidR="00906D13">
        <w:rPr>
          <w:noProof/>
        </w:rPr>
        <w:t>4</w:t>
      </w:r>
      <w:r w:rsidR="00906D13" w:rsidRPr="00DF38B2">
        <w:noBreakHyphen/>
      </w:r>
      <w:r w:rsidR="00906D13">
        <w:rPr>
          <w:noProof/>
        </w:rPr>
        <w:t>6</w:t>
      </w:r>
      <w:r w:rsidRPr="00DF38B2">
        <w:fldChar w:fldCharType="end"/>
      </w:r>
      <w:r w:rsidRPr="00DF38B2">
        <w:t xml:space="preserve"> provides a summary of the composition of people subject to income management by Indigenous status and stream of Income management</w:t>
      </w:r>
      <w:r w:rsidR="00896062">
        <w:t xml:space="preserve">, </w:t>
      </w:r>
      <w:r w:rsidRPr="00DF38B2">
        <w:t>with Child Protection and all forms of Vulnerable Income Management grouped together. By far the largest group is Indigenous o</w:t>
      </w:r>
      <w:r w:rsidRPr="00FE502F">
        <w:t>n Compulsory Income Management (68</w:t>
      </w:r>
      <w:r w:rsidR="0004165E" w:rsidRPr="009655C3">
        <w:t>.1 per cent</w:t>
      </w:r>
      <w:r w:rsidRPr="00DF38B2">
        <w:t xml:space="preserve"> of those subject to </w:t>
      </w:r>
      <w:r w:rsidR="00407AEF">
        <w:t>income management</w:t>
      </w:r>
      <w:r w:rsidRPr="00DF38B2">
        <w:t>), followed by Indigenous Voluntary Income Management (</w:t>
      </w:r>
      <w:r w:rsidR="0004165E" w:rsidRPr="00DF38B2">
        <w:t>19.8 </w:t>
      </w:r>
      <w:r w:rsidRPr="00DF38B2">
        <w:t>per cent)</w:t>
      </w:r>
      <w:r w:rsidR="00896062">
        <w:t>,</w:t>
      </w:r>
      <w:r w:rsidRPr="00DF38B2">
        <w:t xml:space="preserve"> and then non-Indigenous Compulsory Income Management (9</w:t>
      </w:r>
      <w:r w:rsidR="0004165E" w:rsidRPr="00DF38B2">
        <w:t>.0</w:t>
      </w:r>
      <w:r w:rsidRPr="00DF38B2">
        <w:t> per cent).</w:t>
      </w:r>
    </w:p>
    <w:p w:rsidR="005E1FE0" w:rsidRPr="00DF38B2" w:rsidRDefault="005E1FE0" w:rsidP="006654AE">
      <w:pPr>
        <w:pStyle w:val="Caption"/>
      </w:pPr>
      <w:bookmarkStart w:id="114" w:name="_Ref390634378"/>
      <w:bookmarkStart w:id="115" w:name="_Toc40373949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113"/>
      <w:bookmarkEnd w:id="114"/>
      <w:r w:rsidRPr="00DF38B2">
        <w:t xml:space="preserve"> </w:t>
      </w:r>
      <w:r w:rsidRPr="00DF38B2">
        <w:tab/>
        <w:t xml:space="preserve">Composition of people subject to income management </w:t>
      </w:r>
      <w:r w:rsidR="00210B0C">
        <w:t xml:space="preserve">in the Northern Territory </w:t>
      </w:r>
      <w:r w:rsidRPr="00DF38B2">
        <w:t>by Indigenous status and main program, December 2013</w:t>
      </w:r>
      <w:bookmarkEnd w:id="115"/>
    </w:p>
    <w:p w:rsidR="005E1FE0" w:rsidRPr="00DF38B2" w:rsidRDefault="005E1FE0" w:rsidP="006654AE">
      <w:pPr>
        <w:pStyle w:val="graphicpaste"/>
      </w:pPr>
      <w:r w:rsidRPr="008E4D9D">
        <w:rPr>
          <w:noProof/>
        </w:rPr>
        <w:drawing>
          <wp:inline distT="0" distB="0" distL="0" distR="0" wp14:anchorId="3DBD0EBC" wp14:editId="18EB0E6D">
            <wp:extent cx="4653915" cy="2737485"/>
            <wp:effectExtent l="0" t="0" r="0" b="5715"/>
            <wp:docPr id="35" name="Picture 35" descr="Pie chart showing the composition of the IM population as follows: Indigenous CIM 68.1%; Indigenous Voluntary 19.8%; non-Indigenous CIM 9.0%, Indigenous CPIM &amp; Vulnerable 2.3%;  non-Indigenous CPIM &amp; Vulnerable 0.4%; and non-Indigenous Voluntary 0.3%&#10;&#10;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53915" cy="2737485"/>
                    </a:xfrm>
                    <a:prstGeom prst="rect">
                      <a:avLst/>
                    </a:prstGeom>
                    <a:noFill/>
                    <a:ln>
                      <a:noFill/>
                    </a:ln>
                  </pic:spPr>
                </pic:pic>
              </a:graphicData>
            </a:graphic>
          </wp:inline>
        </w:drawing>
      </w:r>
    </w:p>
    <w:p w:rsidR="005E1FE0" w:rsidRPr="00DF38B2" w:rsidRDefault="005E1FE0" w:rsidP="006654AE">
      <w:pPr>
        <w:pStyle w:val="tablenotes"/>
      </w:pPr>
      <w:r w:rsidRPr="00FE502F">
        <w:t>Notes:</w:t>
      </w:r>
      <w:r w:rsidRPr="00FE502F">
        <w:tab/>
      </w:r>
      <w:r w:rsidR="0004165E" w:rsidRPr="009655C3">
        <w:t xml:space="preserve">CIM: </w:t>
      </w:r>
      <w:r w:rsidRPr="009655C3">
        <w:t>Compulsory Income Management</w:t>
      </w:r>
      <w:r w:rsidR="0004165E" w:rsidRPr="00DF38B2">
        <w:t>,</w:t>
      </w:r>
      <w:r w:rsidRPr="00DF38B2">
        <w:t xml:space="preserve"> includ</w:t>
      </w:r>
      <w:r w:rsidR="00896062">
        <w:t>ing</w:t>
      </w:r>
      <w:r w:rsidRPr="00DF38B2">
        <w:t xml:space="preserve"> </w:t>
      </w:r>
      <w:r w:rsidR="00791004">
        <w:t>SPAR, and Nominee Income Management.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296744" w:rsidRPr="00DF38B2" w:rsidRDefault="00296744" w:rsidP="006654AE">
      <w:pPr>
        <w:pStyle w:val="tablefootnoteslastline"/>
      </w:pPr>
    </w:p>
    <w:p w:rsidR="005E1FE0" w:rsidRPr="00DF38B2" w:rsidRDefault="005E1FE0" w:rsidP="006654AE">
      <w:r w:rsidRPr="00DF38B2">
        <w:t xml:space="preserve">The extent to which the high level of Indigenous representation in income management </w:t>
      </w:r>
      <w:r w:rsidR="005C60B5" w:rsidRPr="00DF38B2">
        <w:t>re</w:t>
      </w:r>
      <w:r w:rsidR="005C60B5">
        <w:t>flects</w:t>
      </w:r>
      <w:r w:rsidR="005C60B5" w:rsidRPr="00DF38B2">
        <w:t xml:space="preserve"> </w:t>
      </w:r>
      <w:r w:rsidRPr="00DF38B2">
        <w:t>their level of usage of income support</w:t>
      </w:r>
      <w:r w:rsidR="005C60B5">
        <w:t xml:space="preserve">, </w:t>
      </w:r>
      <w:r w:rsidRPr="00DF38B2">
        <w:t xml:space="preserve">or </w:t>
      </w:r>
      <w:r w:rsidR="005C60B5">
        <w:t xml:space="preserve">is caused by </w:t>
      </w:r>
      <w:r w:rsidRPr="00DF38B2">
        <w:t xml:space="preserve">other factors is considered in more detail in Section </w:t>
      </w:r>
      <w:r w:rsidRPr="00DF38B2">
        <w:fldChar w:fldCharType="begin"/>
      </w:r>
      <w:r w:rsidRPr="00DF38B2">
        <w:instrText xml:space="preserve"> REF _Ref392801065 \r \h </w:instrText>
      </w:r>
      <w:r w:rsidRPr="00DF38B2">
        <w:fldChar w:fldCharType="separate"/>
      </w:r>
      <w:r w:rsidR="00906D13">
        <w:t>4.4.2</w:t>
      </w:r>
      <w:r w:rsidRPr="00DF38B2">
        <w:fldChar w:fldCharType="end"/>
      </w:r>
      <w:r w:rsidRPr="00DF38B2">
        <w:t xml:space="preserve">. </w:t>
      </w:r>
    </w:p>
    <w:p w:rsidR="005E1FE0" w:rsidRPr="00FE502F" w:rsidRDefault="005E1FE0" w:rsidP="006654AE">
      <w:pPr>
        <w:pStyle w:val="Heading3"/>
      </w:pPr>
      <w:bookmarkStart w:id="116" w:name="_Toc403739000"/>
      <w:r w:rsidRPr="00FE502F">
        <w:t>Gender</w:t>
      </w:r>
      <w:bookmarkEnd w:id="116"/>
    </w:p>
    <w:p w:rsidR="005E1FE0" w:rsidRPr="00DF38B2" w:rsidRDefault="005E1FE0" w:rsidP="006654AE">
      <w:r w:rsidRPr="009655C3">
        <w:t xml:space="preserve">Overall, 59.2 per cent of those subject to income management in the Northern Territory are female. The proportion of those on </w:t>
      </w:r>
      <w:r w:rsidR="00407AEF">
        <w:t>income management</w:t>
      </w:r>
      <w:r w:rsidRPr="009655C3">
        <w:t xml:space="preserve"> who were female initially increased during the </w:t>
      </w:r>
      <w:r w:rsidR="00D76AEA">
        <w:t>rollout</w:t>
      </w:r>
      <w:r w:rsidRPr="009655C3">
        <w:t xml:space="preserve"> </w:t>
      </w:r>
      <w:r w:rsidRPr="00DF38B2">
        <w:t>of</w:t>
      </w:r>
      <w:r w:rsidR="00C32D5A">
        <w:t xml:space="preserve"> New Income Management</w:t>
      </w:r>
      <w:r w:rsidRPr="00DF38B2">
        <w:t>, then plateaued until the end of 2011 (</w:t>
      </w:r>
      <w:r w:rsidRPr="00DF38B2">
        <w:fldChar w:fldCharType="begin"/>
      </w:r>
      <w:r w:rsidRPr="00DF38B2">
        <w:instrText xml:space="preserve"> REF _Ref391231371 \h </w:instrText>
      </w:r>
      <w:r w:rsidRPr="00DF38B2">
        <w:fldChar w:fldCharType="separate"/>
      </w:r>
      <w:r w:rsidR="00906D13" w:rsidRPr="00DF38B2">
        <w:t xml:space="preserve">Figure </w:t>
      </w:r>
      <w:r w:rsidR="00906D13">
        <w:rPr>
          <w:noProof/>
        </w:rPr>
        <w:t>4</w:t>
      </w:r>
      <w:r w:rsidR="00906D13" w:rsidRPr="00DF38B2">
        <w:noBreakHyphen/>
      </w:r>
      <w:r w:rsidR="00906D13">
        <w:rPr>
          <w:noProof/>
        </w:rPr>
        <w:t>7</w:t>
      </w:r>
      <w:r w:rsidRPr="00DF38B2">
        <w:fldChar w:fldCharType="end"/>
      </w:r>
      <w:r w:rsidRPr="00DF38B2">
        <w:t xml:space="preserve">). After this it has declined </w:t>
      </w:r>
      <w:r w:rsidR="00896062">
        <w:t>slightly</w:t>
      </w:r>
      <w:r w:rsidRPr="00DF38B2">
        <w:t xml:space="preserve">, with a major fall in mid-2013. Just prior to the </w:t>
      </w:r>
      <w:r w:rsidR="00D76AEA">
        <w:t>rollout</w:t>
      </w:r>
      <w:r w:rsidRPr="00DF38B2">
        <w:t xml:space="preserve"> of N</w:t>
      </w:r>
      <w:r w:rsidRPr="00FE502F">
        <w:t>ew Income Management, 58.6 per cent of those on the NTER Income Manageme</w:t>
      </w:r>
      <w:r w:rsidRPr="009655C3">
        <w:t xml:space="preserve">nt were female; following the full </w:t>
      </w:r>
      <w:r w:rsidR="00D76AEA">
        <w:t>rollout</w:t>
      </w:r>
      <w:r w:rsidRPr="009655C3">
        <w:t xml:space="preserve"> of New Income Management, this increased to a peak of 61.5 per cent in December 2011. After this it showed some fluctuation – and a new peak in February 2012 at 61.7 per cent before settling back at around 61 per</w:t>
      </w:r>
      <w:r w:rsidRPr="00DF38B2">
        <w:t xml:space="preserve"> cent, before falling rapidly to 59.7 per cent in July 2013.</w:t>
      </w:r>
    </w:p>
    <w:p w:rsidR="005E1FE0" w:rsidRPr="00DF38B2" w:rsidRDefault="005E1FE0" w:rsidP="006654AE">
      <w:pPr>
        <w:pStyle w:val="Caption"/>
      </w:pPr>
      <w:bookmarkStart w:id="117" w:name="_Ref391231371"/>
      <w:bookmarkStart w:id="118" w:name="_Toc40373950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117"/>
      <w:r w:rsidRPr="00DF38B2">
        <w:tab/>
        <w:t xml:space="preserve">Women as a proportion of the population </w:t>
      </w:r>
      <w:r w:rsidR="00210B0C">
        <w:t>subject to</w:t>
      </w:r>
      <w:r w:rsidRPr="00DF38B2">
        <w:t xml:space="preserve"> </w:t>
      </w:r>
      <w:r w:rsidR="005E4CAC">
        <w:t>income management</w:t>
      </w:r>
      <w:r w:rsidRPr="00DF38B2">
        <w:t xml:space="preserve"> in the Northern Territory, July 2010 to December 2013</w:t>
      </w:r>
      <w:bookmarkEnd w:id="118"/>
    </w:p>
    <w:p w:rsidR="005E1FE0" w:rsidRPr="00DF38B2" w:rsidRDefault="005E1FE0" w:rsidP="006654AE">
      <w:pPr>
        <w:pStyle w:val="graphicpaste"/>
      </w:pPr>
      <w:r w:rsidRPr="008E4D9D">
        <w:rPr>
          <w:noProof/>
        </w:rPr>
        <w:drawing>
          <wp:inline distT="0" distB="0" distL="0" distR="0" wp14:anchorId="0C95340F" wp14:editId="52FAC95D">
            <wp:extent cx="4817110" cy="2939415"/>
            <wp:effectExtent l="0" t="0" r="2540" b="0"/>
            <wp:docPr id="51" name="Picture 51" descr="Single line graph showing, over the time period, the proportion of people who are on income management who are women. The data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7110" cy="2939415"/>
                    </a:xfrm>
                    <a:prstGeom prst="rect">
                      <a:avLst/>
                    </a:prstGeom>
                    <a:noFill/>
                    <a:ln>
                      <a:noFill/>
                    </a:ln>
                  </pic:spPr>
                </pic:pic>
              </a:graphicData>
            </a:graphic>
          </wp:inline>
        </w:drawing>
      </w:r>
    </w:p>
    <w:p w:rsidR="005E1FE0" w:rsidRDefault="005E1FE0" w:rsidP="006654AE">
      <w:pPr>
        <w:pStyle w:val="tablenotes"/>
        <w:keepNext w:val="0"/>
      </w:pPr>
      <w:r w:rsidRPr="00FE502F">
        <w:t xml:space="preserve">Source: </w:t>
      </w:r>
      <w:r w:rsidR="00305D80">
        <w:t xml:space="preserve">Derived from </w:t>
      </w:r>
      <w:r w:rsidRPr="00FE502F">
        <w:t>DHS Adminis</w:t>
      </w:r>
      <w:r w:rsidRPr="009655C3">
        <w:t>trative data provided for the purposes of the evaluation.</w:t>
      </w:r>
    </w:p>
    <w:p w:rsidR="00296744" w:rsidRPr="009655C3" w:rsidRDefault="00296744" w:rsidP="006654AE">
      <w:pPr>
        <w:pStyle w:val="tablefootnoteslastline"/>
      </w:pPr>
    </w:p>
    <w:p w:rsidR="005E1FE0" w:rsidRPr="00DF38B2" w:rsidRDefault="005E1FE0" w:rsidP="006654AE">
      <w:r w:rsidRPr="009655C3">
        <w:t xml:space="preserve">There are some differences between streams of income management in the proportion </w:t>
      </w:r>
      <w:r w:rsidR="00896062">
        <w:t xml:space="preserve">of people who </w:t>
      </w:r>
      <w:r w:rsidRPr="009655C3">
        <w:t>are female (Table 4</w:t>
      </w:r>
      <w:r w:rsidR="00896062">
        <w:t>-</w:t>
      </w:r>
      <w:r w:rsidRPr="009655C3">
        <w:t xml:space="preserve">2). The income management stream with the highest concentration of women is Child Protection Income Management (80.7 per cent) and the lowest is for some of the automatic forms of Vulnerable Income Management. For example, just 16.1 per cent of those subject to </w:t>
      </w:r>
      <w:r w:rsidR="005E4CAC">
        <w:t>income management</w:t>
      </w:r>
      <w:r w:rsidRPr="009655C3">
        <w:t xml:space="preserve"> because they </w:t>
      </w:r>
      <w:r w:rsidR="00805620">
        <w:t>have received a</w:t>
      </w:r>
      <w:r w:rsidRPr="009655C3">
        <w:t xml:space="preserve"> Crisis Payment are female. There is li</w:t>
      </w:r>
      <w:r w:rsidRPr="00DF38B2">
        <w:t xml:space="preserve">ttle difference in the proportion of those subject to Compulsory Income Management, Assessed Vulnerable or on Voluntary Income Management </w:t>
      </w:r>
      <w:r w:rsidR="00805620">
        <w:t>who</w:t>
      </w:r>
      <w:r w:rsidRPr="00DF38B2">
        <w:t xml:space="preserve"> are </w:t>
      </w:r>
      <w:r w:rsidR="00896062">
        <w:t>women</w:t>
      </w:r>
      <w:r w:rsidRPr="00DF38B2">
        <w:t>.</w:t>
      </w:r>
    </w:p>
    <w:p w:rsidR="005E1FE0" w:rsidRPr="00DF38B2" w:rsidRDefault="005E1FE0" w:rsidP="006654AE">
      <w:pPr>
        <w:pStyle w:val="Caption"/>
        <w:ind w:left="1439" w:hanging="1155"/>
      </w:pPr>
      <w:bookmarkStart w:id="119" w:name="_Ref390632501"/>
      <w:bookmarkStart w:id="120" w:name="_Toc403739407"/>
      <w:r w:rsidRPr="00DF38B2">
        <w:t xml:space="preserve">Table </w:t>
      </w:r>
      <w:fldSimple w:instr=" STYLEREF 1 \s ">
        <w:r w:rsidR="00906D13">
          <w:rPr>
            <w:noProof/>
          </w:rPr>
          <w:t>4</w:t>
        </w:r>
      </w:fldSimple>
      <w:r w:rsidR="00D40B64">
        <w:noBreakHyphen/>
      </w:r>
      <w:fldSimple w:instr=" SEQ Table \* ARABIC \s 1 ">
        <w:r w:rsidR="00906D13">
          <w:rPr>
            <w:noProof/>
          </w:rPr>
          <w:t>2</w:t>
        </w:r>
      </w:fldSimple>
      <w:bookmarkEnd w:id="119"/>
      <w:r w:rsidRPr="00DF38B2">
        <w:tab/>
        <w:t>Income</w:t>
      </w:r>
      <w:r w:rsidR="00A04470">
        <w:t xml:space="preserve"> </w:t>
      </w:r>
      <w:r w:rsidRPr="00DF38B2">
        <w:t>managed population in Northern Territory by stream and gender, December 2013</w:t>
      </w:r>
      <w:bookmarkEnd w:id="120"/>
    </w:p>
    <w:tbl>
      <w:tblPr>
        <w:tblStyle w:val="TableGrid"/>
        <w:tblW w:w="84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Description w:val="This table shows the population on Income Management by program element/stream. Seven data columns are detailed. The first three list the population on income management by male, female and total. The second three provides for each of these three categories the distribution of the population on each of the program elements as a percentage – that is summing vertically across the program elements to 100 per cent; the seventh column presents the proportion of the population on each of the income management elements which is female as a percentage.&#10;The key statistics from the table are described in the text&#10;"/>
      </w:tblPr>
      <w:tblGrid>
        <w:gridCol w:w="2364"/>
        <w:gridCol w:w="850"/>
        <w:gridCol w:w="992"/>
        <w:gridCol w:w="851"/>
        <w:gridCol w:w="851"/>
        <w:gridCol w:w="850"/>
        <w:gridCol w:w="709"/>
        <w:gridCol w:w="992"/>
      </w:tblGrid>
      <w:tr w:rsidR="005E1FE0" w:rsidRPr="009A06B6" w:rsidTr="007E46B6">
        <w:trPr>
          <w:tblHeader/>
          <w:jc w:val="right"/>
        </w:trPr>
        <w:tc>
          <w:tcPr>
            <w:tcW w:w="2364" w:type="dxa"/>
            <w:tcBorders>
              <w:top w:val="single" w:sz="4" w:space="0" w:color="auto"/>
              <w:bottom w:val="single" w:sz="4" w:space="0" w:color="auto"/>
            </w:tcBorders>
          </w:tcPr>
          <w:p w:rsidR="005E1FE0" w:rsidRPr="009A06B6" w:rsidRDefault="00F90E75" w:rsidP="00F90E75">
            <w:pPr>
              <w:pStyle w:val="tabletextleft"/>
              <w:jc w:val="left"/>
            </w:pPr>
            <w:r w:rsidRPr="009A06B6">
              <w:t>Stream of income management</w:t>
            </w:r>
          </w:p>
        </w:tc>
        <w:tc>
          <w:tcPr>
            <w:tcW w:w="850" w:type="dxa"/>
            <w:tcBorders>
              <w:top w:val="single" w:sz="4" w:space="0" w:color="auto"/>
              <w:bottom w:val="single" w:sz="4" w:space="0" w:color="auto"/>
            </w:tcBorders>
          </w:tcPr>
          <w:p w:rsidR="009A06B6" w:rsidRDefault="005E1FE0" w:rsidP="006654AE">
            <w:pPr>
              <w:pStyle w:val="tabletextright"/>
            </w:pPr>
            <w:r w:rsidRPr="009A06B6">
              <w:t>Male</w:t>
            </w:r>
            <w:r w:rsidR="000E1342" w:rsidRPr="009A06B6">
              <w:t xml:space="preserve"> </w:t>
            </w:r>
          </w:p>
          <w:p w:rsidR="005E1FE0" w:rsidRPr="009A06B6" w:rsidRDefault="000E1342" w:rsidP="006654AE">
            <w:pPr>
              <w:pStyle w:val="tabletextright"/>
            </w:pPr>
            <w:r w:rsidRPr="009A06B6">
              <w:t>(n)</w:t>
            </w:r>
          </w:p>
        </w:tc>
        <w:tc>
          <w:tcPr>
            <w:tcW w:w="992" w:type="dxa"/>
            <w:tcBorders>
              <w:top w:val="single" w:sz="4" w:space="0" w:color="auto"/>
              <w:bottom w:val="single" w:sz="4" w:space="0" w:color="auto"/>
            </w:tcBorders>
          </w:tcPr>
          <w:p w:rsidR="009A06B6" w:rsidRDefault="005E1FE0" w:rsidP="006654AE">
            <w:pPr>
              <w:pStyle w:val="tabletextright"/>
            </w:pPr>
            <w:r w:rsidRPr="009A06B6">
              <w:t>Female</w:t>
            </w:r>
            <w:r w:rsidR="000E1342" w:rsidRPr="009A06B6">
              <w:t xml:space="preserve"> </w:t>
            </w:r>
          </w:p>
          <w:p w:rsidR="005E1FE0" w:rsidRPr="009A06B6" w:rsidRDefault="000E1342" w:rsidP="006654AE">
            <w:pPr>
              <w:pStyle w:val="tabletextright"/>
            </w:pPr>
            <w:r w:rsidRPr="009A06B6">
              <w:t>(n)</w:t>
            </w:r>
          </w:p>
        </w:tc>
        <w:tc>
          <w:tcPr>
            <w:tcW w:w="851" w:type="dxa"/>
            <w:tcBorders>
              <w:top w:val="single" w:sz="4" w:space="0" w:color="auto"/>
              <w:bottom w:val="single" w:sz="4" w:space="0" w:color="auto"/>
            </w:tcBorders>
          </w:tcPr>
          <w:p w:rsidR="009A06B6" w:rsidRDefault="005E1FE0" w:rsidP="006654AE">
            <w:pPr>
              <w:pStyle w:val="tabletextright"/>
            </w:pPr>
            <w:r w:rsidRPr="009A06B6">
              <w:t>Total</w:t>
            </w:r>
            <w:r w:rsidR="000E1342" w:rsidRPr="009A06B6">
              <w:t xml:space="preserve"> </w:t>
            </w:r>
          </w:p>
          <w:p w:rsidR="005E1FE0" w:rsidRPr="009A06B6" w:rsidRDefault="000E1342" w:rsidP="006654AE">
            <w:pPr>
              <w:pStyle w:val="tabletextright"/>
            </w:pPr>
            <w:r w:rsidRPr="009A06B6">
              <w:t>(n)</w:t>
            </w:r>
            <w:r w:rsidR="005E1FE0" w:rsidRPr="009A06B6">
              <w:t xml:space="preserve"> </w:t>
            </w:r>
          </w:p>
        </w:tc>
        <w:tc>
          <w:tcPr>
            <w:tcW w:w="851" w:type="dxa"/>
            <w:tcBorders>
              <w:top w:val="single" w:sz="4" w:space="0" w:color="auto"/>
              <w:bottom w:val="single" w:sz="4" w:space="0" w:color="auto"/>
            </w:tcBorders>
          </w:tcPr>
          <w:p w:rsidR="009A06B6" w:rsidRDefault="005E1FE0" w:rsidP="006654AE">
            <w:pPr>
              <w:pStyle w:val="tabletextright"/>
            </w:pPr>
            <w:r w:rsidRPr="009A06B6">
              <w:t>Male</w:t>
            </w:r>
            <w:r w:rsidR="000E1342" w:rsidRPr="009A06B6">
              <w:t xml:space="preserve"> </w:t>
            </w:r>
          </w:p>
          <w:p w:rsidR="005E1FE0" w:rsidRPr="009A06B6" w:rsidRDefault="000E1342" w:rsidP="006654AE">
            <w:pPr>
              <w:pStyle w:val="tabletextright"/>
            </w:pPr>
            <w:r w:rsidRPr="009A06B6">
              <w:t>(%)</w:t>
            </w:r>
            <w:r w:rsidR="005E1FE0" w:rsidRPr="009A06B6">
              <w:t xml:space="preserve"> </w:t>
            </w:r>
          </w:p>
        </w:tc>
        <w:tc>
          <w:tcPr>
            <w:tcW w:w="850" w:type="dxa"/>
            <w:tcBorders>
              <w:top w:val="single" w:sz="4" w:space="0" w:color="auto"/>
              <w:bottom w:val="single" w:sz="4" w:space="0" w:color="auto"/>
            </w:tcBorders>
          </w:tcPr>
          <w:p w:rsidR="005E1FE0" w:rsidRPr="009A06B6" w:rsidRDefault="005E1FE0" w:rsidP="006654AE">
            <w:pPr>
              <w:pStyle w:val="tabletextright"/>
            </w:pPr>
            <w:r w:rsidRPr="009A06B6">
              <w:t>Female</w:t>
            </w:r>
            <w:r w:rsidR="000E1342" w:rsidRPr="009A06B6">
              <w:t xml:space="preserve"> (%)</w:t>
            </w:r>
          </w:p>
        </w:tc>
        <w:tc>
          <w:tcPr>
            <w:tcW w:w="709" w:type="dxa"/>
            <w:tcBorders>
              <w:top w:val="single" w:sz="4" w:space="0" w:color="auto"/>
              <w:bottom w:val="single" w:sz="4" w:space="0" w:color="auto"/>
            </w:tcBorders>
          </w:tcPr>
          <w:p w:rsidR="009A06B6" w:rsidRDefault="005E1FE0" w:rsidP="006654AE">
            <w:pPr>
              <w:pStyle w:val="tabletextright"/>
            </w:pPr>
            <w:r w:rsidRPr="009A06B6">
              <w:t>Total</w:t>
            </w:r>
            <w:r w:rsidR="000E1342" w:rsidRPr="009A06B6">
              <w:t xml:space="preserve"> </w:t>
            </w:r>
          </w:p>
          <w:p w:rsidR="005E1FE0" w:rsidRPr="009A06B6" w:rsidRDefault="000E1342" w:rsidP="006654AE">
            <w:pPr>
              <w:pStyle w:val="tabletextright"/>
            </w:pPr>
            <w:r w:rsidRPr="009A06B6">
              <w:t>(%)</w:t>
            </w:r>
            <w:r w:rsidR="005E1FE0" w:rsidRPr="009A06B6">
              <w:t xml:space="preserve"> </w:t>
            </w:r>
          </w:p>
        </w:tc>
        <w:tc>
          <w:tcPr>
            <w:tcW w:w="992" w:type="dxa"/>
            <w:tcBorders>
              <w:top w:val="single" w:sz="4" w:space="0" w:color="auto"/>
              <w:bottom w:val="single" w:sz="4" w:space="0" w:color="auto"/>
            </w:tcBorders>
          </w:tcPr>
          <w:p w:rsidR="005E1FE0" w:rsidRPr="009A06B6" w:rsidRDefault="005E1FE0" w:rsidP="006654AE">
            <w:pPr>
              <w:pStyle w:val="tabletextright"/>
            </w:pPr>
            <w:r w:rsidRPr="009A06B6">
              <w:t>Proportion female</w:t>
            </w:r>
            <w:r w:rsidR="000E1342" w:rsidRPr="009A06B6">
              <w:t xml:space="preserve"> (%)</w:t>
            </w:r>
          </w:p>
        </w:tc>
      </w:tr>
      <w:tr w:rsidR="005E1FE0" w:rsidRPr="009A06B6" w:rsidTr="00535C84">
        <w:trPr>
          <w:jc w:val="right"/>
        </w:trPr>
        <w:tc>
          <w:tcPr>
            <w:tcW w:w="2364" w:type="dxa"/>
            <w:tcBorders>
              <w:top w:val="single" w:sz="4" w:space="0" w:color="auto"/>
            </w:tcBorders>
          </w:tcPr>
          <w:p w:rsidR="005E1FE0" w:rsidRPr="009A06B6" w:rsidRDefault="005E1FE0" w:rsidP="006654AE">
            <w:pPr>
              <w:pStyle w:val="tabletextleft"/>
            </w:pPr>
          </w:p>
        </w:tc>
        <w:tc>
          <w:tcPr>
            <w:tcW w:w="2693" w:type="dxa"/>
            <w:gridSpan w:val="3"/>
            <w:tcBorders>
              <w:top w:val="single" w:sz="4" w:space="0" w:color="auto"/>
            </w:tcBorders>
          </w:tcPr>
          <w:p w:rsidR="005E1FE0" w:rsidRPr="009A06B6" w:rsidRDefault="005E1FE0" w:rsidP="006654AE">
            <w:pPr>
              <w:pStyle w:val="tabletextright"/>
              <w:jc w:val="center"/>
            </w:pPr>
          </w:p>
        </w:tc>
        <w:tc>
          <w:tcPr>
            <w:tcW w:w="2410" w:type="dxa"/>
            <w:gridSpan w:val="3"/>
            <w:tcBorders>
              <w:top w:val="single" w:sz="4" w:space="0" w:color="auto"/>
            </w:tcBorders>
          </w:tcPr>
          <w:p w:rsidR="005E1FE0" w:rsidRPr="009A06B6" w:rsidRDefault="005E1FE0" w:rsidP="006654AE">
            <w:pPr>
              <w:pStyle w:val="tabletextright"/>
              <w:jc w:val="center"/>
            </w:pPr>
          </w:p>
        </w:tc>
        <w:tc>
          <w:tcPr>
            <w:tcW w:w="992" w:type="dxa"/>
            <w:tcBorders>
              <w:top w:val="single" w:sz="4" w:space="0" w:color="auto"/>
            </w:tcBorders>
          </w:tcPr>
          <w:p w:rsidR="005E1FE0" w:rsidRPr="009A06B6" w:rsidRDefault="005E1FE0" w:rsidP="006654AE">
            <w:pPr>
              <w:pStyle w:val="tabletextright"/>
            </w:pPr>
          </w:p>
        </w:tc>
      </w:tr>
      <w:tr w:rsidR="005E1FE0" w:rsidRPr="009A06B6" w:rsidTr="00535C84">
        <w:trPr>
          <w:jc w:val="right"/>
        </w:trPr>
        <w:tc>
          <w:tcPr>
            <w:tcW w:w="3214" w:type="dxa"/>
            <w:gridSpan w:val="2"/>
            <w:vAlign w:val="bottom"/>
          </w:tcPr>
          <w:p w:rsidR="005E1FE0" w:rsidRPr="009A06B6" w:rsidRDefault="005E1FE0" w:rsidP="006654AE">
            <w:pPr>
              <w:pStyle w:val="tabletextright"/>
              <w:jc w:val="left"/>
            </w:pPr>
            <w:r w:rsidRPr="009A06B6">
              <w:t>Compulsory Income Management</w:t>
            </w:r>
          </w:p>
        </w:tc>
        <w:tc>
          <w:tcPr>
            <w:tcW w:w="992" w:type="dxa"/>
            <w:vAlign w:val="bottom"/>
          </w:tcPr>
          <w:p w:rsidR="005E1FE0" w:rsidRPr="009A06B6" w:rsidRDefault="005E1FE0" w:rsidP="006654AE">
            <w:pPr>
              <w:pStyle w:val="tabletextright"/>
            </w:pPr>
          </w:p>
        </w:tc>
        <w:tc>
          <w:tcPr>
            <w:tcW w:w="851" w:type="dxa"/>
            <w:vAlign w:val="bottom"/>
          </w:tcPr>
          <w:p w:rsidR="005E1FE0" w:rsidRPr="009A06B6" w:rsidRDefault="005E1FE0" w:rsidP="006654AE">
            <w:pPr>
              <w:pStyle w:val="tabletextright"/>
            </w:pPr>
          </w:p>
        </w:tc>
        <w:tc>
          <w:tcPr>
            <w:tcW w:w="851" w:type="dxa"/>
            <w:vAlign w:val="bottom"/>
          </w:tcPr>
          <w:p w:rsidR="005E1FE0" w:rsidRPr="009A06B6" w:rsidRDefault="005E1FE0" w:rsidP="006654AE">
            <w:pPr>
              <w:pStyle w:val="tabletextright"/>
            </w:pPr>
          </w:p>
        </w:tc>
        <w:tc>
          <w:tcPr>
            <w:tcW w:w="850" w:type="dxa"/>
            <w:vAlign w:val="bottom"/>
          </w:tcPr>
          <w:p w:rsidR="005E1FE0" w:rsidRPr="009A06B6" w:rsidRDefault="005E1FE0" w:rsidP="006654AE">
            <w:pPr>
              <w:pStyle w:val="tabletextright"/>
            </w:pPr>
          </w:p>
        </w:tc>
        <w:tc>
          <w:tcPr>
            <w:tcW w:w="709" w:type="dxa"/>
            <w:vAlign w:val="bottom"/>
          </w:tcPr>
          <w:p w:rsidR="005E1FE0" w:rsidRPr="009A06B6" w:rsidRDefault="005E1FE0" w:rsidP="006654AE">
            <w:pPr>
              <w:pStyle w:val="tabletextright"/>
            </w:pPr>
          </w:p>
        </w:tc>
        <w:tc>
          <w:tcPr>
            <w:tcW w:w="992" w:type="dxa"/>
          </w:tcPr>
          <w:p w:rsidR="005E1FE0" w:rsidRPr="009A06B6" w:rsidRDefault="005E1FE0" w:rsidP="006654AE">
            <w:pPr>
              <w:pStyle w:val="tabletextright"/>
            </w:pP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Disengaged Youth</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2,497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1,442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3,981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23.1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19.7</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rPr>
              <w:t>21.8</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62.7</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Long-Term Welfare</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5,900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4,072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10,071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54.5</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55.6</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55.0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58.6</w:t>
            </w:r>
          </w:p>
        </w:tc>
      </w:tr>
      <w:tr w:rsidR="005E1FE0" w:rsidRPr="009A06B6" w:rsidTr="00535C84">
        <w:trPr>
          <w:jc w:val="right"/>
        </w:trPr>
        <w:tc>
          <w:tcPr>
            <w:tcW w:w="2364" w:type="dxa"/>
            <w:vAlign w:val="bottom"/>
          </w:tcPr>
          <w:p w:rsidR="005E1FE0" w:rsidRPr="009A06B6" w:rsidRDefault="005E1FE0" w:rsidP="006654AE">
            <w:pPr>
              <w:pStyle w:val="tabletextleft"/>
              <w:jc w:val="left"/>
              <w:rPr>
                <w:i/>
              </w:rPr>
            </w:pPr>
            <w:r w:rsidRPr="009A06B6">
              <w:rPr>
                <w:i/>
              </w:rPr>
              <w:t>Total CIM</w:t>
            </w:r>
          </w:p>
        </w:tc>
        <w:tc>
          <w:tcPr>
            <w:tcW w:w="850" w:type="dxa"/>
            <w:vAlign w:val="center"/>
          </w:tcPr>
          <w:p w:rsidR="005E1FE0" w:rsidRPr="009A06B6" w:rsidRDefault="005E1FE0" w:rsidP="006654AE">
            <w:pPr>
              <w:pStyle w:val="tabletextright"/>
              <w:rPr>
                <w:i/>
                <w:iCs/>
                <w:color w:val="000000"/>
                <w:sz w:val="16"/>
                <w:szCs w:val="16"/>
              </w:rPr>
            </w:pPr>
            <w:r w:rsidRPr="009A06B6">
              <w:rPr>
                <w:i/>
                <w:iCs/>
                <w:color w:val="000000"/>
                <w:sz w:val="16"/>
              </w:rPr>
              <w:t>8,397</w:t>
            </w:r>
          </w:p>
        </w:tc>
        <w:tc>
          <w:tcPr>
            <w:tcW w:w="992" w:type="dxa"/>
            <w:vAlign w:val="center"/>
          </w:tcPr>
          <w:p w:rsidR="005E1FE0" w:rsidRPr="009A06B6" w:rsidRDefault="005E1FE0" w:rsidP="006654AE">
            <w:pPr>
              <w:pStyle w:val="tabletextright"/>
              <w:rPr>
                <w:i/>
                <w:iCs/>
                <w:color w:val="000000"/>
                <w:sz w:val="16"/>
                <w:szCs w:val="16"/>
              </w:rPr>
            </w:pPr>
            <w:r w:rsidRPr="009A06B6">
              <w:rPr>
                <w:i/>
                <w:iCs/>
                <w:color w:val="000000"/>
                <w:sz w:val="16"/>
              </w:rPr>
              <w:t>5,514</w:t>
            </w:r>
          </w:p>
        </w:tc>
        <w:tc>
          <w:tcPr>
            <w:tcW w:w="851" w:type="dxa"/>
            <w:vAlign w:val="center"/>
          </w:tcPr>
          <w:p w:rsidR="005E1FE0" w:rsidRPr="009A06B6" w:rsidRDefault="005E1FE0" w:rsidP="006654AE">
            <w:pPr>
              <w:pStyle w:val="tabletextright"/>
              <w:rPr>
                <w:i/>
                <w:iCs/>
                <w:color w:val="000000"/>
                <w:sz w:val="16"/>
                <w:szCs w:val="16"/>
              </w:rPr>
            </w:pPr>
            <w:r w:rsidRPr="009A06B6">
              <w:rPr>
                <w:i/>
                <w:iCs/>
                <w:color w:val="000000"/>
                <w:sz w:val="16"/>
              </w:rPr>
              <w:t>14,052</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77.6</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szCs w:val="16"/>
              </w:rPr>
              <w:t>75.3</w:t>
            </w:r>
          </w:p>
        </w:tc>
        <w:tc>
          <w:tcPr>
            <w:tcW w:w="709" w:type="dxa"/>
            <w:vAlign w:val="center"/>
          </w:tcPr>
          <w:p w:rsidR="005E1FE0" w:rsidRPr="009A06B6" w:rsidRDefault="005E1FE0" w:rsidP="006654AE">
            <w:pPr>
              <w:pStyle w:val="tabletextright"/>
              <w:rPr>
                <w:i/>
                <w:color w:val="000000"/>
                <w:sz w:val="16"/>
                <w:szCs w:val="16"/>
              </w:rPr>
            </w:pPr>
            <w:r w:rsidRPr="009A06B6">
              <w:rPr>
                <w:i/>
                <w:color w:val="000000"/>
                <w:sz w:val="16"/>
                <w:szCs w:val="16"/>
              </w:rPr>
              <w:t>76.8</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szCs w:val="16"/>
              </w:rPr>
              <w:t>59.8</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Child Protection IM</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67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14</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83</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0.6</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0.5</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80.7</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Voluntary IM</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2,147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1,522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3,675</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19.8</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20.8</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20.1</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58.4</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Assessed Vulnerable</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94</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76</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170</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0.9</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0.9</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55.3</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Automatic Vulnerable</w:t>
            </w:r>
          </w:p>
        </w:tc>
        <w:tc>
          <w:tcPr>
            <w:tcW w:w="850" w:type="dxa"/>
            <w:vAlign w:val="center"/>
          </w:tcPr>
          <w:p w:rsidR="005E1FE0" w:rsidRPr="009A06B6" w:rsidRDefault="005E1FE0" w:rsidP="006654AE">
            <w:pPr>
              <w:pStyle w:val="tabletextright"/>
              <w:rPr>
                <w:color w:val="000000"/>
                <w:sz w:val="16"/>
                <w:szCs w:val="16"/>
              </w:rPr>
            </w:pPr>
          </w:p>
        </w:tc>
        <w:tc>
          <w:tcPr>
            <w:tcW w:w="992" w:type="dxa"/>
            <w:vAlign w:val="center"/>
          </w:tcPr>
          <w:p w:rsidR="005E1FE0" w:rsidRPr="009A06B6" w:rsidRDefault="005E1FE0" w:rsidP="006654AE">
            <w:pPr>
              <w:pStyle w:val="tabletextright"/>
              <w:rPr>
                <w:color w:val="000000"/>
                <w:sz w:val="16"/>
                <w:szCs w:val="16"/>
              </w:rPr>
            </w:pPr>
          </w:p>
        </w:tc>
        <w:tc>
          <w:tcPr>
            <w:tcW w:w="851" w:type="dxa"/>
            <w:vAlign w:val="center"/>
          </w:tcPr>
          <w:p w:rsidR="005E1FE0" w:rsidRPr="009A06B6" w:rsidRDefault="005E1FE0" w:rsidP="006654AE">
            <w:pPr>
              <w:pStyle w:val="tabletextright"/>
              <w:rPr>
                <w:color w:val="000000"/>
                <w:sz w:val="16"/>
                <w:szCs w:val="16"/>
              </w:rPr>
            </w:pPr>
          </w:p>
        </w:tc>
        <w:tc>
          <w:tcPr>
            <w:tcW w:w="851" w:type="dxa"/>
            <w:vAlign w:val="center"/>
          </w:tcPr>
          <w:p w:rsidR="005E1FE0" w:rsidRPr="009A06B6" w:rsidRDefault="005E1FE0" w:rsidP="006654AE">
            <w:pPr>
              <w:pStyle w:val="tabletextright"/>
              <w:rPr>
                <w:color w:val="000000"/>
                <w:sz w:val="16"/>
                <w:szCs w:val="16"/>
              </w:rPr>
            </w:pPr>
          </w:p>
        </w:tc>
        <w:tc>
          <w:tcPr>
            <w:tcW w:w="850" w:type="dxa"/>
            <w:vAlign w:val="center"/>
          </w:tcPr>
          <w:p w:rsidR="005E1FE0" w:rsidRPr="009A06B6" w:rsidRDefault="005E1FE0" w:rsidP="006654AE">
            <w:pPr>
              <w:pStyle w:val="tabletextright"/>
              <w:rPr>
                <w:color w:val="000000"/>
                <w:sz w:val="16"/>
                <w:szCs w:val="16"/>
              </w:rPr>
            </w:pPr>
          </w:p>
        </w:tc>
        <w:tc>
          <w:tcPr>
            <w:tcW w:w="709" w:type="dxa"/>
            <w:vAlign w:val="center"/>
          </w:tcPr>
          <w:p w:rsidR="005E1FE0" w:rsidRPr="009A06B6" w:rsidRDefault="005E1FE0" w:rsidP="006654AE">
            <w:pPr>
              <w:pStyle w:val="tabletextright"/>
              <w:rPr>
                <w:color w:val="000000"/>
                <w:sz w:val="16"/>
                <w:szCs w:val="16"/>
              </w:rPr>
            </w:pPr>
          </w:p>
        </w:tc>
        <w:tc>
          <w:tcPr>
            <w:tcW w:w="992" w:type="dxa"/>
            <w:vAlign w:val="center"/>
          </w:tcPr>
          <w:p w:rsidR="005E1FE0" w:rsidRPr="009A06B6" w:rsidRDefault="005E1FE0" w:rsidP="006654AE">
            <w:pPr>
              <w:pStyle w:val="tabletextright"/>
              <w:rPr>
                <w:color w:val="000000"/>
                <w:sz w:val="16"/>
                <w:szCs w:val="16"/>
              </w:rPr>
            </w:pPr>
          </w:p>
        </w:tc>
      </w:tr>
      <w:tr w:rsidR="005E1FE0" w:rsidRPr="009A06B6" w:rsidTr="00C351F6">
        <w:trPr>
          <w:jc w:val="right"/>
        </w:trPr>
        <w:tc>
          <w:tcPr>
            <w:tcW w:w="2364" w:type="dxa"/>
            <w:vAlign w:val="bottom"/>
          </w:tcPr>
          <w:p w:rsidR="005E1FE0" w:rsidRPr="009A06B6" w:rsidRDefault="005E1FE0" w:rsidP="006654AE">
            <w:pPr>
              <w:pStyle w:val="tabletextleft"/>
              <w:ind w:left="227"/>
              <w:jc w:val="left"/>
            </w:pPr>
            <w:r w:rsidRPr="009A06B6">
              <w:t>Un</w:t>
            </w:r>
            <w:r w:rsidR="00EF3E03" w:rsidRPr="009A06B6">
              <w:t>reason</w:t>
            </w:r>
            <w:r w:rsidRPr="009A06B6">
              <w:t>able to Live at Home</w:t>
            </w:r>
          </w:p>
        </w:tc>
        <w:tc>
          <w:tcPr>
            <w:tcW w:w="850" w:type="dxa"/>
            <w:vAlign w:val="bottom"/>
          </w:tcPr>
          <w:p w:rsidR="005E1FE0" w:rsidRPr="009A06B6" w:rsidRDefault="005E1FE0" w:rsidP="006654AE">
            <w:pPr>
              <w:pStyle w:val="tabletextright"/>
              <w:rPr>
                <w:color w:val="000000"/>
                <w:sz w:val="16"/>
                <w:szCs w:val="16"/>
              </w:rPr>
            </w:pPr>
            <w:r w:rsidRPr="009A06B6">
              <w:rPr>
                <w:color w:val="000000"/>
                <w:sz w:val="16"/>
              </w:rPr>
              <w:t>85</w:t>
            </w:r>
          </w:p>
        </w:tc>
        <w:tc>
          <w:tcPr>
            <w:tcW w:w="992" w:type="dxa"/>
            <w:vAlign w:val="bottom"/>
          </w:tcPr>
          <w:p w:rsidR="005E1FE0" w:rsidRPr="009A06B6" w:rsidRDefault="005E1FE0" w:rsidP="006654AE">
            <w:pPr>
              <w:pStyle w:val="tabletextright"/>
              <w:rPr>
                <w:color w:val="000000"/>
                <w:sz w:val="16"/>
                <w:szCs w:val="16"/>
              </w:rPr>
            </w:pPr>
            <w:r w:rsidRPr="009A06B6">
              <w:rPr>
                <w:color w:val="000000"/>
                <w:sz w:val="16"/>
              </w:rPr>
              <w:t>79</w:t>
            </w:r>
          </w:p>
        </w:tc>
        <w:tc>
          <w:tcPr>
            <w:tcW w:w="851" w:type="dxa"/>
            <w:vAlign w:val="bottom"/>
          </w:tcPr>
          <w:p w:rsidR="005E1FE0" w:rsidRPr="009A06B6" w:rsidRDefault="005E1FE0" w:rsidP="006654AE">
            <w:pPr>
              <w:pStyle w:val="tabletextright"/>
              <w:rPr>
                <w:color w:val="000000"/>
                <w:sz w:val="16"/>
                <w:szCs w:val="16"/>
              </w:rPr>
            </w:pPr>
            <w:r w:rsidRPr="009A06B6">
              <w:rPr>
                <w:color w:val="000000"/>
                <w:sz w:val="16"/>
              </w:rPr>
              <w:t>165</w:t>
            </w:r>
          </w:p>
        </w:tc>
        <w:tc>
          <w:tcPr>
            <w:tcW w:w="851" w:type="dxa"/>
            <w:vAlign w:val="bottom"/>
          </w:tcPr>
          <w:p w:rsidR="005E1FE0" w:rsidRPr="009A06B6" w:rsidRDefault="005E1FE0" w:rsidP="006654AE">
            <w:pPr>
              <w:pStyle w:val="tabletextright"/>
              <w:rPr>
                <w:color w:val="000000"/>
                <w:sz w:val="16"/>
                <w:szCs w:val="16"/>
              </w:rPr>
            </w:pPr>
            <w:r w:rsidRPr="009A06B6">
              <w:rPr>
                <w:color w:val="000000"/>
                <w:sz w:val="16"/>
              </w:rPr>
              <w:t>0.8</w:t>
            </w:r>
          </w:p>
        </w:tc>
        <w:tc>
          <w:tcPr>
            <w:tcW w:w="850" w:type="dxa"/>
            <w:vAlign w:val="bottom"/>
          </w:tcPr>
          <w:p w:rsidR="005E1FE0" w:rsidRPr="009A06B6" w:rsidRDefault="005E1FE0" w:rsidP="006654AE">
            <w:pPr>
              <w:pStyle w:val="tabletextright"/>
              <w:rPr>
                <w:color w:val="000000"/>
                <w:sz w:val="16"/>
                <w:szCs w:val="16"/>
              </w:rPr>
            </w:pPr>
            <w:r w:rsidRPr="009A06B6">
              <w:rPr>
                <w:color w:val="000000"/>
                <w:sz w:val="16"/>
                <w:szCs w:val="16"/>
              </w:rPr>
              <w:t>1.1</w:t>
            </w:r>
          </w:p>
        </w:tc>
        <w:tc>
          <w:tcPr>
            <w:tcW w:w="709" w:type="dxa"/>
            <w:vAlign w:val="bottom"/>
          </w:tcPr>
          <w:p w:rsidR="005E1FE0" w:rsidRPr="009A06B6" w:rsidRDefault="005E1FE0" w:rsidP="006654AE">
            <w:pPr>
              <w:pStyle w:val="tabletextright"/>
              <w:rPr>
                <w:color w:val="000000"/>
                <w:sz w:val="16"/>
                <w:szCs w:val="16"/>
              </w:rPr>
            </w:pPr>
            <w:r w:rsidRPr="009A06B6">
              <w:rPr>
                <w:color w:val="000000"/>
                <w:sz w:val="16"/>
              </w:rPr>
              <w:t>0.9</w:t>
            </w:r>
          </w:p>
        </w:tc>
        <w:tc>
          <w:tcPr>
            <w:tcW w:w="992" w:type="dxa"/>
            <w:vAlign w:val="bottom"/>
          </w:tcPr>
          <w:p w:rsidR="005E1FE0" w:rsidRPr="009A06B6" w:rsidRDefault="005E1FE0" w:rsidP="006654AE">
            <w:pPr>
              <w:pStyle w:val="tabletextright"/>
              <w:rPr>
                <w:color w:val="000000"/>
                <w:sz w:val="16"/>
                <w:szCs w:val="16"/>
              </w:rPr>
            </w:pPr>
            <w:r w:rsidRPr="009A06B6">
              <w:rPr>
                <w:color w:val="000000"/>
                <w:sz w:val="16"/>
                <w:szCs w:val="16"/>
              </w:rPr>
              <w:t>51.5</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Special Benefit</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3</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0.0</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66.7</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Crisis Payment</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14</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71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87</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0.5</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16.1</w:t>
            </w:r>
          </w:p>
        </w:tc>
      </w:tr>
      <w:tr w:rsidR="005E1FE0" w:rsidRPr="009A06B6" w:rsidTr="00535C84">
        <w:trPr>
          <w:jc w:val="right"/>
        </w:trPr>
        <w:tc>
          <w:tcPr>
            <w:tcW w:w="2364" w:type="dxa"/>
            <w:vAlign w:val="bottom"/>
          </w:tcPr>
          <w:p w:rsidR="005E1FE0" w:rsidRPr="009A06B6" w:rsidRDefault="005E1FE0" w:rsidP="006654AE">
            <w:pPr>
              <w:pStyle w:val="tabletextleft"/>
              <w:jc w:val="left"/>
              <w:rPr>
                <w:i/>
              </w:rPr>
            </w:pPr>
            <w:r w:rsidRPr="009A06B6">
              <w:rPr>
                <w:i/>
              </w:rPr>
              <w:t>Total Automatic Vulnerable</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rPr>
              <w:t>101</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rPr>
              <w:t>151</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255</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0.9</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szCs w:val="16"/>
              </w:rPr>
              <w:t>2.1</w:t>
            </w:r>
          </w:p>
        </w:tc>
        <w:tc>
          <w:tcPr>
            <w:tcW w:w="709" w:type="dxa"/>
            <w:vAlign w:val="center"/>
          </w:tcPr>
          <w:p w:rsidR="005E1FE0" w:rsidRPr="009A06B6" w:rsidRDefault="005E1FE0" w:rsidP="006654AE">
            <w:pPr>
              <w:pStyle w:val="tabletextright"/>
              <w:rPr>
                <w:i/>
                <w:color w:val="000000"/>
                <w:sz w:val="16"/>
                <w:szCs w:val="16"/>
              </w:rPr>
            </w:pPr>
            <w:r w:rsidRPr="009A06B6">
              <w:rPr>
                <w:i/>
                <w:color w:val="000000"/>
                <w:sz w:val="16"/>
                <w:szCs w:val="16"/>
              </w:rPr>
              <w:t>1.4</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szCs w:val="16"/>
              </w:rPr>
              <w:t>39.6</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SPAR</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9</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15</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24</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0.1</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37.5</w:t>
            </w:r>
          </w:p>
        </w:tc>
      </w:tr>
      <w:tr w:rsidR="005E1FE0" w:rsidRPr="009A06B6" w:rsidTr="00535C84">
        <w:trPr>
          <w:jc w:val="right"/>
        </w:trPr>
        <w:tc>
          <w:tcPr>
            <w:tcW w:w="2364" w:type="dxa"/>
            <w:tcBorders>
              <w:bottom w:val="single" w:sz="4" w:space="0" w:color="auto"/>
            </w:tcBorders>
            <w:vAlign w:val="bottom"/>
          </w:tcPr>
          <w:p w:rsidR="005E1FE0" w:rsidRPr="009A06B6" w:rsidRDefault="005E1FE0" w:rsidP="006654AE">
            <w:pPr>
              <w:pStyle w:val="tabletextleft"/>
              <w:jc w:val="left"/>
            </w:pPr>
            <w:r w:rsidRPr="009A06B6">
              <w:t>Nominee IM</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26</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41</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0.1</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0.4</w:t>
            </w:r>
          </w:p>
        </w:tc>
        <w:tc>
          <w:tcPr>
            <w:tcW w:w="709"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24.4</w:t>
            </w:r>
          </w:p>
        </w:tc>
      </w:tr>
      <w:tr w:rsidR="005E1FE0" w:rsidRPr="00DF38B2" w:rsidTr="00535C84">
        <w:trPr>
          <w:jc w:val="right"/>
        </w:trPr>
        <w:tc>
          <w:tcPr>
            <w:tcW w:w="2364" w:type="dxa"/>
            <w:tcBorders>
              <w:bottom w:val="single" w:sz="4" w:space="0" w:color="auto"/>
            </w:tcBorders>
            <w:vAlign w:val="bottom"/>
          </w:tcPr>
          <w:p w:rsidR="005E1FE0" w:rsidRPr="009A06B6" w:rsidRDefault="005E1FE0" w:rsidP="006654AE">
            <w:pPr>
              <w:pStyle w:val="tabletextleft"/>
              <w:jc w:val="left"/>
            </w:pPr>
            <w:r w:rsidRPr="009A06B6">
              <w:t>Total</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10,825</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7,318</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18,300</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709"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992" w:type="dxa"/>
            <w:tcBorders>
              <w:bottom w:val="single" w:sz="4" w:space="0" w:color="auto"/>
            </w:tcBorders>
            <w:vAlign w:val="center"/>
          </w:tcPr>
          <w:p w:rsidR="005E1FE0" w:rsidRPr="00DF38B2" w:rsidRDefault="005E1FE0" w:rsidP="006654AE">
            <w:pPr>
              <w:pStyle w:val="tabletextright"/>
              <w:rPr>
                <w:color w:val="000000"/>
                <w:sz w:val="16"/>
                <w:szCs w:val="16"/>
              </w:rPr>
            </w:pPr>
            <w:r w:rsidRPr="009A06B6">
              <w:rPr>
                <w:color w:val="000000"/>
                <w:sz w:val="16"/>
                <w:szCs w:val="16"/>
              </w:rPr>
              <w:t>59.2</w:t>
            </w:r>
          </w:p>
        </w:tc>
      </w:tr>
    </w:tbl>
    <w:p w:rsidR="005E1FE0" w:rsidRPr="00DF38B2" w:rsidRDefault="005E1FE0" w:rsidP="006654AE">
      <w:pPr>
        <w:pStyle w:val="tablenotes"/>
        <w:ind w:left="1437" w:hanging="870"/>
      </w:pPr>
      <w:r w:rsidRPr="00DF38B2">
        <w:t xml:space="preserve">Notes: </w:t>
      </w:r>
      <w:r w:rsidRPr="00DF38B2">
        <w:tab/>
        <w:t>A small number of records have missing data on gender and therefore the sum of male and female do not add to the total.</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pPr>
        <w:pStyle w:val="Heading3"/>
      </w:pPr>
      <w:bookmarkStart w:id="121" w:name="_Toc403739001"/>
      <w:r w:rsidRPr="00DF38B2">
        <w:lastRenderedPageBreak/>
        <w:t>Age</w:t>
      </w:r>
      <w:bookmarkEnd w:id="121"/>
    </w:p>
    <w:p w:rsidR="005E1FE0" w:rsidRPr="00DF38B2" w:rsidRDefault="005E1FE0" w:rsidP="006654AE">
      <w:r w:rsidRPr="00DF38B2">
        <w:t>The average age of people subject to income management is 36.1 years. This figure</w:t>
      </w:r>
      <w:r w:rsidR="00896062">
        <w:t>,</w:t>
      </w:r>
      <w:r w:rsidRPr="00DF38B2">
        <w:t xml:space="preserve"> however</w:t>
      </w:r>
      <w:r w:rsidR="00896062">
        <w:t>,</w:t>
      </w:r>
      <w:r w:rsidRPr="00DF38B2">
        <w:t xml:space="preserve"> reflects the long tail of older people on the program. Looking at the other distributional point</w:t>
      </w:r>
      <w:r w:rsidR="00805620">
        <w:t>s</w:t>
      </w:r>
      <w:r w:rsidR="00896062">
        <w:t>,</w:t>
      </w:r>
      <w:r w:rsidRPr="00DF38B2">
        <w:t xml:space="preserve"> a quarter of the population is aged 25 years and under, and half </w:t>
      </w:r>
      <w:r w:rsidR="00896062">
        <w:t xml:space="preserve">of </w:t>
      </w:r>
      <w:r w:rsidRPr="00DF38B2">
        <w:t>the population is aged 33 years or under. Three</w:t>
      </w:r>
      <w:r w:rsidR="00896062">
        <w:t>-</w:t>
      </w:r>
      <w:r w:rsidRPr="00DF38B2">
        <w:t xml:space="preserve">quarters are aged </w:t>
      </w:r>
      <w:proofErr w:type="gramStart"/>
      <w:r w:rsidRPr="00DF38B2">
        <w:t>under</w:t>
      </w:r>
      <w:proofErr w:type="gramEnd"/>
      <w:r w:rsidRPr="00DF38B2">
        <w:t xml:space="preserve"> 45 years.</w:t>
      </w:r>
    </w:p>
    <w:p w:rsidR="005E1FE0" w:rsidRPr="00DF38B2" w:rsidRDefault="005E1FE0" w:rsidP="006654AE">
      <w:r w:rsidRPr="00DF38B2">
        <w:t>While the average age</w:t>
      </w:r>
      <w:r w:rsidR="00896062">
        <w:t>s</w:t>
      </w:r>
      <w:r w:rsidRPr="00DF38B2">
        <w:t xml:space="preserve"> o</w:t>
      </w:r>
      <w:r w:rsidR="00896062">
        <w:t>f</w:t>
      </w:r>
      <w:r w:rsidRPr="00DF38B2">
        <w:t xml:space="preserve"> Indigenous and non-Indigenous participants are almost identical and there is only a single year </w:t>
      </w:r>
      <w:r w:rsidR="00896062">
        <w:t xml:space="preserve">of </w:t>
      </w:r>
      <w:r w:rsidRPr="00DF38B2">
        <w:t>difference in the median age</w:t>
      </w:r>
      <w:r w:rsidR="002C314B">
        <w:t>,</w:t>
      </w:r>
      <w:r w:rsidRPr="00DF38B2">
        <w:t xml:space="preserve"> 33 years for those who identify as being Indigenous and 34 years for those identified as non-Indigenous, as illustrated in </w:t>
      </w:r>
      <w:r w:rsidRPr="00DF38B2">
        <w:fldChar w:fldCharType="begin"/>
      </w:r>
      <w:r w:rsidRPr="00DF38B2">
        <w:instrText xml:space="preserve"> REF _Ref391064894 \h </w:instrText>
      </w:r>
      <w:r w:rsidRPr="00DF38B2">
        <w:fldChar w:fldCharType="separate"/>
      </w:r>
      <w:r w:rsidR="00906D13" w:rsidRPr="00DF38B2">
        <w:t xml:space="preserve">Figure </w:t>
      </w:r>
      <w:r w:rsidR="00906D13">
        <w:rPr>
          <w:noProof/>
        </w:rPr>
        <w:t>4</w:t>
      </w:r>
      <w:r w:rsidR="00906D13" w:rsidRPr="00DF38B2">
        <w:noBreakHyphen/>
      </w:r>
      <w:r w:rsidR="00906D13">
        <w:rPr>
          <w:noProof/>
        </w:rPr>
        <w:t>8</w:t>
      </w:r>
      <w:r w:rsidRPr="00DF38B2">
        <w:fldChar w:fldCharType="end"/>
      </w:r>
      <w:r w:rsidRPr="00DF38B2">
        <w:t xml:space="preserve"> there are some differences in the </w:t>
      </w:r>
      <w:r w:rsidR="002C314B">
        <w:t xml:space="preserve">shape of the age </w:t>
      </w:r>
      <w:r w:rsidRPr="00DF38B2">
        <w:t>distribution</w:t>
      </w:r>
      <w:r w:rsidR="005C60B5">
        <w:t xml:space="preserve">. The distribution of non-Indigenous people on </w:t>
      </w:r>
      <w:r w:rsidR="005E4CAC">
        <w:t>income management</w:t>
      </w:r>
      <w:r w:rsidR="005C60B5">
        <w:t xml:space="preserve"> by age shows a very rapid fall-off after the early 20s until age 30 then only a small decline before falling rapidly from age 60.</w:t>
      </w:r>
    </w:p>
    <w:p w:rsidR="005E1FE0" w:rsidRPr="00DF38B2" w:rsidRDefault="005E1FE0" w:rsidP="006654AE">
      <w:pPr>
        <w:pStyle w:val="Caption"/>
      </w:pPr>
      <w:bookmarkStart w:id="122" w:name="_Ref391064894"/>
      <w:bookmarkStart w:id="123" w:name="_Toc403739501"/>
      <w:r w:rsidRPr="00DF38B2">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122"/>
      <w:r w:rsidRPr="00DF38B2">
        <w:t xml:space="preserve"> </w:t>
      </w:r>
      <w:r w:rsidR="001C0BE0">
        <w:tab/>
      </w:r>
      <w:r w:rsidRPr="00DF38B2">
        <w:t xml:space="preserve">Density plots of the </w:t>
      </w:r>
      <w:r w:rsidR="005E1DCA">
        <w:t xml:space="preserve">age </w:t>
      </w:r>
      <w:r w:rsidR="00210B0C">
        <w:t>distribution of the i</w:t>
      </w:r>
      <w:r w:rsidRPr="00DF38B2">
        <w:t>ncome</w:t>
      </w:r>
      <w:r w:rsidR="00A04470">
        <w:t xml:space="preserve"> </w:t>
      </w:r>
      <w:r w:rsidR="00210B0C">
        <w:t>m</w:t>
      </w:r>
      <w:r w:rsidRPr="00DF38B2">
        <w:t>anaged population in the Northern Territory by Indigenous status, December 2013</w:t>
      </w:r>
      <w:bookmarkEnd w:id="123"/>
    </w:p>
    <w:p w:rsidR="005E1FE0" w:rsidRPr="00DF38B2" w:rsidRDefault="005E1FE0" w:rsidP="006654AE">
      <w:pPr>
        <w:pStyle w:val="graphicpaste"/>
      </w:pPr>
      <w:r w:rsidRPr="008E4D9D">
        <w:rPr>
          <w:noProof/>
        </w:rPr>
        <w:drawing>
          <wp:inline distT="0" distB="0" distL="0" distR="0" wp14:anchorId="7A0BCB2D" wp14:editId="317E67BF">
            <wp:extent cx="4572000" cy="2743200"/>
            <wp:effectExtent l="0" t="0" r="0" b="0"/>
            <wp:docPr id="53" name="Picture 53" descr="Two density plots (using a Kernel density estimator as a smoothing mechanism) on a single chart illustrating the age distribution of Indigenous and non-Indigenous people on Income management. The two lines show a similar pattern up to age 20 then a dominance of the Indigenous age distribution up to ages in the late 40s after which there is strong dominance by the non-Indigenous distribution until it falls rapidly in ages in the 60s to be almost zero while the Indigenous distribution continues to older ages. This distribution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Pr="00DF38B2">
        <w:tab/>
        <w:t xml:space="preserve">KDE using </w:t>
      </w:r>
      <w:proofErr w:type="spellStart"/>
      <w:r w:rsidRPr="00DF38B2">
        <w:t>Epanechikov</w:t>
      </w:r>
      <w:proofErr w:type="spellEnd"/>
      <w:r w:rsidRPr="00DF38B2">
        <w:t xml:space="preserve"> kernel and </w:t>
      </w:r>
      <w:r w:rsidR="00DF38B2" w:rsidRPr="00FE502F">
        <w:t>bandwidth</w:t>
      </w:r>
      <w:r w:rsidRPr="009655C3">
        <w:t xml:space="preserve"> of 2.8. As the density estimate is a smoothing function it tends in this figure to obscure particular administrative age cut-offs. No vertical scale is given as this relates to the density of the distribution and does not </w:t>
      </w:r>
      <w:r w:rsidR="002202EF">
        <w:t>allow</w:t>
      </w:r>
      <w:r w:rsidRPr="009655C3">
        <w:t xml:space="preserve"> </w:t>
      </w:r>
      <w:r w:rsidRPr="00DF38B2">
        <w:t>an easy interpretation.</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DF38B2">
        <w:t xml:space="preserve">The age structure by Indigenous identification and broad type of income management is shown in </w:t>
      </w:r>
      <w:r w:rsidRPr="00DF38B2">
        <w:fldChar w:fldCharType="begin"/>
      </w:r>
      <w:r w:rsidRPr="00DF38B2">
        <w:instrText xml:space="preserve"> REF _Ref391232004 \h </w:instrText>
      </w:r>
      <w:r w:rsidRPr="00DF38B2">
        <w:fldChar w:fldCharType="separate"/>
      </w:r>
      <w:r w:rsidR="00906D13" w:rsidRPr="00DF38B2">
        <w:t xml:space="preserve">Figure </w:t>
      </w:r>
      <w:r w:rsidR="00906D13">
        <w:rPr>
          <w:noProof/>
        </w:rPr>
        <w:t>4</w:t>
      </w:r>
      <w:r w:rsidR="00906D13" w:rsidRPr="00DF38B2">
        <w:noBreakHyphen/>
      </w:r>
      <w:r w:rsidR="00906D13">
        <w:rPr>
          <w:noProof/>
        </w:rPr>
        <w:t>9</w:t>
      </w:r>
      <w:r w:rsidRPr="00DF38B2">
        <w:fldChar w:fldCharType="end"/>
      </w:r>
      <w:r w:rsidRPr="00DF38B2">
        <w:t xml:space="preserve">. In this the dip in the distribution of the non-Indigenous population on </w:t>
      </w:r>
      <w:r w:rsidR="00407AEF">
        <w:t>income management</w:t>
      </w:r>
      <w:r w:rsidR="00407AEF" w:rsidRPr="00DF38B2">
        <w:t xml:space="preserve"> </w:t>
      </w:r>
      <w:r w:rsidRPr="00DF38B2">
        <w:t>can be seen in the 35</w:t>
      </w:r>
      <w:r w:rsidR="00805620">
        <w:t xml:space="preserve"> to </w:t>
      </w:r>
      <w:r w:rsidRPr="00DF38B2">
        <w:t>44</w:t>
      </w:r>
      <w:r w:rsidR="002202EF">
        <w:t>-</w:t>
      </w:r>
      <w:r w:rsidRPr="00DF38B2">
        <w:t xml:space="preserve">year age group. </w:t>
      </w:r>
      <w:r w:rsidRPr="00FE502F">
        <w:t>The age structure of those on Voluntary Income Management is much older than those on Compulsory Income Management for both Indigenous and non-Indigenous</w:t>
      </w:r>
      <w:r w:rsidR="002202EF">
        <w:t xml:space="preserve"> participants</w:t>
      </w:r>
      <w:r w:rsidRPr="00FE502F">
        <w:t>. For e</w:t>
      </w:r>
      <w:r w:rsidRPr="009655C3">
        <w:t>xample, 21.5 per cent of Indigenous on V</w:t>
      </w:r>
      <w:r w:rsidR="008474F8">
        <w:t xml:space="preserve">oluntary Income </w:t>
      </w:r>
      <w:r w:rsidR="0084437C">
        <w:t>Management</w:t>
      </w:r>
      <w:r w:rsidRPr="009655C3">
        <w:t xml:space="preserve"> are 45</w:t>
      </w:r>
      <w:r w:rsidR="00805620">
        <w:t xml:space="preserve"> to </w:t>
      </w:r>
      <w:r w:rsidRPr="009655C3">
        <w:t>64 years and 41.7 per cent are aged 65 years or older. This compares to 13.6 per cent of Indigenous people subject to Compulsory Income Management who are aged 45</w:t>
      </w:r>
      <w:r w:rsidR="00805620">
        <w:t xml:space="preserve"> to </w:t>
      </w:r>
      <w:r w:rsidRPr="009655C3">
        <w:t xml:space="preserve">54 years and 0.2 per cent who are 65 years </w:t>
      </w:r>
      <w:r w:rsidRPr="00DF38B2">
        <w:t xml:space="preserve">plus. </w:t>
      </w:r>
    </w:p>
    <w:p w:rsidR="005E1FE0" w:rsidRPr="00DF38B2" w:rsidRDefault="005E1FE0" w:rsidP="006654AE">
      <w:r w:rsidRPr="00DF38B2">
        <w:t>For Compulsory Income Management, the Indigenous population has a younger age profile than the non-Indigenous population. For example, 63.9 per cent of Indigenous people subject to Compulsory Income Management are 34 years or younger</w:t>
      </w:r>
      <w:r w:rsidR="002202EF">
        <w:t>,</w:t>
      </w:r>
      <w:r w:rsidRPr="00DF38B2">
        <w:t xml:space="preserve"> compared to 50.4 per cent of non-Indigenous people. However, for Voluntary Income Management the Indigenous age structure is substantially older than that of the non-Indigenous age structure, although it is important to bear in mind that only 55 non-Indigenous people are on Voluntary Income Management.</w:t>
      </w:r>
    </w:p>
    <w:p w:rsidR="005E1FE0" w:rsidRPr="00DF38B2" w:rsidRDefault="005E1FE0" w:rsidP="006654AE">
      <w:pPr>
        <w:pStyle w:val="Caption"/>
        <w:ind w:left="1439" w:hanging="1155"/>
      </w:pPr>
      <w:bookmarkStart w:id="124" w:name="_Ref391232004"/>
      <w:bookmarkStart w:id="125" w:name="_Toc403739502"/>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124"/>
      <w:r w:rsidRPr="00DF38B2">
        <w:tab/>
        <w:t xml:space="preserve">Age distribution of people subject to </w:t>
      </w:r>
      <w:r w:rsidR="00CE4A20">
        <w:t>income management</w:t>
      </w:r>
      <w:r w:rsidRPr="00DF38B2">
        <w:t xml:space="preserve"> in the Northern Territory by Indigenous status and broad stream of income management, December 2013</w:t>
      </w:r>
      <w:bookmarkEnd w:id="125"/>
    </w:p>
    <w:p w:rsidR="005E1FE0" w:rsidRPr="00DF38B2" w:rsidRDefault="004C2537" w:rsidP="006654AE">
      <w:pPr>
        <w:pStyle w:val="graphicpaste"/>
      </w:pPr>
      <w:r w:rsidRPr="008E4D9D">
        <w:rPr>
          <w:noProof/>
        </w:rPr>
        <w:drawing>
          <wp:inline distT="0" distB="0" distL="0" distR="0" wp14:anchorId="595EE187" wp14:editId="27FEDB66">
            <wp:extent cx="4572000" cy="2743200"/>
            <wp:effectExtent l="0" t="0" r="0" b="0"/>
            <wp:docPr id="140" name="Picture 140" descr="Bar chart of the composition of the income managed population by Indigeneity and whether the person is on compulsory or voluntary income management with age being given in 6 ranges - &lt;20 years; 20-24 years; 25-34 years; 35-44 years; 45-64 years; and 65+ years.  The main features of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0004165E" w:rsidRPr="00DF38B2">
        <w:t xml:space="preserve"> </w:t>
      </w:r>
    </w:p>
    <w:p w:rsidR="005E1FE0" w:rsidRDefault="005E1FE0" w:rsidP="006654AE">
      <w:pPr>
        <w:pStyle w:val="tablenotes"/>
      </w:pPr>
      <w:r w:rsidRPr="00FE502F">
        <w:t xml:space="preserve">Source: </w:t>
      </w:r>
      <w:r w:rsidR="002532F6">
        <w:tab/>
      </w:r>
      <w:r w:rsidR="00305D80">
        <w:t xml:space="preserve">Derived from </w:t>
      </w:r>
      <w:r w:rsidRPr="00FE502F">
        <w:t>DHS Administ</w:t>
      </w:r>
      <w:r w:rsidRPr="009655C3">
        <w:t>rative data provided for the purposes of the evaluation.</w:t>
      </w:r>
    </w:p>
    <w:p w:rsidR="00296744" w:rsidRPr="009655C3" w:rsidRDefault="00296744" w:rsidP="006654AE">
      <w:pPr>
        <w:pStyle w:val="tablefootnoteslastline"/>
      </w:pPr>
    </w:p>
    <w:p w:rsidR="005E1FE0" w:rsidRPr="00DF38B2" w:rsidRDefault="005E1FE0" w:rsidP="006654AE">
      <w:pPr>
        <w:pStyle w:val="Heading3"/>
      </w:pPr>
      <w:bookmarkStart w:id="126" w:name="_Toc403739002"/>
      <w:r w:rsidRPr="009655C3">
        <w:t>Family type</w:t>
      </w:r>
      <w:bookmarkEnd w:id="126"/>
    </w:p>
    <w:p w:rsidR="005E1FE0" w:rsidRPr="00DF38B2" w:rsidRDefault="005E1FE0" w:rsidP="006654AE">
      <w:r w:rsidRPr="00DF38B2">
        <w:t>The single largest family type</w:t>
      </w:r>
      <w:r w:rsidRPr="00DF38B2">
        <w:rPr>
          <w:rStyle w:val="FootnoteReference"/>
        </w:rPr>
        <w:footnoteReference w:id="58"/>
      </w:r>
      <w:r w:rsidRPr="00DF38B2">
        <w:t xml:space="preserve"> of people subject to income management is </w:t>
      </w:r>
      <w:r w:rsidR="00876F4A" w:rsidRPr="00DF38B2">
        <w:t xml:space="preserve">a </w:t>
      </w:r>
      <w:r w:rsidRPr="00FE502F">
        <w:t>single person (39.8 per cent), followed by people who live in a couple with dependent children (28.9 per cent)</w:t>
      </w:r>
      <w:r w:rsidRPr="009655C3">
        <w:t>, single parents (17.8 per cent)</w:t>
      </w:r>
      <w:r w:rsidR="00386B63">
        <w:t>,</w:t>
      </w:r>
      <w:r w:rsidRPr="009655C3">
        <w:t xml:space="preserve"> and people living in a couple without dependent children (13.5 per cent). This means that just under half (46.7 per cent) of those subject to income management have dependent children.</w:t>
      </w:r>
      <w:r w:rsidRPr="00DF38B2">
        <w:rPr>
          <w:rStyle w:val="FootnoteReference"/>
        </w:rPr>
        <w:footnoteReference w:id="59"/>
      </w:r>
      <w:r w:rsidRPr="00DF38B2">
        <w:t xml:space="preserve"> </w:t>
      </w:r>
    </w:p>
    <w:p w:rsidR="005E1FE0" w:rsidRPr="00DF38B2" w:rsidRDefault="005E1FE0" w:rsidP="006654AE">
      <w:r w:rsidRPr="00DF38B2">
        <w:fldChar w:fldCharType="begin"/>
      </w:r>
      <w:r w:rsidRPr="00DF38B2">
        <w:instrText xml:space="preserve"> REF _Ref391065602 \h </w:instrText>
      </w:r>
      <w:r w:rsidRPr="00DF38B2">
        <w:fldChar w:fldCharType="separate"/>
      </w:r>
      <w:r w:rsidR="00906D13" w:rsidRPr="00DF38B2">
        <w:t xml:space="preserve">Table </w:t>
      </w:r>
      <w:r w:rsidR="00906D13">
        <w:rPr>
          <w:noProof/>
        </w:rPr>
        <w:t>4</w:t>
      </w:r>
      <w:r w:rsidR="00906D13">
        <w:noBreakHyphen/>
      </w:r>
      <w:r w:rsidR="00906D13">
        <w:rPr>
          <w:noProof/>
        </w:rPr>
        <w:t>3</w:t>
      </w:r>
      <w:r w:rsidRPr="00DF38B2">
        <w:fldChar w:fldCharType="end"/>
      </w:r>
      <w:r w:rsidRPr="00DF38B2">
        <w:t xml:space="preserve"> provides a breakdown of the family type of individuals on income manag</w:t>
      </w:r>
      <w:r w:rsidRPr="00FE502F">
        <w:t xml:space="preserve">ement </w:t>
      </w:r>
      <w:r w:rsidR="00805620">
        <w:t>by detailed program stream</w:t>
      </w:r>
      <w:r w:rsidR="00380B02">
        <w:t>,</w:t>
      </w:r>
      <w:r w:rsidR="00805620">
        <w:t xml:space="preserve"> and </w:t>
      </w:r>
      <w:r w:rsidR="00805620">
        <w:fldChar w:fldCharType="begin"/>
      </w:r>
      <w:r w:rsidR="00805620">
        <w:instrText xml:space="preserve"> REF _Ref395012028 \h </w:instrText>
      </w:r>
      <w:r w:rsidR="00805620">
        <w:fldChar w:fldCharType="separate"/>
      </w:r>
      <w:r w:rsidR="00906D13">
        <w:t xml:space="preserve">Table </w:t>
      </w:r>
      <w:r w:rsidR="00906D13">
        <w:rPr>
          <w:noProof/>
        </w:rPr>
        <w:t>4</w:t>
      </w:r>
      <w:r w:rsidR="00906D13">
        <w:noBreakHyphen/>
      </w:r>
      <w:r w:rsidR="00906D13">
        <w:rPr>
          <w:noProof/>
        </w:rPr>
        <w:t>4</w:t>
      </w:r>
      <w:r w:rsidR="00805620">
        <w:fldChar w:fldCharType="end"/>
      </w:r>
      <w:r w:rsidR="00805620">
        <w:t xml:space="preserve"> </w:t>
      </w:r>
      <w:r w:rsidRPr="00FE502F">
        <w:t xml:space="preserve">by Indigenous status and type of income management. There are big differences in the composition </w:t>
      </w:r>
      <w:r w:rsidR="00876F4A" w:rsidRPr="009655C3">
        <w:t xml:space="preserve">by </w:t>
      </w:r>
      <w:r w:rsidRPr="00DF38B2">
        <w:t>family type of Indigenous and non-Indigenous people. Well over half (60.</w:t>
      </w:r>
      <w:r w:rsidR="00805620">
        <w:t>2</w:t>
      </w:r>
      <w:r w:rsidRPr="00DF38B2">
        <w:t xml:space="preserve"> per cent) of non-Indigenous people subject to income management were a single person and 22.5 per cent were single parents. Just </w:t>
      </w:r>
      <w:r w:rsidR="00FC7BDC">
        <w:t>17.3</w:t>
      </w:r>
      <w:r w:rsidRPr="00DF38B2">
        <w:t xml:space="preserve"> per cent were living </w:t>
      </w:r>
      <w:r w:rsidR="00876F4A" w:rsidRPr="00DF38B2">
        <w:t>as a member of a couple</w:t>
      </w:r>
      <w:r w:rsidRPr="00DF38B2">
        <w:t xml:space="preserve"> (</w:t>
      </w:r>
      <w:r w:rsidR="00FC7BDC">
        <w:t>10.3</w:t>
      </w:r>
      <w:r w:rsidRPr="00DF38B2">
        <w:t xml:space="preserve"> per cent with dependent children and 7.0 per cent without dependent children). This means that about two-thirds of non-Indigenous people subject to income management did not have dependent children. For Indigenous people, </w:t>
      </w:r>
      <w:r w:rsidR="00FC7BDC">
        <w:t>well</w:t>
      </w:r>
      <w:r w:rsidR="00FC7BDC" w:rsidRPr="00DF38B2">
        <w:t xml:space="preserve"> </w:t>
      </w:r>
      <w:r w:rsidRPr="00DF38B2">
        <w:t>over one-third</w:t>
      </w:r>
      <w:r w:rsidR="00FC7BDC">
        <w:t>, 37.5 per cent,</w:t>
      </w:r>
      <w:r w:rsidRPr="00DF38B2">
        <w:t xml:space="preserve"> were single person</w:t>
      </w:r>
      <w:r w:rsidR="00876F4A" w:rsidRPr="00DF38B2">
        <w:t>s</w:t>
      </w:r>
      <w:r w:rsidRPr="00DF38B2">
        <w:t xml:space="preserve"> and just under one-third were living </w:t>
      </w:r>
      <w:r w:rsidR="00876F4A" w:rsidRPr="00DF38B2">
        <w:t xml:space="preserve">as a member of </w:t>
      </w:r>
      <w:r w:rsidRPr="00DF38B2">
        <w:t xml:space="preserve">a couple with dependent children. The remaining third were split between single parent families (17.3 per cent) and </w:t>
      </w:r>
      <w:r w:rsidR="00876F4A" w:rsidRPr="00DF38B2">
        <w:t xml:space="preserve">people living as a member of a </w:t>
      </w:r>
      <w:r w:rsidRPr="00DF38B2">
        <w:t xml:space="preserve">couple </w:t>
      </w:r>
      <w:r w:rsidR="00876F4A" w:rsidRPr="00DF38B2">
        <w:t>without dependent children</w:t>
      </w:r>
      <w:r w:rsidRPr="00DF38B2">
        <w:t xml:space="preserve"> (14.2 per cent). This means that 51.7 per cent of Indigenous people subject to income management did not have dependent children. </w:t>
      </w:r>
    </w:p>
    <w:p w:rsidR="005E1FE0" w:rsidRPr="00DF38B2" w:rsidRDefault="005E1FE0" w:rsidP="006654AE">
      <w:r w:rsidRPr="00DF38B2">
        <w:t xml:space="preserve">A much higher proportion of Indigenous people on Voluntary Income Management are single people than are those subject to Compulsory Income Management (59.0 </w:t>
      </w:r>
      <w:r w:rsidR="00876F4A" w:rsidRPr="00DF38B2">
        <w:t xml:space="preserve">per cent </w:t>
      </w:r>
      <w:r w:rsidRPr="00DF38B2">
        <w:t xml:space="preserve">and 31.5 per cent respectively). Correspondingly, a much smaller proportion of Indigenous people on Voluntary Income Management have dependent children than those subject to Compulsory Income Management. For example, 35.7 per cent of Indigenous people subject to Compulsory Income Management live </w:t>
      </w:r>
      <w:r w:rsidR="00876F4A" w:rsidRPr="00DF38B2">
        <w:t xml:space="preserve">as a member of a </w:t>
      </w:r>
      <w:r w:rsidRPr="00DF38B2">
        <w:t>couple with dependent children</w:t>
      </w:r>
      <w:r w:rsidR="00380B02">
        <w:t>,</w:t>
      </w:r>
      <w:r w:rsidRPr="00DF38B2">
        <w:t xml:space="preserve"> compared to 13.9 per cent of those on Voluntary Income Management and 19.6 per cent of those on Compulsory Income Management</w:t>
      </w:r>
      <w:r w:rsidR="00380B02">
        <w:t xml:space="preserve"> </w:t>
      </w:r>
      <w:r w:rsidRPr="00DF38B2">
        <w:t>are a single parent, compared to 9.3 per cent of Indigenous people on Voluntary Income Management.</w:t>
      </w:r>
    </w:p>
    <w:p w:rsidR="005E1FE0" w:rsidRPr="00DF38B2" w:rsidRDefault="005E1FE0" w:rsidP="006654AE">
      <w:r w:rsidRPr="00DF38B2">
        <w:lastRenderedPageBreak/>
        <w:t xml:space="preserve">One point to note in this </w:t>
      </w:r>
      <w:r w:rsidR="00D5404D">
        <w:t xml:space="preserve">data </w:t>
      </w:r>
      <w:r w:rsidR="0084437C">
        <w:t>is</w:t>
      </w:r>
      <w:r w:rsidRPr="00DF38B2">
        <w:t xml:space="preserve"> that a small but significant number of people on Child Protection Income Management do not </w:t>
      </w:r>
      <w:r w:rsidR="00876F4A" w:rsidRPr="00DF38B2">
        <w:t>appear to have</w:t>
      </w:r>
      <w:r w:rsidRPr="00DF38B2">
        <w:t xml:space="preserve"> dependent children (4.8 per cent are just recorded as living with a partner</w:t>
      </w:r>
      <w:r w:rsidR="0084437C">
        <w:t xml:space="preserve"> only </w:t>
      </w:r>
      <w:r w:rsidRPr="00DF38B2">
        <w:t>and 6.0 per cent as a single person). This is an issue that will be covered in the separate supplementary report on Child Protection Income Management.</w:t>
      </w:r>
    </w:p>
    <w:p w:rsidR="005E1FE0" w:rsidRPr="00DF38B2" w:rsidRDefault="005E1FE0" w:rsidP="006654AE">
      <w:r w:rsidRPr="00DF38B2">
        <w:t xml:space="preserve">A high proportion of those on assessed Vulnerable are </w:t>
      </w:r>
      <w:r w:rsidR="00876F4A" w:rsidRPr="00DF38B2">
        <w:t>single persons</w:t>
      </w:r>
      <w:r w:rsidRPr="00DF38B2">
        <w:t xml:space="preserve"> (84.1 per cent)</w:t>
      </w:r>
      <w:r w:rsidR="00380B02">
        <w:t>,</w:t>
      </w:r>
      <w:r w:rsidRPr="00DF38B2">
        <w:t xml:space="preserve"> as are those on automatic Vulnerable Income Management (76.9 per cent) and SPAR (83.3 per cent). </w:t>
      </w:r>
      <w:r w:rsidR="00876F4A" w:rsidRPr="00DF38B2">
        <w:t>This reflects the nature of the targeting of these measures</w:t>
      </w:r>
      <w:r w:rsidRPr="00DF38B2">
        <w:t>.</w:t>
      </w:r>
    </w:p>
    <w:p w:rsidR="005E1FE0" w:rsidRPr="00DF38B2" w:rsidRDefault="005E1FE0" w:rsidP="006654AE">
      <w:pPr>
        <w:pStyle w:val="Caption"/>
      </w:pPr>
      <w:bookmarkStart w:id="127" w:name="_Ref391065602"/>
      <w:bookmarkStart w:id="128" w:name="_Toc403739408"/>
      <w:r w:rsidRPr="00DF38B2">
        <w:t xml:space="preserve">Table </w:t>
      </w:r>
      <w:fldSimple w:instr=" STYLEREF 1 \s ">
        <w:r w:rsidR="00906D13">
          <w:rPr>
            <w:noProof/>
          </w:rPr>
          <w:t>4</w:t>
        </w:r>
      </w:fldSimple>
      <w:r w:rsidR="00D40B64">
        <w:noBreakHyphen/>
      </w:r>
      <w:fldSimple w:instr=" SEQ Table \* ARABIC \s 1 ">
        <w:r w:rsidR="00906D13">
          <w:rPr>
            <w:noProof/>
          </w:rPr>
          <w:t>3</w:t>
        </w:r>
      </w:fldSimple>
      <w:bookmarkEnd w:id="127"/>
      <w:r w:rsidRPr="00DF38B2">
        <w:t xml:space="preserve"> </w:t>
      </w:r>
      <w:r w:rsidRPr="00DF38B2">
        <w:tab/>
        <w:t xml:space="preserve">Family type </w:t>
      </w:r>
      <w:r w:rsidR="00210B0C">
        <w:t xml:space="preserve">of persons on </w:t>
      </w:r>
      <w:r w:rsidRPr="00DF38B2">
        <w:t>income management</w:t>
      </w:r>
      <w:r w:rsidR="00210B0C">
        <w:t xml:space="preserve"> in the Northern Territory by stream of income management</w:t>
      </w:r>
      <w:r w:rsidRPr="00DF38B2">
        <w:t>, December 2013</w:t>
      </w:r>
      <w:bookmarkEnd w:id="128"/>
    </w:p>
    <w:tbl>
      <w:tblPr>
        <w:tblStyle w:val="TableGrid"/>
        <w:tblW w:w="0" w:type="auto"/>
        <w:jc w:val="center"/>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shows the population on Income Management by program element/stream. Five data columns are detailed. These are for four family types and a total, the family types are: Couple with dependent child; Single parent; Couple only; and a Single person.&#10;The table has two main horizontal panels. The first details the number of people on each element by the above family types, the second panel repeats the elements and gives the proportion within each element which fall into each of the family types with each row adding to 100 per cent.&#10;The key statistics from the table are described in the text&#10;"/>
      </w:tblPr>
      <w:tblGrid>
        <w:gridCol w:w="2797"/>
        <w:gridCol w:w="633"/>
        <w:gridCol w:w="951"/>
        <w:gridCol w:w="951"/>
        <w:gridCol w:w="951"/>
        <w:gridCol w:w="951"/>
        <w:gridCol w:w="952"/>
      </w:tblGrid>
      <w:tr w:rsidR="005E1FE0" w:rsidRPr="000E1342" w:rsidTr="000253E5">
        <w:trPr>
          <w:tblHeader/>
          <w:jc w:val="center"/>
        </w:trPr>
        <w:tc>
          <w:tcPr>
            <w:tcW w:w="2797" w:type="dxa"/>
            <w:tcBorders>
              <w:top w:val="single" w:sz="4" w:space="0" w:color="auto"/>
              <w:bottom w:val="single" w:sz="4" w:space="0" w:color="auto"/>
            </w:tcBorders>
          </w:tcPr>
          <w:p w:rsidR="005E1FE0" w:rsidRPr="000253E5" w:rsidRDefault="00F90E75" w:rsidP="006654AE">
            <w:pPr>
              <w:pStyle w:val="braytabletext"/>
              <w:rPr>
                <w:noProof w:val="0"/>
                <w:lang w:val="en-AU"/>
              </w:rPr>
            </w:pPr>
            <w:r w:rsidRPr="000253E5">
              <w:rPr>
                <w:rFonts w:asciiTheme="minorHAnsi" w:eastAsiaTheme="minorEastAsia" w:hAnsiTheme="minorHAnsi" w:cstheme="minorBidi"/>
                <w:noProof w:val="0"/>
                <w:color w:val="auto"/>
                <w:sz w:val="18"/>
                <w:lang w:val="en-AU"/>
              </w:rPr>
              <w:t>Stream of income management</w:t>
            </w:r>
            <w:r w:rsidR="000253E5">
              <w:rPr>
                <w:rFonts w:asciiTheme="minorHAnsi" w:eastAsiaTheme="minorEastAsia" w:hAnsiTheme="minorHAnsi" w:cstheme="minorBidi"/>
                <w:noProof w:val="0"/>
                <w:color w:val="auto"/>
                <w:sz w:val="18"/>
                <w:lang w:val="en-AU"/>
              </w:rPr>
              <w:t xml:space="preserve"> (n)</w:t>
            </w:r>
          </w:p>
        </w:tc>
        <w:tc>
          <w:tcPr>
            <w:tcW w:w="1584" w:type="dxa"/>
            <w:gridSpan w:val="2"/>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Couple with dependent child</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Single parent</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Couple only</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Single person</w:t>
            </w:r>
            <w:r w:rsidR="000E1342" w:rsidRPr="000253E5">
              <w:rPr>
                <w:sz w:val="16"/>
              </w:rPr>
              <w:t xml:space="preserve"> (n)</w:t>
            </w:r>
          </w:p>
        </w:tc>
        <w:tc>
          <w:tcPr>
            <w:tcW w:w="952" w:type="dxa"/>
            <w:tcBorders>
              <w:top w:val="single" w:sz="4" w:space="0" w:color="auto"/>
              <w:bottom w:val="single" w:sz="4" w:space="0" w:color="auto"/>
            </w:tcBorders>
          </w:tcPr>
          <w:p w:rsidR="005E1FE0" w:rsidRPr="000E1342" w:rsidRDefault="005E1FE0" w:rsidP="006654AE">
            <w:pPr>
              <w:pStyle w:val="tabletextright"/>
              <w:rPr>
                <w:sz w:val="16"/>
              </w:rPr>
            </w:pPr>
            <w:r w:rsidRPr="000253E5">
              <w:rPr>
                <w:sz w:val="16"/>
              </w:rPr>
              <w:t xml:space="preserve">Total </w:t>
            </w:r>
            <w:r w:rsidR="000E1342" w:rsidRPr="000253E5">
              <w:rPr>
                <w:sz w:val="16"/>
              </w:rPr>
              <w:t>(n)</w:t>
            </w:r>
          </w:p>
        </w:tc>
      </w:tr>
      <w:tr w:rsidR="005E1FE0" w:rsidRPr="00DF38B2" w:rsidTr="000253E5">
        <w:trPr>
          <w:jc w:val="center"/>
        </w:trPr>
        <w:tc>
          <w:tcPr>
            <w:tcW w:w="3430" w:type="dxa"/>
            <w:gridSpan w:val="2"/>
            <w:vAlign w:val="center"/>
          </w:tcPr>
          <w:p w:rsidR="005E1FE0" w:rsidRPr="00DF38B2" w:rsidRDefault="005E1FE0" w:rsidP="006654AE">
            <w:pPr>
              <w:pStyle w:val="tabletextleft"/>
            </w:pPr>
            <w:r w:rsidRPr="00DF38B2">
              <w:t>Compulsory Income Management</w:t>
            </w:r>
          </w:p>
        </w:tc>
        <w:tc>
          <w:tcPr>
            <w:tcW w:w="951" w:type="dxa"/>
            <w:vAlign w:val="center"/>
          </w:tcPr>
          <w:p w:rsidR="005E1FE0" w:rsidRPr="00DF38B2" w:rsidRDefault="005E1FE0" w:rsidP="006654AE">
            <w:pPr>
              <w:rPr>
                <w:color w:val="000000"/>
                <w:sz w:val="16"/>
                <w:szCs w:val="16"/>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2" w:type="dxa"/>
            <w:vAlign w:val="bottom"/>
          </w:tcPr>
          <w:p w:rsidR="005E1FE0" w:rsidRPr="00DF38B2" w:rsidRDefault="005E1FE0" w:rsidP="006654AE">
            <w:pPr>
              <w:rPr>
                <w:rFonts w:ascii="Calibri" w:hAnsi="Calibri"/>
                <w:color w:val="000000"/>
                <w:sz w:val="22"/>
              </w:rPr>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Disengaged Youth</w:t>
            </w:r>
          </w:p>
        </w:tc>
        <w:tc>
          <w:tcPr>
            <w:tcW w:w="951" w:type="dxa"/>
            <w:vAlign w:val="bottom"/>
          </w:tcPr>
          <w:p w:rsidR="00FC7BDC" w:rsidRPr="00DF38B2" w:rsidRDefault="00FC7BDC" w:rsidP="006654AE">
            <w:pPr>
              <w:pStyle w:val="tabletextright"/>
            </w:pPr>
            <w:r>
              <w:rPr>
                <w:color w:val="000000"/>
                <w:szCs w:val="18"/>
              </w:rPr>
              <w:t>1,167</w:t>
            </w:r>
          </w:p>
        </w:tc>
        <w:tc>
          <w:tcPr>
            <w:tcW w:w="951" w:type="dxa"/>
            <w:vAlign w:val="bottom"/>
          </w:tcPr>
          <w:p w:rsidR="00FC7BDC" w:rsidRPr="00DF38B2" w:rsidRDefault="00FC7BDC" w:rsidP="006654AE">
            <w:pPr>
              <w:pStyle w:val="tabletextright"/>
            </w:pPr>
            <w:r>
              <w:rPr>
                <w:color w:val="000000"/>
                <w:szCs w:val="18"/>
              </w:rPr>
              <w:t>696</w:t>
            </w:r>
          </w:p>
        </w:tc>
        <w:tc>
          <w:tcPr>
            <w:tcW w:w="951" w:type="dxa"/>
            <w:vAlign w:val="bottom"/>
          </w:tcPr>
          <w:p w:rsidR="00FC7BDC" w:rsidRPr="00DF38B2" w:rsidRDefault="00FC7BDC" w:rsidP="006654AE">
            <w:pPr>
              <w:pStyle w:val="tabletextright"/>
            </w:pPr>
            <w:r>
              <w:rPr>
                <w:color w:val="000000"/>
                <w:szCs w:val="18"/>
              </w:rPr>
              <w:t>449</w:t>
            </w:r>
          </w:p>
        </w:tc>
        <w:tc>
          <w:tcPr>
            <w:tcW w:w="951" w:type="dxa"/>
            <w:vAlign w:val="bottom"/>
          </w:tcPr>
          <w:p w:rsidR="00FC7BDC" w:rsidRPr="00DF38B2" w:rsidRDefault="00FC7BDC" w:rsidP="006654AE">
            <w:pPr>
              <w:pStyle w:val="tabletextright"/>
            </w:pPr>
            <w:r>
              <w:rPr>
                <w:color w:val="000000"/>
                <w:szCs w:val="18"/>
              </w:rPr>
              <w:t>1,665</w:t>
            </w:r>
          </w:p>
        </w:tc>
        <w:tc>
          <w:tcPr>
            <w:tcW w:w="952" w:type="dxa"/>
            <w:vAlign w:val="bottom"/>
          </w:tcPr>
          <w:p w:rsidR="00FC7BDC" w:rsidRPr="00DF38B2" w:rsidRDefault="00FC7BDC" w:rsidP="006654AE">
            <w:pPr>
              <w:pStyle w:val="tabletextright"/>
            </w:pPr>
            <w:r>
              <w:rPr>
                <w:color w:val="000000"/>
                <w:szCs w:val="18"/>
              </w:rPr>
              <w:t>3,977</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Long-Term Welfare</w:t>
            </w:r>
          </w:p>
        </w:tc>
        <w:tc>
          <w:tcPr>
            <w:tcW w:w="951" w:type="dxa"/>
            <w:vAlign w:val="bottom"/>
          </w:tcPr>
          <w:p w:rsidR="00FC7BDC" w:rsidRPr="00DF38B2" w:rsidRDefault="00FC7BDC" w:rsidP="006654AE">
            <w:pPr>
              <w:pStyle w:val="tabletextright"/>
            </w:pPr>
            <w:r>
              <w:rPr>
                <w:color w:val="000000"/>
                <w:szCs w:val="18"/>
              </w:rPr>
              <w:t>3,523</w:t>
            </w:r>
          </w:p>
        </w:tc>
        <w:tc>
          <w:tcPr>
            <w:tcW w:w="951" w:type="dxa"/>
            <w:vAlign w:val="bottom"/>
          </w:tcPr>
          <w:p w:rsidR="00FC7BDC" w:rsidRPr="00DF38B2" w:rsidRDefault="00FC7BDC" w:rsidP="006654AE">
            <w:pPr>
              <w:pStyle w:val="tabletextright"/>
            </w:pPr>
            <w:r>
              <w:rPr>
                <w:color w:val="000000"/>
                <w:szCs w:val="18"/>
              </w:rPr>
              <w:t>2,172</w:t>
            </w:r>
          </w:p>
        </w:tc>
        <w:tc>
          <w:tcPr>
            <w:tcW w:w="951" w:type="dxa"/>
            <w:vAlign w:val="bottom"/>
          </w:tcPr>
          <w:p w:rsidR="00FC7BDC" w:rsidRPr="00DF38B2" w:rsidRDefault="00FC7BDC" w:rsidP="006654AE">
            <w:pPr>
              <w:pStyle w:val="tabletextright"/>
            </w:pPr>
            <w:r>
              <w:rPr>
                <w:color w:val="000000"/>
                <w:szCs w:val="18"/>
              </w:rPr>
              <w:t>1,313</w:t>
            </w:r>
          </w:p>
        </w:tc>
        <w:tc>
          <w:tcPr>
            <w:tcW w:w="951" w:type="dxa"/>
            <w:vAlign w:val="bottom"/>
          </w:tcPr>
          <w:p w:rsidR="00FC7BDC" w:rsidRPr="00DF38B2" w:rsidRDefault="00FC7BDC" w:rsidP="006654AE">
            <w:pPr>
              <w:pStyle w:val="tabletextright"/>
            </w:pPr>
            <w:r>
              <w:rPr>
                <w:color w:val="000000"/>
                <w:szCs w:val="18"/>
              </w:rPr>
              <w:t>3,063</w:t>
            </w:r>
          </w:p>
        </w:tc>
        <w:tc>
          <w:tcPr>
            <w:tcW w:w="952" w:type="dxa"/>
            <w:vAlign w:val="bottom"/>
          </w:tcPr>
          <w:p w:rsidR="00FC7BDC" w:rsidRPr="00DF38B2" w:rsidRDefault="00FC7BDC" w:rsidP="006654AE">
            <w:pPr>
              <w:pStyle w:val="tabletextright"/>
            </w:pPr>
            <w:r>
              <w:rPr>
                <w:color w:val="000000"/>
                <w:szCs w:val="18"/>
              </w:rPr>
              <w:t>10,071</w:t>
            </w:r>
          </w:p>
        </w:tc>
      </w:tr>
      <w:tr w:rsidR="00FC7BDC" w:rsidRPr="00DF38B2"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CIM</w:t>
            </w:r>
          </w:p>
        </w:tc>
        <w:tc>
          <w:tcPr>
            <w:tcW w:w="951" w:type="dxa"/>
            <w:vAlign w:val="bottom"/>
          </w:tcPr>
          <w:p w:rsidR="00FC7BDC" w:rsidRPr="00FC7BDC" w:rsidRDefault="00FC7BDC" w:rsidP="006654AE">
            <w:pPr>
              <w:pStyle w:val="tabletextright"/>
              <w:rPr>
                <w:i/>
                <w:szCs w:val="19"/>
              </w:rPr>
            </w:pPr>
            <w:r w:rsidRPr="00FC7BDC">
              <w:rPr>
                <w:i/>
                <w:color w:val="000000"/>
                <w:szCs w:val="18"/>
              </w:rPr>
              <w:t>4,690</w:t>
            </w:r>
          </w:p>
        </w:tc>
        <w:tc>
          <w:tcPr>
            <w:tcW w:w="951" w:type="dxa"/>
            <w:vAlign w:val="bottom"/>
          </w:tcPr>
          <w:p w:rsidR="00FC7BDC" w:rsidRPr="00FC7BDC" w:rsidRDefault="00FC7BDC" w:rsidP="006654AE">
            <w:pPr>
              <w:pStyle w:val="tabletextright"/>
              <w:rPr>
                <w:i/>
                <w:szCs w:val="19"/>
              </w:rPr>
            </w:pPr>
            <w:r w:rsidRPr="00FC7BDC">
              <w:rPr>
                <w:i/>
                <w:color w:val="000000"/>
                <w:szCs w:val="18"/>
              </w:rPr>
              <w:t>2,868</w:t>
            </w:r>
          </w:p>
        </w:tc>
        <w:tc>
          <w:tcPr>
            <w:tcW w:w="951" w:type="dxa"/>
            <w:vAlign w:val="bottom"/>
          </w:tcPr>
          <w:p w:rsidR="00FC7BDC" w:rsidRPr="00FC7BDC" w:rsidRDefault="00FC7BDC" w:rsidP="006654AE">
            <w:pPr>
              <w:pStyle w:val="tabletextright"/>
              <w:rPr>
                <w:i/>
                <w:szCs w:val="19"/>
              </w:rPr>
            </w:pPr>
            <w:r w:rsidRPr="00FC7BDC">
              <w:rPr>
                <w:i/>
                <w:color w:val="000000"/>
                <w:szCs w:val="18"/>
              </w:rPr>
              <w:t>1,762</w:t>
            </w:r>
          </w:p>
        </w:tc>
        <w:tc>
          <w:tcPr>
            <w:tcW w:w="951" w:type="dxa"/>
            <w:vAlign w:val="bottom"/>
          </w:tcPr>
          <w:p w:rsidR="00FC7BDC" w:rsidRPr="00FC7BDC" w:rsidRDefault="00FC7BDC" w:rsidP="006654AE">
            <w:pPr>
              <w:pStyle w:val="tabletextright"/>
              <w:rPr>
                <w:i/>
                <w:szCs w:val="19"/>
              </w:rPr>
            </w:pPr>
            <w:r w:rsidRPr="00FC7BDC">
              <w:rPr>
                <w:i/>
                <w:color w:val="000000"/>
                <w:szCs w:val="18"/>
              </w:rPr>
              <w:t>4,728</w:t>
            </w:r>
          </w:p>
        </w:tc>
        <w:tc>
          <w:tcPr>
            <w:tcW w:w="952" w:type="dxa"/>
            <w:vAlign w:val="bottom"/>
          </w:tcPr>
          <w:p w:rsidR="00FC7BDC" w:rsidRPr="00FC7BDC" w:rsidRDefault="00FC7BDC" w:rsidP="006654AE">
            <w:pPr>
              <w:pStyle w:val="tabletextright"/>
              <w:rPr>
                <w:i/>
                <w:szCs w:val="19"/>
              </w:rPr>
            </w:pPr>
            <w:r w:rsidRPr="00FC7BDC">
              <w:rPr>
                <w:i/>
                <w:color w:val="000000"/>
                <w:szCs w:val="18"/>
              </w:rPr>
              <w:t>14,048</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Child Protection IM</w:t>
            </w:r>
          </w:p>
        </w:tc>
        <w:tc>
          <w:tcPr>
            <w:tcW w:w="951" w:type="dxa"/>
            <w:vAlign w:val="bottom"/>
          </w:tcPr>
          <w:p w:rsidR="00FC7BDC" w:rsidRPr="00DF38B2" w:rsidRDefault="00FC7BDC" w:rsidP="006654AE">
            <w:pPr>
              <w:pStyle w:val="tabletextright"/>
            </w:pPr>
            <w:r>
              <w:rPr>
                <w:color w:val="000000"/>
                <w:szCs w:val="18"/>
              </w:rPr>
              <w:t>38</w:t>
            </w:r>
          </w:p>
        </w:tc>
        <w:tc>
          <w:tcPr>
            <w:tcW w:w="951" w:type="dxa"/>
            <w:vAlign w:val="bottom"/>
          </w:tcPr>
          <w:p w:rsidR="00FC7BDC" w:rsidRPr="00DF38B2" w:rsidRDefault="00FC7BDC" w:rsidP="006654AE">
            <w:pPr>
              <w:pStyle w:val="tabletextright"/>
            </w:pPr>
            <w:r>
              <w:rPr>
                <w:color w:val="000000"/>
                <w:szCs w:val="18"/>
              </w:rPr>
              <w:t>36</w:t>
            </w:r>
          </w:p>
        </w:tc>
        <w:tc>
          <w:tcPr>
            <w:tcW w:w="951" w:type="dxa"/>
            <w:vAlign w:val="bottom"/>
          </w:tcPr>
          <w:p w:rsidR="00FC7BDC" w:rsidRPr="00DF38B2" w:rsidRDefault="00FC7BDC" w:rsidP="006654AE">
            <w:pPr>
              <w:pStyle w:val="tabletextright"/>
            </w:pPr>
            <w:r>
              <w:rPr>
                <w:color w:val="000000"/>
                <w:szCs w:val="18"/>
              </w:rPr>
              <w:t>4</w:t>
            </w:r>
          </w:p>
        </w:tc>
        <w:tc>
          <w:tcPr>
            <w:tcW w:w="951" w:type="dxa"/>
            <w:vAlign w:val="bottom"/>
          </w:tcPr>
          <w:p w:rsidR="00FC7BDC" w:rsidRPr="00DF38B2" w:rsidRDefault="00FC7BDC" w:rsidP="006654AE">
            <w:pPr>
              <w:pStyle w:val="tabletextright"/>
            </w:pPr>
            <w:r>
              <w:rPr>
                <w:color w:val="000000"/>
                <w:szCs w:val="18"/>
              </w:rPr>
              <w:t>5</w:t>
            </w:r>
          </w:p>
        </w:tc>
        <w:tc>
          <w:tcPr>
            <w:tcW w:w="952" w:type="dxa"/>
            <w:vAlign w:val="bottom"/>
          </w:tcPr>
          <w:p w:rsidR="00FC7BDC" w:rsidRPr="00DF38B2" w:rsidRDefault="00FC7BDC" w:rsidP="006654AE">
            <w:pPr>
              <w:pStyle w:val="tabletextright"/>
            </w:pPr>
            <w:r>
              <w:rPr>
                <w:color w:val="000000"/>
                <w:szCs w:val="18"/>
              </w:rPr>
              <w:t>83</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Voluntary</w:t>
            </w:r>
            <w:r w:rsidR="00C351F6">
              <w:t xml:space="preserve"> Income Management</w:t>
            </w:r>
          </w:p>
        </w:tc>
        <w:tc>
          <w:tcPr>
            <w:tcW w:w="951" w:type="dxa"/>
            <w:vAlign w:val="bottom"/>
          </w:tcPr>
          <w:p w:rsidR="00FC7BDC" w:rsidRPr="00DF38B2" w:rsidRDefault="00FC7BDC" w:rsidP="006654AE">
            <w:pPr>
              <w:pStyle w:val="tabletextright"/>
            </w:pPr>
            <w:r>
              <w:rPr>
                <w:color w:val="000000"/>
                <w:szCs w:val="18"/>
              </w:rPr>
              <w:t>509</w:t>
            </w:r>
          </w:p>
        </w:tc>
        <w:tc>
          <w:tcPr>
            <w:tcW w:w="951" w:type="dxa"/>
            <w:vAlign w:val="bottom"/>
          </w:tcPr>
          <w:p w:rsidR="00FC7BDC" w:rsidRPr="00DF38B2" w:rsidRDefault="00FC7BDC" w:rsidP="006654AE">
            <w:pPr>
              <w:pStyle w:val="tabletextright"/>
            </w:pPr>
            <w:r>
              <w:rPr>
                <w:color w:val="000000"/>
                <w:szCs w:val="18"/>
              </w:rPr>
              <w:t>344</w:t>
            </w:r>
          </w:p>
        </w:tc>
        <w:tc>
          <w:tcPr>
            <w:tcW w:w="951" w:type="dxa"/>
            <w:vAlign w:val="bottom"/>
          </w:tcPr>
          <w:p w:rsidR="00FC7BDC" w:rsidRPr="00DF38B2" w:rsidRDefault="00FC7BDC" w:rsidP="006654AE">
            <w:pPr>
              <w:pStyle w:val="tabletextright"/>
            </w:pPr>
            <w:r>
              <w:rPr>
                <w:color w:val="000000"/>
                <w:szCs w:val="18"/>
              </w:rPr>
              <w:t>652</w:t>
            </w:r>
          </w:p>
        </w:tc>
        <w:tc>
          <w:tcPr>
            <w:tcW w:w="951" w:type="dxa"/>
            <w:vAlign w:val="bottom"/>
          </w:tcPr>
          <w:p w:rsidR="00FC7BDC" w:rsidRPr="00DF38B2" w:rsidRDefault="00FC7BDC" w:rsidP="006654AE">
            <w:pPr>
              <w:pStyle w:val="tabletextright"/>
            </w:pPr>
            <w:r>
              <w:rPr>
                <w:color w:val="000000"/>
                <w:szCs w:val="18"/>
              </w:rPr>
              <w:t>2,170</w:t>
            </w:r>
          </w:p>
        </w:tc>
        <w:tc>
          <w:tcPr>
            <w:tcW w:w="952" w:type="dxa"/>
            <w:vAlign w:val="bottom"/>
          </w:tcPr>
          <w:p w:rsidR="00FC7BDC" w:rsidRPr="00DF38B2" w:rsidRDefault="00FC7BDC" w:rsidP="006654AE">
            <w:pPr>
              <w:pStyle w:val="tabletextright"/>
            </w:pPr>
            <w:r>
              <w:rPr>
                <w:color w:val="000000"/>
                <w:szCs w:val="18"/>
              </w:rPr>
              <w:t>3,675</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Assessed Vulnerable</w:t>
            </w:r>
          </w:p>
        </w:tc>
        <w:tc>
          <w:tcPr>
            <w:tcW w:w="951" w:type="dxa"/>
            <w:vAlign w:val="bottom"/>
          </w:tcPr>
          <w:p w:rsidR="00FC7BDC" w:rsidRPr="00DF38B2" w:rsidRDefault="00FC7BDC" w:rsidP="006654AE">
            <w:pPr>
              <w:pStyle w:val="tabletextright"/>
            </w:pPr>
            <w:r>
              <w:rPr>
                <w:color w:val="000000"/>
                <w:szCs w:val="18"/>
              </w:rPr>
              <w:t>9</w:t>
            </w:r>
          </w:p>
        </w:tc>
        <w:tc>
          <w:tcPr>
            <w:tcW w:w="951" w:type="dxa"/>
            <w:vAlign w:val="bottom"/>
          </w:tcPr>
          <w:p w:rsidR="00FC7BDC" w:rsidRPr="00DF38B2" w:rsidRDefault="00FC7BDC" w:rsidP="006654AE">
            <w:pPr>
              <w:pStyle w:val="tabletextright"/>
            </w:pPr>
            <w:r>
              <w:rPr>
                <w:color w:val="000000"/>
                <w:szCs w:val="18"/>
              </w:rPr>
              <w:t>6</w:t>
            </w:r>
          </w:p>
        </w:tc>
        <w:tc>
          <w:tcPr>
            <w:tcW w:w="951" w:type="dxa"/>
            <w:vAlign w:val="bottom"/>
          </w:tcPr>
          <w:p w:rsidR="00FC7BDC" w:rsidRPr="00DF38B2" w:rsidRDefault="00FC7BDC" w:rsidP="006654AE">
            <w:pPr>
              <w:pStyle w:val="tabletextright"/>
            </w:pPr>
            <w:r>
              <w:rPr>
                <w:color w:val="000000"/>
                <w:szCs w:val="18"/>
              </w:rPr>
              <w:t>12</w:t>
            </w:r>
          </w:p>
        </w:tc>
        <w:tc>
          <w:tcPr>
            <w:tcW w:w="951" w:type="dxa"/>
            <w:vAlign w:val="bottom"/>
          </w:tcPr>
          <w:p w:rsidR="00FC7BDC" w:rsidRPr="00DF38B2" w:rsidRDefault="00FC7BDC" w:rsidP="006654AE">
            <w:pPr>
              <w:pStyle w:val="tabletextright"/>
            </w:pPr>
            <w:r>
              <w:rPr>
                <w:color w:val="000000"/>
                <w:szCs w:val="18"/>
              </w:rPr>
              <w:t>143</w:t>
            </w:r>
          </w:p>
        </w:tc>
        <w:tc>
          <w:tcPr>
            <w:tcW w:w="952" w:type="dxa"/>
            <w:vAlign w:val="bottom"/>
          </w:tcPr>
          <w:p w:rsidR="00FC7BDC" w:rsidRPr="00DF38B2" w:rsidRDefault="00FC7BDC" w:rsidP="006654AE">
            <w:pPr>
              <w:pStyle w:val="tabletextright"/>
            </w:pPr>
            <w:r>
              <w:rPr>
                <w:color w:val="000000"/>
                <w:szCs w:val="18"/>
              </w:rPr>
              <w:t>170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Automatic Vulnerable</w:t>
            </w:r>
          </w:p>
        </w:tc>
        <w:tc>
          <w:tcPr>
            <w:tcW w:w="951" w:type="dxa"/>
            <w:vAlign w:val="bottom"/>
          </w:tcPr>
          <w:p w:rsidR="00FC7BDC" w:rsidRPr="00DF38B2" w:rsidRDefault="00FC7BDC" w:rsidP="006654AE">
            <w:pPr>
              <w:pStyle w:val="tabletextright"/>
              <w:rPr>
                <w:szCs w:val="19"/>
              </w:rPr>
            </w:pPr>
          </w:p>
        </w:tc>
        <w:tc>
          <w:tcPr>
            <w:tcW w:w="951" w:type="dxa"/>
            <w:vAlign w:val="bottom"/>
          </w:tcPr>
          <w:p w:rsidR="00FC7BDC" w:rsidRPr="00DF38B2" w:rsidRDefault="00FC7BDC" w:rsidP="006654AE">
            <w:pPr>
              <w:pStyle w:val="tabletextright"/>
            </w:pPr>
          </w:p>
        </w:tc>
        <w:tc>
          <w:tcPr>
            <w:tcW w:w="951" w:type="dxa"/>
            <w:vAlign w:val="bottom"/>
          </w:tcPr>
          <w:p w:rsidR="00FC7BDC" w:rsidRPr="00DF38B2" w:rsidRDefault="00FC7BDC" w:rsidP="006654AE">
            <w:pPr>
              <w:pStyle w:val="tabletextright"/>
            </w:pPr>
          </w:p>
        </w:tc>
        <w:tc>
          <w:tcPr>
            <w:tcW w:w="951" w:type="dxa"/>
            <w:vAlign w:val="bottom"/>
          </w:tcPr>
          <w:p w:rsidR="00FC7BDC" w:rsidRPr="00DF38B2" w:rsidRDefault="00FC7BDC" w:rsidP="006654AE">
            <w:pPr>
              <w:pStyle w:val="tabletextright"/>
            </w:pPr>
          </w:p>
        </w:tc>
        <w:tc>
          <w:tcPr>
            <w:tcW w:w="952" w:type="dxa"/>
            <w:vAlign w:val="bottom"/>
          </w:tcPr>
          <w:p w:rsidR="00FC7BDC" w:rsidRPr="00DF38B2" w:rsidRDefault="00FC7BDC" w:rsidP="006654AE">
            <w:pPr>
              <w:pStyle w:val="tabletextright"/>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Un</w:t>
            </w:r>
            <w:r w:rsidR="00EF3E03">
              <w:t>reason</w:t>
            </w:r>
            <w:r w:rsidRPr="00DF38B2">
              <w:t>able to Live at Home</w:t>
            </w:r>
          </w:p>
        </w:tc>
        <w:tc>
          <w:tcPr>
            <w:tcW w:w="951" w:type="dxa"/>
            <w:vAlign w:val="bottom"/>
          </w:tcPr>
          <w:p w:rsidR="00FC7BDC" w:rsidRPr="00DF38B2" w:rsidRDefault="00FC7BDC" w:rsidP="006654AE">
            <w:pPr>
              <w:pStyle w:val="tabletextright"/>
            </w:pPr>
            <w:r>
              <w:rPr>
                <w:color w:val="000000"/>
                <w:szCs w:val="18"/>
              </w:rPr>
              <w:t>7</w:t>
            </w:r>
          </w:p>
        </w:tc>
        <w:tc>
          <w:tcPr>
            <w:tcW w:w="951" w:type="dxa"/>
            <w:vAlign w:val="bottom"/>
          </w:tcPr>
          <w:p w:rsidR="00FC7BDC" w:rsidRPr="00DF38B2" w:rsidRDefault="00FC7BDC" w:rsidP="006654AE">
            <w:pPr>
              <w:pStyle w:val="tabletextright"/>
            </w:pPr>
            <w:r>
              <w:rPr>
                <w:color w:val="000000"/>
                <w:szCs w:val="18"/>
              </w:rPr>
              <w:t>5</w:t>
            </w:r>
          </w:p>
        </w:tc>
        <w:tc>
          <w:tcPr>
            <w:tcW w:w="951" w:type="dxa"/>
            <w:vAlign w:val="bottom"/>
          </w:tcPr>
          <w:p w:rsidR="00FC7BDC" w:rsidRPr="00DF38B2" w:rsidRDefault="00FC7BDC" w:rsidP="006654AE">
            <w:pPr>
              <w:pStyle w:val="tabletextright"/>
            </w:pPr>
            <w:r>
              <w:rPr>
                <w:color w:val="000000"/>
                <w:szCs w:val="18"/>
              </w:rPr>
              <w:t>8</w:t>
            </w:r>
          </w:p>
        </w:tc>
        <w:tc>
          <w:tcPr>
            <w:tcW w:w="951" w:type="dxa"/>
            <w:vAlign w:val="bottom"/>
          </w:tcPr>
          <w:p w:rsidR="00FC7BDC" w:rsidRPr="00DF38B2" w:rsidRDefault="00FC7BDC" w:rsidP="006654AE">
            <w:pPr>
              <w:pStyle w:val="tabletextright"/>
            </w:pPr>
            <w:r>
              <w:rPr>
                <w:color w:val="000000"/>
                <w:szCs w:val="18"/>
              </w:rPr>
              <w:t>145</w:t>
            </w:r>
          </w:p>
        </w:tc>
        <w:tc>
          <w:tcPr>
            <w:tcW w:w="952" w:type="dxa"/>
            <w:vAlign w:val="bottom"/>
          </w:tcPr>
          <w:p w:rsidR="00FC7BDC" w:rsidRPr="00DF38B2" w:rsidRDefault="00FC7BDC" w:rsidP="006654AE">
            <w:pPr>
              <w:pStyle w:val="tabletextright"/>
            </w:pPr>
            <w:r>
              <w:rPr>
                <w:color w:val="000000"/>
                <w:szCs w:val="18"/>
              </w:rPr>
              <w:t>165</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Special Benefit</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3</w:t>
            </w:r>
          </w:p>
        </w:tc>
        <w:tc>
          <w:tcPr>
            <w:tcW w:w="952" w:type="dxa"/>
            <w:vAlign w:val="bottom"/>
          </w:tcPr>
          <w:p w:rsidR="00FC7BDC" w:rsidRPr="00DF38B2" w:rsidRDefault="00FC7BDC" w:rsidP="006654AE">
            <w:pPr>
              <w:pStyle w:val="tabletextright"/>
            </w:pPr>
            <w:r>
              <w:rPr>
                <w:color w:val="000000"/>
                <w:szCs w:val="18"/>
              </w:rPr>
              <w:t>3</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Crisis payment</w:t>
            </w:r>
          </w:p>
        </w:tc>
        <w:tc>
          <w:tcPr>
            <w:tcW w:w="951" w:type="dxa"/>
            <w:vAlign w:val="bottom"/>
          </w:tcPr>
          <w:p w:rsidR="00FC7BDC" w:rsidRPr="00DF38B2" w:rsidRDefault="00FC7BDC" w:rsidP="006654AE">
            <w:pPr>
              <w:pStyle w:val="tabletextright"/>
            </w:pPr>
            <w:r>
              <w:rPr>
                <w:color w:val="000000"/>
                <w:szCs w:val="18"/>
              </w:rPr>
              <w:t>22</w:t>
            </w:r>
          </w:p>
        </w:tc>
        <w:tc>
          <w:tcPr>
            <w:tcW w:w="951" w:type="dxa"/>
            <w:vAlign w:val="bottom"/>
          </w:tcPr>
          <w:p w:rsidR="00FC7BDC" w:rsidRPr="00DF38B2" w:rsidRDefault="00FC7BDC" w:rsidP="006654AE">
            <w:pPr>
              <w:pStyle w:val="tabletextright"/>
            </w:pPr>
            <w:r>
              <w:rPr>
                <w:color w:val="000000"/>
                <w:szCs w:val="18"/>
              </w:rPr>
              <w:t>2</w:t>
            </w:r>
          </w:p>
        </w:tc>
        <w:tc>
          <w:tcPr>
            <w:tcW w:w="951" w:type="dxa"/>
            <w:vAlign w:val="bottom"/>
          </w:tcPr>
          <w:p w:rsidR="00FC7BDC" w:rsidRPr="00DF38B2" w:rsidRDefault="00FC7BDC" w:rsidP="006654AE">
            <w:pPr>
              <w:pStyle w:val="tabletextright"/>
            </w:pPr>
            <w:r>
              <w:rPr>
                <w:color w:val="000000"/>
                <w:szCs w:val="18"/>
              </w:rPr>
              <w:t>15</w:t>
            </w:r>
          </w:p>
        </w:tc>
        <w:tc>
          <w:tcPr>
            <w:tcW w:w="951" w:type="dxa"/>
            <w:vAlign w:val="bottom"/>
          </w:tcPr>
          <w:p w:rsidR="00FC7BDC" w:rsidRPr="00DF38B2" w:rsidRDefault="00FC7BDC" w:rsidP="006654AE">
            <w:pPr>
              <w:pStyle w:val="tabletextright"/>
            </w:pPr>
            <w:r>
              <w:rPr>
                <w:color w:val="000000"/>
                <w:szCs w:val="18"/>
              </w:rPr>
              <w:t>48</w:t>
            </w:r>
          </w:p>
        </w:tc>
        <w:tc>
          <w:tcPr>
            <w:tcW w:w="952" w:type="dxa"/>
            <w:vAlign w:val="bottom"/>
          </w:tcPr>
          <w:p w:rsidR="00FC7BDC" w:rsidRPr="00DF38B2" w:rsidRDefault="00FC7BDC" w:rsidP="006654AE">
            <w:pPr>
              <w:pStyle w:val="tabletextright"/>
            </w:pPr>
            <w:r>
              <w:rPr>
                <w:color w:val="000000"/>
                <w:szCs w:val="18"/>
              </w:rPr>
              <w:t>87</w:t>
            </w:r>
          </w:p>
        </w:tc>
      </w:tr>
      <w:tr w:rsidR="00FC7BDC" w:rsidRPr="00FC7BDC" w:rsidTr="000253E5">
        <w:trPr>
          <w:jc w:val="center"/>
        </w:trPr>
        <w:tc>
          <w:tcPr>
            <w:tcW w:w="3430" w:type="dxa"/>
            <w:gridSpan w:val="2"/>
            <w:vAlign w:val="center"/>
          </w:tcPr>
          <w:p w:rsidR="00FC7BDC" w:rsidRPr="00FC7BDC" w:rsidRDefault="00FC7BDC" w:rsidP="006654AE">
            <w:pPr>
              <w:pStyle w:val="tabletextleft"/>
              <w:rPr>
                <w:iCs/>
              </w:rPr>
            </w:pPr>
            <w:r w:rsidRPr="00FC7BDC">
              <w:rPr>
                <w:iCs/>
              </w:rPr>
              <w:t>Total Automatic Vulnerable</w:t>
            </w:r>
          </w:p>
        </w:tc>
        <w:tc>
          <w:tcPr>
            <w:tcW w:w="951" w:type="dxa"/>
            <w:vAlign w:val="bottom"/>
          </w:tcPr>
          <w:p w:rsidR="00FC7BDC" w:rsidRPr="00FC7BDC" w:rsidRDefault="00FC7BDC" w:rsidP="006654AE">
            <w:pPr>
              <w:pStyle w:val="tabletextright"/>
              <w:rPr>
                <w:szCs w:val="19"/>
              </w:rPr>
            </w:pPr>
            <w:r w:rsidRPr="00FC7BDC">
              <w:rPr>
                <w:color w:val="000000"/>
                <w:szCs w:val="18"/>
              </w:rPr>
              <w:t>29</w:t>
            </w:r>
          </w:p>
        </w:tc>
        <w:tc>
          <w:tcPr>
            <w:tcW w:w="951" w:type="dxa"/>
            <w:vAlign w:val="bottom"/>
          </w:tcPr>
          <w:p w:rsidR="00FC7BDC" w:rsidRPr="00FC7BDC" w:rsidRDefault="00FC7BDC" w:rsidP="006654AE">
            <w:pPr>
              <w:pStyle w:val="tabletextright"/>
              <w:rPr>
                <w:szCs w:val="19"/>
              </w:rPr>
            </w:pPr>
            <w:r w:rsidRPr="00FC7BDC">
              <w:rPr>
                <w:color w:val="000000"/>
                <w:szCs w:val="18"/>
              </w:rPr>
              <w:t>7</w:t>
            </w:r>
          </w:p>
        </w:tc>
        <w:tc>
          <w:tcPr>
            <w:tcW w:w="951" w:type="dxa"/>
            <w:vAlign w:val="bottom"/>
          </w:tcPr>
          <w:p w:rsidR="00FC7BDC" w:rsidRPr="00FC7BDC" w:rsidRDefault="00FC7BDC" w:rsidP="006654AE">
            <w:pPr>
              <w:pStyle w:val="tabletextright"/>
              <w:rPr>
                <w:szCs w:val="19"/>
              </w:rPr>
            </w:pPr>
            <w:r w:rsidRPr="00FC7BDC">
              <w:rPr>
                <w:color w:val="000000"/>
                <w:szCs w:val="18"/>
              </w:rPr>
              <w:t>23</w:t>
            </w:r>
          </w:p>
        </w:tc>
        <w:tc>
          <w:tcPr>
            <w:tcW w:w="951" w:type="dxa"/>
            <w:vAlign w:val="bottom"/>
          </w:tcPr>
          <w:p w:rsidR="00FC7BDC" w:rsidRPr="00FC7BDC" w:rsidRDefault="00FC7BDC" w:rsidP="006654AE">
            <w:pPr>
              <w:pStyle w:val="tabletextright"/>
              <w:rPr>
                <w:szCs w:val="19"/>
              </w:rPr>
            </w:pPr>
            <w:r w:rsidRPr="00FC7BDC">
              <w:rPr>
                <w:color w:val="000000"/>
                <w:szCs w:val="18"/>
              </w:rPr>
              <w:t>196</w:t>
            </w:r>
          </w:p>
        </w:tc>
        <w:tc>
          <w:tcPr>
            <w:tcW w:w="952" w:type="dxa"/>
            <w:vAlign w:val="bottom"/>
          </w:tcPr>
          <w:p w:rsidR="00FC7BDC" w:rsidRPr="00FC7BDC" w:rsidRDefault="00FC7BDC" w:rsidP="006654AE">
            <w:pPr>
              <w:pStyle w:val="tabletextright"/>
              <w:rPr>
                <w:szCs w:val="19"/>
              </w:rPr>
            </w:pPr>
            <w:r w:rsidRPr="00FC7BDC">
              <w:rPr>
                <w:color w:val="000000"/>
                <w:szCs w:val="18"/>
              </w:rPr>
              <w:t>255</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SPAR</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4</w:t>
            </w:r>
          </w:p>
        </w:tc>
        <w:tc>
          <w:tcPr>
            <w:tcW w:w="951" w:type="dxa"/>
            <w:vAlign w:val="bottom"/>
          </w:tcPr>
          <w:p w:rsidR="00FC7BDC" w:rsidRPr="00DF38B2" w:rsidRDefault="00FC7BDC" w:rsidP="006654AE">
            <w:pPr>
              <w:pStyle w:val="tabletextright"/>
            </w:pPr>
            <w:r>
              <w:rPr>
                <w:color w:val="000000"/>
                <w:szCs w:val="18"/>
              </w:rPr>
              <w:t>20</w:t>
            </w:r>
          </w:p>
        </w:tc>
        <w:tc>
          <w:tcPr>
            <w:tcW w:w="952" w:type="dxa"/>
            <w:vAlign w:val="bottom"/>
          </w:tcPr>
          <w:p w:rsidR="00FC7BDC" w:rsidRPr="00DF38B2" w:rsidRDefault="00FC7BDC" w:rsidP="006654AE">
            <w:pPr>
              <w:pStyle w:val="tabletextright"/>
            </w:pPr>
            <w:r>
              <w:rPr>
                <w:color w:val="000000"/>
                <w:szCs w:val="18"/>
              </w:rPr>
              <w:t>24</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Nominee IM</w:t>
            </w:r>
          </w:p>
        </w:tc>
        <w:tc>
          <w:tcPr>
            <w:tcW w:w="951" w:type="dxa"/>
            <w:vAlign w:val="bottom"/>
          </w:tcPr>
          <w:p w:rsidR="00FC7BDC" w:rsidRPr="00DF38B2" w:rsidRDefault="00FC7BDC" w:rsidP="006654AE">
            <w:pPr>
              <w:pStyle w:val="tabletextright"/>
            </w:pPr>
            <w:r>
              <w:rPr>
                <w:color w:val="000000"/>
                <w:szCs w:val="18"/>
              </w:rPr>
              <w:t>9</w:t>
            </w:r>
          </w:p>
        </w:tc>
        <w:tc>
          <w:tcPr>
            <w:tcW w:w="951" w:type="dxa"/>
            <w:vAlign w:val="bottom"/>
          </w:tcPr>
          <w:p w:rsidR="00FC7BDC" w:rsidRPr="00DF38B2" w:rsidRDefault="00FC7BDC" w:rsidP="006654AE">
            <w:pPr>
              <w:pStyle w:val="tabletextright"/>
            </w:pPr>
            <w:r>
              <w:rPr>
                <w:color w:val="000000"/>
                <w:szCs w:val="18"/>
              </w:rPr>
              <w:t>3</w:t>
            </w:r>
          </w:p>
        </w:tc>
        <w:tc>
          <w:tcPr>
            <w:tcW w:w="951" w:type="dxa"/>
            <w:vAlign w:val="bottom"/>
          </w:tcPr>
          <w:p w:rsidR="00FC7BDC" w:rsidRPr="00DF38B2" w:rsidRDefault="00FC7BDC" w:rsidP="006654AE">
            <w:pPr>
              <w:pStyle w:val="tabletextright"/>
            </w:pPr>
            <w:r>
              <w:rPr>
                <w:color w:val="000000"/>
                <w:szCs w:val="18"/>
              </w:rPr>
              <w:t>13</w:t>
            </w:r>
          </w:p>
        </w:tc>
        <w:tc>
          <w:tcPr>
            <w:tcW w:w="951" w:type="dxa"/>
            <w:vAlign w:val="bottom"/>
          </w:tcPr>
          <w:p w:rsidR="00FC7BDC" w:rsidRPr="00DF38B2" w:rsidRDefault="00FC7BDC" w:rsidP="006654AE">
            <w:pPr>
              <w:pStyle w:val="tabletextright"/>
            </w:pPr>
            <w:r>
              <w:rPr>
                <w:color w:val="000000"/>
                <w:szCs w:val="18"/>
              </w:rPr>
              <w:t>16</w:t>
            </w:r>
          </w:p>
        </w:tc>
        <w:tc>
          <w:tcPr>
            <w:tcW w:w="952" w:type="dxa"/>
            <w:vAlign w:val="bottom"/>
          </w:tcPr>
          <w:p w:rsidR="00FC7BDC" w:rsidRPr="00DF38B2" w:rsidRDefault="00FC7BDC" w:rsidP="006654AE">
            <w:pPr>
              <w:pStyle w:val="tabletextright"/>
            </w:pPr>
            <w:r>
              <w:rPr>
                <w:color w:val="000000"/>
                <w:szCs w:val="18"/>
              </w:rPr>
              <w:t>41</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Total</w:t>
            </w:r>
          </w:p>
        </w:tc>
        <w:tc>
          <w:tcPr>
            <w:tcW w:w="951" w:type="dxa"/>
            <w:vAlign w:val="bottom"/>
          </w:tcPr>
          <w:p w:rsidR="00FC7BDC" w:rsidRPr="00DF38B2" w:rsidRDefault="00FC7BDC" w:rsidP="006654AE">
            <w:pPr>
              <w:pStyle w:val="tabletextright"/>
            </w:pPr>
            <w:r>
              <w:rPr>
                <w:color w:val="000000"/>
                <w:szCs w:val="18"/>
              </w:rPr>
              <w:t>5,284</w:t>
            </w:r>
          </w:p>
        </w:tc>
        <w:tc>
          <w:tcPr>
            <w:tcW w:w="951" w:type="dxa"/>
            <w:vAlign w:val="bottom"/>
          </w:tcPr>
          <w:p w:rsidR="00FC7BDC" w:rsidRPr="00DF38B2" w:rsidRDefault="00FC7BDC" w:rsidP="006654AE">
            <w:pPr>
              <w:pStyle w:val="tabletextright"/>
            </w:pPr>
            <w:r>
              <w:rPr>
                <w:color w:val="000000"/>
                <w:szCs w:val="18"/>
              </w:rPr>
              <w:t>3,264</w:t>
            </w:r>
          </w:p>
        </w:tc>
        <w:tc>
          <w:tcPr>
            <w:tcW w:w="951" w:type="dxa"/>
            <w:vAlign w:val="bottom"/>
          </w:tcPr>
          <w:p w:rsidR="00FC7BDC" w:rsidRPr="00DF38B2" w:rsidRDefault="00FC7BDC" w:rsidP="006654AE">
            <w:pPr>
              <w:pStyle w:val="tabletextright"/>
            </w:pPr>
            <w:r>
              <w:rPr>
                <w:color w:val="000000"/>
                <w:szCs w:val="18"/>
              </w:rPr>
              <w:t>2,470</w:t>
            </w:r>
          </w:p>
        </w:tc>
        <w:tc>
          <w:tcPr>
            <w:tcW w:w="951" w:type="dxa"/>
            <w:vAlign w:val="bottom"/>
          </w:tcPr>
          <w:p w:rsidR="00FC7BDC" w:rsidRPr="00DF38B2" w:rsidRDefault="00FC7BDC" w:rsidP="006654AE">
            <w:pPr>
              <w:pStyle w:val="tabletextright"/>
            </w:pPr>
            <w:r>
              <w:rPr>
                <w:color w:val="000000"/>
                <w:szCs w:val="18"/>
              </w:rPr>
              <w:t>7,278</w:t>
            </w:r>
          </w:p>
        </w:tc>
        <w:tc>
          <w:tcPr>
            <w:tcW w:w="952" w:type="dxa"/>
            <w:vAlign w:val="bottom"/>
          </w:tcPr>
          <w:p w:rsidR="00FC7BDC" w:rsidRPr="00DF38B2" w:rsidRDefault="00FC7BDC" w:rsidP="006654AE">
            <w:pPr>
              <w:pStyle w:val="tabletextright"/>
            </w:pPr>
            <w:r>
              <w:rPr>
                <w:color w:val="000000"/>
                <w:szCs w:val="18"/>
              </w:rPr>
              <w:t>18,296</w:t>
            </w:r>
          </w:p>
        </w:tc>
      </w:tr>
      <w:tr w:rsidR="000E1342" w:rsidRPr="000E1342" w:rsidTr="000253E5">
        <w:trPr>
          <w:tblHeader/>
          <w:jc w:val="center"/>
        </w:trPr>
        <w:tc>
          <w:tcPr>
            <w:tcW w:w="2797" w:type="dxa"/>
            <w:tcBorders>
              <w:top w:val="single" w:sz="4" w:space="0" w:color="auto"/>
              <w:bottom w:val="single" w:sz="4" w:space="0" w:color="auto"/>
            </w:tcBorders>
          </w:tcPr>
          <w:p w:rsidR="000E1342" w:rsidRPr="000E1342" w:rsidRDefault="000253E5" w:rsidP="00B102A0">
            <w:pPr>
              <w:pStyle w:val="braytabletext"/>
              <w:rPr>
                <w:noProof w:val="0"/>
                <w:lang w:val="en-AU"/>
              </w:rPr>
            </w:pPr>
            <w:r w:rsidRPr="000253E5">
              <w:rPr>
                <w:rFonts w:asciiTheme="minorHAnsi" w:eastAsiaTheme="minorEastAsia" w:hAnsiTheme="minorHAnsi" w:cstheme="minorBidi"/>
                <w:noProof w:val="0"/>
                <w:color w:val="auto"/>
                <w:sz w:val="18"/>
                <w:lang w:val="en-AU"/>
              </w:rPr>
              <w:t>Stream of income management (%)</w:t>
            </w:r>
          </w:p>
        </w:tc>
        <w:tc>
          <w:tcPr>
            <w:tcW w:w="1584" w:type="dxa"/>
            <w:gridSpan w:val="2"/>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Couple with dependent child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Single parent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Couple only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Single person (%)</w:t>
            </w:r>
          </w:p>
        </w:tc>
        <w:tc>
          <w:tcPr>
            <w:tcW w:w="952" w:type="dxa"/>
            <w:tcBorders>
              <w:top w:val="single" w:sz="4" w:space="0" w:color="auto"/>
              <w:bottom w:val="single" w:sz="4" w:space="0" w:color="auto"/>
            </w:tcBorders>
          </w:tcPr>
          <w:p w:rsidR="000E1342" w:rsidRPr="000E1342" w:rsidRDefault="000E1342" w:rsidP="000E1342">
            <w:pPr>
              <w:pStyle w:val="tabletextright"/>
              <w:rPr>
                <w:sz w:val="16"/>
              </w:rPr>
            </w:pPr>
            <w:r w:rsidRPr="000253E5">
              <w:rPr>
                <w:sz w:val="16"/>
              </w:rPr>
              <w:t>Total (%)</w:t>
            </w:r>
          </w:p>
        </w:tc>
      </w:tr>
      <w:tr w:rsidR="005E1FE0" w:rsidRPr="00DF38B2" w:rsidTr="000253E5">
        <w:trPr>
          <w:jc w:val="center"/>
        </w:trPr>
        <w:tc>
          <w:tcPr>
            <w:tcW w:w="3430" w:type="dxa"/>
            <w:gridSpan w:val="2"/>
            <w:vAlign w:val="center"/>
          </w:tcPr>
          <w:p w:rsidR="005E1FE0" w:rsidRPr="00DF38B2" w:rsidRDefault="005E1FE0" w:rsidP="006654AE">
            <w:pPr>
              <w:pStyle w:val="tabletextleft"/>
            </w:pPr>
            <w:r w:rsidRPr="00DF38B2">
              <w:t>Compulsory Income Management</w:t>
            </w:r>
          </w:p>
        </w:tc>
        <w:tc>
          <w:tcPr>
            <w:tcW w:w="951" w:type="dxa"/>
            <w:vAlign w:val="center"/>
          </w:tcPr>
          <w:p w:rsidR="005E1FE0" w:rsidRPr="00DF38B2" w:rsidRDefault="005E1FE0" w:rsidP="006654AE">
            <w:pPr>
              <w:rPr>
                <w:color w:val="000000"/>
                <w:sz w:val="16"/>
                <w:szCs w:val="16"/>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2" w:type="dxa"/>
            <w:vAlign w:val="bottom"/>
          </w:tcPr>
          <w:p w:rsidR="005E1FE0" w:rsidRPr="00DF38B2" w:rsidRDefault="005E1FE0" w:rsidP="006654AE">
            <w:pPr>
              <w:rPr>
                <w:rFonts w:ascii="Calibri" w:hAnsi="Calibri"/>
                <w:color w:val="000000"/>
                <w:sz w:val="22"/>
              </w:rPr>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Disengaged Youth</w:t>
            </w:r>
          </w:p>
        </w:tc>
        <w:tc>
          <w:tcPr>
            <w:tcW w:w="951" w:type="dxa"/>
            <w:vAlign w:val="bottom"/>
          </w:tcPr>
          <w:p w:rsidR="00FC7BDC" w:rsidRPr="00DF38B2" w:rsidRDefault="00FC7BDC" w:rsidP="006654AE">
            <w:pPr>
              <w:pStyle w:val="tabletextright"/>
            </w:pPr>
            <w:r>
              <w:rPr>
                <w:color w:val="000000"/>
                <w:szCs w:val="18"/>
              </w:rPr>
              <w:t>29.3</w:t>
            </w:r>
          </w:p>
        </w:tc>
        <w:tc>
          <w:tcPr>
            <w:tcW w:w="951" w:type="dxa"/>
            <w:vAlign w:val="bottom"/>
          </w:tcPr>
          <w:p w:rsidR="00FC7BDC" w:rsidRPr="00DF38B2" w:rsidRDefault="00FC7BDC" w:rsidP="006654AE">
            <w:pPr>
              <w:pStyle w:val="tabletextright"/>
            </w:pPr>
            <w:r>
              <w:rPr>
                <w:color w:val="000000"/>
                <w:szCs w:val="18"/>
              </w:rPr>
              <w:t>17.5</w:t>
            </w:r>
          </w:p>
        </w:tc>
        <w:tc>
          <w:tcPr>
            <w:tcW w:w="951" w:type="dxa"/>
            <w:vAlign w:val="bottom"/>
          </w:tcPr>
          <w:p w:rsidR="00FC7BDC" w:rsidRPr="00DF38B2" w:rsidRDefault="00FC7BDC" w:rsidP="006654AE">
            <w:pPr>
              <w:pStyle w:val="tabletextright"/>
            </w:pPr>
            <w:r>
              <w:rPr>
                <w:color w:val="000000"/>
                <w:szCs w:val="18"/>
              </w:rPr>
              <w:t>11.3</w:t>
            </w:r>
          </w:p>
        </w:tc>
        <w:tc>
          <w:tcPr>
            <w:tcW w:w="951" w:type="dxa"/>
            <w:vAlign w:val="bottom"/>
          </w:tcPr>
          <w:p w:rsidR="00FC7BDC" w:rsidRPr="00DF38B2" w:rsidRDefault="00FC7BDC" w:rsidP="006654AE">
            <w:pPr>
              <w:pStyle w:val="tabletextright"/>
            </w:pPr>
            <w:r>
              <w:rPr>
                <w:color w:val="000000"/>
                <w:szCs w:val="18"/>
              </w:rPr>
              <w:t>41.9</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Long-Term Welfare</w:t>
            </w:r>
          </w:p>
        </w:tc>
        <w:tc>
          <w:tcPr>
            <w:tcW w:w="951" w:type="dxa"/>
            <w:vAlign w:val="bottom"/>
          </w:tcPr>
          <w:p w:rsidR="00FC7BDC" w:rsidRPr="00DF38B2" w:rsidRDefault="00FC7BDC" w:rsidP="006654AE">
            <w:pPr>
              <w:pStyle w:val="tabletextright"/>
            </w:pPr>
            <w:r>
              <w:rPr>
                <w:color w:val="000000"/>
                <w:szCs w:val="18"/>
              </w:rPr>
              <w:t>35.0</w:t>
            </w:r>
          </w:p>
        </w:tc>
        <w:tc>
          <w:tcPr>
            <w:tcW w:w="951" w:type="dxa"/>
            <w:vAlign w:val="bottom"/>
          </w:tcPr>
          <w:p w:rsidR="00FC7BDC" w:rsidRPr="00DF38B2" w:rsidRDefault="00FC7BDC" w:rsidP="006654AE">
            <w:pPr>
              <w:pStyle w:val="tabletextright"/>
            </w:pPr>
            <w:r>
              <w:rPr>
                <w:color w:val="000000"/>
                <w:szCs w:val="18"/>
              </w:rPr>
              <w:t>21.6</w:t>
            </w:r>
          </w:p>
        </w:tc>
        <w:tc>
          <w:tcPr>
            <w:tcW w:w="951" w:type="dxa"/>
            <w:vAlign w:val="bottom"/>
          </w:tcPr>
          <w:p w:rsidR="00FC7BDC" w:rsidRPr="00DF38B2" w:rsidRDefault="00FC7BDC" w:rsidP="006654AE">
            <w:pPr>
              <w:pStyle w:val="tabletextright"/>
            </w:pPr>
            <w:r>
              <w:rPr>
                <w:color w:val="000000"/>
                <w:szCs w:val="18"/>
              </w:rPr>
              <w:t>13.0</w:t>
            </w:r>
          </w:p>
        </w:tc>
        <w:tc>
          <w:tcPr>
            <w:tcW w:w="951" w:type="dxa"/>
            <w:vAlign w:val="bottom"/>
          </w:tcPr>
          <w:p w:rsidR="00FC7BDC" w:rsidRPr="00DF38B2" w:rsidRDefault="00FC7BDC" w:rsidP="006654AE">
            <w:pPr>
              <w:pStyle w:val="tabletextright"/>
            </w:pPr>
            <w:r>
              <w:rPr>
                <w:color w:val="000000"/>
                <w:szCs w:val="18"/>
              </w:rPr>
              <w:t>30.4</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CIM</w:t>
            </w:r>
          </w:p>
        </w:tc>
        <w:tc>
          <w:tcPr>
            <w:tcW w:w="951" w:type="dxa"/>
            <w:vAlign w:val="bottom"/>
          </w:tcPr>
          <w:p w:rsidR="00FC7BDC" w:rsidRPr="00FC7BDC" w:rsidRDefault="00FC7BDC" w:rsidP="006654AE">
            <w:pPr>
              <w:pStyle w:val="tabletextright"/>
              <w:rPr>
                <w:i/>
              </w:rPr>
            </w:pPr>
            <w:r w:rsidRPr="00FC7BDC">
              <w:rPr>
                <w:i/>
                <w:color w:val="000000"/>
                <w:szCs w:val="18"/>
              </w:rPr>
              <w:t>33.4</w:t>
            </w:r>
          </w:p>
        </w:tc>
        <w:tc>
          <w:tcPr>
            <w:tcW w:w="951" w:type="dxa"/>
            <w:vAlign w:val="bottom"/>
          </w:tcPr>
          <w:p w:rsidR="00FC7BDC" w:rsidRPr="00FC7BDC" w:rsidRDefault="00FC7BDC" w:rsidP="006654AE">
            <w:pPr>
              <w:pStyle w:val="tabletextright"/>
              <w:rPr>
                <w:i/>
              </w:rPr>
            </w:pPr>
            <w:r w:rsidRPr="00FC7BDC">
              <w:rPr>
                <w:i/>
                <w:color w:val="000000"/>
                <w:szCs w:val="18"/>
              </w:rPr>
              <w:t>20.4</w:t>
            </w:r>
          </w:p>
        </w:tc>
        <w:tc>
          <w:tcPr>
            <w:tcW w:w="951" w:type="dxa"/>
            <w:vAlign w:val="bottom"/>
          </w:tcPr>
          <w:p w:rsidR="00FC7BDC" w:rsidRPr="00FC7BDC" w:rsidRDefault="00FC7BDC" w:rsidP="006654AE">
            <w:pPr>
              <w:pStyle w:val="tabletextright"/>
              <w:rPr>
                <w:i/>
              </w:rPr>
            </w:pPr>
            <w:r w:rsidRPr="00FC7BDC">
              <w:rPr>
                <w:i/>
                <w:color w:val="000000"/>
                <w:szCs w:val="18"/>
              </w:rPr>
              <w:t>12.5</w:t>
            </w:r>
          </w:p>
        </w:tc>
        <w:tc>
          <w:tcPr>
            <w:tcW w:w="951" w:type="dxa"/>
            <w:vAlign w:val="bottom"/>
          </w:tcPr>
          <w:p w:rsidR="00FC7BDC" w:rsidRPr="00FC7BDC" w:rsidRDefault="00FC7BDC" w:rsidP="006654AE">
            <w:pPr>
              <w:pStyle w:val="tabletextright"/>
              <w:rPr>
                <w:i/>
              </w:rPr>
            </w:pPr>
            <w:r w:rsidRPr="00FC7BDC">
              <w:rPr>
                <w:i/>
                <w:color w:val="000000"/>
                <w:szCs w:val="18"/>
              </w:rPr>
              <w:t>33.7</w:t>
            </w:r>
          </w:p>
        </w:tc>
        <w:tc>
          <w:tcPr>
            <w:tcW w:w="952" w:type="dxa"/>
            <w:vAlign w:val="bottom"/>
          </w:tcPr>
          <w:p w:rsidR="00FC7BDC" w:rsidRPr="00FC7BDC" w:rsidRDefault="00FC7BDC" w:rsidP="006654AE">
            <w:pPr>
              <w:pStyle w:val="tabletextright"/>
              <w:rPr>
                <w:i/>
              </w:rPr>
            </w:pPr>
            <w:r w:rsidRPr="00FC7BDC">
              <w:rPr>
                <w:i/>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Child Protection IM</w:t>
            </w:r>
          </w:p>
        </w:tc>
        <w:tc>
          <w:tcPr>
            <w:tcW w:w="951" w:type="dxa"/>
            <w:vAlign w:val="bottom"/>
          </w:tcPr>
          <w:p w:rsidR="00FC7BDC" w:rsidRPr="00DF38B2" w:rsidRDefault="00FC7BDC" w:rsidP="006654AE">
            <w:pPr>
              <w:pStyle w:val="tabletextright"/>
            </w:pPr>
            <w:r>
              <w:rPr>
                <w:color w:val="000000"/>
                <w:szCs w:val="18"/>
              </w:rPr>
              <w:t>45.8</w:t>
            </w:r>
          </w:p>
        </w:tc>
        <w:tc>
          <w:tcPr>
            <w:tcW w:w="951" w:type="dxa"/>
            <w:vAlign w:val="bottom"/>
          </w:tcPr>
          <w:p w:rsidR="00FC7BDC" w:rsidRPr="00DF38B2" w:rsidRDefault="00FC7BDC" w:rsidP="006654AE">
            <w:pPr>
              <w:pStyle w:val="tabletextright"/>
            </w:pPr>
            <w:r>
              <w:rPr>
                <w:color w:val="000000"/>
                <w:szCs w:val="18"/>
              </w:rPr>
              <w:t>43.4</w:t>
            </w:r>
          </w:p>
        </w:tc>
        <w:tc>
          <w:tcPr>
            <w:tcW w:w="951" w:type="dxa"/>
            <w:vAlign w:val="bottom"/>
          </w:tcPr>
          <w:p w:rsidR="00FC7BDC" w:rsidRPr="00DF38B2" w:rsidRDefault="00FC7BDC" w:rsidP="006654AE">
            <w:pPr>
              <w:pStyle w:val="tabletextright"/>
            </w:pPr>
            <w:r>
              <w:rPr>
                <w:color w:val="000000"/>
                <w:szCs w:val="18"/>
              </w:rPr>
              <w:t>4.8</w:t>
            </w:r>
          </w:p>
        </w:tc>
        <w:tc>
          <w:tcPr>
            <w:tcW w:w="951" w:type="dxa"/>
            <w:vAlign w:val="bottom"/>
          </w:tcPr>
          <w:p w:rsidR="00FC7BDC" w:rsidRPr="00DF38B2" w:rsidRDefault="00FC7BDC" w:rsidP="006654AE">
            <w:pPr>
              <w:pStyle w:val="tabletextright"/>
            </w:pPr>
            <w:r>
              <w:rPr>
                <w:color w:val="000000"/>
                <w:szCs w:val="18"/>
              </w:rPr>
              <w:t>6.0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 xml:space="preserve">Voluntary </w:t>
            </w:r>
            <w:r w:rsidR="00C351F6">
              <w:t>Income Management</w:t>
            </w:r>
          </w:p>
        </w:tc>
        <w:tc>
          <w:tcPr>
            <w:tcW w:w="951" w:type="dxa"/>
            <w:vAlign w:val="bottom"/>
          </w:tcPr>
          <w:p w:rsidR="00FC7BDC" w:rsidRPr="00DF38B2" w:rsidRDefault="00FC7BDC" w:rsidP="006654AE">
            <w:pPr>
              <w:pStyle w:val="tabletextright"/>
            </w:pPr>
            <w:r>
              <w:rPr>
                <w:color w:val="000000"/>
                <w:szCs w:val="18"/>
              </w:rPr>
              <w:t>13.9</w:t>
            </w:r>
          </w:p>
        </w:tc>
        <w:tc>
          <w:tcPr>
            <w:tcW w:w="951" w:type="dxa"/>
            <w:vAlign w:val="bottom"/>
          </w:tcPr>
          <w:p w:rsidR="00FC7BDC" w:rsidRPr="00DF38B2" w:rsidRDefault="00FC7BDC" w:rsidP="006654AE">
            <w:pPr>
              <w:pStyle w:val="tabletextright"/>
            </w:pPr>
            <w:r>
              <w:rPr>
                <w:color w:val="000000"/>
                <w:szCs w:val="18"/>
              </w:rPr>
              <w:t>9.4</w:t>
            </w:r>
          </w:p>
        </w:tc>
        <w:tc>
          <w:tcPr>
            <w:tcW w:w="951" w:type="dxa"/>
            <w:vAlign w:val="bottom"/>
          </w:tcPr>
          <w:p w:rsidR="00FC7BDC" w:rsidRPr="00DF38B2" w:rsidRDefault="00FC7BDC" w:rsidP="006654AE">
            <w:pPr>
              <w:pStyle w:val="tabletextright"/>
            </w:pPr>
            <w:r>
              <w:rPr>
                <w:color w:val="000000"/>
                <w:szCs w:val="18"/>
              </w:rPr>
              <w:t>17.7</w:t>
            </w:r>
          </w:p>
        </w:tc>
        <w:tc>
          <w:tcPr>
            <w:tcW w:w="951" w:type="dxa"/>
            <w:vAlign w:val="bottom"/>
          </w:tcPr>
          <w:p w:rsidR="00FC7BDC" w:rsidRPr="00DF38B2" w:rsidRDefault="00FC7BDC" w:rsidP="006654AE">
            <w:pPr>
              <w:pStyle w:val="tabletextright"/>
            </w:pPr>
            <w:r>
              <w:rPr>
                <w:color w:val="000000"/>
                <w:szCs w:val="18"/>
              </w:rPr>
              <w:t>59.0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Assessed Vulnerable</w:t>
            </w:r>
          </w:p>
        </w:tc>
        <w:tc>
          <w:tcPr>
            <w:tcW w:w="951" w:type="dxa"/>
            <w:vAlign w:val="bottom"/>
          </w:tcPr>
          <w:p w:rsidR="00FC7BDC" w:rsidRPr="00DF38B2" w:rsidRDefault="00FC7BDC" w:rsidP="006654AE">
            <w:pPr>
              <w:pStyle w:val="tabletextright"/>
            </w:pPr>
            <w:r>
              <w:rPr>
                <w:color w:val="000000"/>
                <w:szCs w:val="18"/>
              </w:rPr>
              <w:t>5.3</w:t>
            </w:r>
          </w:p>
        </w:tc>
        <w:tc>
          <w:tcPr>
            <w:tcW w:w="951" w:type="dxa"/>
            <w:vAlign w:val="bottom"/>
          </w:tcPr>
          <w:p w:rsidR="00FC7BDC" w:rsidRPr="00DF38B2" w:rsidRDefault="00FC7BDC" w:rsidP="006654AE">
            <w:pPr>
              <w:pStyle w:val="tabletextright"/>
            </w:pPr>
            <w:r>
              <w:rPr>
                <w:color w:val="000000"/>
                <w:szCs w:val="18"/>
              </w:rPr>
              <w:t>3.5</w:t>
            </w:r>
          </w:p>
        </w:tc>
        <w:tc>
          <w:tcPr>
            <w:tcW w:w="951" w:type="dxa"/>
            <w:vAlign w:val="bottom"/>
          </w:tcPr>
          <w:p w:rsidR="00FC7BDC" w:rsidRPr="00DF38B2" w:rsidRDefault="00FC7BDC" w:rsidP="006654AE">
            <w:pPr>
              <w:pStyle w:val="tabletextright"/>
            </w:pPr>
            <w:r>
              <w:rPr>
                <w:color w:val="000000"/>
                <w:szCs w:val="18"/>
              </w:rPr>
              <w:t>7.1</w:t>
            </w:r>
          </w:p>
        </w:tc>
        <w:tc>
          <w:tcPr>
            <w:tcW w:w="951" w:type="dxa"/>
            <w:vAlign w:val="bottom"/>
          </w:tcPr>
          <w:p w:rsidR="00FC7BDC" w:rsidRPr="00DF38B2" w:rsidRDefault="00FC7BDC" w:rsidP="006654AE">
            <w:pPr>
              <w:pStyle w:val="tabletextright"/>
            </w:pPr>
            <w:r>
              <w:rPr>
                <w:color w:val="000000"/>
                <w:szCs w:val="18"/>
              </w:rPr>
              <w:t>84.1</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Automatic Vulnerable</w:t>
            </w:r>
          </w:p>
        </w:tc>
        <w:tc>
          <w:tcPr>
            <w:tcW w:w="951" w:type="dxa"/>
            <w:vAlign w:val="bottom"/>
          </w:tcPr>
          <w:p w:rsidR="00FC7BDC" w:rsidRPr="00DF38B2" w:rsidRDefault="00FC7BDC" w:rsidP="006654AE">
            <w:pPr>
              <w:pStyle w:val="tabletextright"/>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2" w:type="dxa"/>
            <w:vAlign w:val="bottom"/>
          </w:tcPr>
          <w:p w:rsidR="00FC7BDC" w:rsidRPr="00DF38B2" w:rsidRDefault="00FC7BDC" w:rsidP="006654AE">
            <w:pPr>
              <w:pStyle w:val="tabletextright"/>
              <w:rPr>
                <w:sz w:val="22"/>
              </w:rPr>
            </w:pPr>
            <w:r>
              <w:rPr>
                <w:color w:val="000000"/>
                <w:szCs w:val="18"/>
              </w:rPr>
              <w:t xml:space="preserve"> </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Un</w:t>
            </w:r>
            <w:r w:rsidR="00EF3E03">
              <w:t>reason</w:t>
            </w:r>
            <w:r w:rsidRPr="00DF38B2">
              <w:t>able to Live at Home</w:t>
            </w:r>
          </w:p>
        </w:tc>
        <w:tc>
          <w:tcPr>
            <w:tcW w:w="951" w:type="dxa"/>
            <w:vAlign w:val="bottom"/>
          </w:tcPr>
          <w:p w:rsidR="00FC7BDC" w:rsidRPr="00DF38B2" w:rsidRDefault="00FC7BDC" w:rsidP="006654AE">
            <w:pPr>
              <w:pStyle w:val="tabletextright"/>
            </w:pPr>
            <w:r>
              <w:rPr>
                <w:color w:val="000000"/>
                <w:szCs w:val="18"/>
              </w:rPr>
              <w:t>4.2</w:t>
            </w:r>
          </w:p>
        </w:tc>
        <w:tc>
          <w:tcPr>
            <w:tcW w:w="951" w:type="dxa"/>
            <w:vAlign w:val="bottom"/>
          </w:tcPr>
          <w:p w:rsidR="00FC7BDC" w:rsidRPr="00DF38B2" w:rsidRDefault="00FC7BDC" w:rsidP="006654AE">
            <w:pPr>
              <w:pStyle w:val="tabletextright"/>
            </w:pPr>
            <w:r>
              <w:rPr>
                <w:color w:val="000000"/>
                <w:szCs w:val="18"/>
              </w:rPr>
              <w:t>3.0</w:t>
            </w:r>
          </w:p>
        </w:tc>
        <w:tc>
          <w:tcPr>
            <w:tcW w:w="951" w:type="dxa"/>
            <w:vAlign w:val="bottom"/>
          </w:tcPr>
          <w:p w:rsidR="00FC7BDC" w:rsidRPr="00DF38B2" w:rsidRDefault="00FC7BDC" w:rsidP="006654AE">
            <w:pPr>
              <w:pStyle w:val="tabletextright"/>
            </w:pPr>
            <w:r>
              <w:rPr>
                <w:color w:val="000000"/>
                <w:szCs w:val="18"/>
              </w:rPr>
              <w:t>4.8</w:t>
            </w:r>
          </w:p>
        </w:tc>
        <w:tc>
          <w:tcPr>
            <w:tcW w:w="951" w:type="dxa"/>
            <w:vAlign w:val="bottom"/>
          </w:tcPr>
          <w:p w:rsidR="00FC7BDC" w:rsidRPr="00DF38B2" w:rsidRDefault="00FC7BDC" w:rsidP="006654AE">
            <w:pPr>
              <w:pStyle w:val="tabletextright"/>
            </w:pPr>
            <w:r>
              <w:rPr>
                <w:color w:val="000000"/>
                <w:szCs w:val="18"/>
              </w:rPr>
              <w:t>87.9</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Special Benefit</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100.0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Crisis payment</w:t>
            </w:r>
          </w:p>
        </w:tc>
        <w:tc>
          <w:tcPr>
            <w:tcW w:w="951" w:type="dxa"/>
            <w:vAlign w:val="bottom"/>
          </w:tcPr>
          <w:p w:rsidR="00FC7BDC" w:rsidRPr="00DF38B2" w:rsidRDefault="00FC7BDC" w:rsidP="006654AE">
            <w:pPr>
              <w:pStyle w:val="tabletextright"/>
            </w:pPr>
            <w:r>
              <w:rPr>
                <w:color w:val="000000"/>
                <w:szCs w:val="18"/>
              </w:rPr>
              <w:t>25.3</w:t>
            </w:r>
          </w:p>
        </w:tc>
        <w:tc>
          <w:tcPr>
            <w:tcW w:w="951" w:type="dxa"/>
            <w:vAlign w:val="bottom"/>
          </w:tcPr>
          <w:p w:rsidR="00FC7BDC" w:rsidRPr="00DF38B2" w:rsidRDefault="00FC7BDC" w:rsidP="006654AE">
            <w:pPr>
              <w:pStyle w:val="tabletextright"/>
            </w:pPr>
            <w:r>
              <w:rPr>
                <w:color w:val="000000"/>
                <w:szCs w:val="18"/>
              </w:rPr>
              <w:t>2.3</w:t>
            </w:r>
          </w:p>
        </w:tc>
        <w:tc>
          <w:tcPr>
            <w:tcW w:w="951" w:type="dxa"/>
            <w:vAlign w:val="bottom"/>
          </w:tcPr>
          <w:p w:rsidR="00FC7BDC" w:rsidRPr="00DF38B2" w:rsidRDefault="00FC7BDC" w:rsidP="006654AE">
            <w:pPr>
              <w:pStyle w:val="tabletextright"/>
            </w:pPr>
            <w:r>
              <w:rPr>
                <w:color w:val="000000"/>
                <w:szCs w:val="18"/>
              </w:rPr>
              <w:t>17.2</w:t>
            </w:r>
          </w:p>
        </w:tc>
        <w:tc>
          <w:tcPr>
            <w:tcW w:w="951" w:type="dxa"/>
            <w:vAlign w:val="bottom"/>
          </w:tcPr>
          <w:p w:rsidR="00FC7BDC" w:rsidRPr="00DF38B2" w:rsidRDefault="00FC7BDC" w:rsidP="006654AE">
            <w:pPr>
              <w:pStyle w:val="tabletextright"/>
            </w:pPr>
            <w:r>
              <w:rPr>
                <w:color w:val="000000"/>
                <w:szCs w:val="18"/>
              </w:rPr>
              <w:t>55.2</w:t>
            </w:r>
          </w:p>
        </w:tc>
        <w:tc>
          <w:tcPr>
            <w:tcW w:w="952" w:type="dxa"/>
            <w:vAlign w:val="bottom"/>
          </w:tcPr>
          <w:p w:rsidR="00FC7BDC" w:rsidRPr="00DF38B2" w:rsidRDefault="00FC7BDC" w:rsidP="006654AE">
            <w:pPr>
              <w:pStyle w:val="tabletextright"/>
            </w:pPr>
            <w:r>
              <w:rPr>
                <w:color w:val="000000"/>
                <w:szCs w:val="18"/>
              </w:rPr>
              <w:t>100.0</w:t>
            </w:r>
          </w:p>
        </w:tc>
      </w:tr>
      <w:tr w:rsidR="00FC7BDC" w:rsidRPr="00FC7BDC"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Automatic Vulnerable</w:t>
            </w:r>
          </w:p>
        </w:tc>
        <w:tc>
          <w:tcPr>
            <w:tcW w:w="951" w:type="dxa"/>
            <w:vAlign w:val="bottom"/>
          </w:tcPr>
          <w:p w:rsidR="00FC7BDC" w:rsidRPr="00FC7BDC" w:rsidRDefault="00FC7BDC" w:rsidP="006654AE">
            <w:pPr>
              <w:pStyle w:val="tabletextright"/>
              <w:rPr>
                <w:i/>
              </w:rPr>
            </w:pPr>
            <w:r w:rsidRPr="00FC7BDC">
              <w:rPr>
                <w:i/>
                <w:color w:val="000000"/>
                <w:szCs w:val="18"/>
              </w:rPr>
              <w:t>11.4</w:t>
            </w:r>
          </w:p>
        </w:tc>
        <w:tc>
          <w:tcPr>
            <w:tcW w:w="951" w:type="dxa"/>
            <w:vAlign w:val="bottom"/>
          </w:tcPr>
          <w:p w:rsidR="00FC7BDC" w:rsidRPr="00FC7BDC" w:rsidRDefault="00FC7BDC" w:rsidP="006654AE">
            <w:pPr>
              <w:pStyle w:val="tabletextright"/>
              <w:rPr>
                <w:i/>
              </w:rPr>
            </w:pPr>
            <w:r w:rsidRPr="00FC7BDC">
              <w:rPr>
                <w:i/>
                <w:color w:val="000000"/>
                <w:szCs w:val="18"/>
              </w:rPr>
              <w:t>2.7</w:t>
            </w:r>
          </w:p>
        </w:tc>
        <w:tc>
          <w:tcPr>
            <w:tcW w:w="951" w:type="dxa"/>
            <w:vAlign w:val="bottom"/>
          </w:tcPr>
          <w:p w:rsidR="00FC7BDC" w:rsidRPr="00FC7BDC" w:rsidRDefault="00FC7BDC" w:rsidP="006654AE">
            <w:pPr>
              <w:pStyle w:val="tabletextright"/>
              <w:rPr>
                <w:i/>
              </w:rPr>
            </w:pPr>
            <w:r w:rsidRPr="00FC7BDC">
              <w:rPr>
                <w:i/>
                <w:color w:val="000000"/>
                <w:szCs w:val="18"/>
              </w:rPr>
              <w:t>9.0</w:t>
            </w:r>
          </w:p>
        </w:tc>
        <w:tc>
          <w:tcPr>
            <w:tcW w:w="951" w:type="dxa"/>
            <w:vAlign w:val="bottom"/>
          </w:tcPr>
          <w:p w:rsidR="00FC7BDC" w:rsidRPr="00FC7BDC" w:rsidRDefault="00FC7BDC" w:rsidP="006654AE">
            <w:pPr>
              <w:pStyle w:val="tabletextright"/>
              <w:rPr>
                <w:i/>
              </w:rPr>
            </w:pPr>
            <w:r w:rsidRPr="00FC7BDC">
              <w:rPr>
                <w:i/>
                <w:color w:val="000000"/>
                <w:szCs w:val="18"/>
              </w:rPr>
              <w:t>76.9</w:t>
            </w:r>
          </w:p>
        </w:tc>
        <w:tc>
          <w:tcPr>
            <w:tcW w:w="952" w:type="dxa"/>
            <w:vAlign w:val="bottom"/>
          </w:tcPr>
          <w:p w:rsidR="00FC7BDC" w:rsidRPr="00FC7BDC" w:rsidRDefault="00FC7BDC" w:rsidP="006654AE">
            <w:pPr>
              <w:pStyle w:val="tabletextright"/>
              <w:rPr>
                <w:i/>
              </w:rPr>
            </w:pPr>
            <w:r w:rsidRPr="00FC7BDC">
              <w:rPr>
                <w:i/>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SPAR</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16.7</w:t>
            </w:r>
          </w:p>
        </w:tc>
        <w:tc>
          <w:tcPr>
            <w:tcW w:w="951" w:type="dxa"/>
            <w:vAlign w:val="bottom"/>
          </w:tcPr>
          <w:p w:rsidR="00FC7BDC" w:rsidRPr="00DF38B2" w:rsidRDefault="00FC7BDC" w:rsidP="006654AE">
            <w:pPr>
              <w:pStyle w:val="tabletextright"/>
            </w:pPr>
            <w:r>
              <w:rPr>
                <w:color w:val="000000"/>
                <w:szCs w:val="18"/>
              </w:rPr>
              <w:t>83.3</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Nominee IM</w:t>
            </w:r>
          </w:p>
        </w:tc>
        <w:tc>
          <w:tcPr>
            <w:tcW w:w="951" w:type="dxa"/>
            <w:vAlign w:val="bottom"/>
          </w:tcPr>
          <w:p w:rsidR="00FC7BDC" w:rsidRPr="00DF38B2" w:rsidRDefault="00FC7BDC" w:rsidP="006654AE">
            <w:pPr>
              <w:pStyle w:val="tabletextright"/>
            </w:pPr>
            <w:r>
              <w:rPr>
                <w:color w:val="000000"/>
                <w:szCs w:val="18"/>
              </w:rPr>
              <w:t>22.0</w:t>
            </w:r>
          </w:p>
        </w:tc>
        <w:tc>
          <w:tcPr>
            <w:tcW w:w="951" w:type="dxa"/>
            <w:vAlign w:val="bottom"/>
          </w:tcPr>
          <w:p w:rsidR="00FC7BDC" w:rsidRPr="00DF38B2" w:rsidRDefault="00FC7BDC" w:rsidP="006654AE">
            <w:pPr>
              <w:pStyle w:val="tabletextright"/>
            </w:pPr>
            <w:r>
              <w:rPr>
                <w:color w:val="000000"/>
                <w:szCs w:val="18"/>
              </w:rPr>
              <w:t>7.3</w:t>
            </w:r>
          </w:p>
        </w:tc>
        <w:tc>
          <w:tcPr>
            <w:tcW w:w="951" w:type="dxa"/>
            <w:vAlign w:val="bottom"/>
          </w:tcPr>
          <w:p w:rsidR="00FC7BDC" w:rsidRPr="00DF38B2" w:rsidRDefault="00FC7BDC" w:rsidP="006654AE">
            <w:pPr>
              <w:pStyle w:val="tabletextright"/>
            </w:pPr>
            <w:r>
              <w:rPr>
                <w:color w:val="000000"/>
                <w:szCs w:val="18"/>
              </w:rPr>
              <w:t>31.7</w:t>
            </w:r>
          </w:p>
        </w:tc>
        <w:tc>
          <w:tcPr>
            <w:tcW w:w="951" w:type="dxa"/>
            <w:vAlign w:val="bottom"/>
          </w:tcPr>
          <w:p w:rsidR="00FC7BDC" w:rsidRPr="00DF38B2" w:rsidRDefault="00FC7BDC" w:rsidP="006654AE">
            <w:pPr>
              <w:pStyle w:val="tabletextright"/>
            </w:pPr>
            <w:r>
              <w:rPr>
                <w:color w:val="000000"/>
                <w:szCs w:val="18"/>
              </w:rPr>
              <w:t>39.0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tcBorders>
              <w:bottom w:val="single" w:sz="4" w:space="0" w:color="auto"/>
            </w:tcBorders>
            <w:vAlign w:val="center"/>
          </w:tcPr>
          <w:p w:rsidR="00FC7BDC" w:rsidRPr="00DF38B2" w:rsidRDefault="00FC7BDC" w:rsidP="006654AE">
            <w:pPr>
              <w:pStyle w:val="tabletextleft"/>
            </w:pPr>
            <w:r w:rsidRPr="00DF38B2">
              <w:t>Total</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28.9</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17.8</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13.5</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39.8</w:t>
            </w:r>
          </w:p>
        </w:tc>
        <w:tc>
          <w:tcPr>
            <w:tcW w:w="952" w:type="dxa"/>
            <w:tcBorders>
              <w:bottom w:val="single" w:sz="4" w:space="0" w:color="auto"/>
            </w:tcBorders>
            <w:vAlign w:val="bottom"/>
          </w:tcPr>
          <w:p w:rsidR="00FC7BDC" w:rsidRPr="00DF38B2" w:rsidRDefault="00FC7BDC" w:rsidP="006654AE">
            <w:pPr>
              <w:pStyle w:val="tabletextright"/>
            </w:pPr>
            <w:r>
              <w:rPr>
                <w:color w:val="000000"/>
                <w:szCs w:val="18"/>
              </w:rPr>
              <w:t>100.0</w:t>
            </w:r>
          </w:p>
        </w:tc>
      </w:tr>
    </w:tbl>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Default="005E1FE0" w:rsidP="006654AE">
      <w:pPr>
        <w:pStyle w:val="tablefootnoteslastline"/>
      </w:pPr>
    </w:p>
    <w:p w:rsidR="00805620" w:rsidRDefault="00805620" w:rsidP="006654AE">
      <w:pPr>
        <w:pStyle w:val="Caption"/>
      </w:pPr>
      <w:bookmarkStart w:id="129" w:name="_Ref395012028"/>
      <w:bookmarkStart w:id="130" w:name="_Toc403739409"/>
      <w:r>
        <w:lastRenderedPageBreak/>
        <w:t xml:space="preserve">Table </w:t>
      </w:r>
      <w:fldSimple w:instr=" STYLEREF 1 \s ">
        <w:r w:rsidR="00906D13">
          <w:rPr>
            <w:noProof/>
          </w:rPr>
          <w:t>4</w:t>
        </w:r>
      </w:fldSimple>
      <w:r w:rsidR="00D40B64">
        <w:noBreakHyphen/>
      </w:r>
      <w:fldSimple w:instr=" SEQ Table \* ARABIC \s 1 ">
        <w:r w:rsidR="00906D13">
          <w:rPr>
            <w:noProof/>
          </w:rPr>
          <w:t>4</w:t>
        </w:r>
      </w:fldSimple>
      <w:bookmarkEnd w:id="129"/>
      <w:r>
        <w:t xml:space="preserve"> </w:t>
      </w:r>
      <w:r w:rsidR="001C0BE0">
        <w:tab/>
      </w:r>
      <w:r>
        <w:t xml:space="preserve">Family type by </w:t>
      </w:r>
      <w:r w:rsidR="005E1DCA">
        <w:t>broad stream</w:t>
      </w:r>
      <w:r>
        <w:t xml:space="preserve"> of income management and Indigenous status, </w:t>
      </w:r>
      <w:r w:rsidR="00210B0C">
        <w:t xml:space="preserve">NIM, </w:t>
      </w:r>
      <w:r>
        <w:t>December 2013</w:t>
      </w:r>
      <w:bookmarkEnd w:id="130"/>
    </w:p>
    <w:tbl>
      <w:tblPr>
        <w:tblW w:w="8754" w:type="dxa"/>
        <w:jc w:val="center"/>
        <w:tblLook w:val="04A0" w:firstRow="1" w:lastRow="0" w:firstColumn="1" w:lastColumn="0" w:noHBand="0" w:noVBand="1"/>
        <w:tblDescription w:val="This table as with the previous one has five data columns are for the four family types and a total, the family types are: Couple with dependent child; Single parent; Couple only; and a Single person.&#10;The table has four horizontal sub panels and within these data is given for two broad streams of income management – compulsory and voluntary – and a total.  The first two sub-panels present the number of persons by whether they are non-Indigenous and Indigenous, the second two sub-panels present data on the composition of the participants by stream – that is the percentage who are of each of the family types, again for the non-Indigenous and Indigenous populations. &#10;The key statistics from the table are described in the text&#10;"/>
      </w:tblPr>
      <w:tblGrid>
        <w:gridCol w:w="1811"/>
        <w:gridCol w:w="1843"/>
        <w:gridCol w:w="1200"/>
        <w:gridCol w:w="960"/>
        <w:gridCol w:w="980"/>
        <w:gridCol w:w="980"/>
        <w:gridCol w:w="980"/>
      </w:tblGrid>
      <w:tr w:rsidR="006F40C7" w:rsidRPr="00805620" w:rsidTr="006F40C7">
        <w:trPr>
          <w:trHeight w:val="20"/>
          <w:tblHeader/>
          <w:jc w:val="center"/>
        </w:trPr>
        <w:tc>
          <w:tcPr>
            <w:tcW w:w="1811" w:type="dxa"/>
            <w:tcBorders>
              <w:top w:val="single" w:sz="4" w:space="0" w:color="auto"/>
              <w:left w:val="nil"/>
              <w:bottom w:val="single" w:sz="4" w:space="0" w:color="auto"/>
              <w:right w:val="nil"/>
            </w:tcBorders>
          </w:tcPr>
          <w:p w:rsidR="006F40C7" w:rsidRPr="0072072C" w:rsidRDefault="006F40C7" w:rsidP="006654AE">
            <w:pPr>
              <w:pStyle w:val="tabletextleft"/>
              <w:rPr>
                <w:rFonts w:eastAsia="Times New Roman"/>
              </w:rPr>
            </w:pPr>
            <w:r w:rsidRPr="0072072C">
              <w:rPr>
                <w:rFonts w:eastAsia="Times New Roman"/>
              </w:rPr>
              <w:t>Indigenous status</w:t>
            </w:r>
          </w:p>
        </w:tc>
        <w:tc>
          <w:tcPr>
            <w:tcW w:w="1843" w:type="dxa"/>
            <w:tcBorders>
              <w:top w:val="single" w:sz="4" w:space="0" w:color="auto"/>
              <w:left w:val="nil"/>
              <w:bottom w:val="single" w:sz="4" w:space="0" w:color="auto"/>
              <w:right w:val="nil"/>
            </w:tcBorders>
            <w:shd w:val="clear" w:color="auto" w:fill="auto"/>
            <w:hideMark/>
          </w:tcPr>
          <w:p w:rsidR="006F40C7" w:rsidRPr="00805620" w:rsidRDefault="006F40C7" w:rsidP="006F40C7">
            <w:pPr>
              <w:pStyle w:val="tabletextleft"/>
              <w:jc w:val="left"/>
              <w:rPr>
                <w:rFonts w:eastAsia="Times New Roman"/>
              </w:rPr>
            </w:pPr>
            <w:r>
              <w:rPr>
                <w:rFonts w:eastAsia="Times New Roman"/>
              </w:rPr>
              <w:t>Broad stream of income management</w:t>
            </w:r>
          </w:p>
        </w:tc>
        <w:tc>
          <w:tcPr>
            <w:tcW w:w="120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Couple with dependent child</w:t>
            </w:r>
          </w:p>
        </w:tc>
        <w:tc>
          <w:tcPr>
            <w:tcW w:w="96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Single parent</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Couple only</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Single person</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Total</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 (n)</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404</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1,065</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1,770</w:t>
            </w:r>
          </w:p>
        </w:tc>
      </w:tr>
      <w:tr w:rsidR="0072072C" w:rsidRPr="00805620" w:rsidTr="00EB5275">
        <w:trPr>
          <w:trHeight w:val="20"/>
          <w:jc w:val="center"/>
        </w:trPr>
        <w:tc>
          <w:tcPr>
            <w:tcW w:w="181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F40C7">
            <w:pPr>
              <w:pStyle w:val="tabletextleft"/>
              <w:ind w:right="-54"/>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189</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411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129</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1,101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1,830</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Indigenous (n)</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4,591</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2,516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1,701</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4,043</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12,851</w:t>
            </w:r>
          </w:p>
        </w:tc>
      </w:tr>
      <w:tr w:rsidR="0072072C" w:rsidRPr="00805620" w:rsidTr="00EB5275">
        <w:trPr>
          <w:trHeight w:val="20"/>
          <w:jc w:val="center"/>
        </w:trPr>
        <w:tc>
          <w:tcPr>
            <w:tcW w:w="181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504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337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640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2,134</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3,615</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5,095</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2,853</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2,341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6,177</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16,466</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 (%)</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22.8</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right w:val="nil"/>
            </w:tcBorders>
          </w:tcPr>
          <w:p w:rsidR="0072072C" w:rsidRPr="0072072C" w:rsidRDefault="0072072C" w:rsidP="00D615D9">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8.3</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20.0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D615D9">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10.3</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22.5</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7.0</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60.2</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Indigenous (%)</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35.7</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19.6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13.2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31.5</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right w:val="nil"/>
            </w:tcBorders>
          </w:tcPr>
          <w:p w:rsidR="0072072C" w:rsidRPr="00F90E75" w:rsidRDefault="0072072C" w:rsidP="00D615D9">
            <w:pPr>
              <w:pStyle w:val="tabletextleft"/>
              <w:rPr>
                <w:rFonts w:eastAsia="Times New Roman"/>
                <w:color w:val="FFFFFF" w:themeColor="background1"/>
                <w:highlight w:val="yellow"/>
              </w:rPr>
            </w:pPr>
          </w:p>
        </w:tc>
        <w:tc>
          <w:tcPr>
            <w:tcW w:w="1843" w:type="dxa"/>
            <w:tcBorders>
              <w:top w:val="nil"/>
              <w:left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13.9</w:t>
            </w:r>
          </w:p>
        </w:tc>
        <w:tc>
          <w:tcPr>
            <w:tcW w:w="96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9.3</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17.7</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59.0</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F90E75" w:rsidRDefault="0072072C" w:rsidP="00D615D9">
            <w:pPr>
              <w:pStyle w:val="tabletextleft"/>
              <w:rPr>
                <w:rFonts w:eastAsia="Times New Roman"/>
                <w:color w:val="FFFFFF" w:themeColor="background1"/>
                <w:highlight w:val="yellow"/>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30.9</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17.3</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14.2</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37.5</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bl>
    <w:p w:rsidR="002532F6" w:rsidRDefault="002532F6" w:rsidP="006654AE">
      <w:pPr>
        <w:pStyle w:val="tablenotes"/>
      </w:pPr>
      <w:r>
        <w:t xml:space="preserve">Notes: </w:t>
      </w:r>
      <w:r>
        <w:tab/>
      </w:r>
    </w:p>
    <w:p w:rsidR="00FC7BDC" w:rsidRDefault="00FC7BDC" w:rsidP="006654AE">
      <w:pPr>
        <w:pStyle w:val="tablenotes"/>
      </w:pPr>
      <w:r>
        <w:t>(a)</w:t>
      </w:r>
      <w:r w:rsidR="00B84AFE">
        <w:t xml:space="preserve"> </w:t>
      </w:r>
      <w:r w:rsidR="002532F6">
        <w:tab/>
      </w:r>
      <w:r>
        <w:t xml:space="preserve">Includes </w:t>
      </w:r>
      <w:proofErr w:type="gramStart"/>
      <w:r>
        <w:t>Vulnerable</w:t>
      </w:r>
      <w:proofErr w:type="gramEnd"/>
      <w:r>
        <w:t xml:space="preserve"> measures, Child Protection, </w:t>
      </w:r>
      <w:r w:rsidR="00791004">
        <w:t>SPAR, and Nominee Income Management.</w:t>
      </w:r>
    </w:p>
    <w:p w:rsidR="00805620" w:rsidRDefault="00805620" w:rsidP="006654AE">
      <w:pPr>
        <w:pStyle w:val="tablenotes"/>
      </w:pPr>
      <w:r w:rsidRPr="00DF38B2">
        <w:t xml:space="preserve">Source: </w:t>
      </w:r>
      <w:r w:rsidRPr="00DF38B2">
        <w:tab/>
      </w:r>
      <w:r w:rsidR="00305D80">
        <w:t xml:space="preserve">Derived from </w:t>
      </w:r>
      <w:r w:rsidRPr="00DF38B2">
        <w:t xml:space="preserve">DHS Administrative data provided for </w:t>
      </w:r>
      <w:r w:rsidR="00FC7BDC">
        <w:t>the purposes of the evaluation.</w:t>
      </w:r>
    </w:p>
    <w:p w:rsidR="00296744" w:rsidRPr="00DF38B2" w:rsidRDefault="00296744" w:rsidP="006654AE">
      <w:pPr>
        <w:pStyle w:val="tablefootnoteslastline"/>
      </w:pPr>
    </w:p>
    <w:p w:rsidR="005E1FE0" w:rsidRPr="00DF38B2" w:rsidRDefault="005E1FE0" w:rsidP="006654AE">
      <w:pPr>
        <w:pStyle w:val="Heading3"/>
      </w:pPr>
      <w:bookmarkStart w:id="131" w:name="_Toc403739003"/>
      <w:r w:rsidRPr="00DF38B2">
        <w:t>Age and number of children</w:t>
      </w:r>
      <w:bookmarkEnd w:id="131"/>
    </w:p>
    <w:p w:rsidR="005E1FE0" w:rsidRPr="00DF38B2" w:rsidRDefault="005E1FE0" w:rsidP="006654AE">
      <w:r w:rsidRPr="00DF38B2">
        <w:t xml:space="preserve">This section </w:t>
      </w:r>
      <w:r w:rsidR="006D451C" w:rsidRPr="00DF38B2">
        <w:t>considers</w:t>
      </w:r>
      <w:r w:rsidRPr="00DF38B2">
        <w:t xml:space="preserve"> those subject to income management by detailed stream of income management</w:t>
      </w:r>
      <w:r w:rsidR="006D451C" w:rsidRPr="00DF38B2">
        <w:t xml:space="preserve"> and the number and characteristics of their dependent children</w:t>
      </w:r>
      <w:r w:rsidRPr="00DF38B2">
        <w:t xml:space="preserve">. </w:t>
      </w:r>
    </w:p>
    <w:p w:rsidR="005E1FE0" w:rsidRDefault="005E1FE0" w:rsidP="006654AE">
      <w:r w:rsidRPr="00DF38B2">
        <w:t xml:space="preserve">As illustrated in </w:t>
      </w:r>
      <w:r w:rsidRPr="00DF38B2">
        <w:fldChar w:fldCharType="begin"/>
      </w:r>
      <w:r w:rsidRPr="00DF38B2">
        <w:instrText xml:space="preserve"> REF _Ref391231280 \h </w:instrText>
      </w:r>
      <w:r w:rsidRPr="00DF38B2">
        <w:fldChar w:fldCharType="separate"/>
      </w:r>
      <w:r w:rsidR="00906D13" w:rsidRPr="00FE502F">
        <w:t xml:space="preserve">Figure </w:t>
      </w:r>
      <w:r w:rsidR="00906D13">
        <w:rPr>
          <w:noProof/>
        </w:rPr>
        <w:t>4</w:t>
      </w:r>
      <w:r w:rsidR="00906D13" w:rsidRPr="00DF38B2">
        <w:noBreakHyphen/>
      </w:r>
      <w:r w:rsidR="00906D13">
        <w:rPr>
          <w:noProof/>
        </w:rPr>
        <w:t>10</w:t>
      </w:r>
      <w:r w:rsidRPr="00DF38B2">
        <w:fldChar w:fldCharType="end"/>
      </w:r>
      <w:r w:rsidR="00380B02">
        <w:t>,</w:t>
      </w:r>
      <w:r w:rsidRPr="00DF38B2">
        <w:t xml:space="preserve"> some 53.3 per cent of people on Income management have no children.</w:t>
      </w:r>
      <w:r w:rsidRPr="00DF38B2">
        <w:rPr>
          <w:rStyle w:val="FootnoteReference"/>
        </w:rPr>
        <w:footnoteReference w:id="60"/>
      </w:r>
      <w:r w:rsidRPr="00DF38B2">
        <w:t xml:space="preserve"> This childless proportion varies by program type</w:t>
      </w:r>
      <w:r w:rsidR="00380B02">
        <w:t>: i</w:t>
      </w:r>
      <w:r w:rsidRPr="00DF38B2">
        <w:t>t is 10.8 per cent for those on the Child Protection measure and rises to 91.2 per cent for those who have been assessed as vul</w:t>
      </w:r>
      <w:r w:rsidRPr="00FE502F">
        <w:t>nerable.</w:t>
      </w:r>
    </w:p>
    <w:p w:rsidR="00F87E87" w:rsidRPr="00DF38B2" w:rsidRDefault="00F87E87" w:rsidP="006654AE">
      <w:r w:rsidRPr="00DF38B2">
        <w:t>Amongst people subject to income management with dependent children the average age of the youngest child within these families is 4.9 years (under school-age) and the average number of children is 2.0.</w:t>
      </w:r>
    </w:p>
    <w:p w:rsidR="00F87E87" w:rsidRPr="00DF38B2" w:rsidRDefault="00F87E87" w:rsidP="006654AE">
      <w:r w:rsidRPr="00DF38B2">
        <w:t xml:space="preserve">Indigenous people subject to income management, who have dependent </w:t>
      </w:r>
      <w:proofErr w:type="gramStart"/>
      <w:r w:rsidRPr="00DF38B2">
        <w:t>children</w:t>
      </w:r>
      <w:proofErr w:type="gramEnd"/>
      <w:r w:rsidRPr="00DF38B2">
        <w:t xml:space="preserve"> have</w:t>
      </w:r>
      <w:r>
        <w:t>,</w:t>
      </w:r>
      <w:r w:rsidRPr="00DF38B2">
        <w:t xml:space="preserve"> on average</w:t>
      </w:r>
      <w:r>
        <w:t>,</w:t>
      </w:r>
      <w:r w:rsidRPr="00DF38B2">
        <w:t xml:space="preserve"> slightly younger and fewer children than non-Indigenous</w:t>
      </w:r>
      <w:r>
        <w:t xml:space="preserve"> people</w:t>
      </w:r>
      <w:r w:rsidRPr="00DF38B2">
        <w:t>. For example, the average number of children for non-Indigenous people subject to income management is 2.2</w:t>
      </w:r>
      <w:r>
        <w:t>,</w:t>
      </w:r>
      <w:r w:rsidRPr="00DF38B2">
        <w:t xml:space="preserve"> compared to 2.0 for Indigenous people with dependent children subject to income management. This particular pattern in part appears to be the result of differential rates of exemptions by both Indigenous status and number of children, and the higher rate of exemption recorded by those people who have just one child relative to those with more.</w:t>
      </w:r>
    </w:p>
    <w:p w:rsidR="00F87E87" w:rsidRPr="00FE502F" w:rsidRDefault="00F87E87" w:rsidP="006654AE"/>
    <w:p w:rsidR="005E1FE0" w:rsidRPr="00DF38B2" w:rsidRDefault="005E1FE0" w:rsidP="006654AE">
      <w:pPr>
        <w:pStyle w:val="Caption"/>
        <w:ind w:left="1439" w:hanging="1155"/>
      </w:pPr>
      <w:bookmarkStart w:id="132" w:name="_Ref391231280"/>
      <w:bookmarkStart w:id="133" w:name="_Ref391067734"/>
      <w:bookmarkStart w:id="134" w:name="_Toc403739503"/>
      <w:r w:rsidRPr="00FE502F">
        <w:lastRenderedPageBreak/>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132"/>
      <w:r w:rsidRPr="00DF38B2">
        <w:tab/>
        <w:t xml:space="preserve">Number of dependent children by stream of income management, </w:t>
      </w:r>
      <w:r w:rsidR="00210B0C">
        <w:t xml:space="preserve">NIM, </w:t>
      </w:r>
      <w:r w:rsidRPr="00DF38B2">
        <w:t>December 2013</w:t>
      </w:r>
      <w:bookmarkEnd w:id="133"/>
      <w:bookmarkEnd w:id="134"/>
    </w:p>
    <w:p w:rsidR="005E1FE0" w:rsidRPr="00DF38B2" w:rsidRDefault="005E1FE0" w:rsidP="006654AE">
      <w:pPr>
        <w:pStyle w:val="graphicpaste"/>
      </w:pPr>
      <w:r w:rsidRPr="008E4D9D">
        <w:rPr>
          <w:noProof/>
        </w:rPr>
        <w:drawing>
          <wp:inline distT="0" distB="0" distL="0" distR="0" wp14:anchorId="6DDC965B" wp14:editId="428105B0">
            <wp:extent cx="4572000" cy="2743200"/>
            <wp:effectExtent l="0" t="0" r="0" b="0"/>
            <wp:docPr id="54" name="Picture 54" descr="This is a bar chart giving the distribution of number of children by main stream of income management. &#10; The largest variation is in the number with no children with the data for this category being: Total income management – proportion with no children 53.3 per cent; Voluntary 76.8 per cent; Vulnerable auto 85.9 per cent; Vulnerable assessed 91.2 per cent; Child Protection 10.8 per cent; and other compulsory income management 46.4 per cent. &#10;There is some discussion of this and also the distribution of number of children for the income management population as a whole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9655C3" w:rsidRDefault="005E1FE0" w:rsidP="006654AE">
      <w:pPr>
        <w:pStyle w:val="tablenotes"/>
      </w:pPr>
      <w:r w:rsidRPr="00FE502F">
        <w:t xml:space="preserve">Source: </w:t>
      </w:r>
      <w:r w:rsidRPr="00FE502F">
        <w:tab/>
      </w:r>
      <w:r w:rsidR="00305D80">
        <w:t xml:space="preserve">Derived from </w:t>
      </w:r>
      <w:r w:rsidRPr="00FE502F">
        <w:t>DHS Administrative data provide</w:t>
      </w:r>
      <w:r w:rsidRPr="009655C3">
        <w:t>d for the purposes of the evaluation.</w:t>
      </w:r>
    </w:p>
    <w:p w:rsidR="005E1FE0" w:rsidRPr="00DF38B2" w:rsidRDefault="005E1FE0" w:rsidP="006654AE">
      <w:pPr>
        <w:pStyle w:val="tablefootnoteslastline"/>
      </w:pPr>
    </w:p>
    <w:p w:rsidR="00F87E87" w:rsidRDefault="00F87E87" w:rsidP="006654AE"/>
    <w:p w:rsidR="00F87E87" w:rsidRPr="00DF38B2" w:rsidRDefault="00F87E87" w:rsidP="006654AE">
      <w:r w:rsidRPr="00DF38B2">
        <w:t xml:space="preserve">Within the income management initiatives, people on the </w:t>
      </w:r>
      <w:r w:rsidR="0084437C">
        <w:t>C</w:t>
      </w:r>
      <w:r w:rsidRPr="00DF38B2">
        <w:t xml:space="preserve">hild </w:t>
      </w:r>
      <w:r w:rsidR="0084437C">
        <w:t>P</w:t>
      </w:r>
      <w:r w:rsidRPr="00DF38B2">
        <w:t xml:space="preserve">rotection measure had the highest average number of children (2.5) and a relatively younger average age of the youngest child (3.3 years of age). </w:t>
      </w:r>
      <w:r>
        <w:t>O</w:t>
      </w:r>
      <w:r w:rsidRPr="00DF38B2">
        <w:t xml:space="preserve">n average, </w:t>
      </w:r>
      <w:r>
        <w:t>t</w:t>
      </w:r>
      <w:r w:rsidRPr="00DF38B2">
        <w:t xml:space="preserve">hose on assessed Vulnerable </w:t>
      </w:r>
      <w:r>
        <w:t xml:space="preserve">and </w:t>
      </w:r>
      <w:r w:rsidRPr="00DF38B2">
        <w:t xml:space="preserve">Voluntary Income Management </w:t>
      </w:r>
      <w:r w:rsidRPr="00D0429A">
        <w:t>had</w:t>
      </w:r>
      <w:r>
        <w:t xml:space="preserve"> older children, with an average age of the youngest dependent child of </w:t>
      </w:r>
      <w:r w:rsidRPr="00DF38B2">
        <w:t>8.1 and 7.9 years respectively.</w:t>
      </w:r>
    </w:p>
    <w:p w:rsidR="005E1FE0" w:rsidRPr="00FE502F" w:rsidRDefault="005E1FE0" w:rsidP="006654AE">
      <w:r w:rsidRPr="00DF38B2">
        <w:t xml:space="preserve">Overall, </w:t>
      </w:r>
      <w:r w:rsidR="00CA0587">
        <w:t>20.0</w:t>
      </w:r>
      <w:r w:rsidRPr="00DF38B2">
        <w:t> per cent of people subject to income management had one child, 13.6 per cent had two children, 7.7 per cent had three children</w:t>
      </w:r>
      <w:r w:rsidR="001D32C1">
        <w:t>,</w:t>
      </w:r>
      <w:r w:rsidRPr="00DF38B2">
        <w:t xml:space="preserve"> and 5.5 per cent had four or more children (</w:t>
      </w:r>
      <w:r w:rsidRPr="00FE502F">
        <w:fldChar w:fldCharType="begin"/>
      </w:r>
      <w:r w:rsidRPr="00DF38B2">
        <w:instrText xml:space="preserve"> REF _Ref391231280 \h </w:instrText>
      </w:r>
      <w:r w:rsidRPr="00FE502F">
        <w:fldChar w:fldCharType="separate"/>
      </w:r>
      <w:r w:rsidR="00906D13" w:rsidRPr="00FE502F">
        <w:t xml:space="preserve">Figure </w:t>
      </w:r>
      <w:r w:rsidR="00906D13">
        <w:rPr>
          <w:noProof/>
        </w:rPr>
        <w:t>4</w:t>
      </w:r>
      <w:r w:rsidR="00906D13" w:rsidRPr="00DF38B2">
        <w:noBreakHyphen/>
      </w:r>
      <w:r w:rsidR="00906D13">
        <w:rPr>
          <w:noProof/>
        </w:rPr>
        <w:t>10</w:t>
      </w:r>
      <w:r w:rsidRPr="00FE502F">
        <w:fldChar w:fldCharType="end"/>
      </w:r>
      <w:r w:rsidRPr="00DF38B2">
        <w:t xml:space="preserve">). </w:t>
      </w:r>
      <w:r w:rsidR="00CA0587">
        <w:t>Looking simply at those with children</w:t>
      </w:r>
      <w:r w:rsidR="001D32C1">
        <w:t>,</w:t>
      </w:r>
      <w:r w:rsidRPr="00DF38B2">
        <w:t xml:space="preserve"> 4</w:t>
      </w:r>
      <w:r w:rsidR="00CA0587">
        <w:t>2.8</w:t>
      </w:r>
      <w:r w:rsidRPr="00DF38B2">
        <w:t xml:space="preserve"> per cent of families with children had just one child. A further </w:t>
      </w:r>
      <w:r w:rsidR="00CA0587">
        <w:t>29.1</w:t>
      </w:r>
      <w:r w:rsidRPr="00DF38B2">
        <w:t xml:space="preserve"> per cent had </w:t>
      </w:r>
      <w:r w:rsidR="001D32C1">
        <w:t>two</w:t>
      </w:r>
      <w:r w:rsidRPr="00DF38B2">
        <w:t xml:space="preserve"> children, 16</w:t>
      </w:r>
      <w:r w:rsidR="00CA0587">
        <w:t>.4</w:t>
      </w:r>
      <w:r w:rsidRPr="00DF38B2">
        <w:t xml:space="preserve"> per cent had </w:t>
      </w:r>
      <w:r w:rsidR="001D32C1">
        <w:t>three</w:t>
      </w:r>
      <w:r w:rsidRPr="00DF38B2">
        <w:t xml:space="preserve"> children, and the remaining 11</w:t>
      </w:r>
      <w:r w:rsidR="00CA0587">
        <w:t>.8</w:t>
      </w:r>
      <w:r w:rsidRPr="00DF38B2">
        <w:t> per cent had four or more children.</w:t>
      </w:r>
    </w:p>
    <w:p w:rsidR="005E1FE0" w:rsidRPr="00DF38B2" w:rsidRDefault="005E1FE0" w:rsidP="006654AE">
      <w:pPr>
        <w:pStyle w:val="Caption"/>
      </w:pPr>
      <w:bookmarkStart w:id="135" w:name="_Toc403739410"/>
      <w:r w:rsidRPr="00FE502F">
        <w:lastRenderedPageBreak/>
        <w:t xml:space="preserve">Table </w:t>
      </w:r>
      <w:fldSimple w:instr=" STYLEREF 1 \s ">
        <w:r w:rsidR="00906D13">
          <w:rPr>
            <w:noProof/>
          </w:rPr>
          <w:t>4</w:t>
        </w:r>
      </w:fldSimple>
      <w:r w:rsidR="00D40B64">
        <w:noBreakHyphen/>
      </w:r>
      <w:fldSimple w:instr=" SEQ Table \* ARABIC \s 1 ">
        <w:r w:rsidR="00906D13">
          <w:rPr>
            <w:noProof/>
          </w:rPr>
          <w:t>5</w:t>
        </w:r>
      </w:fldSimple>
      <w:r w:rsidRPr="00DF38B2">
        <w:tab/>
        <w:t xml:space="preserve">Number and age of children of people subject to </w:t>
      </w:r>
      <w:r w:rsidR="005E4CAC">
        <w:t>income management</w:t>
      </w:r>
      <w:r w:rsidRPr="00DF38B2">
        <w:t xml:space="preserve"> in the Northern Territory by Indigenous status and </w:t>
      </w:r>
      <w:r w:rsidR="005E1DCA">
        <w:t>type of income management</w:t>
      </w:r>
      <w:r w:rsidRPr="00DF38B2">
        <w:t>, December 2013</w:t>
      </w:r>
      <w:bookmarkEnd w:id="135"/>
    </w:p>
    <w:tbl>
      <w:tblPr>
        <w:tblStyle w:val="TableGrid"/>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e table has four data columns presenting data on child characteristics these are the Average age of youngest child in years; the Average number of children, the Number of people with at least one child and the proportion with children, as a percentage. The table comprises three horizontal panels which provide data for the non-Indigenous, Indigenous and total population. Within each panel data is given for more detailed income management sub-programs.&#10;The key statistics from the table are described in the text. &#10;"/>
      </w:tblPr>
      <w:tblGrid>
        <w:gridCol w:w="1417"/>
        <w:gridCol w:w="2494"/>
        <w:gridCol w:w="1013"/>
        <w:gridCol w:w="1524"/>
        <w:gridCol w:w="1524"/>
        <w:gridCol w:w="1098"/>
      </w:tblGrid>
      <w:tr w:rsidR="006F40C7" w:rsidRPr="00DF38B2" w:rsidTr="006F40C7">
        <w:trPr>
          <w:tblHeader/>
          <w:jc w:val="center"/>
        </w:trPr>
        <w:tc>
          <w:tcPr>
            <w:tcW w:w="1417" w:type="dxa"/>
            <w:tcBorders>
              <w:top w:val="single" w:sz="4" w:space="0" w:color="auto"/>
              <w:bottom w:val="single" w:sz="4" w:space="0" w:color="auto"/>
            </w:tcBorders>
          </w:tcPr>
          <w:p w:rsidR="006F40C7" w:rsidRPr="0072072C" w:rsidRDefault="006F40C7" w:rsidP="006654AE">
            <w:pPr>
              <w:pStyle w:val="tabletextleft"/>
            </w:pPr>
            <w:r w:rsidRPr="0072072C">
              <w:t>Indigenous status</w:t>
            </w:r>
          </w:p>
        </w:tc>
        <w:tc>
          <w:tcPr>
            <w:tcW w:w="2494" w:type="dxa"/>
            <w:tcBorders>
              <w:top w:val="single" w:sz="4" w:space="0" w:color="auto"/>
              <w:bottom w:val="single" w:sz="4" w:space="0" w:color="auto"/>
            </w:tcBorders>
          </w:tcPr>
          <w:p w:rsidR="006F40C7" w:rsidRPr="00DF38B2" w:rsidRDefault="006F40C7" w:rsidP="006654AE">
            <w:pPr>
              <w:pStyle w:val="tabletextleft"/>
            </w:pPr>
            <w:r>
              <w:t>Type of income management</w:t>
            </w:r>
          </w:p>
        </w:tc>
        <w:tc>
          <w:tcPr>
            <w:tcW w:w="1013" w:type="dxa"/>
            <w:tcBorders>
              <w:top w:val="single" w:sz="4" w:space="0" w:color="auto"/>
              <w:bottom w:val="single" w:sz="4" w:space="0" w:color="auto"/>
            </w:tcBorders>
          </w:tcPr>
          <w:p w:rsidR="006F40C7" w:rsidRPr="00DF38B2" w:rsidRDefault="006F40C7" w:rsidP="006654AE">
            <w:pPr>
              <w:pStyle w:val="tabletextright"/>
            </w:pPr>
            <w:r w:rsidRPr="00DF38B2">
              <w:t>Average age of youngest child</w:t>
            </w:r>
          </w:p>
          <w:p w:rsidR="006F40C7" w:rsidRPr="00DF38B2" w:rsidRDefault="006F40C7" w:rsidP="00386B63">
            <w:pPr>
              <w:pStyle w:val="tabletextright"/>
            </w:pPr>
            <w:r w:rsidRPr="00DF38B2">
              <w:t>(years)</w:t>
            </w:r>
          </w:p>
        </w:tc>
        <w:tc>
          <w:tcPr>
            <w:tcW w:w="1524" w:type="dxa"/>
            <w:tcBorders>
              <w:top w:val="single" w:sz="4" w:space="0" w:color="auto"/>
              <w:bottom w:val="single" w:sz="4" w:space="0" w:color="auto"/>
            </w:tcBorders>
          </w:tcPr>
          <w:p w:rsidR="006F40C7" w:rsidRPr="00DF38B2" w:rsidRDefault="006F40C7" w:rsidP="006654AE">
            <w:pPr>
              <w:pStyle w:val="tabletextright"/>
            </w:pPr>
            <w:r w:rsidRPr="00DF38B2">
              <w:t>Average number of children</w:t>
            </w:r>
          </w:p>
          <w:p w:rsidR="006F40C7" w:rsidRPr="00DF38B2" w:rsidRDefault="006F40C7" w:rsidP="006654AE">
            <w:pPr>
              <w:pStyle w:val="tabletextright"/>
            </w:pPr>
          </w:p>
          <w:p w:rsidR="006F40C7" w:rsidRPr="00DF38B2" w:rsidRDefault="006F40C7" w:rsidP="006654AE">
            <w:pPr>
              <w:pStyle w:val="tabletextright"/>
            </w:pPr>
          </w:p>
          <w:p w:rsidR="006F40C7" w:rsidRPr="00DF38B2" w:rsidRDefault="006F40C7" w:rsidP="006654AE">
            <w:pPr>
              <w:pStyle w:val="tabletextright"/>
            </w:pPr>
            <w:r w:rsidRPr="00DF38B2">
              <w:t>(number)</w:t>
            </w:r>
          </w:p>
        </w:tc>
        <w:tc>
          <w:tcPr>
            <w:tcW w:w="1524" w:type="dxa"/>
            <w:tcBorders>
              <w:top w:val="single" w:sz="4" w:space="0" w:color="auto"/>
              <w:bottom w:val="single" w:sz="4" w:space="0" w:color="auto"/>
            </w:tcBorders>
          </w:tcPr>
          <w:p w:rsidR="006F40C7" w:rsidRPr="00DF38B2" w:rsidRDefault="006F40C7" w:rsidP="006654AE">
            <w:pPr>
              <w:pStyle w:val="tabletextright"/>
            </w:pPr>
            <w:r w:rsidRPr="00DF38B2">
              <w:t>Number of people with at least one child</w:t>
            </w:r>
          </w:p>
          <w:p w:rsidR="006F40C7" w:rsidRPr="00DF38B2" w:rsidRDefault="006F40C7" w:rsidP="006654AE">
            <w:pPr>
              <w:pStyle w:val="tabletextright"/>
            </w:pPr>
          </w:p>
          <w:p w:rsidR="006F40C7" w:rsidRPr="00DF38B2" w:rsidRDefault="006F40C7" w:rsidP="006654AE">
            <w:pPr>
              <w:pStyle w:val="tabletextright"/>
            </w:pPr>
            <w:r w:rsidRPr="00DF38B2">
              <w:t>(number)</w:t>
            </w:r>
          </w:p>
        </w:tc>
        <w:tc>
          <w:tcPr>
            <w:tcW w:w="1098" w:type="dxa"/>
            <w:tcBorders>
              <w:top w:val="single" w:sz="4" w:space="0" w:color="auto"/>
              <w:bottom w:val="single" w:sz="4" w:space="0" w:color="auto"/>
            </w:tcBorders>
          </w:tcPr>
          <w:p w:rsidR="006F40C7" w:rsidRPr="00DF38B2" w:rsidRDefault="006F40C7" w:rsidP="006654AE">
            <w:pPr>
              <w:pStyle w:val="tabletextright"/>
            </w:pPr>
            <w:r w:rsidRPr="00DF38B2">
              <w:t>Proportion with children</w:t>
            </w:r>
            <w:r w:rsidRPr="00DF38B2">
              <w:br/>
            </w:r>
          </w:p>
          <w:p w:rsidR="006F40C7" w:rsidRPr="00DF38B2" w:rsidRDefault="006F40C7" w:rsidP="006654AE">
            <w:pPr>
              <w:pStyle w:val="tabletextright"/>
            </w:pPr>
            <w:r w:rsidRPr="00DF38B2">
              <w:t>- % -</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Indigenous</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tcPr>
          <w:p w:rsidR="0072072C" w:rsidRPr="00DF38B2" w:rsidRDefault="0072072C" w:rsidP="006654AE">
            <w:pPr>
              <w:pStyle w:val="tabletextright"/>
            </w:pPr>
            <w:r w:rsidRPr="00DF38B2">
              <w:t>4.6</w:t>
            </w:r>
          </w:p>
        </w:tc>
        <w:tc>
          <w:tcPr>
            <w:tcW w:w="1524" w:type="dxa"/>
            <w:tcBorders>
              <w:top w:val="single" w:sz="4" w:space="0" w:color="auto"/>
            </w:tcBorders>
          </w:tcPr>
          <w:p w:rsidR="0072072C" w:rsidRPr="00DF38B2" w:rsidRDefault="0072072C" w:rsidP="006654AE">
            <w:pPr>
              <w:pStyle w:val="tabletextright"/>
            </w:pPr>
            <w:r w:rsidRPr="00DF38B2">
              <w:t>2.0</w:t>
            </w:r>
          </w:p>
        </w:tc>
        <w:tc>
          <w:tcPr>
            <w:tcW w:w="1524" w:type="dxa"/>
            <w:tcBorders>
              <w:top w:val="single" w:sz="4" w:space="0" w:color="auto"/>
            </w:tcBorders>
          </w:tcPr>
          <w:p w:rsidR="0072072C" w:rsidRPr="00DF38B2" w:rsidRDefault="0072072C" w:rsidP="006654AE">
            <w:pPr>
              <w:pStyle w:val="tabletextright"/>
            </w:pPr>
            <w:r>
              <w:t>6,984</w:t>
            </w:r>
          </w:p>
        </w:tc>
        <w:tc>
          <w:tcPr>
            <w:tcW w:w="1098" w:type="dxa"/>
            <w:tcBorders>
              <w:top w:val="single" w:sz="4" w:space="0" w:color="auto"/>
            </w:tcBorders>
            <w:shd w:val="clear" w:color="auto" w:fill="auto"/>
          </w:tcPr>
          <w:p w:rsidR="0072072C" w:rsidRPr="00DF38B2" w:rsidRDefault="0072072C" w:rsidP="006654AE">
            <w:pPr>
              <w:pStyle w:val="tabletextright"/>
            </w:pPr>
            <w:r w:rsidRPr="00DF38B2">
              <w:t>56.</w:t>
            </w:r>
            <w:r>
              <w:t>3</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tcPr>
          <w:p w:rsidR="0072072C" w:rsidRPr="00DF38B2" w:rsidRDefault="0072072C" w:rsidP="006654AE">
            <w:pPr>
              <w:pStyle w:val="tabletextleft"/>
            </w:pPr>
            <w:r w:rsidRPr="00DF38B2">
              <w:t xml:space="preserve">Child Protection </w:t>
            </w:r>
          </w:p>
        </w:tc>
        <w:tc>
          <w:tcPr>
            <w:tcW w:w="1013" w:type="dxa"/>
          </w:tcPr>
          <w:p w:rsidR="0072072C" w:rsidRPr="00DF38B2" w:rsidRDefault="0072072C" w:rsidP="006654AE">
            <w:pPr>
              <w:pStyle w:val="tabletextright"/>
            </w:pPr>
            <w:r w:rsidRPr="00DF38B2">
              <w:t>3.5</w:t>
            </w:r>
          </w:p>
        </w:tc>
        <w:tc>
          <w:tcPr>
            <w:tcW w:w="1524" w:type="dxa"/>
          </w:tcPr>
          <w:p w:rsidR="0072072C" w:rsidRPr="00DF38B2" w:rsidRDefault="0072072C" w:rsidP="006654AE">
            <w:pPr>
              <w:pStyle w:val="tabletextright"/>
            </w:pPr>
            <w:r w:rsidRPr="00DF38B2">
              <w:t>2.6</w:t>
            </w:r>
          </w:p>
        </w:tc>
        <w:tc>
          <w:tcPr>
            <w:tcW w:w="1524" w:type="dxa"/>
          </w:tcPr>
          <w:p w:rsidR="0072072C" w:rsidRPr="00DF38B2" w:rsidRDefault="0072072C" w:rsidP="006654AE">
            <w:pPr>
              <w:pStyle w:val="tabletextright"/>
            </w:pPr>
            <w:r w:rsidRPr="00DF38B2">
              <w:t>69</w:t>
            </w:r>
          </w:p>
        </w:tc>
        <w:tc>
          <w:tcPr>
            <w:tcW w:w="1098" w:type="dxa"/>
            <w:shd w:val="clear" w:color="auto" w:fill="auto"/>
          </w:tcPr>
          <w:p w:rsidR="0072072C" w:rsidRPr="00DF38B2" w:rsidRDefault="0072072C" w:rsidP="006654AE">
            <w:pPr>
              <w:pStyle w:val="tabletextright"/>
            </w:pPr>
            <w:r w:rsidRPr="00DF38B2">
              <w:t>90.8</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tcPr>
          <w:p w:rsidR="0072072C" w:rsidRPr="00DF38B2" w:rsidRDefault="0072072C" w:rsidP="006654AE">
            <w:pPr>
              <w:pStyle w:val="tabletextleft"/>
            </w:pPr>
            <w:r w:rsidRPr="00DF38B2">
              <w:t>Voluntary</w:t>
            </w:r>
          </w:p>
        </w:tc>
        <w:tc>
          <w:tcPr>
            <w:tcW w:w="1013" w:type="dxa"/>
          </w:tcPr>
          <w:p w:rsidR="0072072C" w:rsidRPr="00DF38B2" w:rsidRDefault="0072072C" w:rsidP="006654AE">
            <w:pPr>
              <w:pStyle w:val="tabletextright"/>
            </w:pPr>
            <w:r w:rsidRPr="00DF38B2">
              <w:t>8.0</w:t>
            </w:r>
          </w:p>
        </w:tc>
        <w:tc>
          <w:tcPr>
            <w:tcW w:w="1524" w:type="dxa"/>
          </w:tcPr>
          <w:p w:rsidR="0072072C" w:rsidRPr="00DF38B2" w:rsidRDefault="0072072C" w:rsidP="006654AE">
            <w:pPr>
              <w:pStyle w:val="tabletextright"/>
            </w:pPr>
            <w:r w:rsidRPr="00DF38B2">
              <w:t>1.8</w:t>
            </w:r>
          </w:p>
        </w:tc>
        <w:tc>
          <w:tcPr>
            <w:tcW w:w="1524" w:type="dxa"/>
          </w:tcPr>
          <w:p w:rsidR="0072072C" w:rsidRPr="00DF38B2" w:rsidRDefault="0072072C" w:rsidP="006654AE">
            <w:pPr>
              <w:pStyle w:val="tabletextright"/>
            </w:pPr>
            <w:r w:rsidRPr="00DF38B2">
              <w:t>84</w:t>
            </w:r>
            <w:r>
              <w:t>1</w:t>
            </w:r>
          </w:p>
        </w:tc>
        <w:tc>
          <w:tcPr>
            <w:tcW w:w="1098" w:type="dxa"/>
            <w:shd w:val="clear" w:color="auto" w:fill="auto"/>
          </w:tcPr>
          <w:p w:rsidR="0072072C" w:rsidRPr="00DF38B2" w:rsidRDefault="0072072C" w:rsidP="006654AE">
            <w:pPr>
              <w:pStyle w:val="tabletextright"/>
            </w:pPr>
            <w:r w:rsidRPr="00DF38B2">
              <w:t>23.3</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Assessed Vulnerable</w:t>
            </w:r>
          </w:p>
        </w:tc>
        <w:tc>
          <w:tcPr>
            <w:tcW w:w="1013" w:type="dxa"/>
          </w:tcPr>
          <w:p w:rsidR="0072072C" w:rsidRPr="00DF38B2" w:rsidRDefault="0072072C" w:rsidP="006654AE">
            <w:pPr>
              <w:pStyle w:val="tabletextright"/>
            </w:pPr>
            <w:r w:rsidRPr="00DF38B2">
              <w:t>8.1</w:t>
            </w:r>
          </w:p>
        </w:tc>
        <w:tc>
          <w:tcPr>
            <w:tcW w:w="1524" w:type="dxa"/>
          </w:tcPr>
          <w:p w:rsidR="0072072C" w:rsidRPr="00DF38B2" w:rsidRDefault="0072072C" w:rsidP="006654AE">
            <w:pPr>
              <w:pStyle w:val="tabletextright"/>
            </w:pPr>
            <w:r w:rsidRPr="00DF38B2">
              <w:t>1.3</w:t>
            </w:r>
          </w:p>
        </w:tc>
        <w:tc>
          <w:tcPr>
            <w:tcW w:w="1524" w:type="dxa"/>
          </w:tcPr>
          <w:p w:rsidR="0072072C" w:rsidRPr="00DF38B2" w:rsidRDefault="0072072C" w:rsidP="006654AE">
            <w:pPr>
              <w:pStyle w:val="tabletextright"/>
            </w:pPr>
            <w:r w:rsidRPr="00DF38B2">
              <w:t>15</w:t>
            </w:r>
          </w:p>
        </w:tc>
        <w:tc>
          <w:tcPr>
            <w:tcW w:w="1098" w:type="dxa"/>
            <w:shd w:val="clear" w:color="auto" w:fill="auto"/>
          </w:tcPr>
          <w:p w:rsidR="0072072C" w:rsidRPr="00DF38B2" w:rsidRDefault="0072072C" w:rsidP="006654AE">
            <w:pPr>
              <w:pStyle w:val="tabletextright"/>
            </w:pPr>
            <w:r w:rsidRPr="00DF38B2">
              <w:t>9.0</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Automatic Vulnerable</w:t>
            </w:r>
          </w:p>
        </w:tc>
        <w:tc>
          <w:tcPr>
            <w:tcW w:w="1013" w:type="dxa"/>
          </w:tcPr>
          <w:p w:rsidR="0072072C" w:rsidRPr="00DF38B2" w:rsidRDefault="0072072C" w:rsidP="006654AE">
            <w:pPr>
              <w:pStyle w:val="tabletextright"/>
            </w:pPr>
          </w:p>
        </w:tc>
        <w:tc>
          <w:tcPr>
            <w:tcW w:w="1524" w:type="dxa"/>
          </w:tcPr>
          <w:p w:rsidR="0072072C" w:rsidRPr="00DF38B2" w:rsidRDefault="0072072C" w:rsidP="006654AE">
            <w:pPr>
              <w:pStyle w:val="tabletextright"/>
            </w:pPr>
          </w:p>
        </w:tc>
        <w:tc>
          <w:tcPr>
            <w:tcW w:w="1524" w:type="dxa"/>
          </w:tcPr>
          <w:p w:rsidR="0072072C" w:rsidRPr="00DF38B2" w:rsidRDefault="0072072C" w:rsidP="006654AE">
            <w:pPr>
              <w:pStyle w:val="tabletextright"/>
            </w:pPr>
          </w:p>
        </w:tc>
        <w:tc>
          <w:tcPr>
            <w:tcW w:w="1098" w:type="dxa"/>
            <w:shd w:val="clear" w:color="auto" w:fill="auto"/>
          </w:tcPr>
          <w:p w:rsidR="0072072C" w:rsidRPr="00DF38B2" w:rsidRDefault="0072072C" w:rsidP="006654AE">
            <w:pPr>
              <w:pStyle w:val="tabletextright"/>
            </w:pPr>
          </w:p>
        </w:tc>
      </w:tr>
      <w:tr w:rsidR="0072072C" w:rsidRPr="00DF38B2" w:rsidTr="006F40C7">
        <w:trPr>
          <w:jc w:val="center"/>
        </w:trPr>
        <w:tc>
          <w:tcPr>
            <w:tcW w:w="1417" w:type="dxa"/>
            <w:vMerge/>
          </w:tcPr>
          <w:p w:rsidR="0072072C" w:rsidRPr="0072072C" w:rsidRDefault="0072072C" w:rsidP="006654AE">
            <w:pPr>
              <w:pStyle w:val="tabletextleft"/>
              <w:ind w:right="-534"/>
              <w:rPr>
                <w:color w:val="FFFFFF" w:themeColor="background1"/>
              </w:rPr>
            </w:pPr>
          </w:p>
        </w:tc>
        <w:tc>
          <w:tcPr>
            <w:tcW w:w="2494" w:type="dxa"/>
            <w:vAlign w:val="bottom"/>
          </w:tcPr>
          <w:p w:rsidR="0072072C" w:rsidRPr="00DF38B2" w:rsidRDefault="0072072C" w:rsidP="006654AE">
            <w:pPr>
              <w:pStyle w:val="tabletextleft"/>
              <w:ind w:right="-534"/>
            </w:pPr>
            <w:r w:rsidRPr="00DF38B2">
              <w:t xml:space="preserve"> Un</w:t>
            </w:r>
            <w:r>
              <w:t>reason</w:t>
            </w:r>
            <w:r w:rsidRPr="00DF38B2">
              <w:t>able to Live at Home</w:t>
            </w:r>
          </w:p>
        </w:tc>
        <w:tc>
          <w:tcPr>
            <w:tcW w:w="1013" w:type="dxa"/>
          </w:tcPr>
          <w:p w:rsidR="0072072C" w:rsidRPr="00DF38B2" w:rsidRDefault="0072072C" w:rsidP="006654AE">
            <w:pPr>
              <w:pStyle w:val="tabletextright"/>
            </w:pPr>
            <w:r w:rsidRPr="00DF38B2">
              <w:t>1.5</w:t>
            </w:r>
          </w:p>
        </w:tc>
        <w:tc>
          <w:tcPr>
            <w:tcW w:w="1524" w:type="dxa"/>
          </w:tcPr>
          <w:p w:rsidR="0072072C" w:rsidRPr="00DF38B2" w:rsidRDefault="0072072C" w:rsidP="006654AE">
            <w:pPr>
              <w:pStyle w:val="tabletextright"/>
            </w:pPr>
            <w:r w:rsidRPr="00DF38B2">
              <w:t>1.0</w:t>
            </w:r>
          </w:p>
        </w:tc>
        <w:tc>
          <w:tcPr>
            <w:tcW w:w="1524" w:type="dxa"/>
          </w:tcPr>
          <w:p w:rsidR="0072072C" w:rsidRPr="00DF38B2" w:rsidRDefault="0072072C" w:rsidP="006654AE">
            <w:pPr>
              <w:pStyle w:val="tabletextright"/>
            </w:pPr>
            <w:r w:rsidRPr="00DF38B2">
              <w:t>11</w:t>
            </w:r>
          </w:p>
        </w:tc>
        <w:tc>
          <w:tcPr>
            <w:tcW w:w="1098" w:type="dxa"/>
            <w:shd w:val="clear" w:color="auto" w:fill="auto"/>
          </w:tcPr>
          <w:p w:rsidR="0072072C" w:rsidRPr="00DF38B2" w:rsidRDefault="0072072C" w:rsidP="006654AE">
            <w:pPr>
              <w:pStyle w:val="tabletextright"/>
            </w:pPr>
            <w:r w:rsidRPr="00DF38B2">
              <w:t>10.8</w:t>
            </w:r>
          </w:p>
        </w:tc>
      </w:tr>
      <w:tr w:rsidR="0072072C" w:rsidRPr="00DF38B2" w:rsidTr="006F40C7">
        <w:trPr>
          <w:jc w:val="center"/>
        </w:trPr>
        <w:tc>
          <w:tcPr>
            <w:tcW w:w="1417" w:type="dxa"/>
            <w:vMerge/>
          </w:tcPr>
          <w:p w:rsidR="0072072C" w:rsidRPr="0072072C" w:rsidRDefault="0072072C" w:rsidP="006654AE">
            <w:pPr>
              <w:pStyle w:val="tabletextleft"/>
              <w:ind w:right="-534"/>
              <w:rPr>
                <w:color w:val="FFFFFF" w:themeColor="background1"/>
              </w:rPr>
            </w:pPr>
          </w:p>
        </w:tc>
        <w:tc>
          <w:tcPr>
            <w:tcW w:w="2494" w:type="dxa"/>
            <w:vAlign w:val="bottom"/>
          </w:tcPr>
          <w:p w:rsidR="0072072C" w:rsidRPr="00DF38B2" w:rsidRDefault="0072072C" w:rsidP="006654AE">
            <w:pPr>
              <w:pStyle w:val="tabletextleft"/>
              <w:ind w:right="-534"/>
            </w:pPr>
            <w:r w:rsidRPr="00DF38B2">
              <w:t xml:space="preserve"> Special Benefit</w:t>
            </w:r>
          </w:p>
        </w:tc>
        <w:tc>
          <w:tcPr>
            <w:tcW w:w="1013" w:type="dxa"/>
          </w:tcPr>
          <w:p w:rsidR="0072072C" w:rsidRPr="00DF38B2" w:rsidRDefault="0072072C" w:rsidP="006654AE">
            <w:pPr>
              <w:pStyle w:val="tabletextright"/>
            </w:pPr>
            <w:r>
              <w:t>-</w:t>
            </w:r>
          </w:p>
        </w:tc>
        <w:tc>
          <w:tcPr>
            <w:tcW w:w="1524" w:type="dxa"/>
          </w:tcPr>
          <w:p w:rsidR="0072072C" w:rsidRPr="00DF38B2" w:rsidRDefault="0072072C" w:rsidP="006654AE">
            <w:pPr>
              <w:pStyle w:val="tabletextright"/>
            </w:pPr>
            <w:r>
              <w:t>-</w:t>
            </w:r>
          </w:p>
        </w:tc>
        <w:tc>
          <w:tcPr>
            <w:tcW w:w="1524" w:type="dxa"/>
          </w:tcPr>
          <w:p w:rsidR="0072072C" w:rsidRPr="00DF38B2" w:rsidRDefault="0072072C" w:rsidP="006654AE">
            <w:pPr>
              <w:pStyle w:val="tabletextright"/>
            </w:pPr>
            <w:r w:rsidRPr="00DF38B2">
              <w:t>0</w:t>
            </w:r>
          </w:p>
        </w:tc>
        <w:tc>
          <w:tcPr>
            <w:tcW w:w="1098" w:type="dxa"/>
            <w:shd w:val="clear" w:color="auto" w:fill="auto"/>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6654AE">
            <w:pPr>
              <w:pStyle w:val="tabletextleft"/>
              <w:ind w:right="-108"/>
              <w:rPr>
                <w:color w:val="FFFFFF" w:themeColor="background1"/>
              </w:rPr>
            </w:pPr>
          </w:p>
        </w:tc>
        <w:tc>
          <w:tcPr>
            <w:tcW w:w="2494" w:type="dxa"/>
            <w:vAlign w:val="bottom"/>
          </w:tcPr>
          <w:p w:rsidR="0072072C" w:rsidRPr="00DF38B2" w:rsidRDefault="0072072C" w:rsidP="006654AE">
            <w:pPr>
              <w:pStyle w:val="tabletextleft"/>
              <w:ind w:right="-108"/>
            </w:pPr>
            <w:r w:rsidRPr="00DF38B2">
              <w:t xml:space="preserve"> Crisis payment</w:t>
            </w:r>
          </w:p>
        </w:tc>
        <w:tc>
          <w:tcPr>
            <w:tcW w:w="1013" w:type="dxa"/>
          </w:tcPr>
          <w:p w:rsidR="0072072C" w:rsidRPr="00DF38B2" w:rsidRDefault="0072072C" w:rsidP="006654AE">
            <w:pPr>
              <w:pStyle w:val="tabletextright"/>
            </w:pPr>
            <w:r w:rsidRPr="00DF38B2">
              <w:t>2.0</w:t>
            </w:r>
          </w:p>
        </w:tc>
        <w:tc>
          <w:tcPr>
            <w:tcW w:w="1524" w:type="dxa"/>
          </w:tcPr>
          <w:p w:rsidR="0072072C" w:rsidRPr="00DF38B2" w:rsidRDefault="0072072C" w:rsidP="006654AE">
            <w:pPr>
              <w:pStyle w:val="tabletextright"/>
            </w:pPr>
            <w:r w:rsidRPr="00DF38B2">
              <w:t>1.4</w:t>
            </w:r>
          </w:p>
        </w:tc>
        <w:tc>
          <w:tcPr>
            <w:tcW w:w="1524" w:type="dxa"/>
          </w:tcPr>
          <w:p w:rsidR="0072072C" w:rsidRPr="00DF38B2" w:rsidRDefault="0072072C" w:rsidP="006654AE">
            <w:pPr>
              <w:pStyle w:val="tabletextright"/>
            </w:pPr>
            <w:r w:rsidRPr="00DF38B2">
              <w:t>24</w:t>
            </w:r>
          </w:p>
        </w:tc>
        <w:tc>
          <w:tcPr>
            <w:tcW w:w="1098" w:type="dxa"/>
            <w:shd w:val="clear" w:color="auto" w:fill="auto"/>
          </w:tcPr>
          <w:p w:rsidR="0072072C" w:rsidRPr="00DF38B2" w:rsidRDefault="0072072C" w:rsidP="006654AE">
            <w:pPr>
              <w:pStyle w:val="tabletextright"/>
            </w:pPr>
            <w:r w:rsidRPr="00DF38B2">
              <w:t>29.</w:t>
            </w:r>
            <w:r>
              <w:t>6</w:t>
            </w:r>
          </w:p>
        </w:tc>
      </w:tr>
      <w:tr w:rsidR="0072072C" w:rsidRPr="00DF38B2" w:rsidTr="006F40C7">
        <w:trPr>
          <w:jc w:val="center"/>
        </w:trPr>
        <w:tc>
          <w:tcPr>
            <w:tcW w:w="1417" w:type="dxa"/>
            <w:vMerge/>
          </w:tcPr>
          <w:p w:rsidR="0072072C" w:rsidRPr="0072072C" w:rsidRDefault="0072072C" w:rsidP="006654AE">
            <w:pPr>
              <w:pStyle w:val="tabletextleft"/>
              <w:rPr>
                <w:i/>
                <w:color w:val="FFFFFF" w:themeColor="background1"/>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tcPr>
          <w:p w:rsidR="0072072C" w:rsidRPr="00DF38B2" w:rsidRDefault="0072072C" w:rsidP="006654AE">
            <w:pPr>
              <w:pStyle w:val="tabletextright"/>
              <w:rPr>
                <w:i/>
              </w:rPr>
            </w:pPr>
            <w:r w:rsidRPr="00DF38B2">
              <w:rPr>
                <w:i/>
              </w:rPr>
              <w:t>1.9</w:t>
            </w:r>
          </w:p>
        </w:tc>
        <w:tc>
          <w:tcPr>
            <w:tcW w:w="1524" w:type="dxa"/>
          </w:tcPr>
          <w:p w:rsidR="0072072C" w:rsidRPr="00DF38B2" w:rsidRDefault="0072072C" w:rsidP="006654AE">
            <w:pPr>
              <w:pStyle w:val="tabletextright"/>
              <w:rPr>
                <w:i/>
              </w:rPr>
            </w:pPr>
            <w:r w:rsidRPr="00DF38B2">
              <w:rPr>
                <w:i/>
              </w:rPr>
              <w:t>1.3</w:t>
            </w:r>
          </w:p>
        </w:tc>
        <w:tc>
          <w:tcPr>
            <w:tcW w:w="1524" w:type="dxa"/>
          </w:tcPr>
          <w:p w:rsidR="0072072C" w:rsidRPr="00DF38B2" w:rsidRDefault="0072072C" w:rsidP="006654AE">
            <w:pPr>
              <w:pStyle w:val="tabletextright"/>
              <w:rPr>
                <w:i/>
              </w:rPr>
            </w:pPr>
            <w:r w:rsidRPr="00DF38B2">
              <w:rPr>
                <w:i/>
              </w:rPr>
              <w:t>35</w:t>
            </w:r>
          </w:p>
        </w:tc>
        <w:tc>
          <w:tcPr>
            <w:tcW w:w="1098" w:type="dxa"/>
            <w:shd w:val="clear" w:color="auto" w:fill="auto"/>
          </w:tcPr>
          <w:p w:rsidR="0072072C" w:rsidRPr="00DF38B2" w:rsidRDefault="0072072C" w:rsidP="006654AE">
            <w:pPr>
              <w:pStyle w:val="tabletextright"/>
              <w:rPr>
                <w:i/>
              </w:rPr>
            </w:pPr>
            <w:r w:rsidRPr="00DF38B2">
              <w:rPr>
                <w:i/>
              </w:rPr>
              <w:t>18.9</w:t>
            </w:r>
          </w:p>
        </w:tc>
      </w:tr>
      <w:tr w:rsidR="0072072C" w:rsidRPr="00DF38B2" w:rsidTr="006F40C7">
        <w:trPr>
          <w:jc w:val="center"/>
        </w:trPr>
        <w:tc>
          <w:tcPr>
            <w:tcW w:w="1417" w:type="dxa"/>
            <w:vMerge/>
            <w:tcBorders>
              <w:bottom w:val="single" w:sz="4" w:space="0" w:color="auto"/>
            </w:tcBorders>
          </w:tcPr>
          <w:p w:rsidR="0072072C" w:rsidRPr="0072072C" w:rsidRDefault="0072072C" w:rsidP="006654AE">
            <w:pPr>
              <w:pStyle w:val="tabletextleft"/>
              <w:rPr>
                <w:color w:val="FFFFFF" w:themeColor="background1"/>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tcPr>
          <w:p w:rsidR="0072072C" w:rsidRPr="00DF38B2" w:rsidRDefault="0072072C" w:rsidP="006654AE">
            <w:pPr>
              <w:pStyle w:val="tabletextright"/>
            </w:pPr>
            <w:r w:rsidRPr="00DF38B2">
              <w:t>5.0</w:t>
            </w:r>
          </w:p>
        </w:tc>
        <w:tc>
          <w:tcPr>
            <w:tcW w:w="1524" w:type="dxa"/>
            <w:tcBorders>
              <w:bottom w:val="single" w:sz="4" w:space="0" w:color="auto"/>
            </w:tcBorders>
          </w:tcPr>
          <w:p w:rsidR="0072072C" w:rsidRPr="00DF38B2" w:rsidRDefault="0072072C" w:rsidP="006654AE">
            <w:pPr>
              <w:pStyle w:val="tabletextright"/>
            </w:pPr>
            <w:r w:rsidRPr="00DF38B2">
              <w:t>2.0</w:t>
            </w:r>
          </w:p>
        </w:tc>
        <w:tc>
          <w:tcPr>
            <w:tcW w:w="1524" w:type="dxa"/>
            <w:tcBorders>
              <w:bottom w:val="single" w:sz="4" w:space="0" w:color="auto"/>
            </w:tcBorders>
          </w:tcPr>
          <w:p w:rsidR="0072072C" w:rsidRPr="00DF38B2" w:rsidRDefault="0072072C" w:rsidP="006654AE">
            <w:pPr>
              <w:pStyle w:val="tabletextright"/>
            </w:pPr>
            <w:r>
              <w:t>7,944</w:t>
            </w:r>
          </w:p>
        </w:tc>
        <w:tc>
          <w:tcPr>
            <w:tcW w:w="1098" w:type="dxa"/>
            <w:tcBorders>
              <w:bottom w:val="single" w:sz="4" w:space="0" w:color="auto"/>
            </w:tcBorders>
            <w:shd w:val="clear" w:color="auto" w:fill="auto"/>
          </w:tcPr>
          <w:p w:rsidR="0072072C" w:rsidRPr="00DF38B2" w:rsidRDefault="0072072C" w:rsidP="006654AE">
            <w:pPr>
              <w:pStyle w:val="tabletextright"/>
            </w:pPr>
            <w:r w:rsidRPr="00DF38B2">
              <w:t>48.</w:t>
            </w:r>
            <w:r>
              <w:t>2</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Non-Indigenous</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vAlign w:val="center"/>
          </w:tcPr>
          <w:p w:rsidR="0072072C" w:rsidRPr="00DF38B2" w:rsidRDefault="0072072C" w:rsidP="006654AE">
            <w:pPr>
              <w:pStyle w:val="tabletextright"/>
            </w:pPr>
            <w:r w:rsidRPr="00DF38B2">
              <w:t>4.8</w:t>
            </w:r>
          </w:p>
        </w:tc>
        <w:tc>
          <w:tcPr>
            <w:tcW w:w="1524" w:type="dxa"/>
            <w:tcBorders>
              <w:top w:val="single" w:sz="4" w:space="0" w:color="auto"/>
            </w:tcBorders>
            <w:vAlign w:val="center"/>
          </w:tcPr>
          <w:p w:rsidR="0072072C" w:rsidRPr="00DF38B2" w:rsidRDefault="0072072C" w:rsidP="006654AE">
            <w:pPr>
              <w:pStyle w:val="tabletextright"/>
            </w:pPr>
            <w:r w:rsidRPr="00DF38B2">
              <w:t>2.2</w:t>
            </w:r>
          </w:p>
        </w:tc>
        <w:tc>
          <w:tcPr>
            <w:tcW w:w="1524" w:type="dxa"/>
            <w:tcBorders>
              <w:top w:val="single" w:sz="4" w:space="0" w:color="auto"/>
            </w:tcBorders>
            <w:vAlign w:val="center"/>
          </w:tcPr>
          <w:p w:rsidR="0072072C" w:rsidRPr="00DF38B2" w:rsidRDefault="0072072C" w:rsidP="006654AE">
            <w:pPr>
              <w:pStyle w:val="tabletextright"/>
            </w:pPr>
            <w:r>
              <w:t>582</w:t>
            </w:r>
          </w:p>
        </w:tc>
        <w:tc>
          <w:tcPr>
            <w:tcW w:w="1098" w:type="dxa"/>
            <w:tcBorders>
              <w:top w:val="single" w:sz="4" w:space="0" w:color="auto"/>
            </w:tcBorders>
            <w:shd w:val="clear" w:color="auto" w:fill="auto"/>
            <w:vAlign w:val="center"/>
          </w:tcPr>
          <w:p w:rsidR="0072072C" w:rsidRPr="00DF38B2" w:rsidRDefault="0072072C" w:rsidP="006654AE">
            <w:pPr>
              <w:pStyle w:val="tabletextright"/>
            </w:pPr>
            <w:r>
              <w:t>34.5</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tcPr>
          <w:p w:rsidR="0072072C" w:rsidRPr="00DF38B2" w:rsidRDefault="0072072C" w:rsidP="006654AE">
            <w:pPr>
              <w:pStyle w:val="tabletextleft"/>
            </w:pPr>
            <w:r w:rsidRPr="00DF38B2">
              <w:t xml:space="preserve">Child Protection </w:t>
            </w:r>
          </w:p>
        </w:tc>
        <w:tc>
          <w:tcPr>
            <w:tcW w:w="1013"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5</w:t>
            </w:r>
          </w:p>
        </w:tc>
        <w:tc>
          <w:tcPr>
            <w:tcW w:w="1098" w:type="dxa"/>
            <w:shd w:val="clear" w:color="auto" w:fill="auto"/>
            <w:vAlign w:val="center"/>
          </w:tcPr>
          <w:p w:rsidR="0072072C" w:rsidRPr="00DF38B2" w:rsidRDefault="0072072C" w:rsidP="006654AE">
            <w:pPr>
              <w:pStyle w:val="tabletextright"/>
            </w:pPr>
            <w:r w:rsidRPr="00DF38B2">
              <w:t>71.4</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tcPr>
          <w:p w:rsidR="0072072C" w:rsidRPr="00DF38B2" w:rsidRDefault="0072072C" w:rsidP="006654AE">
            <w:pPr>
              <w:pStyle w:val="tabletextleft"/>
            </w:pPr>
            <w:r w:rsidRPr="00DF38B2">
              <w:t xml:space="preserve">Voluntary </w:t>
            </w:r>
          </w:p>
        </w:tc>
        <w:tc>
          <w:tcPr>
            <w:tcW w:w="1013" w:type="dxa"/>
            <w:vAlign w:val="center"/>
          </w:tcPr>
          <w:p w:rsidR="0072072C" w:rsidRPr="00DF38B2" w:rsidRDefault="0072072C" w:rsidP="006654AE">
            <w:pPr>
              <w:pStyle w:val="tabletextright"/>
            </w:pPr>
            <w:r w:rsidRPr="00DF38B2">
              <w:t>5.7</w:t>
            </w:r>
          </w:p>
        </w:tc>
        <w:tc>
          <w:tcPr>
            <w:tcW w:w="1524" w:type="dxa"/>
            <w:vAlign w:val="center"/>
          </w:tcPr>
          <w:p w:rsidR="0072072C" w:rsidRPr="00DF38B2" w:rsidRDefault="0072072C" w:rsidP="006654AE">
            <w:pPr>
              <w:pStyle w:val="tabletextright"/>
            </w:pPr>
            <w:r w:rsidRPr="00DF38B2">
              <w:t>1.7</w:t>
            </w:r>
          </w:p>
        </w:tc>
        <w:tc>
          <w:tcPr>
            <w:tcW w:w="1524" w:type="dxa"/>
            <w:vAlign w:val="center"/>
          </w:tcPr>
          <w:p w:rsidR="0072072C" w:rsidRPr="00DF38B2" w:rsidRDefault="0072072C" w:rsidP="006654AE">
            <w:pPr>
              <w:pStyle w:val="tabletextright"/>
            </w:pPr>
            <w:r w:rsidRPr="00DF38B2">
              <w:t>1</w:t>
            </w:r>
            <w:r>
              <w:t>2</w:t>
            </w:r>
          </w:p>
        </w:tc>
        <w:tc>
          <w:tcPr>
            <w:tcW w:w="1098" w:type="dxa"/>
            <w:shd w:val="clear" w:color="auto" w:fill="auto"/>
            <w:vAlign w:val="center"/>
          </w:tcPr>
          <w:p w:rsidR="0072072C" w:rsidRPr="00DF38B2" w:rsidRDefault="0072072C" w:rsidP="006654AE">
            <w:pPr>
              <w:pStyle w:val="tabletextright"/>
            </w:pPr>
            <w:r w:rsidRPr="00DF38B2">
              <w:t>20.0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Assessed Vulnerable</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0</w:t>
            </w:r>
          </w:p>
        </w:tc>
        <w:tc>
          <w:tcPr>
            <w:tcW w:w="1098" w:type="dxa"/>
            <w:shd w:val="clear" w:color="auto" w:fill="auto"/>
            <w:vAlign w:val="center"/>
          </w:tcPr>
          <w:p w:rsidR="0072072C" w:rsidRPr="00DF38B2" w:rsidRDefault="0072072C" w:rsidP="006654AE">
            <w:pPr>
              <w:pStyle w:val="tabletextright"/>
            </w:pPr>
            <w:r>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Automatic Vulnerable</w:t>
            </w:r>
          </w:p>
        </w:tc>
        <w:tc>
          <w:tcPr>
            <w:tcW w:w="1013" w:type="dxa"/>
            <w:vAlign w:val="center"/>
          </w:tcPr>
          <w:p w:rsidR="0072072C" w:rsidRPr="00DF38B2" w:rsidRDefault="0072072C" w:rsidP="006654AE">
            <w:pPr>
              <w:pStyle w:val="tabletextright"/>
            </w:pPr>
          </w:p>
        </w:tc>
        <w:tc>
          <w:tcPr>
            <w:tcW w:w="1524" w:type="dxa"/>
            <w:vAlign w:val="center"/>
          </w:tcPr>
          <w:p w:rsidR="0072072C" w:rsidRPr="00DF38B2" w:rsidRDefault="0072072C" w:rsidP="006654AE">
            <w:pPr>
              <w:pStyle w:val="tabletextright"/>
            </w:pPr>
          </w:p>
        </w:tc>
        <w:tc>
          <w:tcPr>
            <w:tcW w:w="1524" w:type="dxa"/>
            <w:vAlign w:val="center"/>
          </w:tcPr>
          <w:p w:rsidR="0072072C" w:rsidRPr="00DF38B2" w:rsidRDefault="0072072C" w:rsidP="006654AE">
            <w:pPr>
              <w:pStyle w:val="tabletextright"/>
            </w:pPr>
          </w:p>
        </w:tc>
        <w:tc>
          <w:tcPr>
            <w:tcW w:w="1098" w:type="dxa"/>
            <w:shd w:val="clear" w:color="auto" w:fill="auto"/>
            <w:vAlign w:val="center"/>
          </w:tcPr>
          <w:p w:rsidR="0072072C" w:rsidRPr="00DF38B2" w:rsidRDefault="0072072C" w:rsidP="006654AE">
            <w:pPr>
              <w:pStyle w:val="tabletextright"/>
            </w:pP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Un</w:t>
            </w:r>
            <w:r>
              <w:t>reason</w:t>
            </w:r>
            <w:r w:rsidRPr="00DF38B2">
              <w:t>able to Live at Home</w:t>
            </w:r>
          </w:p>
        </w:tc>
        <w:tc>
          <w:tcPr>
            <w:tcW w:w="1013" w:type="dxa"/>
            <w:vAlign w:val="center"/>
          </w:tcPr>
          <w:p w:rsidR="0072072C" w:rsidRPr="00DF38B2" w:rsidRDefault="0072072C" w:rsidP="006654AE">
            <w:pPr>
              <w:pStyle w:val="tabletextright"/>
            </w:pPr>
            <w:r w:rsidRPr="00DF38B2">
              <w:t>0.0</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w:t>
            </w:r>
          </w:p>
        </w:tc>
        <w:tc>
          <w:tcPr>
            <w:tcW w:w="1098" w:type="dxa"/>
            <w:shd w:val="clear" w:color="auto" w:fill="auto"/>
            <w:vAlign w:val="center"/>
          </w:tcPr>
          <w:p w:rsidR="0072072C" w:rsidRPr="00DF38B2" w:rsidRDefault="0072072C" w:rsidP="006654AE">
            <w:pPr>
              <w:pStyle w:val="tabletextright"/>
            </w:pPr>
            <w:r w:rsidRPr="00DF38B2">
              <w:t>1.6</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Special Benefit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Crisis payment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vAlign w:val="center"/>
          </w:tcPr>
          <w:p w:rsidR="0072072C" w:rsidRPr="00DF38B2" w:rsidRDefault="0072072C" w:rsidP="006654AE">
            <w:pPr>
              <w:pStyle w:val="tabletextright"/>
              <w:rPr>
                <w:i/>
              </w:rPr>
            </w:pPr>
            <w:r w:rsidRPr="00DF38B2">
              <w:rPr>
                <w:i/>
              </w:rPr>
              <w:t>0.0</w:t>
            </w:r>
          </w:p>
        </w:tc>
        <w:tc>
          <w:tcPr>
            <w:tcW w:w="1524" w:type="dxa"/>
            <w:vAlign w:val="center"/>
          </w:tcPr>
          <w:p w:rsidR="0072072C" w:rsidRPr="00DF38B2" w:rsidRDefault="0072072C" w:rsidP="006654AE">
            <w:pPr>
              <w:pStyle w:val="tabletextright"/>
              <w:rPr>
                <w:i/>
              </w:rPr>
            </w:pPr>
            <w:r w:rsidRPr="00DF38B2">
              <w:rPr>
                <w:i/>
              </w:rPr>
              <w:t>1.0</w:t>
            </w:r>
          </w:p>
        </w:tc>
        <w:tc>
          <w:tcPr>
            <w:tcW w:w="1524" w:type="dxa"/>
            <w:vAlign w:val="center"/>
          </w:tcPr>
          <w:p w:rsidR="0072072C" w:rsidRPr="00DF38B2" w:rsidRDefault="0072072C" w:rsidP="006654AE">
            <w:pPr>
              <w:pStyle w:val="tabletextright"/>
              <w:rPr>
                <w:i/>
              </w:rPr>
            </w:pPr>
            <w:r w:rsidRPr="00DF38B2">
              <w:rPr>
                <w:i/>
              </w:rPr>
              <w:t>1</w:t>
            </w:r>
          </w:p>
        </w:tc>
        <w:tc>
          <w:tcPr>
            <w:tcW w:w="1098" w:type="dxa"/>
            <w:shd w:val="clear" w:color="auto" w:fill="auto"/>
            <w:vAlign w:val="center"/>
          </w:tcPr>
          <w:p w:rsidR="0072072C" w:rsidRPr="00DF38B2" w:rsidRDefault="0072072C" w:rsidP="006654AE">
            <w:pPr>
              <w:pStyle w:val="tabletextright"/>
              <w:rPr>
                <w:i/>
              </w:rPr>
            </w:pPr>
            <w:r w:rsidRPr="00DF38B2">
              <w:rPr>
                <w:i/>
              </w:rPr>
              <w:t>1.4</w:t>
            </w:r>
          </w:p>
        </w:tc>
      </w:tr>
      <w:tr w:rsidR="0072072C" w:rsidRPr="00DF38B2" w:rsidTr="006F40C7">
        <w:trPr>
          <w:jc w:val="center"/>
        </w:trPr>
        <w:tc>
          <w:tcPr>
            <w:tcW w:w="1417" w:type="dxa"/>
            <w:vMerge/>
            <w:tcBorders>
              <w:bottom w:val="single" w:sz="4" w:space="0" w:color="auto"/>
            </w:tcBorders>
          </w:tcPr>
          <w:p w:rsidR="0072072C" w:rsidRPr="0072072C" w:rsidRDefault="0072072C" w:rsidP="00D615D9">
            <w:pPr>
              <w:pStyle w:val="tabletextleft"/>
              <w:rPr>
                <w:color w:val="FFFFFF" w:themeColor="background1"/>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vAlign w:val="center"/>
          </w:tcPr>
          <w:p w:rsidR="0072072C" w:rsidRPr="00DF38B2" w:rsidRDefault="0072072C" w:rsidP="006654AE">
            <w:pPr>
              <w:pStyle w:val="tabletextright"/>
            </w:pPr>
            <w:r w:rsidRPr="00DF38B2">
              <w:t>4.7</w:t>
            </w:r>
          </w:p>
        </w:tc>
        <w:tc>
          <w:tcPr>
            <w:tcW w:w="1524" w:type="dxa"/>
            <w:tcBorders>
              <w:bottom w:val="single" w:sz="4" w:space="0" w:color="auto"/>
            </w:tcBorders>
            <w:vAlign w:val="center"/>
          </w:tcPr>
          <w:p w:rsidR="0072072C" w:rsidRPr="00DF38B2" w:rsidRDefault="0072072C" w:rsidP="006654AE">
            <w:pPr>
              <w:pStyle w:val="tabletextright"/>
            </w:pPr>
            <w:r w:rsidRPr="00DF38B2">
              <w:t>2.2</w:t>
            </w:r>
          </w:p>
        </w:tc>
        <w:tc>
          <w:tcPr>
            <w:tcW w:w="1524" w:type="dxa"/>
            <w:tcBorders>
              <w:bottom w:val="single" w:sz="4" w:space="0" w:color="auto"/>
            </w:tcBorders>
            <w:vAlign w:val="center"/>
          </w:tcPr>
          <w:p w:rsidR="0072072C" w:rsidRPr="00DF38B2" w:rsidRDefault="0072072C" w:rsidP="006654AE">
            <w:pPr>
              <w:pStyle w:val="tabletextright"/>
            </w:pPr>
            <w:r>
              <w:t>600</w:t>
            </w:r>
          </w:p>
        </w:tc>
        <w:tc>
          <w:tcPr>
            <w:tcW w:w="1098" w:type="dxa"/>
            <w:tcBorders>
              <w:bottom w:val="single" w:sz="4" w:space="0" w:color="auto"/>
            </w:tcBorders>
            <w:shd w:val="clear" w:color="auto" w:fill="auto"/>
            <w:vAlign w:val="center"/>
          </w:tcPr>
          <w:p w:rsidR="0072072C" w:rsidRPr="00DF38B2" w:rsidRDefault="0072072C" w:rsidP="006654AE">
            <w:pPr>
              <w:pStyle w:val="tabletextright"/>
            </w:pPr>
            <w:r w:rsidRPr="00DF38B2">
              <w:t>32.</w:t>
            </w:r>
            <w:r>
              <w:t>8</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All</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vAlign w:val="center"/>
          </w:tcPr>
          <w:p w:rsidR="0072072C" w:rsidRPr="00DF38B2" w:rsidRDefault="0072072C" w:rsidP="006654AE">
            <w:pPr>
              <w:pStyle w:val="tabletextright"/>
            </w:pPr>
            <w:r w:rsidRPr="00DF38B2">
              <w:t>4.6</w:t>
            </w:r>
          </w:p>
        </w:tc>
        <w:tc>
          <w:tcPr>
            <w:tcW w:w="1524" w:type="dxa"/>
            <w:tcBorders>
              <w:top w:val="single" w:sz="4" w:space="0" w:color="auto"/>
            </w:tcBorders>
            <w:vAlign w:val="center"/>
          </w:tcPr>
          <w:p w:rsidR="0072072C" w:rsidRPr="00DF38B2" w:rsidRDefault="0072072C" w:rsidP="006654AE">
            <w:pPr>
              <w:pStyle w:val="tabletextright"/>
            </w:pPr>
            <w:r w:rsidRPr="00DF38B2">
              <w:t>2.1</w:t>
            </w:r>
          </w:p>
        </w:tc>
        <w:tc>
          <w:tcPr>
            <w:tcW w:w="1524" w:type="dxa"/>
            <w:tcBorders>
              <w:top w:val="single" w:sz="4" w:space="0" w:color="auto"/>
            </w:tcBorders>
            <w:vAlign w:val="center"/>
          </w:tcPr>
          <w:p w:rsidR="0072072C" w:rsidRPr="00DF38B2" w:rsidRDefault="0072072C" w:rsidP="006654AE">
            <w:pPr>
              <w:pStyle w:val="tabletextright"/>
            </w:pPr>
            <w:r w:rsidRPr="00DF38B2">
              <w:t>7,566</w:t>
            </w:r>
          </w:p>
        </w:tc>
        <w:tc>
          <w:tcPr>
            <w:tcW w:w="1098" w:type="dxa"/>
            <w:tcBorders>
              <w:top w:val="single" w:sz="4" w:space="0" w:color="auto"/>
            </w:tcBorders>
            <w:shd w:val="clear" w:color="auto" w:fill="auto"/>
            <w:vAlign w:val="center"/>
          </w:tcPr>
          <w:p w:rsidR="0072072C" w:rsidRPr="00DF38B2" w:rsidRDefault="0072072C" w:rsidP="006654AE">
            <w:pPr>
              <w:pStyle w:val="tabletextright"/>
            </w:pPr>
            <w:r w:rsidRPr="00DF38B2">
              <w:t>53.7</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tcPr>
          <w:p w:rsidR="0072072C" w:rsidRPr="00DF38B2" w:rsidRDefault="0072072C" w:rsidP="006654AE">
            <w:pPr>
              <w:pStyle w:val="tabletextleft"/>
            </w:pPr>
            <w:r w:rsidRPr="00DF38B2">
              <w:t>Child Protection</w:t>
            </w:r>
          </w:p>
        </w:tc>
        <w:tc>
          <w:tcPr>
            <w:tcW w:w="1013" w:type="dxa"/>
            <w:vAlign w:val="center"/>
          </w:tcPr>
          <w:p w:rsidR="0072072C" w:rsidRPr="00DF38B2" w:rsidRDefault="0072072C" w:rsidP="006654AE">
            <w:pPr>
              <w:pStyle w:val="tabletextright"/>
            </w:pPr>
            <w:r w:rsidRPr="00DF38B2">
              <w:t>3.3</w:t>
            </w:r>
          </w:p>
        </w:tc>
        <w:tc>
          <w:tcPr>
            <w:tcW w:w="1524" w:type="dxa"/>
            <w:vAlign w:val="center"/>
          </w:tcPr>
          <w:p w:rsidR="0072072C" w:rsidRPr="00DF38B2" w:rsidRDefault="0072072C" w:rsidP="006654AE">
            <w:pPr>
              <w:pStyle w:val="tabletextright"/>
            </w:pPr>
            <w:r w:rsidRPr="00DF38B2">
              <w:t>2.5</w:t>
            </w:r>
          </w:p>
        </w:tc>
        <w:tc>
          <w:tcPr>
            <w:tcW w:w="1524" w:type="dxa"/>
            <w:vAlign w:val="center"/>
          </w:tcPr>
          <w:p w:rsidR="0072072C" w:rsidRPr="00DF38B2" w:rsidRDefault="0072072C" w:rsidP="006654AE">
            <w:pPr>
              <w:pStyle w:val="tabletextright"/>
            </w:pPr>
            <w:r w:rsidRPr="00DF38B2">
              <w:t>74</w:t>
            </w:r>
          </w:p>
        </w:tc>
        <w:tc>
          <w:tcPr>
            <w:tcW w:w="1098" w:type="dxa"/>
            <w:shd w:val="clear" w:color="auto" w:fill="auto"/>
            <w:vAlign w:val="center"/>
          </w:tcPr>
          <w:p w:rsidR="0072072C" w:rsidRPr="00DF38B2" w:rsidRDefault="0072072C" w:rsidP="006654AE">
            <w:pPr>
              <w:pStyle w:val="tabletextright"/>
            </w:pPr>
            <w:r w:rsidRPr="00DF38B2">
              <w:t>89.2</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tcPr>
          <w:p w:rsidR="0072072C" w:rsidRPr="00DF38B2" w:rsidRDefault="0072072C" w:rsidP="006654AE">
            <w:pPr>
              <w:pStyle w:val="tabletextleft"/>
            </w:pPr>
            <w:r w:rsidRPr="00DF38B2">
              <w:t>Voluntary</w:t>
            </w:r>
          </w:p>
        </w:tc>
        <w:tc>
          <w:tcPr>
            <w:tcW w:w="1013" w:type="dxa"/>
            <w:vAlign w:val="center"/>
          </w:tcPr>
          <w:p w:rsidR="0072072C" w:rsidRPr="00DF38B2" w:rsidRDefault="0072072C" w:rsidP="006654AE">
            <w:pPr>
              <w:pStyle w:val="tabletextright"/>
            </w:pPr>
            <w:r w:rsidRPr="00DF38B2">
              <w:t>7.9</w:t>
            </w:r>
          </w:p>
        </w:tc>
        <w:tc>
          <w:tcPr>
            <w:tcW w:w="1524" w:type="dxa"/>
            <w:vAlign w:val="center"/>
          </w:tcPr>
          <w:p w:rsidR="0072072C" w:rsidRPr="00DF38B2" w:rsidRDefault="0072072C" w:rsidP="006654AE">
            <w:pPr>
              <w:pStyle w:val="tabletextright"/>
            </w:pPr>
            <w:r w:rsidRPr="00DF38B2">
              <w:t>1.8</w:t>
            </w:r>
          </w:p>
        </w:tc>
        <w:tc>
          <w:tcPr>
            <w:tcW w:w="1524" w:type="dxa"/>
            <w:vAlign w:val="center"/>
          </w:tcPr>
          <w:p w:rsidR="0072072C" w:rsidRPr="00DF38B2" w:rsidRDefault="0072072C" w:rsidP="006654AE">
            <w:pPr>
              <w:pStyle w:val="tabletextright"/>
            </w:pPr>
            <w:r w:rsidRPr="00DF38B2">
              <w:t>853</w:t>
            </w:r>
          </w:p>
        </w:tc>
        <w:tc>
          <w:tcPr>
            <w:tcW w:w="1098" w:type="dxa"/>
            <w:shd w:val="clear" w:color="auto" w:fill="auto"/>
            <w:vAlign w:val="center"/>
          </w:tcPr>
          <w:p w:rsidR="0072072C" w:rsidRPr="00DF38B2" w:rsidRDefault="0072072C" w:rsidP="006654AE">
            <w:pPr>
              <w:pStyle w:val="tabletextright"/>
            </w:pPr>
            <w:r w:rsidRPr="00DF38B2">
              <w:t>23.2</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Assessed Vulnerable</w:t>
            </w:r>
          </w:p>
        </w:tc>
        <w:tc>
          <w:tcPr>
            <w:tcW w:w="1013" w:type="dxa"/>
            <w:vAlign w:val="center"/>
          </w:tcPr>
          <w:p w:rsidR="0072072C" w:rsidRPr="00DF38B2" w:rsidRDefault="0072072C" w:rsidP="006654AE">
            <w:pPr>
              <w:pStyle w:val="tabletextright"/>
            </w:pPr>
            <w:r w:rsidRPr="00DF38B2">
              <w:t>8.1</w:t>
            </w:r>
          </w:p>
        </w:tc>
        <w:tc>
          <w:tcPr>
            <w:tcW w:w="1524" w:type="dxa"/>
            <w:vAlign w:val="center"/>
          </w:tcPr>
          <w:p w:rsidR="0072072C" w:rsidRPr="00DF38B2" w:rsidRDefault="0072072C" w:rsidP="006654AE">
            <w:pPr>
              <w:pStyle w:val="tabletextright"/>
            </w:pPr>
            <w:r w:rsidRPr="00DF38B2">
              <w:t>1.3</w:t>
            </w:r>
          </w:p>
        </w:tc>
        <w:tc>
          <w:tcPr>
            <w:tcW w:w="1524" w:type="dxa"/>
            <w:vAlign w:val="center"/>
          </w:tcPr>
          <w:p w:rsidR="0072072C" w:rsidRPr="00DF38B2" w:rsidRDefault="0072072C" w:rsidP="006654AE">
            <w:pPr>
              <w:pStyle w:val="tabletextright"/>
            </w:pPr>
            <w:r w:rsidRPr="00DF38B2">
              <w:t>15</w:t>
            </w:r>
          </w:p>
        </w:tc>
        <w:tc>
          <w:tcPr>
            <w:tcW w:w="1098" w:type="dxa"/>
            <w:shd w:val="clear" w:color="auto" w:fill="auto"/>
            <w:vAlign w:val="center"/>
          </w:tcPr>
          <w:p w:rsidR="0072072C" w:rsidRPr="00DF38B2" w:rsidRDefault="0072072C" w:rsidP="006654AE">
            <w:pPr>
              <w:pStyle w:val="tabletextright"/>
            </w:pPr>
            <w:r w:rsidRPr="00DF38B2">
              <w:t>8.8</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Automatic Vulnerable</w:t>
            </w:r>
          </w:p>
        </w:tc>
        <w:tc>
          <w:tcPr>
            <w:tcW w:w="1013" w:type="dxa"/>
            <w:vAlign w:val="center"/>
          </w:tcPr>
          <w:p w:rsidR="0072072C" w:rsidRPr="00DF38B2" w:rsidRDefault="0072072C" w:rsidP="006654AE">
            <w:pPr>
              <w:pStyle w:val="tabletextright"/>
            </w:pPr>
            <w:r>
              <w:t xml:space="preserve"> </w:t>
            </w:r>
          </w:p>
        </w:tc>
        <w:tc>
          <w:tcPr>
            <w:tcW w:w="1524" w:type="dxa"/>
            <w:vAlign w:val="center"/>
          </w:tcPr>
          <w:p w:rsidR="0072072C" w:rsidRPr="00DF38B2" w:rsidRDefault="0072072C" w:rsidP="006654AE">
            <w:pPr>
              <w:pStyle w:val="tabletextright"/>
            </w:pPr>
            <w:r>
              <w:t xml:space="preserve"> </w:t>
            </w:r>
          </w:p>
        </w:tc>
        <w:tc>
          <w:tcPr>
            <w:tcW w:w="1524" w:type="dxa"/>
            <w:vAlign w:val="center"/>
          </w:tcPr>
          <w:p w:rsidR="0072072C" w:rsidRPr="00DF38B2" w:rsidRDefault="0072072C" w:rsidP="006654AE">
            <w:pPr>
              <w:pStyle w:val="tabletextright"/>
            </w:pPr>
          </w:p>
        </w:tc>
        <w:tc>
          <w:tcPr>
            <w:tcW w:w="1098" w:type="dxa"/>
            <w:shd w:val="clear" w:color="auto" w:fill="auto"/>
            <w:vAlign w:val="center"/>
          </w:tcPr>
          <w:p w:rsidR="0072072C" w:rsidRPr="00DF38B2" w:rsidRDefault="0072072C" w:rsidP="006654AE">
            <w:pPr>
              <w:pStyle w:val="tabletextright"/>
            </w:pP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Un</w:t>
            </w:r>
            <w:r>
              <w:t>reason</w:t>
            </w:r>
            <w:r w:rsidRPr="00DF38B2">
              <w:t>able to Live at Home</w:t>
            </w:r>
          </w:p>
        </w:tc>
        <w:tc>
          <w:tcPr>
            <w:tcW w:w="1013" w:type="dxa"/>
            <w:vAlign w:val="center"/>
          </w:tcPr>
          <w:p w:rsidR="0072072C" w:rsidRPr="00DF38B2" w:rsidRDefault="0072072C" w:rsidP="006654AE">
            <w:pPr>
              <w:pStyle w:val="tabletextright"/>
            </w:pPr>
            <w:r w:rsidRPr="00DF38B2">
              <w:t>1.4</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12</w:t>
            </w:r>
          </w:p>
        </w:tc>
        <w:tc>
          <w:tcPr>
            <w:tcW w:w="1098" w:type="dxa"/>
            <w:shd w:val="clear" w:color="auto" w:fill="auto"/>
            <w:vAlign w:val="center"/>
          </w:tcPr>
          <w:p w:rsidR="0072072C" w:rsidRPr="00DF38B2" w:rsidRDefault="0072072C" w:rsidP="006654AE">
            <w:pPr>
              <w:pStyle w:val="tabletextright"/>
            </w:pPr>
            <w:r w:rsidRPr="00DF38B2">
              <w:t>7.3</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Special Benefit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Crisis payment</w:t>
            </w:r>
          </w:p>
        </w:tc>
        <w:tc>
          <w:tcPr>
            <w:tcW w:w="1013" w:type="dxa"/>
            <w:vAlign w:val="center"/>
          </w:tcPr>
          <w:p w:rsidR="0072072C" w:rsidRPr="00DF38B2" w:rsidRDefault="0072072C" w:rsidP="006654AE">
            <w:pPr>
              <w:pStyle w:val="tabletextright"/>
            </w:pPr>
            <w:r w:rsidRPr="00DF38B2">
              <w:t>2.0</w:t>
            </w:r>
          </w:p>
        </w:tc>
        <w:tc>
          <w:tcPr>
            <w:tcW w:w="1524" w:type="dxa"/>
            <w:vAlign w:val="center"/>
          </w:tcPr>
          <w:p w:rsidR="0072072C" w:rsidRPr="00DF38B2" w:rsidRDefault="0072072C" w:rsidP="006654AE">
            <w:pPr>
              <w:pStyle w:val="tabletextright"/>
            </w:pPr>
            <w:r w:rsidRPr="00DF38B2">
              <w:t>1.4</w:t>
            </w:r>
          </w:p>
        </w:tc>
        <w:tc>
          <w:tcPr>
            <w:tcW w:w="1524" w:type="dxa"/>
            <w:vAlign w:val="center"/>
          </w:tcPr>
          <w:p w:rsidR="0072072C" w:rsidRPr="00DF38B2" w:rsidRDefault="0072072C" w:rsidP="006654AE">
            <w:pPr>
              <w:pStyle w:val="tabletextright"/>
            </w:pPr>
            <w:r w:rsidRPr="00DF38B2">
              <w:t>24</w:t>
            </w:r>
          </w:p>
        </w:tc>
        <w:tc>
          <w:tcPr>
            <w:tcW w:w="1098" w:type="dxa"/>
            <w:shd w:val="clear" w:color="auto" w:fill="auto"/>
            <w:vAlign w:val="center"/>
          </w:tcPr>
          <w:p w:rsidR="0072072C" w:rsidRPr="00DF38B2" w:rsidRDefault="0072072C" w:rsidP="006654AE">
            <w:pPr>
              <w:pStyle w:val="tabletextright"/>
            </w:pPr>
            <w:r w:rsidRPr="00DF38B2">
              <w:t>27.6</w:t>
            </w:r>
          </w:p>
        </w:tc>
      </w:tr>
      <w:tr w:rsidR="0072072C" w:rsidRPr="00DF38B2" w:rsidTr="006F40C7">
        <w:trPr>
          <w:jc w:val="center"/>
        </w:trPr>
        <w:tc>
          <w:tcPr>
            <w:tcW w:w="1417" w:type="dxa"/>
            <w:vMerge/>
          </w:tcPr>
          <w:p w:rsidR="0072072C" w:rsidRPr="00F90E75" w:rsidRDefault="0072072C" w:rsidP="006654AE">
            <w:pPr>
              <w:pStyle w:val="tabletextleft"/>
              <w:rPr>
                <w:i/>
                <w:color w:val="FFFFFF" w:themeColor="background1"/>
                <w:highlight w:val="yellow"/>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vAlign w:val="center"/>
          </w:tcPr>
          <w:p w:rsidR="0072072C" w:rsidRPr="00DF38B2" w:rsidRDefault="0072072C" w:rsidP="006654AE">
            <w:pPr>
              <w:pStyle w:val="tabletextright"/>
              <w:rPr>
                <w:i/>
              </w:rPr>
            </w:pPr>
            <w:r w:rsidRPr="00DF38B2">
              <w:rPr>
                <w:i/>
              </w:rPr>
              <w:t>1.8</w:t>
            </w:r>
          </w:p>
        </w:tc>
        <w:tc>
          <w:tcPr>
            <w:tcW w:w="1524" w:type="dxa"/>
            <w:vAlign w:val="center"/>
          </w:tcPr>
          <w:p w:rsidR="0072072C" w:rsidRPr="00DF38B2" w:rsidRDefault="0072072C" w:rsidP="006654AE">
            <w:pPr>
              <w:pStyle w:val="tabletextright"/>
              <w:rPr>
                <w:i/>
              </w:rPr>
            </w:pPr>
            <w:r w:rsidRPr="00DF38B2">
              <w:rPr>
                <w:i/>
              </w:rPr>
              <w:t>1.3</w:t>
            </w:r>
          </w:p>
        </w:tc>
        <w:tc>
          <w:tcPr>
            <w:tcW w:w="1524" w:type="dxa"/>
            <w:vAlign w:val="center"/>
          </w:tcPr>
          <w:p w:rsidR="0072072C" w:rsidRPr="00DF38B2" w:rsidRDefault="0072072C" w:rsidP="006654AE">
            <w:pPr>
              <w:pStyle w:val="tabletextright"/>
              <w:rPr>
                <w:i/>
              </w:rPr>
            </w:pPr>
            <w:r w:rsidRPr="00DF38B2">
              <w:rPr>
                <w:i/>
              </w:rPr>
              <w:t>36</w:t>
            </w:r>
          </w:p>
        </w:tc>
        <w:tc>
          <w:tcPr>
            <w:tcW w:w="1098" w:type="dxa"/>
            <w:shd w:val="clear" w:color="auto" w:fill="auto"/>
            <w:vAlign w:val="center"/>
          </w:tcPr>
          <w:p w:rsidR="0072072C" w:rsidRPr="00DF38B2" w:rsidRDefault="0072072C" w:rsidP="006654AE">
            <w:pPr>
              <w:pStyle w:val="tabletextright"/>
              <w:rPr>
                <w:i/>
              </w:rPr>
            </w:pPr>
            <w:r w:rsidRPr="00DF38B2">
              <w:rPr>
                <w:i/>
              </w:rPr>
              <w:t>14.1</w:t>
            </w:r>
          </w:p>
        </w:tc>
      </w:tr>
      <w:tr w:rsidR="0072072C" w:rsidRPr="00DF38B2" w:rsidTr="006F40C7">
        <w:trPr>
          <w:jc w:val="center"/>
        </w:trPr>
        <w:tc>
          <w:tcPr>
            <w:tcW w:w="1417" w:type="dxa"/>
            <w:vMerge/>
            <w:tcBorders>
              <w:bottom w:val="single" w:sz="4" w:space="0" w:color="auto"/>
            </w:tcBorders>
          </w:tcPr>
          <w:p w:rsidR="0072072C" w:rsidRPr="00F90E75" w:rsidRDefault="0072072C" w:rsidP="006654AE">
            <w:pPr>
              <w:pStyle w:val="tabletextleft"/>
              <w:rPr>
                <w:color w:val="FFFFFF" w:themeColor="background1"/>
                <w:highlight w:val="yellow"/>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vAlign w:val="center"/>
          </w:tcPr>
          <w:p w:rsidR="0072072C" w:rsidRPr="00DF38B2" w:rsidRDefault="0072072C" w:rsidP="006654AE">
            <w:pPr>
              <w:pStyle w:val="tabletextright"/>
            </w:pPr>
            <w:r w:rsidRPr="00DF38B2">
              <w:t>4.9</w:t>
            </w:r>
          </w:p>
        </w:tc>
        <w:tc>
          <w:tcPr>
            <w:tcW w:w="1524" w:type="dxa"/>
            <w:tcBorders>
              <w:bottom w:val="single" w:sz="4" w:space="0" w:color="auto"/>
            </w:tcBorders>
            <w:vAlign w:val="center"/>
          </w:tcPr>
          <w:p w:rsidR="0072072C" w:rsidRPr="00DF38B2" w:rsidRDefault="0072072C" w:rsidP="006654AE">
            <w:pPr>
              <w:pStyle w:val="tabletextright"/>
            </w:pPr>
            <w:r w:rsidRPr="00DF38B2">
              <w:t>2.0</w:t>
            </w:r>
          </w:p>
        </w:tc>
        <w:tc>
          <w:tcPr>
            <w:tcW w:w="1524" w:type="dxa"/>
            <w:tcBorders>
              <w:bottom w:val="single" w:sz="4" w:space="0" w:color="auto"/>
            </w:tcBorders>
            <w:vAlign w:val="center"/>
          </w:tcPr>
          <w:p w:rsidR="0072072C" w:rsidRPr="00DF38B2" w:rsidRDefault="0072072C" w:rsidP="006654AE">
            <w:pPr>
              <w:pStyle w:val="tabletextright"/>
            </w:pPr>
            <w:r w:rsidRPr="00DF38B2">
              <w:t>8,544</w:t>
            </w:r>
          </w:p>
        </w:tc>
        <w:tc>
          <w:tcPr>
            <w:tcW w:w="1098" w:type="dxa"/>
            <w:tcBorders>
              <w:bottom w:val="single" w:sz="4" w:space="0" w:color="auto"/>
            </w:tcBorders>
            <w:shd w:val="clear" w:color="auto" w:fill="auto"/>
            <w:vAlign w:val="center"/>
          </w:tcPr>
          <w:p w:rsidR="0072072C" w:rsidRPr="00DF38B2" w:rsidRDefault="0072072C" w:rsidP="006654AE">
            <w:pPr>
              <w:pStyle w:val="tabletextright"/>
            </w:pPr>
            <w:r w:rsidRPr="00DF38B2">
              <w:t>46.7</w:t>
            </w:r>
          </w:p>
        </w:tc>
      </w:tr>
    </w:tbl>
    <w:p w:rsidR="005E1FE0" w:rsidRPr="00DF38B2" w:rsidRDefault="005E1FE0" w:rsidP="006654AE">
      <w:pPr>
        <w:pStyle w:val="tablenotes"/>
        <w:ind w:left="1437" w:hanging="870"/>
      </w:pPr>
      <w:r w:rsidRPr="00DF38B2">
        <w:t>Notes:</w:t>
      </w:r>
      <w:r w:rsidRPr="00DF38B2">
        <w:tab/>
        <w:t>Average number of children and age of youngest child is calculated for those with dependent children.</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296744" w:rsidRPr="00DF38B2" w:rsidRDefault="00296744" w:rsidP="006654AE">
      <w:pPr>
        <w:pStyle w:val="tablefootnoteslastline"/>
      </w:pPr>
    </w:p>
    <w:p w:rsidR="005E1FE0" w:rsidRPr="00DF38B2" w:rsidRDefault="005E1FE0" w:rsidP="006654AE">
      <w:pPr>
        <w:pStyle w:val="Heading3"/>
      </w:pPr>
      <w:bookmarkStart w:id="136" w:name="_Toc403739004"/>
      <w:r w:rsidRPr="00DF38B2">
        <w:t xml:space="preserve">Income </w:t>
      </w:r>
      <w:r w:rsidR="005E4CAC">
        <w:t>m</w:t>
      </w:r>
      <w:r w:rsidRPr="00DF38B2">
        <w:t>anagement and couples</w:t>
      </w:r>
      <w:bookmarkEnd w:id="136"/>
    </w:p>
    <w:p w:rsidR="005E1FE0" w:rsidRPr="00DF38B2" w:rsidRDefault="005E1FE0" w:rsidP="006654AE">
      <w:r w:rsidRPr="00DF38B2">
        <w:t xml:space="preserve">An important factor </w:t>
      </w:r>
      <w:r w:rsidR="001D32C1">
        <w:t>that</w:t>
      </w:r>
      <w:r w:rsidRPr="00DF38B2">
        <w:t xml:space="preserve"> will influence the potential impact of being income managed on consumption is whether people living with an income</w:t>
      </w:r>
      <w:r w:rsidR="00A04470">
        <w:t xml:space="preserve"> </w:t>
      </w:r>
      <w:r w:rsidRPr="00DF38B2">
        <w:t xml:space="preserve">managed person are also subject to income management. Findings from the </w:t>
      </w:r>
      <w:r w:rsidR="006D451C" w:rsidRPr="00DF38B2">
        <w:t>First Evaluation Report</w:t>
      </w:r>
      <w:r w:rsidRPr="00DF38B2">
        <w:t xml:space="preserve"> indicate</w:t>
      </w:r>
      <w:r w:rsidR="006D451C" w:rsidRPr="00DF38B2">
        <w:t>d</w:t>
      </w:r>
      <w:r w:rsidRPr="00DF38B2">
        <w:t xml:space="preserve"> that most people share goods and services with others living in the same household a</w:t>
      </w:r>
      <w:r w:rsidR="00445BB3">
        <w:t>nd indeed with extended family.</w:t>
      </w:r>
      <w:r w:rsidR="006D451C" w:rsidRPr="00DF38B2">
        <w:t xml:space="preserve"> Because receipt of income support payments and the targeting of income management are based on individual eligibility</w:t>
      </w:r>
      <w:r w:rsidR="001D32C1">
        <w:t>,</w:t>
      </w:r>
      <w:r w:rsidR="006D451C" w:rsidRPr="00DF38B2">
        <w:t xml:space="preserve"> just because one member of a couple is subject to income management does not necessarily mean that their partner is.</w:t>
      </w:r>
    </w:p>
    <w:p w:rsidR="005E1FE0" w:rsidRPr="009655C3" w:rsidRDefault="005E1FE0" w:rsidP="006654AE">
      <w:r w:rsidRPr="00DF38B2">
        <w:t>Overall, in 58.7 per cent of couples with at least one person subject to income management, both members of the couple are subject to income management</w:t>
      </w:r>
      <w:r w:rsidR="001D32C1">
        <w:t>,</w:t>
      </w:r>
      <w:r w:rsidRPr="00DF38B2">
        <w:t xml:space="preserve"> and in 29.2 per cent of couples one is subject to income management and the partner receives </w:t>
      </w:r>
      <w:r w:rsidR="009D7612">
        <w:t>income support</w:t>
      </w:r>
      <w:r w:rsidRPr="00DF38B2">
        <w:t xml:space="preserve"> but is not subject to income management. In the remaining 12.0 per cent of couples one member is subject to income management and the other is not receiving an income support payment (</w:t>
      </w:r>
      <w:r w:rsidRPr="009655C3">
        <w:fldChar w:fldCharType="begin"/>
      </w:r>
      <w:r w:rsidRPr="00DF38B2">
        <w:instrText xml:space="preserve"> REF _Ref391232266 \h </w:instrText>
      </w:r>
      <w:r w:rsidRPr="009655C3">
        <w:fldChar w:fldCharType="separate"/>
      </w:r>
      <w:r w:rsidR="00906D13" w:rsidRPr="00DF38B2">
        <w:t xml:space="preserve">Figure </w:t>
      </w:r>
      <w:r w:rsidR="00906D13">
        <w:rPr>
          <w:noProof/>
        </w:rPr>
        <w:t>4</w:t>
      </w:r>
      <w:r w:rsidR="00906D13" w:rsidRPr="00DF38B2">
        <w:noBreakHyphen/>
      </w:r>
      <w:r w:rsidR="00906D13">
        <w:rPr>
          <w:noProof/>
        </w:rPr>
        <w:t>11</w:t>
      </w:r>
      <w:r w:rsidRPr="009655C3">
        <w:fldChar w:fldCharType="end"/>
      </w:r>
      <w:r w:rsidRPr="009655C3">
        <w:t xml:space="preserve">). Of the 1,239 couples in which one member is subject to income management and the other receives </w:t>
      </w:r>
      <w:r w:rsidR="009D7612">
        <w:t>income support</w:t>
      </w:r>
      <w:r w:rsidRPr="009655C3">
        <w:t xml:space="preserve"> but is not subject to income management, in just 121 couples this is because the member not subject to income management has an exemption from income management. In two-thirds (66.8 per cent) of couples in which both are receiving an </w:t>
      </w:r>
      <w:r w:rsidR="009D7612">
        <w:t>income support</w:t>
      </w:r>
      <w:r w:rsidRPr="009655C3">
        <w:t xml:space="preserve"> payment and at least one member is subject to income management, they are both income managed. </w:t>
      </w:r>
    </w:p>
    <w:p w:rsidR="005E1FE0" w:rsidRPr="00DF38B2" w:rsidRDefault="005E1FE0" w:rsidP="006654AE">
      <w:pPr>
        <w:pStyle w:val="Caption"/>
        <w:ind w:left="1439" w:hanging="1155"/>
      </w:pPr>
      <w:bookmarkStart w:id="137" w:name="_Ref391232266"/>
      <w:bookmarkStart w:id="138" w:name="_Toc40373950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137"/>
      <w:r w:rsidRPr="00DF38B2">
        <w:tab/>
        <w:t xml:space="preserve">Income management and </w:t>
      </w:r>
      <w:r w:rsidR="009D7612">
        <w:t>income support</w:t>
      </w:r>
      <w:r w:rsidRPr="00DF38B2">
        <w:t xml:space="preserve"> receipt status of couples in which at least one member is subject to income management</w:t>
      </w:r>
      <w:r w:rsidR="00210B0C">
        <w:t xml:space="preserve"> in the Northern Territory</w:t>
      </w:r>
      <w:r w:rsidRPr="00DF38B2">
        <w:t>, December 2013</w:t>
      </w:r>
      <w:bookmarkEnd w:id="138"/>
    </w:p>
    <w:p w:rsidR="005E1FE0" w:rsidRDefault="005E1FE0" w:rsidP="006654AE">
      <w:pPr>
        <w:pStyle w:val="graphicpaste"/>
      </w:pPr>
      <w:r w:rsidRPr="008E4D9D">
        <w:rPr>
          <w:noProof/>
        </w:rPr>
        <w:drawing>
          <wp:inline distT="0" distB="0" distL="0" distR="0" wp14:anchorId="6AC408AD" wp14:editId="7D8DC995">
            <wp:extent cx="4602480" cy="2484120"/>
            <wp:effectExtent l="0" t="0" r="7620" b="0"/>
            <wp:docPr id="6" name="Picture 6" descr="Pie chart with the following data:  Both on IM 58.7%; On IM, partner on IS 29.2% and On IM, partner not on IS 12.0%. This is also discussed in detail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2480" cy="2484120"/>
                    </a:xfrm>
                    <a:prstGeom prst="rect">
                      <a:avLst/>
                    </a:prstGeom>
                    <a:noFill/>
                    <a:ln>
                      <a:noFill/>
                    </a:ln>
                  </pic:spPr>
                </pic:pic>
              </a:graphicData>
            </a:graphic>
          </wp:inline>
        </w:drawing>
      </w:r>
    </w:p>
    <w:p w:rsidR="00A60AF1" w:rsidRDefault="00A60AF1" w:rsidP="006654AE">
      <w:pPr>
        <w:pStyle w:val="tablenotes"/>
      </w:pPr>
      <w:r w:rsidRPr="00A60AF1">
        <w:t xml:space="preserve">Source: </w:t>
      </w:r>
      <w:r w:rsidRPr="00A60AF1">
        <w:tab/>
      </w:r>
      <w:r w:rsidR="00305D80">
        <w:t xml:space="preserve">Derived from </w:t>
      </w:r>
      <w:r w:rsidRPr="00A60AF1">
        <w:t>DHS Administrative data provided for the purposes of the evaluation</w:t>
      </w:r>
      <w:r>
        <w:t>.</w:t>
      </w:r>
    </w:p>
    <w:p w:rsidR="00A60AF1" w:rsidRPr="00A60AF1" w:rsidRDefault="00A60AF1" w:rsidP="006654AE">
      <w:pPr>
        <w:pStyle w:val="tablefootnoteslastline"/>
      </w:pPr>
    </w:p>
    <w:p w:rsidR="005E1FE0" w:rsidRPr="00DF38B2" w:rsidRDefault="005E1FE0" w:rsidP="006654AE">
      <w:r w:rsidRPr="009655C3">
        <w:fldChar w:fldCharType="begin"/>
      </w:r>
      <w:r w:rsidRPr="00DF38B2">
        <w:instrText xml:space="preserve"> REF _Ref391232287 \h </w:instrText>
      </w:r>
      <w:r w:rsidRPr="009655C3">
        <w:fldChar w:fldCharType="separate"/>
      </w:r>
      <w:r w:rsidR="00906D13" w:rsidRPr="00DF38B2">
        <w:t xml:space="preserve">Table </w:t>
      </w:r>
      <w:r w:rsidR="00906D13">
        <w:rPr>
          <w:noProof/>
        </w:rPr>
        <w:t>4</w:t>
      </w:r>
      <w:r w:rsidR="00906D13">
        <w:noBreakHyphen/>
      </w:r>
      <w:r w:rsidR="00906D13">
        <w:rPr>
          <w:noProof/>
        </w:rPr>
        <w:t>6</w:t>
      </w:r>
      <w:r w:rsidRPr="009655C3">
        <w:fldChar w:fldCharType="end"/>
      </w:r>
      <w:r w:rsidRPr="00FE502F">
        <w:t xml:space="preserve"> provides information on the income management and </w:t>
      </w:r>
      <w:r w:rsidR="009D7612">
        <w:t>income support</w:t>
      </w:r>
      <w:r w:rsidRPr="00FE502F">
        <w:t xml:space="preserve"> status of couples according </w:t>
      </w:r>
      <w:r w:rsidRPr="009655C3">
        <w:t xml:space="preserve">to whether they have dependent children and Indigenous status. Around 60 per cent of Indigenous couples have both members of the couple subject to </w:t>
      </w:r>
      <w:r w:rsidR="005E4CAC">
        <w:t>income management</w:t>
      </w:r>
      <w:r w:rsidR="009D0860">
        <w:t xml:space="preserve">, </w:t>
      </w:r>
      <w:r w:rsidRPr="009655C3">
        <w:t>irrespective of whether they have dependent children. For Indigenous couples without depe</w:t>
      </w:r>
      <w:r w:rsidRPr="00DF38B2">
        <w:t xml:space="preserve">ndent children, around one-third (32.7 per cent) have one member subject to </w:t>
      </w:r>
      <w:r w:rsidR="005E4CAC">
        <w:t>income management</w:t>
      </w:r>
      <w:r w:rsidRPr="00DF38B2">
        <w:t xml:space="preserve"> and the other receiving an </w:t>
      </w:r>
      <w:r w:rsidR="009D7612">
        <w:t>income support</w:t>
      </w:r>
      <w:r w:rsidRPr="00DF38B2">
        <w:t xml:space="preserve"> payment but not subject to </w:t>
      </w:r>
      <w:r w:rsidR="005E4CAC">
        <w:t>income management</w:t>
      </w:r>
      <w:r w:rsidRPr="00DF38B2">
        <w:t xml:space="preserve">. </w:t>
      </w:r>
    </w:p>
    <w:p w:rsidR="005E1FE0" w:rsidRPr="00DF38B2" w:rsidRDefault="005E1FE0" w:rsidP="006654AE">
      <w:pPr>
        <w:pStyle w:val="Caption"/>
        <w:ind w:left="1152" w:hanging="868"/>
      </w:pPr>
      <w:bookmarkStart w:id="139" w:name="_Ref391232287"/>
      <w:bookmarkStart w:id="140" w:name="_Toc403739411"/>
      <w:r w:rsidRPr="00DF38B2">
        <w:t xml:space="preserve">Table </w:t>
      </w:r>
      <w:fldSimple w:instr=" STYLEREF 1 \s ">
        <w:r w:rsidR="00906D13">
          <w:rPr>
            <w:noProof/>
          </w:rPr>
          <w:t>4</w:t>
        </w:r>
      </w:fldSimple>
      <w:r w:rsidR="00D40B64">
        <w:noBreakHyphen/>
      </w:r>
      <w:fldSimple w:instr=" SEQ Table \* ARABIC \s 1 ">
        <w:r w:rsidR="00906D13">
          <w:rPr>
            <w:noProof/>
          </w:rPr>
          <w:t>6</w:t>
        </w:r>
      </w:fldSimple>
      <w:bookmarkEnd w:id="139"/>
      <w:r w:rsidRPr="00F157EE">
        <w:tab/>
      </w:r>
      <w:r w:rsidRPr="00DF38B2">
        <w:t xml:space="preserve">Income </w:t>
      </w:r>
      <w:r w:rsidR="005E4CAC">
        <w:t>m</w:t>
      </w:r>
      <w:r w:rsidRPr="00DF38B2">
        <w:t xml:space="preserve">anagement and </w:t>
      </w:r>
      <w:r w:rsidR="005E4CAC">
        <w:t>i</w:t>
      </w:r>
      <w:r w:rsidRPr="00DF38B2">
        <w:t xml:space="preserve">ncome </w:t>
      </w:r>
      <w:r w:rsidR="005E4CAC">
        <w:t>s</w:t>
      </w:r>
      <w:r w:rsidRPr="00DF38B2">
        <w:t>upport receipt status of couples in which at least one member is subject to income management</w:t>
      </w:r>
      <w:r w:rsidR="00822E8A">
        <w:t xml:space="preserve"> in the Northern Territory</w:t>
      </w:r>
      <w:r w:rsidRPr="00DF38B2">
        <w:t xml:space="preserve"> by whether have dependent children and Indigenous status, December 2013</w:t>
      </w:r>
      <w:bookmarkEnd w:id="140"/>
    </w:p>
    <w:tbl>
      <w:tblPr>
        <w:tblW w:w="9038" w:type="dxa"/>
        <w:tblLayout w:type="fixed"/>
        <w:tblLook w:val="0000" w:firstRow="0" w:lastRow="0" w:firstColumn="0" w:lastColumn="0" w:noHBand="0" w:noVBand="0"/>
        <w:tblDescription w:val="This table has four columns which define four population subgroups, the first two are Indigenous people, firstly those living in a couple only income unit and secondly for those living in a couple with dependent children income unit and the second two for non-Indigenous people, again by firstly those living in a couple only income unit and secondly for those living in a couple with dependent children income unit. The distribution of the population defined by these columns is then shown in the rows (as a percentage distribution) for three types of arrangements. firstly the couple the person is living in has both members on income management, secondly where one is on income management and one on income support without being income managed, and thirdly where just one is on income management with the other not getting any income support. The final row gives the total which is 100 per cent for each column.&#10;Table key features discussed in text.&#10;"/>
      </w:tblPr>
      <w:tblGrid>
        <w:gridCol w:w="2518"/>
        <w:gridCol w:w="1276"/>
        <w:gridCol w:w="1842"/>
        <w:gridCol w:w="236"/>
        <w:gridCol w:w="1465"/>
        <w:gridCol w:w="1701"/>
      </w:tblGrid>
      <w:tr w:rsidR="005E1FE0" w:rsidRPr="0072072C" w:rsidTr="00A73C77">
        <w:trPr>
          <w:trHeight w:val="20"/>
          <w:tblHeader/>
        </w:trPr>
        <w:tc>
          <w:tcPr>
            <w:tcW w:w="2518" w:type="dxa"/>
            <w:tcBorders>
              <w:top w:val="single" w:sz="4" w:space="0" w:color="auto"/>
              <w:bottom w:val="single" w:sz="4" w:space="0" w:color="auto"/>
            </w:tcBorders>
          </w:tcPr>
          <w:p w:rsidR="005E1FE0" w:rsidRPr="0072072C" w:rsidRDefault="00A73C77" w:rsidP="00A73C77">
            <w:pPr>
              <w:pStyle w:val="tabletextleft"/>
              <w:jc w:val="left"/>
            </w:pPr>
            <w:r w:rsidRPr="0072072C">
              <w:t>Income management and income support status</w:t>
            </w:r>
          </w:p>
        </w:tc>
        <w:tc>
          <w:tcPr>
            <w:tcW w:w="1276" w:type="dxa"/>
            <w:tcBorders>
              <w:top w:val="single" w:sz="4" w:space="0" w:color="auto"/>
              <w:bottom w:val="single" w:sz="4" w:space="0" w:color="auto"/>
            </w:tcBorders>
          </w:tcPr>
          <w:p w:rsidR="005E1FE0" w:rsidRPr="0072072C" w:rsidRDefault="00A74355" w:rsidP="00A73C77">
            <w:pPr>
              <w:pStyle w:val="tabletextright"/>
            </w:pPr>
            <w:r w:rsidRPr="0072072C">
              <w:t xml:space="preserve">Indigenous </w:t>
            </w:r>
            <w:r w:rsidR="005E1FE0" w:rsidRPr="0072072C">
              <w:t>Couple only</w:t>
            </w:r>
            <w:r w:rsidR="00A73C77" w:rsidRPr="0072072C">
              <w:t xml:space="preserve"> (%)</w:t>
            </w:r>
          </w:p>
        </w:tc>
        <w:tc>
          <w:tcPr>
            <w:tcW w:w="1842" w:type="dxa"/>
            <w:tcBorders>
              <w:top w:val="single" w:sz="4" w:space="0" w:color="auto"/>
              <w:bottom w:val="single" w:sz="4" w:space="0" w:color="auto"/>
            </w:tcBorders>
          </w:tcPr>
          <w:p w:rsidR="005E1FE0" w:rsidRPr="0072072C" w:rsidRDefault="00A74355" w:rsidP="00A73C77">
            <w:pPr>
              <w:pStyle w:val="tabletextright"/>
            </w:pPr>
            <w:r w:rsidRPr="0072072C">
              <w:t xml:space="preserve">Indigenous </w:t>
            </w:r>
            <w:r w:rsidR="00A73C77" w:rsidRPr="0072072C">
              <w:br/>
            </w:r>
            <w:r w:rsidR="005E1FE0" w:rsidRPr="0072072C">
              <w:t>Couple with dependent children</w:t>
            </w:r>
            <w:r w:rsidR="00A73C77" w:rsidRPr="0072072C">
              <w:t xml:space="preserve"> (%)</w:t>
            </w:r>
          </w:p>
        </w:tc>
        <w:tc>
          <w:tcPr>
            <w:tcW w:w="236" w:type="dxa"/>
            <w:tcBorders>
              <w:top w:val="single" w:sz="4" w:space="0" w:color="auto"/>
              <w:bottom w:val="single" w:sz="4" w:space="0" w:color="auto"/>
            </w:tcBorders>
          </w:tcPr>
          <w:p w:rsidR="005E1FE0" w:rsidRPr="0072072C" w:rsidRDefault="005E1FE0" w:rsidP="006654AE">
            <w:pPr>
              <w:pStyle w:val="tabletextright"/>
            </w:pPr>
          </w:p>
        </w:tc>
        <w:tc>
          <w:tcPr>
            <w:tcW w:w="1465" w:type="dxa"/>
            <w:tcBorders>
              <w:top w:val="single" w:sz="4" w:space="0" w:color="auto"/>
              <w:bottom w:val="single" w:sz="4" w:space="0" w:color="auto"/>
            </w:tcBorders>
          </w:tcPr>
          <w:p w:rsidR="005E1FE0" w:rsidRPr="0072072C" w:rsidRDefault="00A73C77" w:rsidP="00A73C77">
            <w:pPr>
              <w:pStyle w:val="tabletextright"/>
            </w:pPr>
            <w:r w:rsidRPr="0072072C">
              <w:t xml:space="preserve">Non-Indigenous  </w:t>
            </w:r>
            <w:r w:rsidRPr="0072072C">
              <w:rPr>
                <w:rFonts w:ascii="Courier New" w:hAnsi="Courier New" w:cs="Courier New"/>
              </w:rPr>
              <w:br/>
            </w:r>
            <w:r w:rsidRPr="0072072C">
              <w:t xml:space="preserve"> </w:t>
            </w:r>
            <w:r w:rsidR="005E1FE0" w:rsidRPr="0072072C">
              <w:t xml:space="preserve">Couple </w:t>
            </w:r>
            <w:proofErr w:type="gramStart"/>
            <w:r w:rsidR="005E1FE0" w:rsidRPr="0072072C">
              <w:t>only</w:t>
            </w:r>
            <w:proofErr w:type="gramEnd"/>
            <w:r w:rsidRPr="0072072C">
              <w:br/>
              <w:t>(%)</w:t>
            </w:r>
          </w:p>
        </w:tc>
        <w:tc>
          <w:tcPr>
            <w:tcW w:w="1701" w:type="dxa"/>
            <w:tcBorders>
              <w:top w:val="single" w:sz="4" w:space="0" w:color="auto"/>
              <w:bottom w:val="single" w:sz="4" w:space="0" w:color="auto"/>
            </w:tcBorders>
          </w:tcPr>
          <w:p w:rsidR="005E1FE0" w:rsidRPr="0072072C" w:rsidRDefault="00A73C77" w:rsidP="00A73C77">
            <w:pPr>
              <w:pStyle w:val="tabletextright"/>
            </w:pPr>
            <w:r w:rsidRPr="0072072C">
              <w:t xml:space="preserve">Non-Indigenous </w:t>
            </w:r>
            <w:r w:rsidR="005E1FE0" w:rsidRPr="0072072C">
              <w:t>Couple with dependent children</w:t>
            </w:r>
            <w:r w:rsidRPr="0072072C">
              <w:t xml:space="preserve"> (%)</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Both on IM</w:t>
            </w:r>
          </w:p>
        </w:tc>
        <w:tc>
          <w:tcPr>
            <w:tcW w:w="1276" w:type="dxa"/>
          </w:tcPr>
          <w:p w:rsidR="005E1FE0" w:rsidRPr="0072072C" w:rsidRDefault="005E1FE0" w:rsidP="006654AE">
            <w:pPr>
              <w:pStyle w:val="tabletextright"/>
            </w:pPr>
            <w:r w:rsidRPr="0072072C">
              <w:t>57.5</w:t>
            </w:r>
          </w:p>
        </w:tc>
        <w:tc>
          <w:tcPr>
            <w:tcW w:w="1842" w:type="dxa"/>
          </w:tcPr>
          <w:p w:rsidR="005E1FE0" w:rsidRPr="0072072C" w:rsidRDefault="005E1FE0" w:rsidP="006654AE">
            <w:pPr>
              <w:pStyle w:val="tabletextright"/>
            </w:pPr>
            <w:r w:rsidRPr="0072072C">
              <w:t>60.0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51.7</w:t>
            </w:r>
          </w:p>
        </w:tc>
        <w:tc>
          <w:tcPr>
            <w:tcW w:w="1701" w:type="dxa"/>
          </w:tcPr>
          <w:p w:rsidR="005E1FE0" w:rsidRPr="0072072C" w:rsidRDefault="005E1FE0" w:rsidP="006654AE">
            <w:pPr>
              <w:pStyle w:val="tabletextright"/>
            </w:pPr>
            <w:r w:rsidRPr="0072072C">
              <w:t>39.1</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On IM, partner receiving IS</w:t>
            </w:r>
          </w:p>
        </w:tc>
        <w:tc>
          <w:tcPr>
            <w:tcW w:w="1276" w:type="dxa"/>
          </w:tcPr>
          <w:p w:rsidR="005E1FE0" w:rsidRPr="0072072C" w:rsidRDefault="005E1FE0" w:rsidP="006654AE">
            <w:pPr>
              <w:pStyle w:val="tabletextright"/>
            </w:pPr>
            <w:r w:rsidRPr="0072072C">
              <w:t>32.7</w:t>
            </w:r>
          </w:p>
        </w:tc>
        <w:tc>
          <w:tcPr>
            <w:tcW w:w="1842" w:type="dxa"/>
          </w:tcPr>
          <w:p w:rsidR="005E1FE0" w:rsidRPr="0072072C" w:rsidRDefault="005E1FE0" w:rsidP="006654AE">
            <w:pPr>
              <w:pStyle w:val="tabletextright"/>
            </w:pPr>
            <w:r w:rsidRPr="0072072C">
              <w:t>27.0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36.8</w:t>
            </w:r>
          </w:p>
        </w:tc>
        <w:tc>
          <w:tcPr>
            <w:tcW w:w="1701" w:type="dxa"/>
          </w:tcPr>
          <w:p w:rsidR="005E1FE0" w:rsidRPr="0072072C" w:rsidRDefault="005E1FE0" w:rsidP="006654AE">
            <w:pPr>
              <w:pStyle w:val="tabletextright"/>
            </w:pPr>
            <w:r w:rsidRPr="0072072C">
              <w:t>44.1</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 xml:space="preserve">On IM, partner not receiving IS </w:t>
            </w:r>
          </w:p>
        </w:tc>
        <w:tc>
          <w:tcPr>
            <w:tcW w:w="1276" w:type="dxa"/>
          </w:tcPr>
          <w:p w:rsidR="005E1FE0" w:rsidRPr="0072072C" w:rsidRDefault="005E1FE0" w:rsidP="006654AE">
            <w:pPr>
              <w:pStyle w:val="tabletextright"/>
            </w:pPr>
            <w:r w:rsidRPr="0072072C">
              <w:t>9.7</w:t>
            </w:r>
          </w:p>
        </w:tc>
        <w:tc>
          <w:tcPr>
            <w:tcW w:w="1842" w:type="dxa"/>
          </w:tcPr>
          <w:p w:rsidR="005E1FE0" w:rsidRPr="0072072C" w:rsidRDefault="005E1FE0" w:rsidP="006654AE">
            <w:pPr>
              <w:pStyle w:val="tabletextright"/>
            </w:pPr>
            <w:r w:rsidRPr="0072072C">
              <w:t>13.0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11.5</w:t>
            </w:r>
          </w:p>
        </w:tc>
        <w:tc>
          <w:tcPr>
            <w:tcW w:w="1701" w:type="dxa"/>
          </w:tcPr>
          <w:p w:rsidR="005E1FE0" w:rsidRPr="0072072C" w:rsidRDefault="005E1FE0" w:rsidP="006654AE">
            <w:pPr>
              <w:pStyle w:val="tabletextright"/>
            </w:pPr>
            <w:r w:rsidRPr="0072072C">
              <w:t>16.8</w:t>
            </w:r>
          </w:p>
        </w:tc>
      </w:tr>
      <w:tr w:rsidR="005E1FE0" w:rsidRPr="00DF38B2" w:rsidTr="00A73C77">
        <w:trPr>
          <w:trHeight w:val="20"/>
        </w:trPr>
        <w:tc>
          <w:tcPr>
            <w:tcW w:w="2518" w:type="dxa"/>
            <w:tcBorders>
              <w:bottom w:val="single" w:sz="4" w:space="0" w:color="auto"/>
            </w:tcBorders>
            <w:shd w:val="solid" w:color="FFFFFF" w:fill="auto"/>
          </w:tcPr>
          <w:p w:rsidR="005E1FE0" w:rsidRPr="0072072C" w:rsidRDefault="005E1FE0" w:rsidP="006654AE">
            <w:pPr>
              <w:pStyle w:val="tabletextleft"/>
            </w:pPr>
            <w:r w:rsidRPr="0072072C">
              <w:t>Total</w:t>
            </w:r>
          </w:p>
        </w:tc>
        <w:tc>
          <w:tcPr>
            <w:tcW w:w="1276" w:type="dxa"/>
            <w:tcBorders>
              <w:bottom w:val="single" w:sz="4" w:space="0" w:color="auto"/>
            </w:tcBorders>
          </w:tcPr>
          <w:p w:rsidR="005E1FE0" w:rsidRPr="0072072C" w:rsidRDefault="005E1FE0" w:rsidP="006654AE">
            <w:pPr>
              <w:pStyle w:val="tabletextright"/>
            </w:pPr>
            <w:r w:rsidRPr="0072072C">
              <w:t>100.0</w:t>
            </w:r>
          </w:p>
        </w:tc>
        <w:tc>
          <w:tcPr>
            <w:tcW w:w="1842" w:type="dxa"/>
            <w:tcBorders>
              <w:bottom w:val="single" w:sz="4" w:space="0" w:color="auto"/>
            </w:tcBorders>
          </w:tcPr>
          <w:p w:rsidR="005E1FE0" w:rsidRPr="0072072C" w:rsidRDefault="005E1FE0" w:rsidP="006654AE">
            <w:pPr>
              <w:pStyle w:val="tabletextright"/>
            </w:pPr>
            <w:r w:rsidRPr="0072072C">
              <w:t>100.0</w:t>
            </w:r>
          </w:p>
        </w:tc>
        <w:tc>
          <w:tcPr>
            <w:tcW w:w="236" w:type="dxa"/>
            <w:tcBorders>
              <w:bottom w:val="single" w:sz="4" w:space="0" w:color="auto"/>
            </w:tcBorders>
          </w:tcPr>
          <w:p w:rsidR="005E1FE0" w:rsidRPr="0072072C" w:rsidRDefault="005E1FE0" w:rsidP="006654AE">
            <w:pPr>
              <w:pStyle w:val="tabletextright"/>
            </w:pPr>
          </w:p>
        </w:tc>
        <w:tc>
          <w:tcPr>
            <w:tcW w:w="1465" w:type="dxa"/>
            <w:tcBorders>
              <w:bottom w:val="single" w:sz="4" w:space="0" w:color="auto"/>
            </w:tcBorders>
          </w:tcPr>
          <w:p w:rsidR="005E1FE0" w:rsidRPr="0072072C" w:rsidRDefault="005E1FE0" w:rsidP="006654AE">
            <w:pPr>
              <w:pStyle w:val="tabletextright"/>
            </w:pPr>
            <w:r w:rsidRPr="0072072C">
              <w:t>100.0</w:t>
            </w:r>
          </w:p>
        </w:tc>
        <w:tc>
          <w:tcPr>
            <w:tcW w:w="1701" w:type="dxa"/>
            <w:tcBorders>
              <w:bottom w:val="single" w:sz="4" w:space="0" w:color="auto"/>
            </w:tcBorders>
          </w:tcPr>
          <w:p w:rsidR="005E1FE0" w:rsidRPr="00DF38B2" w:rsidRDefault="005E1FE0" w:rsidP="006654AE">
            <w:pPr>
              <w:pStyle w:val="tabletextright"/>
            </w:pPr>
            <w:r w:rsidRPr="0072072C">
              <w:t>100.0</w:t>
            </w:r>
          </w:p>
        </w:tc>
      </w:tr>
      <w:tr w:rsidR="005E1FE0" w:rsidRPr="00DF38B2" w:rsidTr="00A73C77">
        <w:trPr>
          <w:trHeight w:val="20"/>
        </w:trPr>
        <w:tc>
          <w:tcPr>
            <w:tcW w:w="2518" w:type="dxa"/>
            <w:tcBorders>
              <w:top w:val="single" w:sz="4" w:space="0" w:color="auto"/>
            </w:tcBorders>
            <w:shd w:val="solid" w:color="FFFFFF" w:fill="auto"/>
          </w:tcPr>
          <w:p w:rsidR="005E1FE0" w:rsidRPr="00DF38B2" w:rsidRDefault="005E1FE0" w:rsidP="006654AE">
            <w:pPr>
              <w:pStyle w:val="tabletextleft"/>
            </w:pPr>
          </w:p>
        </w:tc>
        <w:tc>
          <w:tcPr>
            <w:tcW w:w="1276" w:type="dxa"/>
            <w:tcBorders>
              <w:top w:val="single" w:sz="4" w:space="0" w:color="auto"/>
            </w:tcBorders>
          </w:tcPr>
          <w:p w:rsidR="005E1FE0" w:rsidRPr="00DF38B2" w:rsidRDefault="005E1FE0" w:rsidP="006654AE">
            <w:pPr>
              <w:pStyle w:val="tabletextright"/>
            </w:pPr>
          </w:p>
        </w:tc>
        <w:tc>
          <w:tcPr>
            <w:tcW w:w="1842" w:type="dxa"/>
            <w:tcBorders>
              <w:top w:val="single" w:sz="4" w:space="0" w:color="auto"/>
            </w:tcBorders>
          </w:tcPr>
          <w:p w:rsidR="005E1FE0" w:rsidRPr="00DF38B2" w:rsidRDefault="005E1FE0" w:rsidP="006654AE">
            <w:pPr>
              <w:pStyle w:val="tabletextright"/>
            </w:pPr>
          </w:p>
        </w:tc>
        <w:tc>
          <w:tcPr>
            <w:tcW w:w="236" w:type="dxa"/>
            <w:tcBorders>
              <w:top w:val="single" w:sz="4" w:space="0" w:color="auto"/>
            </w:tcBorders>
          </w:tcPr>
          <w:p w:rsidR="005E1FE0" w:rsidRPr="00DF38B2" w:rsidRDefault="005E1FE0" w:rsidP="006654AE">
            <w:pPr>
              <w:pStyle w:val="tabletextright"/>
            </w:pPr>
          </w:p>
        </w:tc>
        <w:tc>
          <w:tcPr>
            <w:tcW w:w="1465" w:type="dxa"/>
            <w:tcBorders>
              <w:top w:val="single" w:sz="4" w:space="0" w:color="auto"/>
            </w:tcBorders>
          </w:tcPr>
          <w:p w:rsidR="005E1FE0" w:rsidRPr="00DF38B2" w:rsidRDefault="005E1FE0" w:rsidP="006654AE">
            <w:pPr>
              <w:pStyle w:val="tabletextright"/>
            </w:pPr>
          </w:p>
        </w:tc>
        <w:tc>
          <w:tcPr>
            <w:tcW w:w="1701" w:type="dxa"/>
            <w:tcBorders>
              <w:top w:val="single" w:sz="4" w:space="0" w:color="auto"/>
            </w:tcBorders>
          </w:tcPr>
          <w:p w:rsidR="005E1FE0" w:rsidRPr="00DF38B2" w:rsidRDefault="005E1FE0" w:rsidP="006654AE">
            <w:pPr>
              <w:pStyle w:val="tabletextright"/>
            </w:pPr>
          </w:p>
        </w:tc>
      </w:tr>
    </w:tbl>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73C77" w:rsidRDefault="00A73C77" w:rsidP="006654AE">
      <w:pPr>
        <w:pStyle w:val="tablenotes"/>
      </w:pPr>
      <w:r>
        <w:t>Note:</w:t>
      </w:r>
      <w:r>
        <w:tab/>
        <w:t>IM – Income Management, IS – Income Support</w:t>
      </w:r>
    </w:p>
    <w:p w:rsidR="00A60AF1" w:rsidRPr="00DF38B2" w:rsidRDefault="00A60AF1" w:rsidP="006654AE">
      <w:pPr>
        <w:pStyle w:val="tablefootnoteslastline"/>
      </w:pPr>
    </w:p>
    <w:p w:rsidR="00F8365F" w:rsidRDefault="00F8365F" w:rsidP="006654AE">
      <w:r>
        <w:t>Further analysis shows that where both members of a couple identify as being Indigenous and one is on income management</w:t>
      </w:r>
      <w:r w:rsidR="009D0860">
        <w:t>,</w:t>
      </w:r>
      <w:r>
        <w:t xml:space="preserve"> in 70.1 per cent of cases both </w:t>
      </w:r>
      <w:r w:rsidRPr="0074530D">
        <w:t>are</w:t>
      </w:r>
      <w:r w:rsidR="009D0860" w:rsidRPr="0074530D">
        <w:t xml:space="preserve"> on income management</w:t>
      </w:r>
      <w:r w:rsidRPr="0074530D">
        <w:t xml:space="preserve">. </w:t>
      </w:r>
      <w:r w:rsidR="00E145BE" w:rsidRPr="0074530D">
        <w:t>A</w:t>
      </w:r>
      <w:r w:rsidR="00E145BE">
        <w:t xml:space="preserve"> similar </w:t>
      </w:r>
      <w:r>
        <w:t>rate</w:t>
      </w:r>
      <w:r w:rsidR="00E145BE">
        <w:t>,</w:t>
      </w:r>
      <w:r>
        <w:t xml:space="preserve"> 69.1 per cent</w:t>
      </w:r>
      <w:r w:rsidR="00E145BE">
        <w:t>, is recorded</w:t>
      </w:r>
      <w:r>
        <w:t xml:space="preserve"> in couples where one </w:t>
      </w:r>
      <w:r w:rsidR="0074530D">
        <w:t xml:space="preserve">person </w:t>
      </w:r>
      <w:r>
        <w:t>identifies as being Indigenous and the other does not. Where neither identify as being Indigenous the rate is 45.2 per cent.</w:t>
      </w:r>
    </w:p>
    <w:p w:rsidR="005E1FE0" w:rsidRPr="00DF38B2" w:rsidRDefault="005E1FE0" w:rsidP="006654AE">
      <w:r w:rsidRPr="00DF38B2">
        <w:t xml:space="preserve">These data indicate that for a significant proportion of couples, only a relatively small proportion of total household income </w:t>
      </w:r>
      <w:proofErr w:type="gramStart"/>
      <w:r w:rsidRPr="00DF38B2">
        <w:t>is</w:t>
      </w:r>
      <w:proofErr w:type="gramEnd"/>
      <w:r w:rsidRPr="00DF38B2">
        <w:t xml:space="preserve"> likely to be subject to income management. This raises two potential questions. The first is whether in these households the imposition of income management has an impact on the relationship – potentially empowering the person whose income is being managed, or alternatively affecting their relative standing in a less positive way. The second is whether the policy has much residual capacity to shape the consumption of the household where typically just a quarter or less of income is subject to the measure.</w:t>
      </w:r>
    </w:p>
    <w:p w:rsidR="005E1FE0" w:rsidRPr="00DF38B2" w:rsidRDefault="005E1FE0" w:rsidP="006654AE">
      <w:pPr>
        <w:pStyle w:val="Heading3"/>
      </w:pPr>
      <w:bookmarkStart w:id="141" w:name="_Toc403739005"/>
      <w:r w:rsidRPr="00DF38B2">
        <w:lastRenderedPageBreak/>
        <w:t>Country of birth</w:t>
      </w:r>
      <w:bookmarkEnd w:id="141"/>
    </w:p>
    <w:p w:rsidR="005E1FE0" w:rsidRPr="00FE502F" w:rsidRDefault="005E1FE0" w:rsidP="006654AE">
      <w:r w:rsidRPr="00DF38B2">
        <w:t>In addition to the 90.2 per cent of the income management population who were Indigenous, 7.6 per cent were non-Indigenous Australian</w:t>
      </w:r>
      <w:r w:rsidR="009D0860">
        <w:t>-</w:t>
      </w:r>
      <w:r w:rsidRPr="00DF38B2">
        <w:t xml:space="preserve">born, 1.6 per cent were born overseas </w:t>
      </w:r>
      <w:r w:rsidR="006D451C" w:rsidRPr="00DF38B2">
        <w:t xml:space="preserve">in </w:t>
      </w:r>
      <w:r w:rsidRPr="00DF38B2">
        <w:t xml:space="preserve">a non-English speaking </w:t>
      </w:r>
      <w:r w:rsidR="006D451C" w:rsidRPr="00DF38B2">
        <w:t>country</w:t>
      </w:r>
      <w:r w:rsidR="009D0860">
        <w:t xml:space="preserve">, </w:t>
      </w:r>
      <w:r w:rsidRPr="00DF38B2">
        <w:t xml:space="preserve">and 0.6 per cent per cent were born in </w:t>
      </w:r>
      <w:r w:rsidR="00E145BE">
        <w:t xml:space="preserve">major </w:t>
      </w:r>
      <w:r w:rsidRPr="00DF38B2">
        <w:t>English</w:t>
      </w:r>
      <w:r w:rsidR="009D0860">
        <w:t>-</w:t>
      </w:r>
      <w:r w:rsidRPr="00DF38B2">
        <w:t>speaking countries</w:t>
      </w:r>
      <w:r w:rsidR="009D0860">
        <w:t>.</w:t>
      </w:r>
      <w:r w:rsidR="00E77527" w:rsidRPr="00DF38B2">
        <w:rPr>
          <w:rStyle w:val="FootnoteReference"/>
        </w:rPr>
        <w:footnoteReference w:id="61"/>
      </w:r>
      <w:r w:rsidRPr="00DF38B2">
        <w:t xml:space="preserve"> Thus approximately 16 per cent of the non-Indigeno</w:t>
      </w:r>
      <w:r w:rsidRPr="00FE502F">
        <w:t>us population subject to income management w</w:t>
      </w:r>
      <w:r w:rsidR="009D0860">
        <w:t>as</w:t>
      </w:r>
      <w:r w:rsidRPr="00FE502F">
        <w:t xml:space="preserve"> from a non-English </w:t>
      </w:r>
      <w:r w:rsidR="00E145BE">
        <w:t>s</w:t>
      </w:r>
      <w:r w:rsidRPr="00FE502F">
        <w:t xml:space="preserve">peaking </w:t>
      </w:r>
      <w:r w:rsidR="00E145BE">
        <w:t>b</w:t>
      </w:r>
      <w:r w:rsidRPr="00FE502F">
        <w:t>ackground.</w:t>
      </w:r>
    </w:p>
    <w:p w:rsidR="005E1FE0" w:rsidRPr="00DF38B2" w:rsidRDefault="005E1FE0" w:rsidP="006654AE">
      <w:pPr>
        <w:pStyle w:val="Caption"/>
      </w:pPr>
      <w:bookmarkStart w:id="142" w:name="_Ref399598054"/>
      <w:bookmarkStart w:id="143" w:name="_Toc403739412"/>
      <w:r w:rsidRPr="0072072C">
        <w:t xml:space="preserve">Table </w:t>
      </w:r>
      <w:fldSimple w:instr=" STYLEREF 1 \s ">
        <w:r w:rsidR="00906D13" w:rsidRPr="0072072C">
          <w:rPr>
            <w:noProof/>
          </w:rPr>
          <w:t>4</w:t>
        </w:r>
      </w:fldSimple>
      <w:r w:rsidR="00D40B64" w:rsidRPr="0072072C">
        <w:noBreakHyphen/>
      </w:r>
      <w:fldSimple w:instr=" SEQ Table \* ARABIC \s 1 ">
        <w:r w:rsidR="00906D13" w:rsidRPr="0072072C">
          <w:rPr>
            <w:noProof/>
          </w:rPr>
          <w:t>7</w:t>
        </w:r>
      </w:fldSimple>
      <w:bookmarkEnd w:id="142"/>
      <w:r w:rsidRPr="0072072C">
        <w:tab/>
      </w:r>
      <w:r w:rsidR="00822E8A" w:rsidRPr="0072072C">
        <w:t>Indigeneity and broad region</w:t>
      </w:r>
      <w:r w:rsidRPr="0072072C">
        <w:t xml:space="preserve"> of birth of people subject to </w:t>
      </w:r>
      <w:r w:rsidR="00CC7910" w:rsidRPr="0072072C">
        <w:t xml:space="preserve">income </w:t>
      </w:r>
      <w:r w:rsidR="00A8053C" w:rsidRPr="0072072C">
        <w:t>management</w:t>
      </w:r>
      <w:r w:rsidR="00CC7910" w:rsidRPr="00DF38B2">
        <w:t xml:space="preserve"> </w:t>
      </w:r>
      <w:r w:rsidRPr="00DF38B2">
        <w:t xml:space="preserve">in the </w:t>
      </w:r>
      <w:r w:rsidR="005E1DCA">
        <w:t>Northern Territory</w:t>
      </w:r>
      <w:r w:rsidRPr="00DF38B2">
        <w:t>, Compulsory and Voluntary Income Management, December 2013</w:t>
      </w:r>
      <w:bookmarkEnd w:id="143"/>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presents data for the population divided (in the rows) into 4 categories: Australian-Born Indigenous; Australian-Born Non-Indigenous; Overseas-Born in major English Speaking (ESB) countries and those born overseas in other countries, along with totals.&#10;The first part of the table contains five columns which give the number of people in the Northern Territory who are: on Compulsory Income Management, on Voluntary Income Management, the total of these two, the number who are on income support payments but not on Income Management and the proportion of all persons on income support who are on income management.&#10;The second horizontal panel of the table presents, as percentages, the proportions of people within the four column categories of on Compulsory Income Management, on Voluntary Income Management, the total of these two, and the group on on income support payments but not on Income Management, which fall into the four categories of region of birth/Indigeneity.&#10;Some of the key highlights from the table are described in the text.&#10;"/>
      </w:tblPr>
      <w:tblGrid>
        <w:gridCol w:w="2891"/>
        <w:gridCol w:w="1221"/>
        <w:gridCol w:w="993"/>
        <w:gridCol w:w="1134"/>
        <w:gridCol w:w="1203"/>
        <w:gridCol w:w="1347"/>
      </w:tblGrid>
      <w:tr w:rsidR="00F8365F" w:rsidRPr="0072072C" w:rsidTr="00F90E75">
        <w:trPr>
          <w:trHeight w:val="20"/>
          <w:tblHeader/>
          <w:jc w:val="center"/>
        </w:trPr>
        <w:tc>
          <w:tcPr>
            <w:tcW w:w="2891" w:type="dxa"/>
            <w:tcBorders>
              <w:top w:val="single" w:sz="4" w:space="0" w:color="auto"/>
              <w:bottom w:val="single" w:sz="4" w:space="0" w:color="auto"/>
            </w:tcBorders>
          </w:tcPr>
          <w:p w:rsidR="00F8365F" w:rsidRPr="0072072C" w:rsidRDefault="00A73C77" w:rsidP="00A73C77">
            <w:pPr>
              <w:pStyle w:val="tabletextleft"/>
              <w:jc w:val="left"/>
            </w:pPr>
            <w:r w:rsidRPr="0072072C">
              <w:t>Indigeneity and broad region of birth – number (n) and composition (%)</w:t>
            </w:r>
          </w:p>
        </w:tc>
        <w:tc>
          <w:tcPr>
            <w:tcW w:w="1221" w:type="dxa"/>
            <w:tcBorders>
              <w:top w:val="single" w:sz="4" w:space="0" w:color="auto"/>
              <w:bottom w:val="single" w:sz="4" w:space="0" w:color="auto"/>
            </w:tcBorders>
          </w:tcPr>
          <w:p w:rsidR="00F8365F" w:rsidRPr="0072072C" w:rsidRDefault="00F8365F" w:rsidP="006654AE">
            <w:pPr>
              <w:pStyle w:val="tabletextright"/>
            </w:pPr>
            <w:r w:rsidRPr="0072072C">
              <w:t>Compulsory</w:t>
            </w:r>
          </w:p>
        </w:tc>
        <w:tc>
          <w:tcPr>
            <w:tcW w:w="993" w:type="dxa"/>
            <w:tcBorders>
              <w:top w:val="single" w:sz="4" w:space="0" w:color="auto"/>
              <w:bottom w:val="single" w:sz="4" w:space="0" w:color="auto"/>
            </w:tcBorders>
          </w:tcPr>
          <w:p w:rsidR="00F8365F" w:rsidRPr="0072072C" w:rsidRDefault="00F8365F" w:rsidP="006654AE">
            <w:pPr>
              <w:pStyle w:val="tabletextright"/>
            </w:pPr>
            <w:r w:rsidRPr="0072072C">
              <w:t>Voluntary</w:t>
            </w:r>
          </w:p>
        </w:tc>
        <w:tc>
          <w:tcPr>
            <w:tcW w:w="1134" w:type="dxa"/>
            <w:tcBorders>
              <w:top w:val="single" w:sz="4" w:space="0" w:color="auto"/>
              <w:bottom w:val="single" w:sz="4" w:space="0" w:color="auto"/>
            </w:tcBorders>
          </w:tcPr>
          <w:p w:rsidR="00F8365F" w:rsidRPr="0072072C" w:rsidRDefault="00F8365F" w:rsidP="006654AE">
            <w:pPr>
              <w:pStyle w:val="tabletextright"/>
            </w:pPr>
            <w:r w:rsidRPr="0072072C">
              <w:t>Total IM</w:t>
            </w:r>
          </w:p>
        </w:tc>
        <w:tc>
          <w:tcPr>
            <w:tcW w:w="1203" w:type="dxa"/>
            <w:tcBorders>
              <w:top w:val="single" w:sz="4" w:space="0" w:color="auto"/>
              <w:bottom w:val="single" w:sz="4" w:space="0" w:color="auto"/>
            </w:tcBorders>
          </w:tcPr>
          <w:p w:rsidR="00F8365F" w:rsidRPr="0072072C" w:rsidRDefault="00F8365F" w:rsidP="006654AE">
            <w:pPr>
              <w:pStyle w:val="tabletextright"/>
            </w:pPr>
            <w:r w:rsidRPr="0072072C">
              <w:t>On IS but not on IM</w:t>
            </w:r>
          </w:p>
        </w:tc>
        <w:tc>
          <w:tcPr>
            <w:tcW w:w="1347" w:type="dxa"/>
            <w:tcBorders>
              <w:top w:val="single" w:sz="4" w:space="0" w:color="auto"/>
              <w:bottom w:val="single" w:sz="4" w:space="0" w:color="auto"/>
            </w:tcBorders>
          </w:tcPr>
          <w:p w:rsidR="00F8365F" w:rsidRPr="0072072C" w:rsidRDefault="00F8365F" w:rsidP="006654AE">
            <w:pPr>
              <w:pStyle w:val="tabletextright"/>
            </w:pPr>
            <w:r w:rsidRPr="0072072C">
              <w:t xml:space="preserve">Proportion on </w:t>
            </w:r>
            <w:r w:rsidR="005E4CAC" w:rsidRPr="0072072C">
              <w:t>income management</w:t>
            </w:r>
            <w:r w:rsidRPr="0072072C">
              <w:t xml:space="preserve"> (%)</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Indigenous</w:t>
            </w:r>
            <w:r w:rsidR="00A73C77" w:rsidRPr="0072072C">
              <w:t xml:space="preserve"> (n)</w:t>
            </w:r>
          </w:p>
        </w:tc>
        <w:tc>
          <w:tcPr>
            <w:tcW w:w="1221" w:type="dxa"/>
          </w:tcPr>
          <w:p w:rsidR="00F8365F" w:rsidRPr="0072072C" w:rsidRDefault="00F8365F" w:rsidP="006654AE">
            <w:pPr>
              <w:pStyle w:val="tabletextright"/>
            </w:pPr>
            <w:r w:rsidRPr="0072072C">
              <w:t>12,891</w:t>
            </w:r>
          </w:p>
        </w:tc>
        <w:tc>
          <w:tcPr>
            <w:tcW w:w="993" w:type="dxa"/>
          </w:tcPr>
          <w:p w:rsidR="00F8365F" w:rsidRPr="0072072C" w:rsidRDefault="00F8365F" w:rsidP="006654AE">
            <w:pPr>
              <w:pStyle w:val="tabletextright"/>
            </w:pPr>
            <w:r w:rsidRPr="0072072C">
              <w:t>3,620</w:t>
            </w:r>
          </w:p>
        </w:tc>
        <w:tc>
          <w:tcPr>
            <w:tcW w:w="1134" w:type="dxa"/>
          </w:tcPr>
          <w:p w:rsidR="00F8365F" w:rsidRPr="0072072C" w:rsidRDefault="00F8365F" w:rsidP="006654AE">
            <w:pPr>
              <w:pStyle w:val="tabletextright"/>
            </w:pPr>
            <w:r w:rsidRPr="0072072C">
              <w:t>16,511</w:t>
            </w:r>
          </w:p>
        </w:tc>
        <w:tc>
          <w:tcPr>
            <w:tcW w:w="1203" w:type="dxa"/>
          </w:tcPr>
          <w:p w:rsidR="00F8365F" w:rsidRPr="0072072C" w:rsidRDefault="00F8365F" w:rsidP="006654AE">
            <w:pPr>
              <w:pStyle w:val="tabletextright"/>
            </w:pPr>
            <w:r w:rsidRPr="0072072C">
              <w:t>9,679</w:t>
            </w:r>
          </w:p>
        </w:tc>
        <w:tc>
          <w:tcPr>
            <w:tcW w:w="1347" w:type="dxa"/>
          </w:tcPr>
          <w:p w:rsidR="00F8365F" w:rsidRPr="0072072C" w:rsidRDefault="00F8365F" w:rsidP="006654AE">
            <w:pPr>
              <w:pStyle w:val="tabletextright"/>
            </w:pPr>
            <w:r w:rsidRPr="0072072C">
              <w:t>63.0</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Non-Indigenous</w:t>
            </w:r>
            <w:r w:rsidR="00A73C77" w:rsidRPr="0072072C">
              <w:t xml:space="preserve"> (n)</w:t>
            </w:r>
          </w:p>
        </w:tc>
        <w:tc>
          <w:tcPr>
            <w:tcW w:w="1221" w:type="dxa"/>
          </w:tcPr>
          <w:p w:rsidR="00F8365F" w:rsidRPr="0072072C" w:rsidRDefault="00F8365F" w:rsidP="006654AE">
            <w:pPr>
              <w:pStyle w:val="tabletextright"/>
            </w:pPr>
            <w:r w:rsidRPr="0072072C">
              <w:t>1,344</w:t>
            </w:r>
          </w:p>
        </w:tc>
        <w:tc>
          <w:tcPr>
            <w:tcW w:w="993" w:type="dxa"/>
          </w:tcPr>
          <w:p w:rsidR="00F8365F" w:rsidRPr="0072072C" w:rsidRDefault="00F8365F" w:rsidP="006654AE">
            <w:pPr>
              <w:pStyle w:val="tabletextright"/>
            </w:pPr>
            <w:r w:rsidRPr="0072072C">
              <w:t>44</w:t>
            </w:r>
          </w:p>
        </w:tc>
        <w:tc>
          <w:tcPr>
            <w:tcW w:w="1134" w:type="dxa"/>
          </w:tcPr>
          <w:p w:rsidR="00F8365F" w:rsidRPr="0072072C" w:rsidRDefault="00F8365F" w:rsidP="006654AE">
            <w:pPr>
              <w:pStyle w:val="tabletextright"/>
            </w:pPr>
            <w:r w:rsidRPr="0072072C">
              <w:t>1,388</w:t>
            </w:r>
          </w:p>
        </w:tc>
        <w:tc>
          <w:tcPr>
            <w:tcW w:w="1203" w:type="dxa"/>
          </w:tcPr>
          <w:p w:rsidR="00F8365F" w:rsidRPr="0072072C" w:rsidRDefault="00F8365F" w:rsidP="006654AE">
            <w:pPr>
              <w:pStyle w:val="tabletextright"/>
            </w:pPr>
            <w:r w:rsidRPr="0072072C">
              <w:t>8,942</w:t>
            </w:r>
          </w:p>
        </w:tc>
        <w:tc>
          <w:tcPr>
            <w:tcW w:w="1347" w:type="dxa"/>
          </w:tcPr>
          <w:p w:rsidR="00F8365F" w:rsidRPr="0072072C" w:rsidRDefault="00F8365F" w:rsidP="006654AE">
            <w:pPr>
              <w:pStyle w:val="tabletextright"/>
            </w:pPr>
            <w:r w:rsidRPr="0072072C">
              <w:t>13.4</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Born – ESB</w:t>
            </w:r>
            <w:r w:rsidR="00A73C77" w:rsidRPr="0072072C">
              <w:t xml:space="preserve"> (n)</w:t>
            </w:r>
          </w:p>
        </w:tc>
        <w:tc>
          <w:tcPr>
            <w:tcW w:w="1221" w:type="dxa"/>
          </w:tcPr>
          <w:p w:rsidR="00F8365F" w:rsidRPr="0072072C" w:rsidRDefault="00F8365F" w:rsidP="006654AE">
            <w:pPr>
              <w:pStyle w:val="tabletextright"/>
            </w:pPr>
            <w:r w:rsidRPr="0072072C">
              <w:t>100</w:t>
            </w:r>
          </w:p>
        </w:tc>
        <w:tc>
          <w:tcPr>
            <w:tcW w:w="993" w:type="dxa"/>
          </w:tcPr>
          <w:p w:rsidR="00F8365F" w:rsidRPr="0072072C" w:rsidRDefault="00F8365F" w:rsidP="006654AE">
            <w:pPr>
              <w:pStyle w:val="tabletextright"/>
            </w:pPr>
            <w:r w:rsidRPr="0072072C">
              <w:t>2</w:t>
            </w:r>
          </w:p>
        </w:tc>
        <w:tc>
          <w:tcPr>
            <w:tcW w:w="1134" w:type="dxa"/>
          </w:tcPr>
          <w:p w:rsidR="00F8365F" w:rsidRPr="0072072C" w:rsidRDefault="00F8365F" w:rsidP="006654AE">
            <w:pPr>
              <w:pStyle w:val="tabletextright"/>
            </w:pPr>
            <w:r w:rsidRPr="0072072C">
              <w:t>102</w:t>
            </w:r>
          </w:p>
        </w:tc>
        <w:tc>
          <w:tcPr>
            <w:tcW w:w="1203" w:type="dxa"/>
          </w:tcPr>
          <w:p w:rsidR="00F8365F" w:rsidRPr="0072072C" w:rsidRDefault="00F8365F" w:rsidP="006654AE">
            <w:pPr>
              <w:pStyle w:val="tabletextright"/>
            </w:pPr>
            <w:r w:rsidRPr="0072072C">
              <w:t>1,596</w:t>
            </w:r>
          </w:p>
        </w:tc>
        <w:tc>
          <w:tcPr>
            <w:tcW w:w="1347" w:type="dxa"/>
          </w:tcPr>
          <w:p w:rsidR="00F8365F" w:rsidRPr="0072072C" w:rsidRDefault="00F8365F" w:rsidP="006654AE">
            <w:pPr>
              <w:pStyle w:val="tabletextright"/>
            </w:pPr>
            <w:r w:rsidRPr="0072072C">
              <w:t>6.0</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 xml:space="preserve">Born – NESB </w:t>
            </w:r>
            <w:r w:rsidR="00A73C77" w:rsidRPr="0072072C">
              <w:t>(n)</w:t>
            </w:r>
          </w:p>
        </w:tc>
        <w:tc>
          <w:tcPr>
            <w:tcW w:w="1221" w:type="dxa"/>
          </w:tcPr>
          <w:p w:rsidR="00F8365F" w:rsidRPr="0072072C" w:rsidRDefault="00F8365F" w:rsidP="006654AE">
            <w:pPr>
              <w:pStyle w:val="tabletextright"/>
            </w:pPr>
            <w:r w:rsidRPr="0072072C">
              <w:t>286</w:t>
            </w:r>
          </w:p>
        </w:tc>
        <w:tc>
          <w:tcPr>
            <w:tcW w:w="993" w:type="dxa"/>
          </w:tcPr>
          <w:p w:rsidR="00F8365F" w:rsidRPr="0072072C" w:rsidRDefault="00F8365F" w:rsidP="006654AE">
            <w:pPr>
              <w:pStyle w:val="tabletextright"/>
            </w:pPr>
            <w:r w:rsidRPr="0072072C">
              <w:t>9</w:t>
            </w:r>
          </w:p>
        </w:tc>
        <w:tc>
          <w:tcPr>
            <w:tcW w:w="1134" w:type="dxa"/>
          </w:tcPr>
          <w:p w:rsidR="00F8365F" w:rsidRPr="0072072C" w:rsidRDefault="00F8365F" w:rsidP="006654AE">
            <w:pPr>
              <w:pStyle w:val="tabletextright"/>
            </w:pPr>
            <w:r w:rsidRPr="0072072C">
              <w:t>295</w:t>
            </w:r>
          </w:p>
        </w:tc>
        <w:tc>
          <w:tcPr>
            <w:tcW w:w="1203" w:type="dxa"/>
          </w:tcPr>
          <w:p w:rsidR="00F8365F" w:rsidRPr="0072072C" w:rsidRDefault="00F8365F" w:rsidP="006654AE">
            <w:pPr>
              <w:pStyle w:val="tabletextright"/>
            </w:pPr>
            <w:r w:rsidRPr="0072072C">
              <w:t>3,246</w:t>
            </w:r>
          </w:p>
        </w:tc>
        <w:tc>
          <w:tcPr>
            <w:tcW w:w="1347" w:type="dxa"/>
          </w:tcPr>
          <w:p w:rsidR="00F8365F" w:rsidRPr="0072072C" w:rsidRDefault="00F8365F" w:rsidP="006654AE">
            <w:pPr>
              <w:pStyle w:val="tabletextright"/>
            </w:pPr>
            <w:r w:rsidRPr="0072072C">
              <w:t>8.3</w:t>
            </w:r>
          </w:p>
        </w:tc>
      </w:tr>
      <w:tr w:rsidR="00F8365F" w:rsidRPr="0072072C" w:rsidTr="00F90E75">
        <w:trPr>
          <w:trHeight w:val="420"/>
          <w:jc w:val="center"/>
        </w:trPr>
        <w:tc>
          <w:tcPr>
            <w:tcW w:w="2891" w:type="dxa"/>
            <w:tcBorders>
              <w:bottom w:val="single" w:sz="4" w:space="0" w:color="auto"/>
            </w:tcBorders>
          </w:tcPr>
          <w:p w:rsidR="00F8365F" w:rsidRPr="0072072C" w:rsidRDefault="00F8365F" w:rsidP="006654AE">
            <w:pPr>
              <w:pStyle w:val="tabletextleft"/>
            </w:pPr>
            <w:r w:rsidRPr="0072072C">
              <w:t xml:space="preserve">Total </w:t>
            </w:r>
            <w:r w:rsidR="00A73C77" w:rsidRPr="0072072C">
              <w:t>(n)</w:t>
            </w:r>
          </w:p>
        </w:tc>
        <w:tc>
          <w:tcPr>
            <w:tcW w:w="1221" w:type="dxa"/>
            <w:tcBorders>
              <w:bottom w:val="single" w:sz="4" w:space="0" w:color="auto"/>
            </w:tcBorders>
          </w:tcPr>
          <w:p w:rsidR="00F8365F" w:rsidRPr="0072072C" w:rsidRDefault="00F8365F" w:rsidP="006654AE">
            <w:pPr>
              <w:pStyle w:val="tabletextright"/>
            </w:pPr>
            <w:r w:rsidRPr="0072072C">
              <w:t>14,621</w:t>
            </w:r>
          </w:p>
        </w:tc>
        <w:tc>
          <w:tcPr>
            <w:tcW w:w="993" w:type="dxa"/>
            <w:tcBorders>
              <w:bottom w:val="single" w:sz="4" w:space="0" w:color="auto"/>
            </w:tcBorders>
          </w:tcPr>
          <w:p w:rsidR="00F8365F" w:rsidRPr="0072072C" w:rsidRDefault="00F8365F" w:rsidP="006654AE">
            <w:pPr>
              <w:pStyle w:val="tabletextright"/>
            </w:pPr>
            <w:r w:rsidRPr="0072072C">
              <w:t>3,675</w:t>
            </w:r>
          </w:p>
        </w:tc>
        <w:tc>
          <w:tcPr>
            <w:tcW w:w="1134" w:type="dxa"/>
            <w:tcBorders>
              <w:bottom w:val="single" w:sz="4" w:space="0" w:color="auto"/>
            </w:tcBorders>
          </w:tcPr>
          <w:p w:rsidR="00F8365F" w:rsidRPr="0072072C" w:rsidRDefault="00F8365F" w:rsidP="006654AE">
            <w:pPr>
              <w:pStyle w:val="tabletextright"/>
            </w:pPr>
            <w:r w:rsidRPr="0072072C">
              <w:t>18,296</w:t>
            </w:r>
          </w:p>
        </w:tc>
        <w:tc>
          <w:tcPr>
            <w:tcW w:w="1203" w:type="dxa"/>
            <w:tcBorders>
              <w:bottom w:val="single" w:sz="4" w:space="0" w:color="auto"/>
            </w:tcBorders>
          </w:tcPr>
          <w:p w:rsidR="00F8365F" w:rsidRPr="0072072C" w:rsidRDefault="00F8365F" w:rsidP="006654AE">
            <w:pPr>
              <w:pStyle w:val="tabletextright"/>
            </w:pPr>
            <w:r w:rsidRPr="0072072C">
              <w:t>23,463</w:t>
            </w:r>
          </w:p>
        </w:tc>
        <w:tc>
          <w:tcPr>
            <w:tcW w:w="1347" w:type="dxa"/>
            <w:tcBorders>
              <w:bottom w:val="single" w:sz="4" w:space="0" w:color="auto"/>
            </w:tcBorders>
          </w:tcPr>
          <w:p w:rsidR="00F8365F" w:rsidRPr="0072072C" w:rsidRDefault="00F8365F" w:rsidP="006654AE">
            <w:pPr>
              <w:pStyle w:val="tabletextright"/>
            </w:pPr>
            <w:r w:rsidRPr="0072072C">
              <w:t>43.8</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Indigenous</w:t>
            </w:r>
            <w:r w:rsidR="00A73C77" w:rsidRPr="0072072C">
              <w:t xml:space="preserve"> (%)</w:t>
            </w:r>
          </w:p>
        </w:tc>
        <w:tc>
          <w:tcPr>
            <w:tcW w:w="1221" w:type="dxa"/>
          </w:tcPr>
          <w:p w:rsidR="00F8365F" w:rsidRPr="0072072C" w:rsidRDefault="00F8365F" w:rsidP="006654AE">
            <w:pPr>
              <w:pStyle w:val="tabletextright"/>
            </w:pPr>
            <w:r w:rsidRPr="0072072C">
              <w:t>88.2</w:t>
            </w:r>
          </w:p>
        </w:tc>
        <w:tc>
          <w:tcPr>
            <w:tcW w:w="993" w:type="dxa"/>
          </w:tcPr>
          <w:p w:rsidR="00F8365F" w:rsidRPr="0072072C" w:rsidRDefault="00F8365F" w:rsidP="006654AE">
            <w:pPr>
              <w:pStyle w:val="tabletextright"/>
            </w:pPr>
            <w:r w:rsidRPr="0072072C">
              <w:t>98.5</w:t>
            </w:r>
          </w:p>
        </w:tc>
        <w:tc>
          <w:tcPr>
            <w:tcW w:w="1134" w:type="dxa"/>
          </w:tcPr>
          <w:p w:rsidR="00F8365F" w:rsidRPr="0072072C" w:rsidRDefault="00F8365F" w:rsidP="006654AE">
            <w:pPr>
              <w:pStyle w:val="tabletextright"/>
            </w:pPr>
            <w:r w:rsidRPr="0072072C">
              <w:t>90.2</w:t>
            </w:r>
          </w:p>
        </w:tc>
        <w:tc>
          <w:tcPr>
            <w:tcW w:w="1203" w:type="dxa"/>
          </w:tcPr>
          <w:p w:rsidR="00F8365F" w:rsidRPr="0072072C" w:rsidRDefault="00F8365F" w:rsidP="006654AE">
            <w:pPr>
              <w:pStyle w:val="tabletextright"/>
            </w:pPr>
            <w:r w:rsidRPr="0072072C">
              <w:t>41.3</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Non-Indigenous</w:t>
            </w:r>
            <w:r w:rsidR="00A73C77" w:rsidRPr="0072072C">
              <w:t xml:space="preserve"> (%)</w:t>
            </w:r>
          </w:p>
        </w:tc>
        <w:tc>
          <w:tcPr>
            <w:tcW w:w="1221" w:type="dxa"/>
          </w:tcPr>
          <w:p w:rsidR="00F8365F" w:rsidRPr="0072072C" w:rsidRDefault="00F8365F" w:rsidP="006654AE">
            <w:pPr>
              <w:pStyle w:val="tabletextright"/>
            </w:pPr>
            <w:r w:rsidRPr="0072072C">
              <w:t>9.2</w:t>
            </w:r>
          </w:p>
        </w:tc>
        <w:tc>
          <w:tcPr>
            <w:tcW w:w="993" w:type="dxa"/>
          </w:tcPr>
          <w:p w:rsidR="00F8365F" w:rsidRPr="0072072C" w:rsidRDefault="00F8365F" w:rsidP="006654AE">
            <w:pPr>
              <w:pStyle w:val="tabletextright"/>
            </w:pPr>
            <w:r w:rsidRPr="0072072C">
              <w:t>1.2</w:t>
            </w:r>
          </w:p>
        </w:tc>
        <w:tc>
          <w:tcPr>
            <w:tcW w:w="1134" w:type="dxa"/>
          </w:tcPr>
          <w:p w:rsidR="00F8365F" w:rsidRPr="0072072C" w:rsidRDefault="00F8365F" w:rsidP="006654AE">
            <w:pPr>
              <w:pStyle w:val="tabletextright"/>
            </w:pPr>
            <w:r w:rsidRPr="0072072C">
              <w:t>7.6</w:t>
            </w:r>
          </w:p>
        </w:tc>
        <w:tc>
          <w:tcPr>
            <w:tcW w:w="1203" w:type="dxa"/>
          </w:tcPr>
          <w:p w:rsidR="00F8365F" w:rsidRPr="0072072C" w:rsidRDefault="00F8365F" w:rsidP="006654AE">
            <w:pPr>
              <w:pStyle w:val="tabletextright"/>
            </w:pPr>
            <w:r w:rsidRPr="0072072C">
              <w:t>38.1</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Born – ESB</w:t>
            </w:r>
            <w:r w:rsidR="00A73C77" w:rsidRPr="0072072C">
              <w:t xml:space="preserve"> (%)</w:t>
            </w:r>
          </w:p>
        </w:tc>
        <w:tc>
          <w:tcPr>
            <w:tcW w:w="1221" w:type="dxa"/>
          </w:tcPr>
          <w:p w:rsidR="00F8365F" w:rsidRPr="0072072C" w:rsidRDefault="00F8365F" w:rsidP="006654AE">
            <w:pPr>
              <w:pStyle w:val="tabletextright"/>
            </w:pPr>
            <w:r w:rsidRPr="0072072C">
              <w:t>0.7</w:t>
            </w:r>
          </w:p>
        </w:tc>
        <w:tc>
          <w:tcPr>
            <w:tcW w:w="993" w:type="dxa"/>
          </w:tcPr>
          <w:p w:rsidR="00F8365F" w:rsidRPr="0072072C" w:rsidRDefault="00F8365F" w:rsidP="006654AE">
            <w:pPr>
              <w:pStyle w:val="tabletextright"/>
            </w:pPr>
            <w:r w:rsidRPr="0072072C">
              <w:t>0.1</w:t>
            </w:r>
          </w:p>
        </w:tc>
        <w:tc>
          <w:tcPr>
            <w:tcW w:w="1134" w:type="dxa"/>
          </w:tcPr>
          <w:p w:rsidR="00F8365F" w:rsidRPr="0072072C" w:rsidRDefault="00F8365F" w:rsidP="006654AE">
            <w:pPr>
              <w:pStyle w:val="tabletextright"/>
            </w:pPr>
            <w:r w:rsidRPr="0072072C">
              <w:t>0.6</w:t>
            </w:r>
          </w:p>
        </w:tc>
        <w:tc>
          <w:tcPr>
            <w:tcW w:w="1203" w:type="dxa"/>
          </w:tcPr>
          <w:p w:rsidR="00F8365F" w:rsidRPr="0072072C" w:rsidRDefault="00F8365F" w:rsidP="006654AE">
            <w:pPr>
              <w:pStyle w:val="tabletextright"/>
            </w:pPr>
            <w:r w:rsidRPr="0072072C">
              <w:t>6.8</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 xml:space="preserve">Born – NESB </w:t>
            </w:r>
            <w:r w:rsidR="00A73C77" w:rsidRPr="0072072C">
              <w:t>(%)</w:t>
            </w:r>
          </w:p>
        </w:tc>
        <w:tc>
          <w:tcPr>
            <w:tcW w:w="1221" w:type="dxa"/>
          </w:tcPr>
          <w:p w:rsidR="00F8365F" w:rsidRPr="0072072C" w:rsidRDefault="00F8365F" w:rsidP="006654AE">
            <w:pPr>
              <w:pStyle w:val="tabletextright"/>
            </w:pPr>
            <w:r w:rsidRPr="0072072C">
              <w:t>2.0</w:t>
            </w:r>
          </w:p>
        </w:tc>
        <w:tc>
          <w:tcPr>
            <w:tcW w:w="993" w:type="dxa"/>
          </w:tcPr>
          <w:p w:rsidR="00F8365F" w:rsidRPr="0072072C" w:rsidRDefault="00F8365F" w:rsidP="006654AE">
            <w:pPr>
              <w:pStyle w:val="tabletextright"/>
            </w:pPr>
            <w:r w:rsidRPr="0072072C">
              <w:t>0.2</w:t>
            </w:r>
          </w:p>
        </w:tc>
        <w:tc>
          <w:tcPr>
            <w:tcW w:w="1134" w:type="dxa"/>
          </w:tcPr>
          <w:p w:rsidR="00F8365F" w:rsidRPr="0072072C" w:rsidRDefault="00F8365F" w:rsidP="006654AE">
            <w:pPr>
              <w:pStyle w:val="tabletextright"/>
            </w:pPr>
            <w:r w:rsidRPr="0072072C">
              <w:t>1.6</w:t>
            </w:r>
          </w:p>
        </w:tc>
        <w:tc>
          <w:tcPr>
            <w:tcW w:w="1203" w:type="dxa"/>
          </w:tcPr>
          <w:p w:rsidR="00F8365F" w:rsidRPr="0072072C" w:rsidRDefault="00F8365F" w:rsidP="006654AE">
            <w:pPr>
              <w:pStyle w:val="tabletextright"/>
            </w:pPr>
            <w:r w:rsidRPr="0072072C">
              <w:t>13.8</w:t>
            </w:r>
          </w:p>
        </w:tc>
        <w:tc>
          <w:tcPr>
            <w:tcW w:w="1347" w:type="dxa"/>
          </w:tcPr>
          <w:p w:rsidR="00F8365F" w:rsidRPr="0072072C" w:rsidRDefault="00F8365F" w:rsidP="006654AE">
            <w:pPr>
              <w:pStyle w:val="tabletextright"/>
            </w:pPr>
          </w:p>
        </w:tc>
      </w:tr>
      <w:tr w:rsidR="00F8365F" w:rsidRPr="00DF38B2" w:rsidTr="00F90E75">
        <w:trPr>
          <w:trHeight w:val="20"/>
          <w:jc w:val="center"/>
        </w:trPr>
        <w:tc>
          <w:tcPr>
            <w:tcW w:w="2891" w:type="dxa"/>
            <w:tcBorders>
              <w:bottom w:val="single" w:sz="4" w:space="0" w:color="auto"/>
            </w:tcBorders>
          </w:tcPr>
          <w:p w:rsidR="00F8365F" w:rsidRPr="0072072C" w:rsidRDefault="00F8365F" w:rsidP="006654AE">
            <w:pPr>
              <w:pStyle w:val="tabletextleft"/>
            </w:pPr>
            <w:r w:rsidRPr="0072072C">
              <w:t xml:space="preserve">Total </w:t>
            </w:r>
            <w:r w:rsidR="00A73C77" w:rsidRPr="0072072C">
              <w:t>(%)</w:t>
            </w:r>
          </w:p>
        </w:tc>
        <w:tc>
          <w:tcPr>
            <w:tcW w:w="1221" w:type="dxa"/>
            <w:tcBorders>
              <w:bottom w:val="single" w:sz="4" w:space="0" w:color="auto"/>
            </w:tcBorders>
          </w:tcPr>
          <w:p w:rsidR="00F8365F" w:rsidRPr="0072072C" w:rsidRDefault="00F8365F" w:rsidP="006654AE">
            <w:pPr>
              <w:pStyle w:val="tabletextright"/>
            </w:pPr>
            <w:r w:rsidRPr="0072072C">
              <w:t>100.0</w:t>
            </w:r>
          </w:p>
        </w:tc>
        <w:tc>
          <w:tcPr>
            <w:tcW w:w="993" w:type="dxa"/>
            <w:tcBorders>
              <w:bottom w:val="single" w:sz="4" w:space="0" w:color="auto"/>
            </w:tcBorders>
          </w:tcPr>
          <w:p w:rsidR="00F8365F" w:rsidRPr="0072072C" w:rsidRDefault="00F8365F" w:rsidP="006654AE">
            <w:pPr>
              <w:pStyle w:val="tabletextright"/>
            </w:pPr>
            <w:r w:rsidRPr="0072072C">
              <w:t>100.0</w:t>
            </w:r>
          </w:p>
        </w:tc>
        <w:tc>
          <w:tcPr>
            <w:tcW w:w="1134" w:type="dxa"/>
            <w:tcBorders>
              <w:bottom w:val="single" w:sz="4" w:space="0" w:color="auto"/>
            </w:tcBorders>
          </w:tcPr>
          <w:p w:rsidR="00F8365F" w:rsidRPr="0072072C" w:rsidRDefault="00F8365F" w:rsidP="006654AE">
            <w:pPr>
              <w:pStyle w:val="tabletextright"/>
            </w:pPr>
            <w:r w:rsidRPr="0072072C">
              <w:t>100.0</w:t>
            </w:r>
          </w:p>
        </w:tc>
        <w:tc>
          <w:tcPr>
            <w:tcW w:w="1203" w:type="dxa"/>
            <w:tcBorders>
              <w:bottom w:val="single" w:sz="4" w:space="0" w:color="auto"/>
            </w:tcBorders>
          </w:tcPr>
          <w:p w:rsidR="00F8365F" w:rsidRPr="00DF38B2" w:rsidRDefault="00F8365F" w:rsidP="006654AE">
            <w:pPr>
              <w:pStyle w:val="tabletextright"/>
            </w:pPr>
            <w:r w:rsidRPr="0072072C">
              <w:t>100.0</w:t>
            </w:r>
          </w:p>
        </w:tc>
        <w:tc>
          <w:tcPr>
            <w:tcW w:w="1347" w:type="dxa"/>
            <w:tcBorders>
              <w:bottom w:val="single" w:sz="4" w:space="0" w:color="auto"/>
            </w:tcBorders>
          </w:tcPr>
          <w:p w:rsidR="00F8365F" w:rsidRPr="00DF38B2" w:rsidRDefault="00F8365F" w:rsidP="006654AE">
            <w:pPr>
              <w:pStyle w:val="tabletextright"/>
            </w:pPr>
          </w:p>
        </w:tc>
      </w:tr>
    </w:tbl>
    <w:p w:rsidR="005E1FE0" w:rsidRPr="00DF38B2" w:rsidRDefault="005E1FE0" w:rsidP="006654AE">
      <w:pPr>
        <w:pStyle w:val="tablenotes"/>
        <w:ind w:left="1437" w:hanging="870"/>
      </w:pPr>
      <w:r w:rsidRPr="00DF38B2">
        <w:t xml:space="preserve">Note: </w:t>
      </w:r>
      <w:r w:rsidRPr="00DF38B2">
        <w:tab/>
        <w:t>ESB – English</w:t>
      </w:r>
      <w:r w:rsidR="009D0860">
        <w:t>-</w:t>
      </w:r>
      <w:r w:rsidRPr="00DF38B2">
        <w:t>speaking background, NESB – Non-English speaking background. The Compulsory Income Management category includes CIM, Vulnerable IM, Child Protection IM, SPAR</w:t>
      </w:r>
      <w:r w:rsidR="009D0860">
        <w:t>,</w:t>
      </w:r>
      <w:r w:rsidRPr="00DF38B2">
        <w:t xml:space="preserve"> and Nominee Income Management</w:t>
      </w:r>
      <w:r w:rsidR="00386B63">
        <w:t>, IS Income Support</w:t>
      </w:r>
      <w:r w:rsidR="00A73C77">
        <w:t>, IM Income Management</w:t>
      </w:r>
      <w:r w:rsidRPr="00DF38B2">
        <w:t>.</w:t>
      </w:r>
      <w:r w:rsidR="00386B63">
        <w:t xml:space="preserve"> </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t>While the relative incidence of income management for those on income support is considered later in this chapter</w:t>
      </w:r>
      <w:r w:rsidR="009D0860">
        <w:t>,</w:t>
      </w:r>
      <w:r w:rsidRPr="00DF38B2">
        <w:t xml:space="preserve"> the above </w:t>
      </w:r>
      <w:r w:rsidR="00F8365F">
        <w:t>data</w:t>
      </w:r>
      <w:r w:rsidR="00F8365F" w:rsidRPr="00DF38B2">
        <w:t xml:space="preserve"> </w:t>
      </w:r>
      <w:r w:rsidRPr="00DF38B2">
        <w:t>indicate</w:t>
      </w:r>
      <w:r w:rsidR="00F8365F">
        <w:t>s</w:t>
      </w:r>
      <w:r w:rsidRPr="00DF38B2">
        <w:t xml:space="preserve"> that the proportion of income support recipients born outside Australia who are income managed is low</w:t>
      </w:r>
      <w:r w:rsidR="009D0860">
        <w:t>:</w:t>
      </w:r>
      <w:r w:rsidR="00F8365F">
        <w:t xml:space="preserve"> </w:t>
      </w:r>
      <w:r w:rsidRPr="00DF38B2">
        <w:t>7.6 per cent</w:t>
      </w:r>
      <w:r w:rsidR="00F8365F">
        <w:t xml:space="preserve"> (6.0 per cent of those born in major English</w:t>
      </w:r>
      <w:r w:rsidR="009D0860">
        <w:t>-</w:t>
      </w:r>
      <w:r w:rsidR="00E145BE">
        <w:t>s</w:t>
      </w:r>
      <w:r w:rsidR="00F8365F">
        <w:t xml:space="preserve">peaking </w:t>
      </w:r>
      <w:r w:rsidR="00E145BE">
        <w:t>c</w:t>
      </w:r>
      <w:r w:rsidR="00F8365F">
        <w:t xml:space="preserve">ountries and 8.3 per cent </w:t>
      </w:r>
      <w:r w:rsidR="009D0860">
        <w:t>of</w:t>
      </w:r>
      <w:r w:rsidR="00F8365F">
        <w:t xml:space="preserve"> those born in other countries)</w:t>
      </w:r>
      <w:r w:rsidRPr="00DF38B2">
        <w:t>, and well below the rate for persons born in Australia, whether they are Indigenous or not</w:t>
      </w:r>
      <w:r w:rsidR="00863608">
        <w:t>,</w:t>
      </w:r>
      <w:r w:rsidRPr="00DF38B2">
        <w:t xml:space="preserve"> of 49.0 per cent</w:t>
      </w:r>
      <w:r w:rsidR="00F8365F">
        <w:t xml:space="preserve"> (13.4 per cent of non-Indigenous and 63.0 per cent for Indigenous people)</w:t>
      </w:r>
      <w:r w:rsidRPr="00DF38B2">
        <w:t>.</w:t>
      </w:r>
    </w:p>
    <w:p w:rsidR="005E1FE0" w:rsidRPr="00DF38B2" w:rsidRDefault="005E1FE0" w:rsidP="006654AE">
      <w:r w:rsidRPr="00DF38B2">
        <w:t>This</w:t>
      </w:r>
      <w:r w:rsidR="00863608">
        <w:t>,</w:t>
      </w:r>
      <w:r w:rsidRPr="00DF38B2">
        <w:t xml:space="preserve"> however</w:t>
      </w:r>
      <w:r w:rsidR="00863608">
        <w:t>,</w:t>
      </w:r>
      <w:r w:rsidRPr="00DF38B2">
        <w:t xml:space="preserve"> is not the case for all groups of migrants. Particularly high rates of income management are found upon those migrants from Afghanistan (4</w:t>
      </w:r>
      <w:r w:rsidR="00E17A85">
        <w:t>0</w:t>
      </w:r>
      <w:r w:rsidRPr="00DF38B2">
        <w:t>.9 per cent), the Sudan (3</w:t>
      </w:r>
      <w:r w:rsidR="00E17A85">
        <w:t>3.3</w:t>
      </w:r>
      <w:r w:rsidRPr="00DF38B2">
        <w:t>)</w:t>
      </w:r>
      <w:r w:rsidR="00E17A85">
        <w:t>, Burma (24.2 per cent)</w:t>
      </w:r>
      <w:r w:rsidR="00863608">
        <w:t>,</w:t>
      </w:r>
      <w:r w:rsidR="00E17A85">
        <w:t xml:space="preserve"> Fiji (23.1 per cent)</w:t>
      </w:r>
      <w:r w:rsidR="00863608">
        <w:t>,</w:t>
      </w:r>
      <w:r w:rsidRPr="00DF38B2">
        <w:t xml:space="preserve"> and Papua New Guinea (2</w:t>
      </w:r>
      <w:r w:rsidR="00E17A85">
        <w:t>1</w:t>
      </w:r>
      <w:r w:rsidRPr="00DF38B2">
        <w:t>.</w:t>
      </w:r>
      <w:r w:rsidR="00E17A85">
        <w:t>0</w:t>
      </w:r>
      <w:r w:rsidRPr="00DF38B2">
        <w:t xml:space="preserve"> per cent). </w:t>
      </w:r>
      <w:r w:rsidR="00E17A85">
        <w:t>In contrast</w:t>
      </w:r>
      <w:r w:rsidR="00863608">
        <w:t>,</w:t>
      </w:r>
      <w:r w:rsidR="00E17A85">
        <w:t xml:space="preserve"> only 2.2 per cent of those income support recipients born in Malaysia are on income management</w:t>
      </w:r>
      <w:r w:rsidR="00863608">
        <w:t>,</w:t>
      </w:r>
      <w:r w:rsidR="00E17A85">
        <w:t xml:space="preserve"> a</w:t>
      </w:r>
      <w:r w:rsidR="00863608">
        <w:t>nd</w:t>
      </w:r>
      <w:r w:rsidR="00E17A85">
        <w:t xml:space="preserve"> 2.6 per cent of those born in Sri Lanka.</w:t>
      </w:r>
      <w:r w:rsidR="00A838EF">
        <w:t xml:space="preserve"> </w:t>
      </w:r>
      <w:r w:rsidR="00A838EF" w:rsidRPr="00A838EF">
        <w:t>It is not</w:t>
      </w:r>
      <w:r w:rsidR="00A838EF">
        <w:t>ed that for some of these sub-populations</w:t>
      </w:r>
      <w:r w:rsidR="00A838EF" w:rsidRPr="00A838EF">
        <w:t xml:space="preserve"> only relatively small numbers of people are on income support</w:t>
      </w:r>
      <w:r w:rsidR="00A838EF">
        <w:t>.</w:t>
      </w:r>
    </w:p>
    <w:p w:rsidR="005E1FE0" w:rsidRPr="00DF38B2" w:rsidRDefault="005E1FE0" w:rsidP="006654AE">
      <w:pPr>
        <w:pStyle w:val="Heading4"/>
      </w:pPr>
      <w:r w:rsidRPr="00DF38B2">
        <w:t>Visa status</w:t>
      </w:r>
    </w:p>
    <w:p w:rsidR="005E1FE0" w:rsidRPr="00DF38B2" w:rsidRDefault="0074530D" w:rsidP="006654AE">
      <w:pPr>
        <w:rPr>
          <w:rFonts w:eastAsia="Times New Roman"/>
        </w:rPr>
      </w:pPr>
      <w:r>
        <w:t>Of those subject to income management</w:t>
      </w:r>
      <w:r w:rsidR="005E1FE0" w:rsidRPr="00DF38B2">
        <w:t xml:space="preserve"> in December 2013</w:t>
      </w:r>
      <w:r w:rsidR="00386B63">
        <w:t>,</w:t>
      </w:r>
      <w:r w:rsidR="005E1FE0" w:rsidRPr="00DF38B2">
        <w:t xml:space="preserve"> 251 (1.4 per cent) had a </w:t>
      </w:r>
      <w:r w:rsidR="00E145BE">
        <w:t>v</w:t>
      </w:r>
      <w:r w:rsidR="005E1FE0" w:rsidRPr="00DF38B2">
        <w:t>isa status on the</w:t>
      </w:r>
      <w:r w:rsidR="00E145BE">
        <w:t>ir</w:t>
      </w:r>
      <w:r w:rsidR="005E1FE0" w:rsidRPr="00DF38B2">
        <w:t xml:space="preserve"> Centrelink record</w:t>
      </w:r>
      <w:r w:rsidR="005E1FE0" w:rsidRPr="00DF38B2">
        <w:rPr>
          <w:rFonts w:eastAsia="Times New Roman"/>
        </w:rPr>
        <w:t>. Of th</w:t>
      </w:r>
      <w:r w:rsidR="00E145BE">
        <w:rPr>
          <w:rFonts w:eastAsia="Times New Roman"/>
        </w:rPr>
        <w:t>ese</w:t>
      </w:r>
      <w:r w:rsidR="005E1FE0" w:rsidRPr="00DF38B2">
        <w:rPr>
          <w:rFonts w:eastAsia="Times New Roman"/>
        </w:rPr>
        <w:t xml:space="preserve"> 251</w:t>
      </w:r>
      <w:r w:rsidR="00863608">
        <w:rPr>
          <w:rFonts w:eastAsia="Times New Roman"/>
        </w:rPr>
        <w:t xml:space="preserve"> people</w:t>
      </w:r>
      <w:r w:rsidR="005E1FE0" w:rsidRPr="00DF38B2">
        <w:rPr>
          <w:rFonts w:eastAsia="Times New Roman"/>
        </w:rPr>
        <w:t xml:space="preserve">, 29.9 per cent held a </w:t>
      </w:r>
      <w:r w:rsidR="00E145BE">
        <w:rPr>
          <w:rFonts w:eastAsia="Times New Roman"/>
        </w:rPr>
        <w:t>f</w:t>
      </w:r>
      <w:r w:rsidR="005E1FE0" w:rsidRPr="00DF38B2">
        <w:rPr>
          <w:rFonts w:eastAsia="Times New Roman"/>
        </w:rPr>
        <w:t xml:space="preserve">amily visa, 38.6 per cent a </w:t>
      </w:r>
      <w:r w:rsidR="00E145BE">
        <w:rPr>
          <w:rFonts w:eastAsia="Times New Roman"/>
        </w:rPr>
        <w:t>h</w:t>
      </w:r>
      <w:r w:rsidR="005E1FE0" w:rsidRPr="00DF38B2">
        <w:rPr>
          <w:rFonts w:eastAsia="Times New Roman"/>
        </w:rPr>
        <w:t>umanitarian arrival visa</w:t>
      </w:r>
      <w:r w:rsidR="00863608">
        <w:rPr>
          <w:rFonts w:eastAsia="Times New Roman"/>
        </w:rPr>
        <w:t>,</w:t>
      </w:r>
      <w:r w:rsidR="005E1FE0" w:rsidRPr="00DF38B2">
        <w:rPr>
          <w:rFonts w:eastAsia="Times New Roman"/>
        </w:rPr>
        <w:t xml:space="preserve"> and 31.2 per cent had other kinds of visa. A total of 171 were not Australian citizens or permanent residents and did not have a visa status recorded in the Centrelink data. The rate of income management was relatively high</w:t>
      </w:r>
      <w:r w:rsidR="00863608">
        <w:rPr>
          <w:rFonts w:eastAsia="Times New Roman"/>
        </w:rPr>
        <w:t xml:space="preserve"> –</w:t>
      </w:r>
      <w:r w:rsidR="005E1FE0" w:rsidRPr="00DF38B2">
        <w:rPr>
          <w:rFonts w:eastAsia="Times New Roman"/>
        </w:rPr>
        <w:t xml:space="preserve"> 26.9 per cent</w:t>
      </w:r>
      <w:r w:rsidR="00863608">
        <w:rPr>
          <w:rFonts w:eastAsia="Times New Roman"/>
        </w:rPr>
        <w:t xml:space="preserve"> –</w:t>
      </w:r>
      <w:r w:rsidR="005E1FE0" w:rsidRPr="00DF38B2">
        <w:rPr>
          <w:rFonts w:eastAsia="Times New Roman"/>
        </w:rPr>
        <w:t xml:space="preserve"> for those who held a humanitarian visa.</w:t>
      </w:r>
    </w:p>
    <w:p w:rsidR="005E1FE0" w:rsidRPr="00DF38B2" w:rsidRDefault="005E1FE0" w:rsidP="006654AE">
      <w:pPr>
        <w:pStyle w:val="Heading3"/>
        <w:rPr>
          <w:rFonts w:eastAsia="Times New Roman"/>
        </w:rPr>
      </w:pPr>
      <w:bookmarkStart w:id="144" w:name="_Toc403739006"/>
      <w:r w:rsidRPr="00DF38B2">
        <w:rPr>
          <w:rFonts w:eastAsia="Times New Roman"/>
        </w:rPr>
        <w:t>Income management by location</w:t>
      </w:r>
      <w:bookmarkEnd w:id="144"/>
    </w:p>
    <w:p w:rsidR="005E1FE0" w:rsidRPr="00DF38B2" w:rsidRDefault="005E1FE0" w:rsidP="006654AE">
      <w:r w:rsidRPr="00DF38B2">
        <w:t xml:space="preserve">In large part discussion of the geographical distribution of people by location occurs in Section </w:t>
      </w:r>
      <w:r w:rsidRPr="00DF38B2">
        <w:fldChar w:fldCharType="begin"/>
      </w:r>
      <w:r w:rsidRPr="00DF38B2">
        <w:instrText xml:space="preserve"> REF _Ref391233832 \r \h </w:instrText>
      </w:r>
      <w:r w:rsidRPr="00DF38B2">
        <w:fldChar w:fldCharType="separate"/>
      </w:r>
      <w:r w:rsidR="00906D13">
        <w:t>4.4.3</w:t>
      </w:r>
      <w:r w:rsidRPr="00DF38B2">
        <w:fldChar w:fldCharType="end"/>
      </w:r>
      <w:r w:rsidR="00863608">
        <w:t>,</w:t>
      </w:r>
      <w:r w:rsidRPr="00DF38B2">
        <w:t xml:space="preserve"> as a key characteristic of this is the variation in the rate of income management amongst income support recipients.</w:t>
      </w:r>
    </w:p>
    <w:p w:rsidR="005E1FE0" w:rsidRPr="00DF38B2" w:rsidRDefault="005E1FE0" w:rsidP="006654AE">
      <w:r w:rsidRPr="00DF38B2">
        <w:lastRenderedPageBreak/>
        <w:fldChar w:fldCharType="begin"/>
      </w:r>
      <w:r w:rsidRPr="00DF38B2">
        <w:instrText xml:space="preserve"> REF _Ref391075555 \h </w:instrText>
      </w:r>
      <w:r w:rsidRPr="00DF38B2">
        <w:fldChar w:fldCharType="separate"/>
      </w:r>
      <w:r w:rsidR="00906D13" w:rsidRPr="00DF38B2">
        <w:t xml:space="preserve">Figure </w:t>
      </w:r>
      <w:r w:rsidR="00906D13">
        <w:rPr>
          <w:noProof/>
        </w:rPr>
        <w:t>4</w:t>
      </w:r>
      <w:r w:rsidR="00906D13" w:rsidRPr="00DF38B2">
        <w:noBreakHyphen/>
      </w:r>
      <w:r w:rsidR="00906D13">
        <w:rPr>
          <w:noProof/>
        </w:rPr>
        <w:t>13</w:t>
      </w:r>
      <w:r w:rsidRPr="00DF38B2">
        <w:fldChar w:fldCharType="end"/>
      </w:r>
      <w:r w:rsidRPr="00DF38B2">
        <w:t xml:space="preserve"> shows the trends in the number of people on income management by location and Indigenous identification. The geographic classification used is based upon</w:t>
      </w:r>
      <w:r w:rsidRPr="00FE502F">
        <w:t xml:space="preserve"> aggregation of data at the ABS SA2 Australian Statistical Geography Standard Classification </w:t>
      </w:r>
      <w:r w:rsidR="00EB570A">
        <w:t>(ABS, 2011a)</w:t>
      </w:r>
      <w:r w:rsidR="00A224A2">
        <w:t>,</w:t>
      </w:r>
      <w:r w:rsidR="00EB570A">
        <w:t xml:space="preserve"> </w:t>
      </w:r>
      <w:r w:rsidRPr="009655C3">
        <w:t xml:space="preserve">and the areas are shown in the map at </w:t>
      </w:r>
      <w:r w:rsidRPr="00DF38B2">
        <w:fldChar w:fldCharType="begin"/>
      </w:r>
      <w:r w:rsidRPr="00DF38B2">
        <w:instrText xml:space="preserve"> REF _Ref391233864 \h </w:instrText>
      </w:r>
      <w:r w:rsidRPr="00DF38B2">
        <w:fldChar w:fldCharType="separate"/>
      </w:r>
      <w:r w:rsidR="00906D13" w:rsidRPr="00FE502F">
        <w:t xml:space="preserve">Figure </w:t>
      </w:r>
      <w:r w:rsidR="00906D13">
        <w:rPr>
          <w:noProof/>
        </w:rPr>
        <w:t>4</w:t>
      </w:r>
      <w:r w:rsidR="00906D13" w:rsidRPr="00DF38B2">
        <w:noBreakHyphen/>
      </w:r>
      <w:r w:rsidR="00906D13">
        <w:rPr>
          <w:noProof/>
        </w:rPr>
        <w:t>12</w:t>
      </w:r>
      <w:r w:rsidRPr="00DF38B2">
        <w:fldChar w:fldCharType="end"/>
      </w:r>
      <w:r w:rsidRPr="00DF38B2">
        <w:t xml:space="preserve"> (Appendix </w:t>
      </w:r>
      <w:r w:rsidR="00E77527" w:rsidRPr="00DF38B2">
        <w:t xml:space="preserve">D </w:t>
      </w:r>
      <w:r w:rsidRPr="00DF38B2">
        <w:t>provides details of the locations)</w:t>
      </w:r>
      <w:r w:rsidR="00A224A2">
        <w:t>.</w:t>
      </w:r>
    </w:p>
    <w:p w:rsidR="005E1FE0" w:rsidRPr="00DF38B2" w:rsidRDefault="005E1FE0" w:rsidP="006654AE">
      <w:pPr>
        <w:pStyle w:val="Caption"/>
      </w:pPr>
      <w:bookmarkStart w:id="145" w:name="_Ref391233864"/>
      <w:bookmarkStart w:id="146" w:name="_Toc403739505"/>
      <w:r w:rsidRPr="00FE502F">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12</w:t>
      </w:r>
      <w:r w:rsidR="00040708" w:rsidRPr="00F157EE">
        <w:fldChar w:fldCharType="end"/>
      </w:r>
      <w:bookmarkEnd w:id="145"/>
      <w:r w:rsidR="001C0BE0">
        <w:tab/>
      </w:r>
      <w:r w:rsidR="00822E8A">
        <w:t>Geographic regions used in the NIM evaluation</w:t>
      </w:r>
      <w:bookmarkEnd w:id="146"/>
    </w:p>
    <w:p w:rsidR="005E1FE0" w:rsidRDefault="002F3791" w:rsidP="006654AE">
      <w:pPr>
        <w:jc w:val="center"/>
      </w:pPr>
      <w:r>
        <w:rPr>
          <w:noProof/>
        </w:rPr>
        <w:drawing>
          <wp:inline distT="0" distB="0" distL="0" distR="0" wp14:anchorId="437B592E" wp14:editId="6E1923E2">
            <wp:extent cx="3550920" cy="6010152"/>
            <wp:effectExtent l="19050" t="19050" r="11430" b="10160"/>
            <wp:docPr id="110" name="Picture 110" descr="Map showing geographic regions used in analysis. The structure of these regions is listed in detail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Areas_map.jpg"/>
                    <pic:cNvPicPr/>
                  </pic:nvPicPr>
                  <pic:blipFill>
                    <a:blip r:embed="rId58">
                      <a:extLst>
                        <a:ext uri="{28A0092B-C50C-407E-A947-70E740481C1C}">
                          <a14:useLocalDpi xmlns:a14="http://schemas.microsoft.com/office/drawing/2010/main" val="0"/>
                        </a:ext>
                      </a:extLst>
                    </a:blip>
                    <a:stretch>
                      <a:fillRect/>
                    </a:stretch>
                  </pic:blipFill>
                  <pic:spPr>
                    <a:xfrm>
                      <a:off x="0" y="0"/>
                      <a:ext cx="3550920" cy="6010152"/>
                    </a:xfrm>
                    <a:prstGeom prst="rect">
                      <a:avLst/>
                    </a:prstGeom>
                    <a:ln>
                      <a:solidFill>
                        <a:srgbClr val="969696"/>
                      </a:solidFill>
                    </a:ln>
                  </pic:spPr>
                </pic:pic>
              </a:graphicData>
            </a:graphic>
          </wp:inline>
        </w:drawing>
      </w:r>
    </w:p>
    <w:p w:rsidR="00C351F6" w:rsidRDefault="00C351F6" w:rsidP="006654AE">
      <w:pPr>
        <w:pStyle w:val="tablenotes"/>
      </w:pPr>
      <w:r>
        <w:t>Note:</w:t>
      </w:r>
      <w:r>
        <w:tab/>
        <w:t xml:space="preserve">Based on aggregations of ABS Statistical Areas Level 2, Australian </w:t>
      </w:r>
      <w:r w:rsidR="00724D7D">
        <w:t>Standard</w:t>
      </w:r>
      <w:r>
        <w:t xml:space="preserve"> </w:t>
      </w:r>
      <w:r w:rsidR="00724D7D">
        <w:t>Geographical</w:t>
      </w:r>
      <w:r>
        <w:t xml:space="preserve"> Classification.</w:t>
      </w:r>
    </w:p>
    <w:p w:rsidR="00724D7D" w:rsidRPr="00DF38B2" w:rsidRDefault="00724D7D" w:rsidP="006654AE">
      <w:pPr>
        <w:pStyle w:val="tablenotes"/>
      </w:pPr>
    </w:p>
    <w:p w:rsidR="005E1FE0" w:rsidRPr="00DF38B2" w:rsidRDefault="005E1FE0" w:rsidP="006654AE">
      <w:r w:rsidRPr="00FE502F">
        <w:t xml:space="preserve">The </w:t>
      </w:r>
      <w:r w:rsidR="00724D7D">
        <w:t xml:space="preserve">figure showing </w:t>
      </w:r>
      <w:r w:rsidRPr="00FE502F">
        <w:t>the numbers of people on inc</w:t>
      </w:r>
      <w:r w:rsidRPr="009655C3">
        <w:t xml:space="preserve">ome management by location </w:t>
      </w:r>
      <w:r w:rsidR="00E145BE">
        <w:t xml:space="preserve">over time </w:t>
      </w:r>
      <w:r w:rsidRPr="009655C3">
        <w:t xml:space="preserve">effectively provides an insight into the geographic effect of the </w:t>
      </w:r>
      <w:r w:rsidR="00D76AEA">
        <w:t>rollout</w:t>
      </w:r>
      <w:r w:rsidRPr="009655C3">
        <w:t xml:space="preserve"> of</w:t>
      </w:r>
      <w:r w:rsidR="00C32D5A">
        <w:t xml:space="preserve"> New Income Management</w:t>
      </w:r>
      <w:r w:rsidRPr="009655C3">
        <w:t>. Most apparent is the way in which this effect is mainly manifest in Darwin</w:t>
      </w:r>
      <w:r w:rsidR="00E145BE">
        <w:t xml:space="preserve">. This </w:t>
      </w:r>
      <w:r w:rsidRPr="009655C3">
        <w:t xml:space="preserve">is </w:t>
      </w:r>
      <w:r w:rsidR="002E2E24">
        <w:t>particularly</w:t>
      </w:r>
      <w:r w:rsidR="00E145BE">
        <w:t xml:space="preserve"> </w:t>
      </w:r>
      <w:r w:rsidR="002E2E24">
        <w:t>clear</w:t>
      </w:r>
      <w:r w:rsidR="00C32D5A">
        <w:t xml:space="preserve"> in </w:t>
      </w:r>
      <w:r w:rsidRPr="009655C3">
        <w:t xml:space="preserve">the non-Indigenous </w:t>
      </w:r>
      <w:r w:rsidR="00D95B12">
        <w:t>figure</w:t>
      </w:r>
      <w:r w:rsidRPr="009655C3">
        <w:t xml:space="preserve">. </w:t>
      </w:r>
      <w:r w:rsidR="00E145BE">
        <w:t>T</w:t>
      </w:r>
      <w:r w:rsidRPr="00DF38B2">
        <w:t xml:space="preserve">he number of </w:t>
      </w:r>
      <w:r w:rsidR="00E145BE">
        <w:t xml:space="preserve">non-Indigenous </w:t>
      </w:r>
      <w:r w:rsidRPr="00DF38B2">
        <w:t xml:space="preserve">people </w:t>
      </w:r>
      <w:r w:rsidR="00E145BE">
        <w:t xml:space="preserve">in Darwin subject to </w:t>
      </w:r>
      <w:r w:rsidRPr="00DF38B2">
        <w:t xml:space="preserve">income management grew from just </w:t>
      </w:r>
      <w:r w:rsidR="00E17A85">
        <w:t>19</w:t>
      </w:r>
      <w:r w:rsidR="00E17A85" w:rsidRPr="00DF38B2">
        <w:t xml:space="preserve"> </w:t>
      </w:r>
      <w:r w:rsidRPr="00DF38B2">
        <w:t>in August 2011 to 1,037 in May 2011. Since then the numbers have grown slowly</w:t>
      </w:r>
      <w:r w:rsidR="002E2E24">
        <w:t>,</w:t>
      </w:r>
      <w:r w:rsidRPr="00DF38B2">
        <w:t xml:space="preserve"> so that by December 2013 there were 1,158 non-Indigenous people in Darwin on income management. While there has also been strong growth in Alice Springs, as can be seen, </w:t>
      </w:r>
      <w:r w:rsidR="002E2E24">
        <w:t>it</w:t>
      </w:r>
      <w:r w:rsidRPr="00DF38B2">
        <w:t xml:space="preserve"> has </w:t>
      </w:r>
      <w:r w:rsidR="002E2E24" w:rsidRPr="00DF38B2">
        <w:t>less</w:t>
      </w:r>
      <w:r w:rsidRPr="00DF38B2">
        <w:t xml:space="preserve"> than one</w:t>
      </w:r>
      <w:r w:rsidR="002E2E24">
        <w:t>-</w:t>
      </w:r>
      <w:r w:rsidRPr="00DF38B2">
        <w:t>sixth of the number of non-Indigenous income</w:t>
      </w:r>
      <w:r w:rsidR="00A04470">
        <w:t xml:space="preserve"> </w:t>
      </w:r>
      <w:r w:rsidRPr="00DF38B2">
        <w:t xml:space="preserve">managed people as does the Greater Darwin </w:t>
      </w:r>
      <w:r w:rsidR="00E145BE">
        <w:t>region</w:t>
      </w:r>
      <w:r w:rsidRPr="00DF38B2">
        <w:t>.</w:t>
      </w:r>
    </w:p>
    <w:p w:rsidR="005E1FE0" w:rsidRPr="00DF38B2" w:rsidRDefault="002E2E24" w:rsidP="006654AE">
      <w:r>
        <w:lastRenderedPageBreak/>
        <w:t>Although</w:t>
      </w:r>
      <w:r w:rsidR="005E1FE0" w:rsidRPr="00DF38B2">
        <w:t xml:space="preserve"> there has also been growth in the number of Indigenous people on income management in Darwin this has </w:t>
      </w:r>
      <w:r>
        <w:t>increased</w:t>
      </w:r>
      <w:r w:rsidR="005E1FE0" w:rsidRPr="00DF38B2">
        <w:t xml:space="preserve"> from a much higher base – 704 in August 2010 to 1,415 in December 2013. The pattern of growth in the number of Indigenous people on income management in </w:t>
      </w:r>
      <w:r w:rsidR="00724D7D">
        <w:t xml:space="preserve">the </w:t>
      </w:r>
      <w:r w:rsidR="00D95B12">
        <w:t>Greater Darwin</w:t>
      </w:r>
      <w:r w:rsidR="005E1FE0" w:rsidRPr="00DF38B2">
        <w:t xml:space="preserve"> </w:t>
      </w:r>
      <w:r w:rsidR="00724D7D">
        <w:t xml:space="preserve">region </w:t>
      </w:r>
      <w:r w:rsidR="005E1FE0" w:rsidRPr="00DF38B2">
        <w:t>is</w:t>
      </w:r>
      <w:r>
        <w:t>,</w:t>
      </w:r>
      <w:r w:rsidR="005E1FE0" w:rsidRPr="00DF38B2">
        <w:t xml:space="preserve"> however</w:t>
      </w:r>
      <w:r>
        <w:t>,</w:t>
      </w:r>
      <w:r w:rsidR="005E1FE0" w:rsidRPr="00DF38B2">
        <w:t xml:space="preserve"> quite different to that seen in other locations which in general show a decline up until mid-2012</w:t>
      </w:r>
      <w:r>
        <w:t xml:space="preserve">. Since 2012 there has been </w:t>
      </w:r>
      <w:r w:rsidR="005E1FE0" w:rsidRPr="00DF38B2">
        <w:t>growth, which in most, but not all regions, has resulted in there now being higher numbers on income management than at the time of</w:t>
      </w:r>
      <w:r w:rsidR="00724D7D">
        <w:t xml:space="preserve"> the transition from</w:t>
      </w:r>
      <w:r w:rsidR="005E1FE0" w:rsidRPr="00DF38B2">
        <w:t xml:space="preserve"> NTER Income Management</w:t>
      </w:r>
      <w:r w:rsidR="00724D7D">
        <w:t xml:space="preserve"> to New Income </w:t>
      </w:r>
      <w:proofErr w:type="gramStart"/>
      <w:r w:rsidR="00724D7D">
        <w:t>Management</w:t>
      </w:r>
      <w:r w:rsidR="005E1FE0" w:rsidRPr="00DF38B2">
        <w:t>.</w:t>
      </w:r>
      <w:proofErr w:type="gramEnd"/>
    </w:p>
    <w:p w:rsidR="005E1FE0" w:rsidRDefault="005E1FE0" w:rsidP="006654AE">
      <w:pPr>
        <w:pStyle w:val="Caption"/>
      </w:pPr>
      <w:bookmarkStart w:id="147" w:name="_Ref391075555"/>
      <w:bookmarkStart w:id="148" w:name="_Toc40373950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13</w:t>
      </w:r>
      <w:r w:rsidR="00040708" w:rsidRPr="00F157EE">
        <w:fldChar w:fldCharType="end"/>
      </w:r>
      <w:bookmarkEnd w:id="147"/>
      <w:r w:rsidRPr="00DF38B2">
        <w:tab/>
        <w:t xml:space="preserve">Number </w:t>
      </w:r>
      <w:r w:rsidR="00EA1CA7">
        <w:t xml:space="preserve">of </w:t>
      </w:r>
      <w:r w:rsidRPr="00DF38B2">
        <w:t xml:space="preserve">people subject to </w:t>
      </w:r>
      <w:r w:rsidR="005E4CAC">
        <w:t>income management</w:t>
      </w:r>
      <w:r w:rsidR="00822E8A">
        <w:t xml:space="preserve"> in the Northern Territory</w:t>
      </w:r>
      <w:r w:rsidRPr="00DF38B2">
        <w:t xml:space="preserve"> by </w:t>
      </w:r>
      <w:r w:rsidR="00822E8A">
        <w:t>region</w:t>
      </w:r>
      <w:r w:rsidRPr="00DF38B2">
        <w:t xml:space="preserve"> and Indigenous identification, 2010–2013</w:t>
      </w:r>
      <w:bookmarkEnd w:id="148"/>
    </w:p>
    <w:p w:rsidR="008D1ECF" w:rsidRPr="008D1ECF" w:rsidRDefault="008D1ECF" w:rsidP="008D1ECF">
      <w:r>
        <w:rPr>
          <w:noProof/>
        </w:rPr>
        <w:drawing>
          <wp:inline distT="0" distB="0" distL="0" distR="0" wp14:anchorId="55827DB3" wp14:editId="0A1D2BC0">
            <wp:extent cx="5283200" cy="3295650"/>
            <wp:effectExtent l="0" t="0" r="0" b="0"/>
            <wp:docPr id="31" name="Picture 31" descr="Line graphs of (1) number of non-Indigenous people on income management (2) number of Indigenous people on income management. Separate lines are shown on each line graph for the 8 regions: Alice Springs, Barkly including Tennant Creek, East Arnhem, Greater Darwin, Katherine, Mid West Desert, South East Desert, and Top &amp; West Arnhem.&#10;The data is discussed in depth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3200" cy="329565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002532F6">
        <w:tab/>
      </w:r>
      <w:r w:rsidRPr="00DF38B2">
        <w:t xml:space="preserve">In the data it would appear that in early 2013 there was some reclassification of the location of some Indigenous people on </w:t>
      </w:r>
      <w:r w:rsidR="005E4CAC">
        <w:t>income management</w:t>
      </w:r>
      <w:r w:rsidRPr="00DF38B2">
        <w:t xml:space="preserve"> between the Mid</w:t>
      </w:r>
      <w:r w:rsidR="002E2E24">
        <w:t>-</w:t>
      </w:r>
      <w:r w:rsidRPr="00DF38B2">
        <w:t>West Desert and South</w:t>
      </w:r>
      <w:r w:rsidR="002E2E24">
        <w:t>-</w:t>
      </w:r>
      <w:r w:rsidRPr="00DF38B2">
        <w:t>East Desert Regions.</w:t>
      </w:r>
    </w:p>
    <w:p w:rsidR="005E1FE0" w:rsidRDefault="005E1FE0" w:rsidP="006654AE">
      <w:pPr>
        <w:pStyle w:val="tablenotes"/>
      </w:pPr>
      <w:r w:rsidRPr="00DF38B2">
        <w:t>Source:</w:t>
      </w:r>
      <w:r w:rsidRPr="00DF38B2">
        <w:tab/>
      </w:r>
      <w:r w:rsidR="00305D80">
        <w:t xml:space="preserve">Derived from </w:t>
      </w:r>
      <w:r w:rsidRPr="00DF38B2">
        <w:t>DHS Administrative data provided for the purposes of the evaluation</w:t>
      </w:r>
      <w:r w:rsidR="00C61A58">
        <w:t>.</w:t>
      </w:r>
    </w:p>
    <w:p w:rsidR="00A60AF1" w:rsidRPr="00DF38B2" w:rsidRDefault="00A60AF1" w:rsidP="006654AE">
      <w:pPr>
        <w:pStyle w:val="tablefootnoteslastline"/>
      </w:pPr>
    </w:p>
    <w:p w:rsidR="005E1FE0" w:rsidRPr="00DF38B2" w:rsidRDefault="005E1FE0" w:rsidP="006654AE">
      <w:pPr>
        <w:pStyle w:val="Heading2"/>
        <w:ind w:left="578" w:hanging="578"/>
      </w:pPr>
      <w:bookmarkStart w:id="149" w:name="_Toc403739007"/>
      <w:r w:rsidRPr="00DF38B2">
        <w:t>Income support payments and the incidence of income management</w:t>
      </w:r>
      <w:bookmarkEnd w:id="149"/>
    </w:p>
    <w:p w:rsidR="005E1FE0" w:rsidRPr="00DF38B2" w:rsidRDefault="005E1FE0" w:rsidP="006654AE">
      <w:r w:rsidRPr="00DF38B2">
        <w:t xml:space="preserve">Whether or not a person on income support is on income management is a function of a range of factors. In large part it is a product of the program targeting which specifies that only those in receipt of </w:t>
      </w:r>
      <w:r w:rsidR="00724D7D">
        <w:t>certain</w:t>
      </w:r>
      <w:r w:rsidR="00724D7D" w:rsidRPr="00DF38B2">
        <w:t xml:space="preserve"> </w:t>
      </w:r>
      <w:r w:rsidRPr="00DF38B2">
        <w:t xml:space="preserve">payments are within scope of </w:t>
      </w:r>
      <w:r w:rsidR="00724D7D">
        <w:t>Compulsory Income Management</w:t>
      </w:r>
      <w:r w:rsidRPr="00DF38B2">
        <w:t xml:space="preserve">. Even </w:t>
      </w:r>
      <w:r w:rsidR="00724D7D">
        <w:t>for this group</w:t>
      </w:r>
      <w:r w:rsidRPr="00DF38B2">
        <w:t xml:space="preserve">, the proportion </w:t>
      </w:r>
      <w:proofErr w:type="gramStart"/>
      <w:r w:rsidRPr="00DF38B2">
        <w:t>who</w:t>
      </w:r>
      <w:proofErr w:type="gramEnd"/>
      <w:r w:rsidRPr="00DF38B2">
        <w:t xml:space="preserve"> fall within the scope of </w:t>
      </w:r>
      <w:r w:rsidR="00724D7D">
        <w:t>Compulsory I</w:t>
      </w:r>
      <w:r w:rsidRPr="00DF38B2">
        <w:t xml:space="preserve">ncome </w:t>
      </w:r>
      <w:r w:rsidR="00724D7D">
        <w:t>M</w:t>
      </w:r>
      <w:r w:rsidRPr="00DF38B2">
        <w:t xml:space="preserve">anagement depends upon the </w:t>
      </w:r>
      <w:r w:rsidR="0042753A">
        <w:t xml:space="preserve">distribution of </w:t>
      </w:r>
      <w:r w:rsidRPr="00DF38B2">
        <w:t>duration on the payment</w:t>
      </w:r>
      <w:r w:rsidR="0042753A">
        <w:t xml:space="preserve">, and to some extent whether people who have not met the duration threshold decide to go onto Voluntary Income Management, as well </w:t>
      </w:r>
      <w:r w:rsidR="0084437C">
        <w:t>the</w:t>
      </w:r>
      <w:r w:rsidR="0042753A">
        <w:t xml:space="preserve"> other activities people may be undertaking</w:t>
      </w:r>
      <w:r w:rsidRPr="00DF38B2">
        <w:t xml:space="preserve">. </w:t>
      </w:r>
      <w:r w:rsidR="0042753A">
        <w:t>For those on payments to which Compulsory Income Management does not apply, it depends upon the extent to which people choose to go onto Voluntary Income Management and to a much</w:t>
      </w:r>
      <w:r w:rsidRPr="00DF38B2">
        <w:t xml:space="preserve"> lesser degree the extent to which programs such as assessed Vulnerable, Child Protection and SPAR use criteria other than specifics of income support receipt to determine whether a person should be subject to income management. </w:t>
      </w:r>
    </w:p>
    <w:p w:rsidR="005E1FE0" w:rsidRPr="00DF38B2" w:rsidRDefault="005E1FE0" w:rsidP="006654AE">
      <w:pPr>
        <w:pStyle w:val="Heading3"/>
      </w:pPr>
      <w:bookmarkStart w:id="150" w:name="_Toc403739008"/>
      <w:r w:rsidRPr="00DF38B2">
        <w:t xml:space="preserve">Type of </w:t>
      </w:r>
      <w:r w:rsidR="009D7612">
        <w:t>income support</w:t>
      </w:r>
      <w:r w:rsidRPr="00DF38B2">
        <w:t xml:space="preserve"> payment received</w:t>
      </w:r>
      <w:bookmarkEnd w:id="150"/>
    </w:p>
    <w:p w:rsidR="005E1FE0" w:rsidRPr="009655C3" w:rsidRDefault="005E1FE0" w:rsidP="006654AE">
      <w:r w:rsidRPr="00DF38B2">
        <w:t xml:space="preserve">The types of income support payments that have the largest numbers of people subject to </w:t>
      </w:r>
      <w:r w:rsidR="005E4CAC">
        <w:t>income management</w:t>
      </w:r>
      <w:r w:rsidRPr="00DF38B2">
        <w:t xml:space="preserve"> are Newstart Allowance (8,</w:t>
      </w:r>
      <w:r w:rsidR="00E17A85">
        <w:t>718</w:t>
      </w:r>
      <w:r w:rsidRPr="00DF38B2">
        <w:t>), Disability Support Pension (2,</w:t>
      </w:r>
      <w:r w:rsidR="00E17A85" w:rsidRPr="00DF38B2">
        <w:t>5</w:t>
      </w:r>
      <w:r w:rsidR="00E17A85">
        <w:t>88</w:t>
      </w:r>
      <w:r w:rsidRPr="00DF38B2">
        <w:t xml:space="preserve">), </w:t>
      </w:r>
      <w:r w:rsidR="00E17A85" w:rsidRPr="00E17A85">
        <w:t>Parenting Payment Single (2,116)</w:t>
      </w:r>
      <w:r w:rsidR="00E17A85">
        <w:t>,</w:t>
      </w:r>
      <w:r w:rsidR="00E17A85" w:rsidRPr="00E17A85">
        <w:t xml:space="preserve"> </w:t>
      </w:r>
      <w:r w:rsidRPr="00DF38B2">
        <w:t>Parenting Payment Partnered (2,1</w:t>
      </w:r>
      <w:r w:rsidR="00E17A85">
        <w:t>14</w:t>
      </w:r>
      <w:r w:rsidRPr="00DF38B2">
        <w:t>) and Youth Allowance (1,</w:t>
      </w:r>
      <w:r w:rsidR="00E17A85">
        <w:t>721</w:t>
      </w:r>
      <w:r w:rsidRPr="00DF38B2">
        <w:t>)</w:t>
      </w:r>
      <w:r w:rsidR="0042753A">
        <w:t xml:space="preserve"> (</w:t>
      </w:r>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0042753A">
        <w:t>).</w:t>
      </w:r>
      <w:r w:rsidRPr="00DF38B2">
        <w:t xml:space="preserve"> </w:t>
      </w:r>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Pr="00DF38B2">
        <w:t xml:space="preserve"> also shows the numbers on income management by type of payment and the proportion of people receiving the income support payment who are income</w:t>
      </w:r>
      <w:r w:rsidR="00A04470">
        <w:t xml:space="preserve"> </w:t>
      </w:r>
      <w:r w:rsidRPr="00DF38B2">
        <w:t xml:space="preserve">managed. For Indigenous income support recipients the rates of </w:t>
      </w:r>
      <w:r w:rsidRPr="00DF38B2">
        <w:lastRenderedPageBreak/>
        <w:t>income management are 85.</w:t>
      </w:r>
      <w:r w:rsidR="00E17A85">
        <w:t>7</w:t>
      </w:r>
      <w:r w:rsidRPr="00DF38B2">
        <w:t> per cent for those receiving Parenting Payment Partnered, 79.</w:t>
      </w:r>
      <w:r w:rsidR="00E17A85">
        <w:t>3</w:t>
      </w:r>
      <w:r w:rsidR="00E17A85" w:rsidRPr="00DF38B2">
        <w:t> </w:t>
      </w:r>
      <w:r w:rsidRPr="00DF38B2">
        <w:t>per cent for those receivin</w:t>
      </w:r>
      <w:r w:rsidRPr="00FE502F">
        <w:t>g Newstart Allowance, 76.</w:t>
      </w:r>
      <w:r w:rsidR="00E17A85">
        <w:t>3</w:t>
      </w:r>
      <w:r w:rsidR="00E17A85" w:rsidRPr="00FE502F">
        <w:t> </w:t>
      </w:r>
      <w:r w:rsidRPr="00FE502F">
        <w:t xml:space="preserve">per cent for those receiving Parenting Payment Single, </w:t>
      </w:r>
      <w:r w:rsidR="00E17A85">
        <w:t>44.9</w:t>
      </w:r>
      <w:r w:rsidRPr="00FE502F">
        <w:t> per cent for those receiving Age Pension, 4</w:t>
      </w:r>
      <w:r w:rsidR="00E17A85">
        <w:t>0.0</w:t>
      </w:r>
      <w:r w:rsidRPr="00FE502F">
        <w:t> per cent for those receiving Disability Support Pens</w:t>
      </w:r>
      <w:r w:rsidRPr="009655C3">
        <w:t>ion</w:t>
      </w:r>
      <w:r w:rsidR="001F25F5">
        <w:t>,</w:t>
      </w:r>
      <w:r w:rsidRPr="009655C3">
        <w:t xml:space="preserve"> and </w:t>
      </w:r>
      <w:r w:rsidR="00E17A85">
        <w:t>22.8</w:t>
      </w:r>
      <w:r w:rsidRPr="009655C3">
        <w:t> per cent for those receiving Carer Payment.</w:t>
      </w:r>
    </w:p>
    <w:p w:rsidR="005E1FE0" w:rsidRPr="00DF38B2" w:rsidRDefault="005E1FE0" w:rsidP="006654AE">
      <w:r w:rsidRPr="009655C3">
        <w:t xml:space="preserve">The rates of income management are lower for non-Indigenous </w:t>
      </w:r>
      <w:r w:rsidR="0084437C">
        <w:t xml:space="preserve">people relative to </w:t>
      </w:r>
      <w:r w:rsidRPr="009655C3">
        <w:t>Indigenous</w:t>
      </w:r>
      <w:r w:rsidR="001F25F5">
        <w:t xml:space="preserve"> people</w:t>
      </w:r>
      <w:r w:rsidRPr="009655C3">
        <w:t xml:space="preserve"> for all income support payments. A particularly striking difference is the much lower rate of income management of non-Indi</w:t>
      </w:r>
      <w:r w:rsidRPr="00DF38B2">
        <w:t>genous recipients of Parenting Payment Single (24.1 per cent)</w:t>
      </w:r>
      <w:r w:rsidR="001F25F5">
        <w:t>,</w:t>
      </w:r>
      <w:r w:rsidRPr="00DF38B2">
        <w:t xml:space="preserve"> compared to a rate of 76.4 per cent among Indigenous recipients of Parenting Payment Single. </w:t>
      </w:r>
    </w:p>
    <w:p w:rsidR="005E1FE0" w:rsidRPr="009655C3" w:rsidRDefault="005E1FE0" w:rsidP="006654AE">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Pr="00DF38B2">
        <w:t xml:space="preserve"> also shows that the composition of type of benefit received by the Indigenous and non-Indigenous population subject to income manage</w:t>
      </w:r>
      <w:r w:rsidRPr="00FE502F">
        <w:t>ment differs considerably. In particular, 4.9 per cent of Indigenous people subject to income management were receiving the Age Pension</w:t>
      </w:r>
      <w:r w:rsidR="001F25F5">
        <w:t>,</w:t>
      </w:r>
      <w:r w:rsidRPr="00FE502F">
        <w:t xml:space="preserve"> compared to 0.5 per cent of non-Indigenous people </w:t>
      </w:r>
      <w:r w:rsidRPr="009655C3">
        <w:t>subject to income management.</w:t>
      </w:r>
    </w:p>
    <w:p w:rsidR="005E1FE0" w:rsidRPr="00DF38B2" w:rsidRDefault="005E1FE0" w:rsidP="006654AE">
      <w:pPr>
        <w:pStyle w:val="Caption"/>
        <w:ind w:left="1440" w:hanging="1155"/>
      </w:pPr>
      <w:bookmarkStart w:id="151" w:name="_Ref389942187"/>
      <w:bookmarkStart w:id="152" w:name="_Toc403739413"/>
      <w:r w:rsidRPr="009655C3">
        <w:t xml:space="preserve">Table </w:t>
      </w:r>
      <w:fldSimple w:instr=" STYLEREF 1 \s ">
        <w:r w:rsidR="00906D13">
          <w:rPr>
            <w:noProof/>
          </w:rPr>
          <w:t>4</w:t>
        </w:r>
      </w:fldSimple>
      <w:r w:rsidR="00D40B64">
        <w:noBreakHyphen/>
      </w:r>
      <w:fldSimple w:instr=" SEQ Table \* ARABIC \s 1 ">
        <w:r w:rsidR="00906D13">
          <w:rPr>
            <w:noProof/>
          </w:rPr>
          <w:t>8</w:t>
        </w:r>
      </w:fldSimple>
      <w:bookmarkEnd w:id="151"/>
      <w:r w:rsidRPr="00DF38B2">
        <w:tab/>
        <w:t xml:space="preserve">Persons being income managed in the Northern Territory by Indigenous status and type of </w:t>
      </w:r>
      <w:r w:rsidR="009D7612">
        <w:t>income support</w:t>
      </w:r>
      <w:r w:rsidRPr="00DF38B2">
        <w:t xml:space="preserve"> </w:t>
      </w:r>
      <w:r w:rsidR="009D7612">
        <w:t>p</w:t>
      </w:r>
      <w:r w:rsidR="009D7612" w:rsidRPr="00DF38B2">
        <w:t xml:space="preserve">ayment </w:t>
      </w:r>
      <w:r w:rsidR="009D7612">
        <w:t>r</w:t>
      </w:r>
      <w:r w:rsidRPr="00DF38B2">
        <w:t>eceived, December 2013</w:t>
      </w:r>
      <w:bookmarkEnd w:id="152"/>
    </w:p>
    <w:tbl>
      <w:tblPr>
        <w:tblW w:w="8837" w:type="dxa"/>
        <w:tblInd w:w="-34" w:type="dxa"/>
        <w:tblBorders>
          <w:bottom w:val="single" w:sz="4" w:space="0" w:color="auto"/>
        </w:tblBorders>
        <w:tblLook w:val="04A0" w:firstRow="1" w:lastRow="0" w:firstColumn="1" w:lastColumn="0" w:noHBand="0" w:noVBand="1"/>
        <w:tblDescription w:val="This table is concerned with the types of income support payments with the rows being for 13 particular types of income support payments and a total which includes two smaller programs not shown on the main table.&#10;The columns are used to provide three different statistics relating to these payments and within each of these statistical concepts data is given for Non-Indigenous people, Indigenous people and the total of these two groups.&#10;The three concepts for which data is provided are: the total number of people on income management; the distribution of people on income management by these types of income support payments; and the proportion of people on each type of income support payment who are on income management.&#10;There is extensive discussion of the data in the text&#10;"/>
      </w:tblPr>
      <w:tblGrid>
        <w:gridCol w:w="2391"/>
        <w:gridCol w:w="582"/>
        <w:gridCol w:w="583"/>
        <w:gridCol w:w="583"/>
        <w:gridCol w:w="62"/>
        <w:gridCol w:w="823"/>
        <w:gridCol w:w="572"/>
        <w:gridCol w:w="715"/>
        <w:gridCol w:w="222"/>
        <w:gridCol w:w="874"/>
        <w:gridCol w:w="715"/>
        <w:gridCol w:w="715"/>
      </w:tblGrid>
      <w:tr w:rsidR="00880014" w:rsidRPr="00E17A85" w:rsidTr="00726DB8">
        <w:trPr>
          <w:trHeight w:val="20"/>
        </w:trPr>
        <w:tc>
          <w:tcPr>
            <w:tcW w:w="2391" w:type="dxa"/>
            <w:tcBorders>
              <w:top w:val="single" w:sz="4" w:space="0" w:color="auto"/>
              <w:bottom w:val="nil"/>
            </w:tcBorders>
            <w:shd w:val="clear" w:color="auto" w:fill="auto"/>
            <w:noWrap/>
            <w:tcMar>
              <w:left w:w="28" w:type="dxa"/>
              <w:right w:w="28" w:type="dxa"/>
            </w:tcMar>
            <w:vAlign w:val="center"/>
          </w:tcPr>
          <w:p w:rsidR="00880014" w:rsidRPr="00E17A85" w:rsidRDefault="00880014" w:rsidP="006654A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Income support type</w:t>
            </w:r>
          </w:p>
        </w:tc>
        <w:tc>
          <w:tcPr>
            <w:tcW w:w="582"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on IM (n)</w:t>
            </w:r>
          </w:p>
        </w:tc>
        <w:tc>
          <w:tcPr>
            <w:tcW w:w="583"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on IM (n)</w:t>
            </w:r>
          </w:p>
        </w:tc>
        <w:tc>
          <w:tcPr>
            <w:tcW w:w="583"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Total on IM (n)</w:t>
            </w:r>
          </w:p>
        </w:tc>
        <w:tc>
          <w:tcPr>
            <w:tcW w:w="62" w:type="dxa"/>
            <w:tcBorders>
              <w:top w:val="single" w:sz="4" w:space="0" w:color="auto"/>
              <w:bottom w:val="nil"/>
            </w:tcBorders>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
        </w:tc>
        <w:tc>
          <w:tcPr>
            <w:tcW w:w="823" w:type="dxa"/>
            <w:tcBorders>
              <w:top w:val="single" w:sz="4" w:space="0" w:color="auto"/>
              <w:bottom w:val="nil"/>
            </w:tcBorders>
            <w:shd w:val="clear" w:color="auto" w:fill="auto"/>
            <w:noWrap/>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xml:space="preserve">. on IS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w:t>
            </w:r>
          </w:p>
        </w:tc>
        <w:tc>
          <w:tcPr>
            <w:tcW w:w="572"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xml:space="preserve">. </w:t>
            </w:r>
            <w:proofErr w:type="gramStart"/>
            <w:r w:rsidRPr="00726DB8">
              <w:rPr>
                <w:rFonts w:ascii="Calibri" w:eastAsia="Times New Roman" w:hAnsi="Calibri" w:cs="Times New Roman"/>
                <w:color w:val="000000"/>
                <w:sz w:val="16"/>
                <w:szCs w:val="18"/>
              </w:rPr>
              <w:t>on</w:t>
            </w:r>
            <w:proofErr w:type="gramEnd"/>
            <w:r w:rsidRPr="00726DB8">
              <w:rPr>
                <w:rFonts w:ascii="Calibri" w:eastAsia="Times New Roman" w:hAnsi="Calibri" w:cs="Times New Roman"/>
                <w:color w:val="000000"/>
                <w:sz w:val="16"/>
                <w:szCs w:val="18"/>
              </w:rPr>
              <w:t xml:space="preserve"> IS (%)</w:t>
            </w:r>
          </w:p>
        </w:tc>
        <w:tc>
          <w:tcPr>
            <w:tcW w:w="715" w:type="dxa"/>
            <w:tcBorders>
              <w:top w:val="single" w:sz="4" w:space="0" w:color="auto"/>
              <w:bottom w:val="nil"/>
            </w:tcBorders>
            <w:shd w:val="clear" w:color="auto" w:fill="auto"/>
            <w:noWrap/>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Total </w:t>
            </w:r>
          </w:p>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on IS</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w:t>
            </w:r>
          </w:p>
        </w:tc>
        <w:tc>
          <w:tcPr>
            <w:tcW w:w="222" w:type="dxa"/>
            <w:tcBorders>
              <w:top w:val="single" w:sz="4" w:space="0" w:color="auto"/>
              <w:bottom w:val="nil"/>
            </w:tcBorders>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
        </w:tc>
        <w:tc>
          <w:tcPr>
            <w:tcW w:w="874" w:type="dxa"/>
            <w:tcBorders>
              <w:top w:val="single" w:sz="4" w:space="0" w:color="auto"/>
              <w:bottom w:val="nil"/>
            </w:tcBorders>
            <w:shd w:val="clear" w:color="auto" w:fill="auto"/>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w:t>
            </w:r>
            <w:r w:rsidR="00726DB8" w:rsidRPr="00726DB8">
              <w:rPr>
                <w:rFonts w:ascii="Calibri" w:eastAsia="Times New Roman" w:hAnsi="Calibri" w:cs="Times New Roman"/>
                <w:color w:val="000000"/>
                <w:sz w:val="16"/>
                <w:szCs w:val="18"/>
              </w:rPr>
              <w:t>n</w:t>
            </w:r>
            <w:r w:rsidRPr="00726DB8">
              <w:rPr>
                <w:rFonts w:ascii="Calibri" w:eastAsia="Times New Roman" w:hAnsi="Calibri" w:cs="Times New Roman"/>
                <w:color w:val="000000"/>
                <w:sz w:val="16"/>
                <w:szCs w:val="18"/>
              </w:rPr>
              <w:t xml:space="preserve"> IS </w:t>
            </w:r>
            <w:r w:rsidR="00726DB8" w:rsidRPr="00726DB8">
              <w:rPr>
                <w:rFonts w:ascii="Calibri" w:eastAsia="Times New Roman" w:hAnsi="Calibri" w:cs="Times New Roman"/>
                <w:color w:val="000000"/>
                <w:sz w:val="16"/>
                <w:szCs w:val="18"/>
              </w:rPr>
              <w:t xml:space="preserve">(by </w:t>
            </w:r>
            <w:r w:rsidRPr="00726DB8">
              <w:rPr>
                <w:rFonts w:ascii="Calibri" w:eastAsia="Times New Roman" w:hAnsi="Calibri" w:cs="Times New Roman"/>
                <w:color w:val="000000"/>
                <w:sz w:val="16"/>
                <w:szCs w:val="18"/>
              </w:rPr>
              <w:t>type</w:t>
            </w:r>
            <w:r w:rsidR="00726DB8" w:rsidRPr="00726DB8">
              <w:rPr>
                <w:rFonts w:ascii="Calibri" w:eastAsia="Times New Roman" w:hAnsi="Calibri" w:cs="Times New Roman"/>
                <w:color w:val="000000"/>
                <w:sz w:val="16"/>
                <w:szCs w:val="18"/>
              </w:rPr>
              <w:t>)</w:t>
            </w:r>
            <w:r w:rsidRPr="00726DB8">
              <w:rPr>
                <w:rFonts w:ascii="Calibri" w:eastAsia="Times New Roman" w:hAnsi="Calibri" w:cs="Times New Roman"/>
                <w:color w:val="000000"/>
                <w:sz w:val="16"/>
                <w:szCs w:val="18"/>
              </w:rPr>
              <w:t xml:space="preserv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c>
          <w:tcPr>
            <w:tcW w:w="715" w:type="dxa"/>
            <w:tcBorders>
              <w:top w:val="single" w:sz="4" w:space="0" w:color="auto"/>
              <w:bottom w:val="nil"/>
            </w:tcBorders>
            <w:shd w:val="clear" w:color="auto" w:fill="auto"/>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w:t>
            </w:r>
            <w:r w:rsidR="00726DB8" w:rsidRPr="00726DB8">
              <w:rPr>
                <w:rFonts w:ascii="Calibri" w:eastAsia="Times New Roman" w:hAnsi="Calibri" w:cs="Times New Roman"/>
                <w:color w:val="000000"/>
                <w:sz w:val="16"/>
                <w:szCs w:val="18"/>
              </w:rPr>
              <w:t>n</w:t>
            </w:r>
            <w:r w:rsidRPr="00726DB8">
              <w:rPr>
                <w:rFonts w:ascii="Calibri" w:eastAsia="Times New Roman" w:hAnsi="Calibri" w:cs="Times New Roman"/>
                <w:color w:val="000000"/>
                <w:sz w:val="16"/>
                <w:szCs w:val="18"/>
              </w:rPr>
              <w:t xml:space="preserve"> IS </w:t>
            </w:r>
            <w:r w:rsidR="00726DB8" w:rsidRPr="00726DB8">
              <w:rPr>
                <w:rFonts w:ascii="Calibri" w:eastAsia="Times New Roman" w:hAnsi="Calibri" w:cs="Times New Roman"/>
                <w:color w:val="000000"/>
                <w:sz w:val="16"/>
                <w:szCs w:val="18"/>
              </w:rPr>
              <w:t xml:space="preserve">(by </w:t>
            </w:r>
            <w:r w:rsidRPr="00726DB8">
              <w:rPr>
                <w:rFonts w:ascii="Calibri" w:eastAsia="Times New Roman" w:hAnsi="Calibri" w:cs="Times New Roman"/>
                <w:color w:val="000000"/>
                <w:sz w:val="16"/>
                <w:szCs w:val="18"/>
              </w:rPr>
              <w:t>type</w:t>
            </w:r>
            <w:r w:rsidR="00726DB8" w:rsidRPr="00726DB8">
              <w:rPr>
                <w:rFonts w:ascii="Calibri" w:eastAsia="Times New Roman" w:hAnsi="Calibri" w:cs="Times New Roman"/>
                <w:color w:val="000000"/>
                <w:sz w:val="16"/>
                <w:szCs w:val="18"/>
              </w:rPr>
              <w:t>)</w:t>
            </w:r>
            <w:r w:rsidRPr="00726DB8">
              <w:rPr>
                <w:rFonts w:ascii="Calibri" w:eastAsia="Times New Roman" w:hAnsi="Calibri" w:cs="Times New Roman"/>
                <w:color w:val="000000"/>
                <w:sz w:val="16"/>
                <w:szCs w:val="18"/>
              </w:rPr>
              <w:t xml:space="preserv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c>
          <w:tcPr>
            <w:tcW w:w="715" w:type="dxa"/>
            <w:tcBorders>
              <w:top w:val="single" w:sz="4" w:space="0" w:color="auto"/>
              <w:bottom w:val="nil"/>
            </w:tcBorders>
            <w:shd w:val="clear" w:color="auto" w:fill="auto"/>
            <w:tcMar>
              <w:left w:w="28" w:type="dxa"/>
              <w:right w:w="28" w:type="dxa"/>
            </w:tcMar>
            <w:vAlign w:val="bottom"/>
          </w:tcPr>
          <w:p w:rsidR="00726DB8" w:rsidRDefault="00726DB8"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total on IS (by type)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r>
      <w:tr w:rsidR="00386B63" w:rsidRPr="00E17A85" w:rsidTr="00726DB8">
        <w:trPr>
          <w:trHeight w:val="20"/>
        </w:trPr>
        <w:tc>
          <w:tcPr>
            <w:tcW w:w="2391"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ABSTUDY</w:t>
            </w:r>
          </w:p>
        </w:tc>
        <w:tc>
          <w:tcPr>
            <w:tcW w:w="582"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5</w:t>
            </w:r>
          </w:p>
        </w:tc>
        <w:tc>
          <w:tcPr>
            <w:tcW w:w="58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w:t>
            </w:r>
          </w:p>
        </w:tc>
        <w:tc>
          <w:tcPr>
            <w:tcW w:w="62" w:type="dxa"/>
            <w:tcBorders>
              <w:top w:val="single" w:sz="4" w:space="0" w:color="auto"/>
              <w:bottom w:val="nil"/>
            </w:tcBorders>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Borders>
              <w:top w:val="single" w:sz="4" w:space="0" w:color="auto"/>
              <w:bottom w:val="nil"/>
            </w:tcBorders>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16.7</w:t>
            </w:r>
          </w:p>
        </w:tc>
        <w:tc>
          <w:tcPr>
            <w:tcW w:w="715"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w:t>
            </w:r>
          </w:p>
        </w:tc>
      </w:tr>
      <w:tr w:rsidR="00386B63" w:rsidRPr="00E17A85" w:rsidTr="00726DB8">
        <w:trPr>
          <w:trHeight w:val="20"/>
        </w:trPr>
        <w:tc>
          <w:tcPr>
            <w:tcW w:w="2391"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Age Pension</w:t>
            </w:r>
          </w:p>
        </w:tc>
        <w:tc>
          <w:tcPr>
            <w:tcW w:w="582"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w:t>
            </w:r>
          </w:p>
        </w:tc>
        <w:tc>
          <w:tcPr>
            <w:tcW w:w="58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788</w:t>
            </w:r>
          </w:p>
        </w:tc>
        <w:tc>
          <w:tcPr>
            <w:tcW w:w="58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796</w:t>
            </w:r>
          </w:p>
        </w:tc>
        <w:tc>
          <w:tcPr>
            <w:tcW w:w="62" w:type="dxa"/>
            <w:tcBorders>
              <w:top w:val="nil"/>
            </w:tcBorders>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0.4</w:t>
            </w:r>
          </w:p>
        </w:tc>
        <w:tc>
          <w:tcPr>
            <w:tcW w:w="572"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4.8</w:t>
            </w:r>
          </w:p>
        </w:tc>
        <w:tc>
          <w:tcPr>
            <w:tcW w:w="715"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w:t>
            </w:r>
          </w:p>
        </w:tc>
        <w:tc>
          <w:tcPr>
            <w:tcW w:w="222" w:type="dxa"/>
            <w:tcBorders>
              <w:top w:val="nil"/>
            </w:tcBorders>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715"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44.9</w:t>
            </w:r>
          </w:p>
        </w:tc>
        <w:tc>
          <w:tcPr>
            <w:tcW w:w="715"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9.6</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Carer Payment</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184</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22.8</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13.5</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Disability Support Pension</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36</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2,552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2,588</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15.5</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14.1</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26.8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Newstart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1,105</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7,613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8,718</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61.9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46.1</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47.6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45.9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72.6</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Parenting Payment Partnered</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88</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2,026</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2,114</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12.3</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28.5</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85.7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79.1</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Parenting Payment Single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292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1,824</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2,116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16.4</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24.2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76.3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58.8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Partner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3.0</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 xml:space="preserve">Sickness Allowance </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Special Benefit</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Widow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42</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62.1</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Wife Pension (Age)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11.1</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Work for the Dole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 xml:space="preserve">Youth Allowance </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249</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1,472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1,721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8.9</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9.4</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34.9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74.2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63.8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Total</w:t>
            </w:r>
            <w:r>
              <w:rPr>
                <w:rFonts w:ascii="Calibri" w:eastAsia="Times New Roman" w:hAnsi="Calibri" w:cs="Times New Roman"/>
                <w:color w:val="000000"/>
                <w:sz w:val="18"/>
                <w:szCs w:val="18"/>
              </w:rPr>
              <w:t xml:space="preserve"> (a)</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1,785</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16,511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18,296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63.9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44.5</w:t>
            </w:r>
          </w:p>
        </w:tc>
      </w:tr>
    </w:tbl>
    <w:p w:rsidR="002532F6" w:rsidRDefault="002532F6" w:rsidP="006654AE">
      <w:pPr>
        <w:pStyle w:val="tablenotes"/>
      </w:pPr>
      <w:r>
        <w:t>Notes:</w:t>
      </w:r>
      <w:r>
        <w:tab/>
      </w:r>
    </w:p>
    <w:p w:rsidR="00E17A85" w:rsidRDefault="00E17A85" w:rsidP="00726DB8">
      <w:pPr>
        <w:pStyle w:val="tablenotes"/>
        <w:numPr>
          <w:ilvl w:val="0"/>
          <w:numId w:val="32"/>
        </w:numPr>
      </w:pPr>
      <w:r>
        <w:t xml:space="preserve">Includes </w:t>
      </w:r>
      <w:proofErr w:type="spellStart"/>
      <w:r>
        <w:t>Austudy</w:t>
      </w:r>
      <w:proofErr w:type="spellEnd"/>
      <w:r>
        <w:t xml:space="preserve"> and Bereavement Allowance</w:t>
      </w:r>
      <w:r w:rsidR="002532F6">
        <w:t>.</w:t>
      </w:r>
    </w:p>
    <w:p w:rsidR="00726DB8" w:rsidRDefault="00726DB8" w:rsidP="00726DB8">
      <w:pPr>
        <w:pStyle w:val="tablenotes"/>
        <w:ind w:left="1440"/>
      </w:pPr>
      <w:r>
        <w:t>IM – income management, IS – income support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9655C3" w:rsidRDefault="005E1FE0" w:rsidP="006654AE">
      <w:r w:rsidRPr="00DF38B2">
        <w:t>There are differences in the type of income support payments received by those on various</w:t>
      </w:r>
      <w:r w:rsidR="00C32D5A">
        <w:t xml:space="preserve"> New Income Management</w:t>
      </w:r>
      <w:r w:rsidRPr="00DF38B2">
        <w:t xml:space="preserve"> measures (</w:t>
      </w:r>
      <w:r w:rsidRPr="00DF38B2">
        <w:fldChar w:fldCharType="begin"/>
      </w:r>
      <w:r w:rsidRPr="00DF38B2">
        <w:instrText xml:space="preserve"> REF _Ref390637964 \h </w:instrText>
      </w:r>
      <w:r w:rsidRPr="00DF38B2">
        <w:fldChar w:fldCharType="separate"/>
      </w:r>
      <w:r w:rsidR="00906D13" w:rsidRPr="00FE502F">
        <w:t xml:space="preserve">Table </w:t>
      </w:r>
      <w:r w:rsidR="00906D13">
        <w:rPr>
          <w:noProof/>
        </w:rPr>
        <w:t>4</w:t>
      </w:r>
      <w:r w:rsidR="00906D13">
        <w:noBreakHyphen/>
      </w:r>
      <w:r w:rsidR="00906D13">
        <w:rPr>
          <w:noProof/>
        </w:rPr>
        <w:t>9</w:t>
      </w:r>
      <w:r w:rsidRPr="00DF38B2">
        <w:fldChar w:fldCharType="end"/>
      </w:r>
      <w:r w:rsidRPr="00DF38B2">
        <w:t>). The majority of people subject to Compulsory Income Management are receiving Newstart Allowance (58</w:t>
      </w:r>
      <w:r w:rsidR="00E17A85">
        <w:t>.5</w:t>
      </w:r>
      <w:r w:rsidRPr="00DF38B2">
        <w:t> per cent), with a significant minority receiving Parenting Payment Partnered or Parenting Payment Single (14</w:t>
      </w:r>
      <w:r w:rsidR="00E17A85">
        <w:t>.3</w:t>
      </w:r>
      <w:r w:rsidRPr="00DF38B2">
        <w:t> per cent each) and Youth Allowance Other (11.4 per cent). Those subject to Voluntary Inco</w:t>
      </w:r>
      <w:r w:rsidRPr="00FE502F">
        <w:t>me Management are drawn primarily from those on the Disability Support Pension (65.</w:t>
      </w:r>
      <w:r w:rsidR="00E17A85">
        <w:t>8</w:t>
      </w:r>
      <w:r w:rsidRPr="00FE502F">
        <w:t> per cent), followed by the Age Pension (20.8 per cent)</w:t>
      </w:r>
      <w:r w:rsidR="001838DD">
        <w:t>,</w:t>
      </w:r>
      <w:r w:rsidRPr="00FE502F">
        <w:t xml:space="preserve"> with a smaller proportion drawn from Newstart </w:t>
      </w:r>
      <w:r w:rsidRPr="009655C3">
        <w:t>Allowance and Carer Payment (4.4 per cent and 4.8 per cent respectively).</w:t>
      </w:r>
    </w:p>
    <w:p w:rsidR="005E1FE0" w:rsidRPr="00FE502F" w:rsidRDefault="005E1FE0" w:rsidP="006654AE">
      <w:r w:rsidRPr="009655C3">
        <w:t xml:space="preserve">The third panel of </w:t>
      </w:r>
      <w:r w:rsidRPr="00DF38B2">
        <w:fldChar w:fldCharType="begin"/>
      </w:r>
      <w:r w:rsidRPr="00DF38B2">
        <w:instrText xml:space="preserve"> REF _Ref390637964 \h </w:instrText>
      </w:r>
      <w:r w:rsidRPr="00DF38B2">
        <w:fldChar w:fldCharType="separate"/>
      </w:r>
      <w:r w:rsidR="00906D13" w:rsidRPr="00FE502F">
        <w:t xml:space="preserve">Table </w:t>
      </w:r>
      <w:r w:rsidR="00906D13">
        <w:rPr>
          <w:noProof/>
        </w:rPr>
        <w:t>4</w:t>
      </w:r>
      <w:r w:rsidR="00906D13">
        <w:noBreakHyphen/>
      </w:r>
      <w:r w:rsidR="00906D13">
        <w:rPr>
          <w:noProof/>
        </w:rPr>
        <w:t>9</w:t>
      </w:r>
      <w:r w:rsidRPr="00DF38B2">
        <w:fldChar w:fldCharType="end"/>
      </w:r>
      <w:r w:rsidRPr="00DF38B2">
        <w:t xml:space="preserve"> shows the proportion of people on particular income support payments in the Northern Territory who are subject to income management. This ranges from 79.1 per cent of those on Parenting Payment Par</w:t>
      </w:r>
      <w:r w:rsidRPr="00FE502F">
        <w:t>tnered and 72.6 per cent for Newstart Allowance, to 13.5 per cent of those on Carer Payment and 9.6 per cent of those receiving the Age Pension.</w:t>
      </w:r>
    </w:p>
    <w:p w:rsidR="005E1FE0" w:rsidRPr="00DF38B2" w:rsidRDefault="005E1FE0" w:rsidP="006654AE">
      <w:pPr>
        <w:pStyle w:val="Caption"/>
        <w:keepLines/>
        <w:ind w:left="1439" w:hanging="1155"/>
      </w:pPr>
      <w:bookmarkStart w:id="153" w:name="_Ref390637964"/>
      <w:bookmarkStart w:id="154" w:name="_Toc403739414"/>
      <w:r w:rsidRPr="00FE502F">
        <w:lastRenderedPageBreak/>
        <w:t xml:space="preserve">Table </w:t>
      </w:r>
      <w:fldSimple w:instr=" STYLEREF 1 \s ">
        <w:r w:rsidR="00906D13">
          <w:rPr>
            <w:noProof/>
          </w:rPr>
          <w:t>4</w:t>
        </w:r>
      </w:fldSimple>
      <w:r w:rsidR="00D40B64">
        <w:noBreakHyphen/>
      </w:r>
      <w:fldSimple w:instr=" SEQ Table \* ARABIC \s 1 ">
        <w:r w:rsidR="00906D13">
          <w:rPr>
            <w:noProof/>
          </w:rPr>
          <w:t>9</w:t>
        </w:r>
      </w:fldSimple>
      <w:bookmarkEnd w:id="153"/>
      <w:r w:rsidRPr="00DF38B2">
        <w:tab/>
        <w:t>Persons being Income</w:t>
      </w:r>
      <w:r w:rsidR="00A04470">
        <w:t xml:space="preserve"> </w:t>
      </w:r>
      <w:r w:rsidRPr="00DF38B2">
        <w:t>Managed in the Northern Territory by stream and major income support payment received, December 2013</w:t>
      </w:r>
      <w:bookmarkEnd w:id="154"/>
    </w:p>
    <w:tbl>
      <w:tblPr>
        <w:tblW w:w="8015" w:type="dxa"/>
        <w:jc w:val="center"/>
        <w:tblLayout w:type="fixed"/>
        <w:tblLook w:val="04A0" w:firstRow="1" w:lastRow="0" w:firstColumn="1" w:lastColumn="0" w:noHBand="0" w:noVBand="1"/>
        <w:tblDescription w:val="This table has some similarities with the previous table, but also some differences.  While it is concerned with the relationship between income support payment type and income management the table shows a more abbreviated range of income support payments, and it splits the income managed population by compulsory and voluntary income management rather than Indigeneity. The table also has multiple panels vertically. These panels replicate the three statistical groupings of the previous table: the total number of people on income management; the distribution of people on income management by these types of income support payments; and the proportion of people on each type of income support payment who are on income management.&#10;The row headings within each of the panels are the major forms of income support and the three data columns are for compulsory income management, voluntary income management and total income management.&#10;The main results are again discussed in the text.&#10;"/>
      </w:tblPr>
      <w:tblGrid>
        <w:gridCol w:w="2006"/>
        <w:gridCol w:w="2438"/>
        <w:gridCol w:w="1417"/>
        <w:gridCol w:w="1247"/>
        <w:gridCol w:w="907"/>
      </w:tblGrid>
      <w:tr w:rsidR="002818B1" w:rsidRPr="0072072C" w:rsidTr="0072072C">
        <w:trPr>
          <w:trHeight w:val="20"/>
          <w:tblHeader/>
          <w:jc w:val="center"/>
        </w:trPr>
        <w:tc>
          <w:tcPr>
            <w:tcW w:w="2006" w:type="dxa"/>
            <w:tcBorders>
              <w:top w:val="single" w:sz="4" w:space="0" w:color="auto"/>
              <w:left w:val="nil"/>
              <w:bottom w:val="single" w:sz="4" w:space="0" w:color="auto"/>
              <w:right w:val="nil"/>
            </w:tcBorders>
          </w:tcPr>
          <w:p w:rsidR="002818B1" w:rsidRPr="0072072C" w:rsidRDefault="002818B1" w:rsidP="0072072C">
            <w:pPr>
              <w:pStyle w:val="tabletextleft"/>
              <w:jc w:val="left"/>
              <w:rPr>
                <w:rFonts w:eastAsia="Times New Roman"/>
              </w:rPr>
            </w:pPr>
            <w:r w:rsidRPr="0072072C">
              <w:rPr>
                <w:rFonts w:eastAsia="Times New Roman"/>
              </w:rPr>
              <w:t>Persons being income management in the Northern Territory</w:t>
            </w:r>
          </w:p>
        </w:tc>
        <w:tc>
          <w:tcPr>
            <w:tcW w:w="2438"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left"/>
              <w:jc w:val="left"/>
              <w:rPr>
                <w:rFonts w:eastAsia="Times New Roman"/>
              </w:rPr>
            </w:pPr>
            <w:r w:rsidRPr="0072072C">
              <w:rPr>
                <w:rFonts w:eastAsia="Times New Roman"/>
              </w:rPr>
              <w:t>Type of income support payment received</w:t>
            </w:r>
          </w:p>
        </w:tc>
        <w:tc>
          <w:tcPr>
            <w:tcW w:w="141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Compulsory Income Management(a)</w:t>
            </w:r>
          </w:p>
        </w:tc>
        <w:tc>
          <w:tcPr>
            <w:tcW w:w="124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Voluntary Income Management</w:t>
            </w:r>
          </w:p>
        </w:tc>
        <w:tc>
          <w:tcPr>
            <w:tcW w:w="90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Total</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Persons on income management</w:t>
            </w:r>
            <w:r>
              <w:rPr>
                <w:rFonts w:eastAsia="Times New Roman"/>
              </w:rPr>
              <w:t xml:space="preserve"> (n)</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796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2,416</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2,588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8,555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8,718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2,087</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2,114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2,084</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32</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59</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1,673</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1,721</w:t>
            </w:r>
          </w:p>
        </w:tc>
      </w:tr>
      <w:tr w:rsidR="0072072C" w:rsidRPr="0072072C"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14,621</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3,675</w:t>
            </w:r>
          </w:p>
        </w:tc>
        <w:tc>
          <w:tcPr>
            <w:tcW w:w="90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18,296</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Composition of IM population (%)</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0.0</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65.7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14.1</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47.6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0.9</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0.1</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0.3</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11.4</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9.4</w:t>
            </w:r>
          </w:p>
        </w:tc>
      </w:tr>
      <w:tr w:rsidR="0072072C" w:rsidRPr="0072072C"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c>
          <w:tcPr>
            <w:tcW w:w="90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Rate of income management (%)</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0.4</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13.5</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26.8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71.2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72.6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78.0</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79.1</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57.9</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0.9</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5.5</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6.7</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62.1</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63.8</w:t>
            </w:r>
          </w:p>
        </w:tc>
      </w:tr>
      <w:tr w:rsidR="0072072C" w:rsidRPr="00E17A85"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35.6</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8.9</w:t>
            </w:r>
          </w:p>
        </w:tc>
        <w:tc>
          <w:tcPr>
            <w:tcW w:w="907" w:type="dxa"/>
            <w:tcBorders>
              <w:top w:val="nil"/>
              <w:left w:val="nil"/>
              <w:bottom w:val="single" w:sz="4" w:space="0" w:color="auto"/>
              <w:right w:val="nil"/>
            </w:tcBorders>
            <w:shd w:val="clear" w:color="auto" w:fill="auto"/>
            <w:noWrap/>
            <w:vAlign w:val="bottom"/>
            <w:hideMark/>
          </w:tcPr>
          <w:p w:rsidR="0072072C" w:rsidRPr="00E17A85" w:rsidRDefault="0072072C" w:rsidP="006654AE">
            <w:pPr>
              <w:pStyle w:val="tabletextright"/>
              <w:rPr>
                <w:rFonts w:eastAsia="Times New Roman"/>
              </w:rPr>
            </w:pPr>
            <w:r w:rsidRPr="0072072C">
              <w:rPr>
                <w:rFonts w:eastAsia="Times New Roman"/>
              </w:rPr>
              <w:t>44.5</w:t>
            </w:r>
          </w:p>
        </w:tc>
      </w:tr>
    </w:tbl>
    <w:p w:rsidR="002532F6" w:rsidRDefault="002532F6" w:rsidP="006654AE">
      <w:pPr>
        <w:pStyle w:val="tablenotes"/>
        <w:ind w:left="1437" w:hanging="870"/>
      </w:pPr>
      <w:r>
        <w:t>Notes:</w:t>
      </w:r>
      <w:r>
        <w:tab/>
      </w:r>
    </w:p>
    <w:p w:rsidR="001C19F4" w:rsidRDefault="001C19F4" w:rsidP="006654AE">
      <w:pPr>
        <w:pStyle w:val="tablenotes"/>
        <w:ind w:left="1437" w:hanging="870"/>
      </w:pPr>
      <w:r>
        <w:t xml:space="preserve">(a) </w:t>
      </w:r>
      <w:r w:rsidR="002532F6">
        <w:tab/>
      </w:r>
      <w:r>
        <w:t>Compulsory Income Management measure includes Child Protection Income Management, all forms of Vulnerable Income Management, SPAR</w:t>
      </w:r>
      <w:r w:rsidR="001838DD">
        <w:t>,</w:t>
      </w:r>
      <w:r>
        <w:t xml:space="preserve"> and Nominee Income Management.</w:t>
      </w:r>
    </w:p>
    <w:p w:rsidR="00E17A85" w:rsidRDefault="001C19F4" w:rsidP="006654AE">
      <w:pPr>
        <w:pStyle w:val="tablenotes"/>
        <w:ind w:left="1437" w:hanging="870"/>
      </w:pPr>
      <w:r>
        <w:t>(b)</w:t>
      </w:r>
      <w:r w:rsidR="002532F6">
        <w:t xml:space="preserve"> </w:t>
      </w:r>
      <w:r w:rsidR="002532F6">
        <w:tab/>
      </w:r>
      <w:r>
        <w:t xml:space="preserve">Includes ABSTUDY, </w:t>
      </w:r>
      <w:proofErr w:type="spellStart"/>
      <w:r>
        <w:t>Austudy</w:t>
      </w:r>
      <w:proofErr w:type="spellEnd"/>
      <w:r>
        <w:t>, Bereavement Allowance, Partner Allowance, Sickness Allowance, Special Benefit, Widow Allowance, Wife Pension (Age)</w:t>
      </w:r>
      <w:r w:rsidR="001838DD">
        <w:t>,</w:t>
      </w:r>
      <w:r>
        <w:t xml:space="preserve"> and Work for the Dole</w:t>
      </w:r>
      <w:r w:rsidR="002532F6">
        <w: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Heading3"/>
      </w:pPr>
      <w:bookmarkStart w:id="155" w:name="_Ref392801065"/>
      <w:bookmarkStart w:id="156" w:name="_Toc403739009"/>
      <w:r w:rsidRPr="00DF38B2">
        <w:t xml:space="preserve">Proportion of </w:t>
      </w:r>
      <w:r w:rsidR="009D7612">
        <w:t>income support</w:t>
      </w:r>
      <w:r w:rsidRPr="00DF38B2">
        <w:t xml:space="preserve"> recipients subject to income management: incidence by age, gender and Indigenous status</w:t>
      </w:r>
      <w:bookmarkEnd w:id="155"/>
      <w:bookmarkEnd w:id="156"/>
    </w:p>
    <w:p w:rsidR="005E1FE0" w:rsidRDefault="005E1FE0" w:rsidP="006654AE">
      <w:r w:rsidRPr="00DF38B2">
        <w:fldChar w:fldCharType="begin"/>
      </w:r>
      <w:r w:rsidRPr="00DF38B2">
        <w:instrText xml:space="preserve"> REF _Ref391232484 \h </w:instrText>
      </w:r>
      <w:r w:rsidRPr="00DF38B2">
        <w:fldChar w:fldCharType="separate"/>
      </w:r>
      <w:r w:rsidR="00906D13" w:rsidRPr="00DF38B2">
        <w:t xml:space="preserve">Figure </w:t>
      </w:r>
      <w:r w:rsidR="00906D13">
        <w:rPr>
          <w:noProof/>
        </w:rPr>
        <w:t>4</w:t>
      </w:r>
      <w:r w:rsidR="00906D13" w:rsidRPr="00DF38B2">
        <w:noBreakHyphen/>
      </w:r>
      <w:r w:rsidR="00906D13">
        <w:rPr>
          <w:noProof/>
        </w:rPr>
        <w:t>14</w:t>
      </w:r>
      <w:r w:rsidRPr="00DF38B2">
        <w:fldChar w:fldCharType="end"/>
      </w:r>
      <w:r w:rsidRPr="00DF38B2">
        <w:t xml:space="preserve"> shows </w:t>
      </w:r>
      <w:r w:rsidR="001C19F4">
        <w:t xml:space="preserve">by gender and Indigenous status </w:t>
      </w:r>
      <w:r w:rsidRPr="00DF38B2">
        <w:t xml:space="preserve">the proportion of people in the Northern Territory who received an </w:t>
      </w:r>
      <w:r w:rsidR="009D7612">
        <w:t>income support</w:t>
      </w:r>
      <w:r w:rsidRPr="00DF38B2">
        <w:t xml:space="preserve"> payment </w:t>
      </w:r>
      <w:proofErr w:type="gramStart"/>
      <w:r w:rsidRPr="00DF38B2">
        <w:t>who</w:t>
      </w:r>
      <w:proofErr w:type="gramEnd"/>
      <w:r w:rsidRPr="00DF38B2">
        <w:t xml:space="preserve"> were subject to income management (</w:t>
      </w:r>
      <w:r w:rsidR="001838DD" w:rsidRPr="00DF38B2">
        <w:t xml:space="preserve">in this chapter </w:t>
      </w:r>
      <w:r w:rsidR="001838DD">
        <w:t>referred to as</w:t>
      </w:r>
      <w:r w:rsidRPr="00DF38B2">
        <w:t xml:space="preserve"> the income management rate)</w:t>
      </w:r>
      <w:r w:rsidR="00D50403">
        <w:t xml:space="preserve"> over time</w:t>
      </w:r>
      <w:r w:rsidRPr="00DF38B2">
        <w:t xml:space="preserve">. </w:t>
      </w:r>
      <w:r w:rsidR="00EA66D9">
        <w:fldChar w:fldCharType="begin"/>
      </w:r>
      <w:r w:rsidR="00EA66D9">
        <w:instrText xml:space="preserve"> REF _Ref395020296 \h </w:instrText>
      </w:r>
      <w:r w:rsidR="00EA66D9">
        <w:fldChar w:fldCharType="separate"/>
      </w:r>
      <w:r w:rsidR="00906D13">
        <w:t xml:space="preserve">Table </w:t>
      </w:r>
      <w:r w:rsidR="00906D13">
        <w:rPr>
          <w:noProof/>
        </w:rPr>
        <w:t>4</w:t>
      </w:r>
      <w:r w:rsidR="00906D13">
        <w:noBreakHyphen/>
      </w:r>
      <w:r w:rsidR="00906D13">
        <w:rPr>
          <w:noProof/>
        </w:rPr>
        <w:t>10</w:t>
      </w:r>
      <w:r w:rsidR="00EA66D9">
        <w:fldChar w:fldCharType="end"/>
      </w:r>
      <w:r w:rsidR="00EA66D9">
        <w:t xml:space="preserve"> </w:t>
      </w:r>
      <w:r w:rsidR="00D50403">
        <w:t xml:space="preserve">shows the proportion of the population by gender and Indigenous status on income management in December 2013. </w:t>
      </w:r>
      <w:r w:rsidRPr="00DF38B2">
        <w:t xml:space="preserve">During the initial </w:t>
      </w:r>
      <w:r w:rsidR="00D76AEA">
        <w:t>rollout</w:t>
      </w:r>
      <w:r w:rsidRPr="00DF38B2">
        <w:t xml:space="preserve"> period the proportion of </w:t>
      </w:r>
      <w:r w:rsidR="001C19F4">
        <w:t>non-</w:t>
      </w:r>
      <w:r w:rsidRPr="00DF38B2">
        <w:t xml:space="preserve">Indigenous men and women on </w:t>
      </w:r>
      <w:r w:rsidR="009D7612">
        <w:t>income support</w:t>
      </w:r>
      <w:r w:rsidRPr="00DF38B2">
        <w:t xml:space="preserve"> who were subject to income management increa</w:t>
      </w:r>
      <w:r w:rsidRPr="00FE502F">
        <w:t>sed from a very low level (0.</w:t>
      </w:r>
      <w:r w:rsidR="001C19F4">
        <w:t>9</w:t>
      </w:r>
      <w:r w:rsidR="001C19F4" w:rsidRPr="00FE502F">
        <w:t> </w:t>
      </w:r>
      <w:r w:rsidRPr="00FE502F">
        <w:t xml:space="preserve">per cent for women and 1.6 per cent for men) to </w:t>
      </w:r>
      <w:r w:rsidR="001C19F4">
        <w:t>1</w:t>
      </w:r>
      <w:r w:rsidR="00150A56">
        <w:t>0</w:t>
      </w:r>
      <w:r w:rsidR="001C19F4">
        <w:t>.8</w:t>
      </w:r>
      <w:r w:rsidRPr="00FE502F">
        <w:t> per cent for women and 8.</w:t>
      </w:r>
      <w:r w:rsidR="001C19F4">
        <w:t>8</w:t>
      </w:r>
      <w:r w:rsidR="001C19F4" w:rsidRPr="00FE502F">
        <w:t xml:space="preserve"> </w:t>
      </w:r>
      <w:r w:rsidRPr="00FE502F">
        <w:t>per cent for men by May 2011. Since May 2011 t</w:t>
      </w:r>
      <w:r w:rsidRPr="009655C3">
        <w:t xml:space="preserve">he proportion of non-Indigenous </w:t>
      </w:r>
      <w:r w:rsidR="001C19F4">
        <w:t xml:space="preserve">people </w:t>
      </w:r>
      <w:r w:rsidRPr="009655C3">
        <w:t xml:space="preserve">on </w:t>
      </w:r>
      <w:r w:rsidR="009D7612">
        <w:t>income support</w:t>
      </w:r>
      <w:r w:rsidRPr="009655C3">
        <w:t xml:space="preserve"> who are subject to income management has increased </w:t>
      </w:r>
      <w:r w:rsidR="001838DD">
        <w:t>further, and as of December 2013 is</w:t>
      </w:r>
      <w:r w:rsidRPr="009655C3">
        <w:t xml:space="preserve"> 11.</w:t>
      </w:r>
      <w:r w:rsidR="00D50403">
        <w:t>5</w:t>
      </w:r>
      <w:r w:rsidR="001C19F4" w:rsidRPr="009655C3">
        <w:t> </w:t>
      </w:r>
      <w:r w:rsidRPr="009655C3">
        <w:t>per cent</w:t>
      </w:r>
      <w:r w:rsidR="00150A56">
        <w:t xml:space="preserve"> for women</w:t>
      </w:r>
      <w:r w:rsidRPr="009655C3">
        <w:t xml:space="preserve"> and 11.</w:t>
      </w:r>
      <w:r w:rsidR="00D50403">
        <w:t>8</w:t>
      </w:r>
      <w:r w:rsidR="001C19F4" w:rsidRPr="009655C3">
        <w:t> </w:t>
      </w:r>
      <w:r w:rsidRPr="009655C3">
        <w:t xml:space="preserve">per cent for men. </w:t>
      </w:r>
    </w:p>
    <w:p w:rsidR="00D50403" w:rsidRPr="009655C3" w:rsidRDefault="00D50403" w:rsidP="006654AE">
      <w:pPr>
        <w:pStyle w:val="Caption"/>
      </w:pPr>
      <w:bookmarkStart w:id="157" w:name="_Ref395020296"/>
      <w:bookmarkStart w:id="158" w:name="_Toc403739415"/>
      <w:r>
        <w:lastRenderedPageBreak/>
        <w:t xml:space="preserve">Table </w:t>
      </w:r>
      <w:fldSimple w:instr=" STYLEREF 1 \s ">
        <w:r w:rsidR="00906D13">
          <w:rPr>
            <w:noProof/>
          </w:rPr>
          <w:t>4</w:t>
        </w:r>
      </w:fldSimple>
      <w:r w:rsidR="00D40B64">
        <w:noBreakHyphen/>
      </w:r>
      <w:fldSimple w:instr=" SEQ Table \* ARABIC \s 1 ">
        <w:r w:rsidR="00906D13">
          <w:rPr>
            <w:noProof/>
          </w:rPr>
          <w:t>10</w:t>
        </w:r>
      </w:fldSimple>
      <w:bookmarkEnd w:id="157"/>
      <w:r>
        <w:tab/>
        <w:t xml:space="preserve">Persons on </w:t>
      </w:r>
      <w:r w:rsidR="005E4CAC">
        <w:t>i</w:t>
      </w:r>
      <w:r>
        <w:t xml:space="preserve">ncome </w:t>
      </w:r>
      <w:r w:rsidR="005E4CAC">
        <w:t>s</w:t>
      </w:r>
      <w:r>
        <w:t xml:space="preserve">upport and </w:t>
      </w:r>
      <w:r w:rsidR="005E4CAC">
        <w:t xml:space="preserve">income management </w:t>
      </w:r>
      <w:r w:rsidR="005E1DCA">
        <w:t xml:space="preserve">in the Northern Territory </w:t>
      </w:r>
      <w:r>
        <w:t>by gender and Indigenous status, December 2013</w:t>
      </w:r>
      <w:bookmarkEnd w:id="158"/>
    </w:p>
    <w:tbl>
      <w:tblPr>
        <w:tblW w:w="6051" w:type="dxa"/>
        <w:jc w:val="center"/>
        <w:tblLayout w:type="fixed"/>
        <w:tblLook w:val="04A0" w:firstRow="1" w:lastRow="0" w:firstColumn="1" w:lastColumn="0" w:noHBand="0" w:noVBand="1"/>
        <w:tblDescription w:val="This table details the number of people of income management and on income support by Indigeneity and gender and shows the rate of income management – that is the number of people on income management as a proportion of those on income support as a percentage.&#10;The three columns of data are: 1. the number of people on income management; 2. the number on income support; and 3. the income management rate.&#10;The table then has three panels, for: 1. Indigenous people; 2. non-Indigenous people and 3. Total persons, and within each of these panels the rows show the gender split: 1. Males; 2. Females; and 3. Persons.&#10;The discussion in the paper on this data is mainly concerned with the time trends which are given in an associated chart, rather than the specific point in time figures. The main statistics are that in December 2013 58.9 per cent of Indigenous men and 67.7 per cent of Indigenous women who are on income support are on income management compared with 11.8 per cent and 11.5 per cent respectively for non-Indigenous men and women.&#10;"/>
      </w:tblPr>
      <w:tblGrid>
        <w:gridCol w:w="1531"/>
        <w:gridCol w:w="976"/>
        <w:gridCol w:w="1292"/>
        <w:gridCol w:w="1276"/>
        <w:gridCol w:w="976"/>
      </w:tblGrid>
      <w:tr w:rsidR="002818B1" w:rsidRPr="0072072C" w:rsidTr="002818B1">
        <w:trPr>
          <w:trHeight w:val="20"/>
          <w:tblHeader/>
          <w:jc w:val="center"/>
        </w:trPr>
        <w:tc>
          <w:tcPr>
            <w:tcW w:w="1531" w:type="dxa"/>
            <w:tcBorders>
              <w:top w:val="single" w:sz="4" w:space="0" w:color="auto"/>
              <w:left w:val="nil"/>
              <w:bottom w:val="single" w:sz="4" w:space="0" w:color="auto"/>
              <w:right w:val="nil"/>
            </w:tcBorders>
          </w:tcPr>
          <w:p w:rsidR="002818B1" w:rsidRPr="0072072C" w:rsidRDefault="002818B1" w:rsidP="006654AE">
            <w:pPr>
              <w:pStyle w:val="tabletextleft"/>
              <w:rPr>
                <w:rFonts w:eastAsia="Times New Roman"/>
              </w:rPr>
            </w:pPr>
            <w:r w:rsidRPr="0072072C">
              <w:rPr>
                <w:rFonts w:eastAsia="Times New Roman"/>
              </w:rPr>
              <w:t>Indigenous status</w:t>
            </w:r>
          </w:p>
        </w:tc>
        <w:tc>
          <w:tcPr>
            <w:tcW w:w="976"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left"/>
              <w:jc w:val="left"/>
              <w:rPr>
                <w:rFonts w:eastAsia="Times New Roman"/>
              </w:rPr>
            </w:pPr>
            <w:r w:rsidRPr="0072072C">
              <w:rPr>
                <w:rFonts w:eastAsia="Times New Roman"/>
              </w:rPr>
              <w:t>Gender</w:t>
            </w:r>
          </w:p>
        </w:tc>
        <w:tc>
          <w:tcPr>
            <w:tcW w:w="1292"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Income Managed </w:t>
            </w:r>
          </w:p>
          <w:p w:rsidR="002818B1" w:rsidRPr="0072072C" w:rsidRDefault="002818B1" w:rsidP="006654AE">
            <w:pPr>
              <w:pStyle w:val="tabletextright"/>
              <w:rPr>
                <w:rFonts w:eastAsia="Times New Roman"/>
              </w:rPr>
            </w:pPr>
            <w:r w:rsidRPr="0072072C">
              <w:rPr>
                <w:rFonts w:eastAsia="Times New Roman"/>
              </w:rPr>
              <w:t>(n)</w:t>
            </w:r>
          </w:p>
        </w:tc>
        <w:tc>
          <w:tcPr>
            <w:tcW w:w="1276"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Income support </w:t>
            </w:r>
          </w:p>
          <w:p w:rsidR="002818B1" w:rsidRPr="0072072C" w:rsidRDefault="002818B1" w:rsidP="006654AE">
            <w:pPr>
              <w:pStyle w:val="tabletextright"/>
              <w:rPr>
                <w:rFonts w:eastAsia="Times New Roman"/>
              </w:rPr>
            </w:pPr>
            <w:r w:rsidRPr="0072072C">
              <w:rPr>
                <w:rFonts w:eastAsia="Times New Roman"/>
              </w:rPr>
              <w:t>(n)</w:t>
            </w:r>
          </w:p>
        </w:tc>
        <w:tc>
          <w:tcPr>
            <w:tcW w:w="976"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Rate </w:t>
            </w:r>
            <w:r w:rsidRPr="0072072C">
              <w:rPr>
                <w:rFonts w:eastAsia="Times New Roman"/>
              </w:rPr>
              <w:br/>
            </w:r>
          </w:p>
          <w:p w:rsidR="002818B1" w:rsidRPr="0072072C" w:rsidRDefault="002818B1" w:rsidP="006654AE">
            <w:pPr>
              <w:pStyle w:val="tabletextright"/>
              <w:rPr>
                <w:rFonts w:eastAsia="Times New Roman"/>
              </w:rPr>
            </w:pPr>
            <w:r w:rsidRPr="0072072C">
              <w:rPr>
                <w:rFonts w:eastAsia="Times New Roman"/>
              </w:rPr>
              <w:t>(%)</w:t>
            </w:r>
          </w:p>
        </w:tc>
      </w:tr>
      <w:tr w:rsidR="0072072C" w:rsidRPr="0072072C" w:rsidTr="00EB5275">
        <w:trPr>
          <w:trHeight w:val="20"/>
          <w:jc w:val="center"/>
        </w:trPr>
        <w:tc>
          <w:tcPr>
            <w:tcW w:w="1531" w:type="dxa"/>
            <w:vMerge w:val="restart"/>
            <w:tcBorders>
              <w:top w:val="single" w:sz="4" w:space="0" w:color="auto"/>
              <w:left w:val="nil"/>
              <w:right w:val="nil"/>
            </w:tcBorders>
          </w:tcPr>
          <w:p w:rsidR="0072072C" w:rsidRPr="0072072C" w:rsidRDefault="0072072C" w:rsidP="006654AE">
            <w:pPr>
              <w:pStyle w:val="tabletextleft"/>
              <w:rPr>
                <w:rFonts w:eastAsia="Times New Roman"/>
              </w:rPr>
            </w:pPr>
            <w:r w:rsidRPr="0072072C">
              <w:rPr>
                <w:rFonts w:eastAsia="Times New Roman"/>
              </w:rPr>
              <w:t>Indigenous</w:t>
            </w:r>
          </w:p>
        </w:tc>
        <w:tc>
          <w:tcPr>
            <w:tcW w:w="9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6,508</w:t>
            </w:r>
          </w:p>
        </w:tc>
        <w:tc>
          <w:tcPr>
            <w:tcW w:w="12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11,054</w:t>
            </w:r>
          </w:p>
        </w:tc>
        <w:tc>
          <w:tcPr>
            <w:tcW w:w="9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58.9</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9,997</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14,774</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67.7</w:t>
            </w:r>
          </w:p>
        </w:tc>
      </w:tr>
      <w:tr w:rsidR="0072072C" w:rsidRPr="0072072C"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16,505</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25,828</w:t>
            </w: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63.9</w:t>
            </w:r>
          </w:p>
        </w:tc>
      </w:tr>
      <w:tr w:rsidR="0072072C" w:rsidRPr="0072072C" w:rsidTr="00EB5275">
        <w:trPr>
          <w:trHeight w:val="20"/>
          <w:jc w:val="center"/>
        </w:trPr>
        <w:tc>
          <w:tcPr>
            <w:tcW w:w="153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902</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7,649</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11.8</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882</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7,638</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11.5</w:t>
            </w:r>
          </w:p>
        </w:tc>
      </w:tr>
      <w:tr w:rsidR="0072072C" w:rsidRPr="0072072C"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1,784</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15,287</w:t>
            </w: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11.7</w:t>
            </w:r>
          </w:p>
        </w:tc>
      </w:tr>
      <w:tr w:rsidR="0072072C" w:rsidRPr="0072072C" w:rsidTr="00EB5275">
        <w:trPr>
          <w:trHeight w:val="20"/>
          <w:jc w:val="center"/>
        </w:trPr>
        <w:tc>
          <w:tcPr>
            <w:tcW w:w="153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All persons</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7,410</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18,703</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39.6</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10,879</w:t>
            </w:r>
          </w:p>
        </w:tc>
        <w:tc>
          <w:tcPr>
            <w:tcW w:w="1276"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22,412</w:t>
            </w:r>
          </w:p>
        </w:tc>
        <w:tc>
          <w:tcPr>
            <w:tcW w:w="976"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48.5</w:t>
            </w:r>
          </w:p>
        </w:tc>
      </w:tr>
      <w:tr w:rsidR="0072072C" w:rsidRPr="00D50403"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18,289</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41,115</w:t>
            </w:r>
          </w:p>
        </w:tc>
        <w:tc>
          <w:tcPr>
            <w:tcW w:w="976" w:type="dxa"/>
            <w:tcBorders>
              <w:top w:val="nil"/>
              <w:left w:val="nil"/>
              <w:bottom w:val="single" w:sz="4" w:space="0" w:color="auto"/>
              <w:right w:val="nil"/>
            </w:tcBorders>
            <w:shd w:val="clear" w:color="auto" w:fill="auto"/>
            <w:noWrap/>
            <w:vAlign w:val="bottom"/>
            <w:hideMark/>
          </w:tcPr>
          <w:p w:rsidR="0072072C" w:rsidRPr="00D50403" w:rsidRDefault="0072072C" w:rsidP="006654AE">
            <w:pPr>
              <w:pStyle w:val="tabletextright"/>
              <w:rPr>
                <w:rFonts w:eastAsia="Times New Roman"/>
              </w:rPr>
            </w:pPr>
            <w:r w:rsidRPr="0072072C">
              <w:rPr>
                <w:rFonts w:eastAsia="Times New Roman"/>
              </w:rPr>
              <w:t>44.5</w:t>
            </w:r>
          </w:p>
        </w:tc>
      </w:tr>
    </w:tbl>
    <w:p w:rsidR="00D50403" w:rsidRDefault="00D50403"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t xml:space="preserve">The proportion of Indigenous </w:t>
      </w:r>
      <w:r w:rsidR="009D7612">
        <w:t>income support</w:t>
      </w:r>
      <w:r w:rsidRPr="00DF38B2">
        <w:t xml:space="preserve"> recipients subject to income management decreased </w:t>
      </w:r>
      <w:r w:rsidR="001C19F4">
        <w:t xml:space="preserve">slightly </w:t>
      </w:r>
      <w:r w:rsidRPr="00DF38B2">
        <w:t xml:space="preserve">during the period of transition from NTER Income Management to New Income Management as the range of </w:t>
      </w:r>
      <w:r w:rsidR="009D7612">
        <w:t>income support</w:t>
      </w:r>
      <w:r w:rsidRPr="00DF38B2">
        <w:t xml:space="preserve"> </w:t>
      </w:r>
      <w:r w:rsidR="0084437C">
        <w:t>payments that</w:t>
      </w:r>
      <w:r w:rsidRPr="00DF38B2">
        <w:t xml:space="preserve"> were subject to Compulsory Income Management narrowed. The rate of income management is higher for Indigenous women than men. In December 2013, </w:t>
      </w:r>
      <w:r w:rsidR="00D50403">
        <w:t>58.9</w:t>
      </w:r>
      <w:r w:rsidRPr="00DF38B2">
        <w:t xml:space="preserve"> per cent of Indigenous men and </w:t>
      </w:r>
      <w:r w:rsidR="00D50403">
        <w:t>67.7</w:t>
      </w:r>
      <w:r w:rsidRPr="00DF38B2">
        <w:t xml:space="preserve"> per cent of Indigenous women on </w:t>
      </w:r>
      <w:r w:rsidR="009D7612">
        <w:t>income support</w:t>
      </w:r>
      <w:r w:rsidRPr="00DF38B2">
        <w:t xml:space="preserve"> were subject to income management. Although the difference has fluctuated over time, it appears that the gap may be narrowing slightly as a consequence of a </w:t>
      </w:r>
      <w:r w:rsidR="001838DD" w:rsidRPr="00DF38B2">
        <w:t>small</w:t>
      </w:r>
      <w:r w:rsidRPr="00DF38B2">
        <w:t xml:space="preserve"> increase in the proportion of Indigenous men subject to income management from around 55 per cent in late 2012 to around 59 per cent by the end of 2013.</w:t>
      </w:r>
    </w:p>
    <w:p w:rsidR="005E1FE0" w:rsidRPr="00DF38B2" w:rsidRDefault="005E1FE0" w:rsidP="006654AE">
      <w:pPr>
        <w:pStyle w:val="Caption"/>
      </w:pPr>
      <w:bookmarkStart w:id="159" w:name="_Ref391232484"/>
      <w:bookmarkStart w:id="160" w:name="_Toc40373950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14</w:t>
      </w:r>
      <w:r w:rsidR="00040708" w:rsidRPr="00F157EE">
        <w:fldChar w:fldCharType="end"/>
      </w:r>
      <w:bookmarkEnd w:id="159"/>
      <w:r w:rsidRPr="00DF38B2">
        <w:tab/>
        <w:t xml:space="preserve">Proportion of </w:t>
      </w:r>
      <w:r w:rsidR="009D7612">
        <w:t>income support</w:t>
      </w:r>
      <w:r w:rsidRPr="00DF38B2">
        <w:t xml:space="preserve"> </w:t>
      </w:r>
      <w:r w:rsidR="009D7612">
        <w:t>r</w:t>
      </w:r>
      <w:r w:rsidRPr="00DF38B2">
        <w:t xml:space="preserve">ecipients in the Northern Territory subject to </w:t>
      </w:r>
      <w:r w:rsidR="009D7612">
        <w:t>income management</w:t>
      </w:r>
      <w:r w:rsidR="009D7612" w:rsidRPr="00DF38B2">
        <w:t xml:space="preserve"> </w:t>
      </w:r>
      <w:r w:rsidRPr="00DF38B2">
        <w:t xml:space="preserve">by </w:t>
      </w:r>
      <w:r w:rsidR="009D7612">
        <w:t>g</w:t>
      </w:r>
      <w:r w:rsidRPr="00DF38B2">
        <w:t xml:space="preserve">ender and Indigenous </w:t>
      </w:r>
      <w:r w:rsidR="009D7612">
        <w:t>s</w:t>
      </w:r>
      <w:r w:rsidRPr="00DF38B2">
        <w:t>tatus, August 2010 to December 2013</w:t>
      </w:r>
      <w:bookmarkEnd w:id="160"/>
    </w:p>
    <w:p w:rsidR="005E1FE0" w:rsidRPr="00DF38B2" w:rsidRDefault="005E1FE0" w:rsidP="006654AE">
      <w:pPr>
        <w:pStyle w:val="graphicpaste"/>
      </w:pPr>
      <w:r w:rsidRPr="008E4D9D">
        <w:rPr>
          <w:noProof/>
        </w:rPr>
        <w:drawing>
          <wp:inline distT="0" distB="0" distL="0" distR="0" wp14:anchorId="4598C4EE" wp14:editId="10C7A772">
            <wp:extent cx="4572000" cy="2743200"/>
            <wp:effectExtent l="0" t="0" r="0" b="0"/>
            <wp:docPr id="27" name="Picture 27" descr="This line chart plots 4 series – Non-Indigenous males, Non-Indigenous females, Indigenous males and Indigenous females. The trends are described in the text above and the values of the data in December 2013 are given in Tabl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50403" w:rsidRDefault="005E1FE0" w:rsidP="006654AE">
      <w:pPr>
        <w:pStyle w:val="tablenotes"/>
        <w:ind w:left="1440" w:hanging="873"/>
      </w:pPr>
      <w:r w:rsidRPr="00FE502F">
        <w:t>Note:</w:t>
      </w:r>
      <w:r w:rsidRPr="00FE502F">
        <w:tab/>
      </w:r>
      <w:r w:rsidR="00D50403">
        <w:t xml:space="preserve">Data in this figure do not </w:t>
      </w:r>
      <w:r w:rsidR="00D3490D">
        <w:t xml:space="preserve">always </w:t>
      </w:r>
      <w:r w:rsidR="00D50403">
        <w:t xml:space="preserve">match that given in other </w:t>
      </w:r>
      <w:r w:rsidR="00D95B12">
        <w:t>figure</w:t>
      </w:r>
      <w:r w:rsidR="00D50403">
        <w:t>s and tables</w:t>
      </w:r>
      <w:r w:rsidR="00D3490D">
        <w:t>, as a result of having been derived</w:t>
      </w:r>
      <w:r w:rsidR="00D50403">
        <w:t xml:space="preserve"> from a different data set which records slightly lower numbers of persons on income management. Trends within</w:t>
      </w:r>
      <w:r w:rsidR="00B84AFE">
        <w:t xml:space="preserve"> </w:t>
      </w:r>
      <w:r w:rsidR="00D50403">
        <w:t xml:space="preserve">the data are considered to be </w:t>
      </w:r>
      <w:r w:rsidR="00EA66D9">
        <w:t>accurate.</w:t>
      </w:r>
    </w:p>
    <w:p w:rsidR="005E1FE0" w:rsidRPr="009655C3" w:rsidRDefault="00D50403" w:rsidP="006654AE">
      <w:pPr>
        <w:pStyle w:val="tablenotes"/>
        <w:ind w:left="1440" w:hanging="873"/>
      </w:pPr>
      <w:r>
        <w:tab/>
      </w:r>
      <w:r w:rsidR="005E1FE0" w:rsidRPr="00FE502F">
        <w:t xml:space="preserve">Population in receipt of an </w:t>
      </w:r>
      <w:r w:rsidR="009D7612">
        <w:t>income support</w:t>
      </w:r>
      <w:r w:rsidR="005E1FE0" w:rsidRPr="00FE502F">
        <w:t xml:space="preserve"> </w:t>
      </w:r>
      <w:r w:rsidR="009D7612">
        <w:t>p</w:t>
      </w:r>
      <w:r w:rsidR="005E1FE0" w:rsidRPr="00FE502F">
        <w:t>ayment</w:t>
      </w:r>
      <w:r w:rsidR="001838DD">
        <w:t xml:space="preserve"> e</w:t>
      </w:r>
      <w:r w:rsidR="005E1FE0" w:rsidRPr="00FE502F">
        <w:t>xcludes those with no payment type recorded in the data.</w:t>
      </w:r>
    </w:p>
    <w:p w:rsidR="005E1FE0" w:rsidRDefault="005E1FE0" w:rsidP="006654AE">
      <w:pPr>
        <w:pStyle w:val="tablenotes"/>
      </w:pPr>
      <w:r w:rsidRPr="00DF38B2">
        <w:t>Source</w:t>
      </w:r>
      <w:r w:rsidR="002532F6" w:rsidRPr="00DF38B2">
        <w:t>:</w:t>
      </w:r>
      <w:r w:rsidR="002532F6">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9655C3" w:rsidRDefault="005E1FE0" w:rsidP="006654AE">
      <w:r w:rsidRPr="009655C3">
        <w:fldChar w:fldCharType="begin"/>
      </w:r>
      <w:r w:rsidRPr="00DF38B2">
        <w:instrText xml:space="preserve"> REF _Ref391232532 \h </w:instrText>
      </w:r>
      <w:r w:rsidRPr="009655C3">
        <w:fldChar w:fldCharType="separate"/>
      </w:r>
      <w:r w:rsidR="00906D13" w:rsidRPr="00DF38B2">
        <w:t xml:space="preserve">Figure </w:t>
      </w:r>
      <w:r w:rsidR="00906D13">
        <w:rPr>
          <w:noProof/>
        </w:rPr>
        <w:t>4</w:t>
      </w:r>
      <w:r w:rsidR="00906D13" w:rsidRPr="00DF38B2">
        <w:noBreakHyphen/>
      </w:r>
      <w:r w:rsidR="00906D13">
        <w:rPr>
          <w:noProof/>
        </w:rPr>
        <w:t>15</w:t>
      </w:r>
      <w:r w:rsidRPr="009655C3">
        <w:fldChar w:fldCharType="end"/>
      </w:r>
      <w:r w:rsidRPr="00FE502F">
        <w:t xml:space="preserve"> shows the income management rate by age for Indigenous and non-Indigenous in December 2011 and December 2013. For all age groups the income </w:t>
      </w:r>
      <w:r w:rsidRPr="009655C3">
        <w:t xml:space="preserve">management rate is much higher for Indigenous than non-Indigenous. The rate is highest, for both Indigenous and non-Indigenous </w:t>
      </w:r>
      <w:r w:rsidR="0084437C">
        <w:t xml:space="preserve">people </w:t>
      </w:r>
      <w:r w:rsidRPr="009655C3">
        <w:t>aged 20 to 24 years</w:t>
      </w:r>
      <w:r w:rsidR="00245CF0">
        <w:t>,</w:t>
      </w:r>
      <w:r w:rsidRPr="009655C3">
        <w:t xml:space="preserve"> and then decreases steadily with age to be lowest for those aged 65 years </w:t>
      </w:r>
      <w:r w:rsidR="00EA66D9">
        <w:t>and over</w:t>
      </w:r>
      <w:r w:rsidRPr="009655C3">
        <w:t>.</w:t>
      </w:r>
    </w:p>
    <w:p w:rsidR="005E1FE0" w:rsidRPr="00DF38B2" w:rsidRDefault="005E1FE0" w:rsidP="006654AE">
      <w:pPr>
        <w:pStyle w:val="Caption"/>
        <w:keepLines/>
      </w:pPr>
      <w:bookmarkStart w:id="161" w:name="_Ref391232532"/>
      <w:bookmarkStart w:id="162" w:name="_Ref392536812"/>
      <w:bookmarkStart w:id="163" w:name="_Toc40373950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15</w:t>
      </w:r>
      <w:r w:rsidR="00040708" w:rsidRPr="00F157EE">
        <w:fldChar w:fldCharType="end"/>
      </w:r>
      <w:bookmarkEnd w:id="161"/>
      <w:r w:rsidRPr="00DF38B2">
        <w:tab/>
        <w:t xml:space="preserve">Proportion of people on </w:t>
      </w:r>
      <w:r w:rsidR="009D7612">
        <w:t>income support</w:t>
      </w:r>
      <w:r w:rsidRPr="00DF38B2">
        <w:t xml:space="preserve"> subject to </w:t>
      </w:r>
      <w:r w:rsidR="009D7612">
        <w:t>income management</w:t>
      </w:r>
      <w:r w:rsidRPr="00DF38B2">
        <w:t xml:space="preserve"> in the Northern Territory by Indigenous status and age</w:t>
      </w:r>
      <w:r w:rsidR="00992705" w:rsidRPr="00DF38B2">
        <w:t xml:space="preserve"> group</w:t>
      </w:r>
      <w:r w:rsidRPr="00DF38B2">
        <w:t>, December 2011 and December 2013 (%)</w:t>
      </w:r>
      <w:bookmarkEnd w:id="162"/>
      <w:bookmarkEnd w:id="163"/>
    </w:p>
    <w:p w:rsidR="005E1FE0" w:rsidRPr="00DF38B2" w:rsidRDefault="00992705" w:rsidP="006654AE">
      <w:pPr>
        <w:pStyle w:val="graphicpaste"/>
      </w:pPr>
      <w:r w:rsidRPr="008E4D9D">
        <w:rPr>
          <w:noProof/>
        </w:rPr>
        <w:drawing>
          <wp:inline distT="0" distB="0" distL="0" distR="0" wp14:anchorId="566F70BE" wp14:editId="0C4508EF">
            <wp:extent cx="4572000" cy="2743200"/>
            <wp:effectExtent l="0" t="0" r="0" b="0"/>
            <wp:docPr id="144" name="Picture 144" descr="This is a bar chart showing for Indigenous and non-Indigenous people by age group the proportion of income support recipients who are subject to income management at the two points in time. As described in the text there are three characteristics which emerge from the chart. The first is the much higher proportions of Indigenous income support recipients who are subject to income management, secondly that the rate varies by age – peaking in the 20 to 24 year age group; and thirdly that there have been changes in the rate of income management between the two points in time.&#10;This is also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EA66D9" w:rsidRDefault="00EA66D9" w:rsidP="006654AE">
      <w:pPr>
        <w:pStyle w:val="tablenotes"/>
        <w:ind w:left="1437" w:hanging="870"/>
      </w:pPr>
      <w:r>
        <w:t>Note:</w:t>
      </w:r>
      <w:r>
        <w:tab/>
        <w:t>Data in this figure do not</w:t>
      </w:r>
      <w:r w:rsidR="00D3490D">
        <w:t xml:space="preserve"> always </w:t>
      </w:r>
      <w:r>
        <w:t xml:space="preserve">match that given in other </w:t>
      </w:r>
      <w:r w:rsidR="00D95B12">
        <w:t>figure</w:t>
      </w:r>
      <w:r>
        <w:t>s and tables</w:t>
      </w:r>
      <w:r w:rsidR="00245CF0">
        <w:t>,</w:t>
      </w:r>
      <w:r>
        <w:t xml:space="preserve"> </w:t>
      </w:r>
      <w:r w:rsidR="00D3490D">
        <w:t>as a result of having been derived from</w:t>
      </w:r>
      <w:r>
        <w:t xml:space="preserve"> a different data set which records slightly lower numbers of persons on income management. Trends within</w:t>
      </w:r>
      <w:r w:rsidR="00B84AFE">
        <w:t xml:space="preserve"> </w:t>
      </w:r>
      <w:r>
        <w:t>the data are considered to be accurate.</w:t>
      </w:r>
    </w:p>
    <w:p w:rsidR="005E1FE0" w:rsidRDefault="005E1FE0" w:rsidP="006654AE">
      <w:pPr>
        <w:pStyle w:val="tablenotes"/>
      </w:pPr>
      <w:r w:rsidRPr="00FE502F">
        <w:t xml:space="preserve">Source: </w:t>
      </w:r>
      <w:r w:rsidR="002532F6">
        <w:tab/>
      </w:r>
      <w:r w:rsidR="00305D80">
        <w:t xml:space="preserve">Derived from </w:t>
      </w:r>
      <w:r w:rsidRPr="00FE502F">
        <w:t>DHS Administrative data provided for the purposes of the evaluat</w:t>
      </w:r>
      <w:r w:rsidRPr="009655C3">
        <w:t>ion.</w:t>
      </w:r>
    </w:p>
    <w:p w:rsidR="00A60AF1" w:rsidRPr="009655C3" w:rsidRDefault="00A60AF1" w:rsidP="006654AE">
      <w:pPr>
        <w:pStyle w:val="tablefootnoteslastline"/>
      </w:pPr>
    </w:p>
    <w:p w:rsidR="005E1FE0" w:rsidRPr="00DF38B2" w:rsidRDefault="005E1FE0" w:rsidP="006654AE">
      <w:r w:rsidRPr="00DF38B2">
        <w:t xml:space="preserve">Between 2011 and 2013 there have been changes in the rate of income management by age groups for both the Indigenous and non-Indigenous population, although as seen above the overall disparity remains. Amongst the non-Indigenous there has been an increase in the rate of being income managed for all age groups, with the largest increases being for those aged less than 20 years </w:t>
      </w:r>
      <w:r w:rsidR="00245CF0">
        <w:t xml:space="preserve">– </w:t>
      </w:r>
      <w:r w:rsidRPr="00DF38B2">
        <w:t xml:space="preserve">as a result of the new forms of automatic </w:t>
      </w:r>
      <w:r w:rsidR="005E4CAC">
        <w:t>income management</w:t>
      </w:r>
      <w:r w:rsidRPr="00DF38B2">
        <w:t>, particularly for those receiving the payment related to being un</w:t>
      </w:r>
      <w:r w:rsidR="00EF3E03">
        <w:t>reason</w:t>
      </w:r>
      <w:r w:rsidRPr="00DF38B2">
        <w:t>able to live at home</w:t>
      </w:r>
      <w:r w:rsidR="00245CF0">
        <w:t xml:space="preserve"> –</w:t>
      </w:r>
      <w:r w:rsidRPr="00DF38B2">
        <w:t xml:space="preserve"> with a smaller but still noticeable increase for those aged 20 to 24 years. The non-Indigenous population shows the same pattern, although a much smaller magnitude of change, up to and including the 35 to 44</w:t>
      </w:r>
      <w:r w:rsidR="00245CF0">
        <w:t>-</w:t>
      </w:r>
      <w:r w:rsidRPr="00DF38B2">
        <w:t>year age group. For the two older age groups the rate declines. This decline is very slight for the 45 to 64</w:t>
      </w:r>
      <w:r w:rsidR="00245CF0">
        <w:t>-</w:t>
      </w:r>
      <w:r w:rsidRPr="00DF38B2">
        <w:t>year age group, but marked for those aged over 65 years. This reflects the declining use of Voluntary Income Management.</w:t>
      </w:r>
    </w:p>
    <w:p w:rsidR="005E1FE0" w:rsidRPr="00DF38B2" w:rsidRDefault="005E1FE0" w:rsidP="006654AE">
      <w:pPr>
        <w:pStyle w:val="Heading3"/>
      </w:pPr>
      <w:bookmarkStart w:id="164" w:name="_Ref391233832"/>
      <w:bookmarkStart w:id="165" w:name="_Toc403739010"/>
      <w:r w:rsidRPr="00DF38B2">
        <w:t>Incidence by location</w:t>
      </w:r>
      <w:bookmarkEnd w:id="164"/>
      <w:bookmarkEnd w:id="165"/>
    </w:p>
    <w:p w:rsidR="005E1FE0" w:rsidRPr="00DF38B2" w:rsidRDefault="005E1FE0" w:rsidP="006654AE">
      <w:r w:rsidRPr="00DF38B2">
        <w:t xml:space="preserve">This section provides an overview of the proportion of </w:t>
      </w:r>
      <w:r w:rsidR="009D7612">
        <w:t>income support</w:t>
      </w:r>
      <w:r w:rsidRPr="00DF38B2">
        <w:t xml:space="preserve"> recipients in each geographic area that are subject to income management over the period from mid-2010 to the end of 2013. </w:t>
      </w:r>
      <w:r w:rsidRPr="009655C3">
        <w:fldChar w:fldCharType="begin"/>
      </w:r>
      <w:r w:rsidRPr="00DF38B2">
        <w:instrText xml:space="preserve"> REF _Ref391232579 \h </w:instrText>
      </w:r>
      <w:r w:rsidRPr="009655C3">
        <w:fldChar w:fldCharType="separate"/>
      </w:r>
      <w:r w:rsidR="00906D13" w:rsidRPr="00DF38B2">
        <w:t xml:space="preserve">Table </w:t>
      </w:r>
      <w:r w:rsidR="00906D13">
        <w:rPr>
          <w:noProof/>
        </w:rPr>
        <w:t>4</w:t>
      </w:r>
      <w:r w:rsidR="00906D13">
        <w:noBreakHyphen/>
      </w:r>
      <w:r w:rsidR="00906D13">
        <w:rPr>
          <w:noProof/>
        </w:rPr>
        <w:t>11</w:t>
      </w:r>
      <w:r w:rsidRPr="009655C3">
        <w:fldChar w:fldCharType="end"/>
      </w:r>
      <w:r w:rsidRPr="00FE502F">
        <w:t xml:space="preserve"> shows the number of Indigenous and non-Indigenous people re</w:t>
      </w:r>
      <w:r w:rsidRPr="009655C3">
        <w:t xml:space="preserve">spectively subject to income management by location in December 2010, 2011, 2012 and 2013. There are differences between locations in the proportion of the Indigenous and non-Indigenous </w:t>
      </w:r>
      <w:r w:rsidR="009D7612">
        <w:t>income support</w:t>
      </w:r>
      <w:r w:rsidRPr="009655C3">
        <w:t xml:space="preserve"> population that are subject to income management. In De</w:t>
      </w:r>
      <w:r w:rsidRPr="00DF38B2">
        <w:t xml:space="preserve">cember 2013 the </w:t>
      </w:r>
      <w:r w:rsidR="00E145BE">
        <w:t xml:space="preserve">proportion of Indigenous </w:t>
      </w:r>
      <w:r w:rsidR="009D7612">
        <w:t>income support</w:t>
      </w:r>
      <w:r w:rsidR="00E145BE">
        <w:t xml:space="preserve"> recipients on income management </w:t>
      </w:r>
      <w:r w:rsidR="0084437C">
        <w:t xml:space="preserve">was </w:t>
      </w:r>
      <w:r w:rsidR="00E145BE">
        <w:t xml:space="preserve">higher in the </w:t>
      </w:r>
      <w:r w:rsidRPr="00DF38B2">
        <w:t>remote areas</w:t>
      </w:r>
      <w:r w:rsidR="00DA056B">
        <w:t>,</w:t>
      </w:r>
      <w:r w:rsidRPr="00DF38B2">
        <w:t xml:space="preserve"> </w:t>
      </w:r>
      <w:r w:rsidR="00DA056B">
        <w:t>r</w:t>
      </w:r>
      <w:r w:rsidRPr="00DF38B2">
        <w:t xml:space="preserve">anging from 68.2 per cent in the Top and West Arnhem Land to 74.5 per cent in the Mid-West Desert region. Rates are lowest in Alice Springs (51.4 per cent) and Greater Darwin (37.8 per cent). </w:t>
      </w:r>
      <w:r w:rsidR="00EA66D9">
        <w:t xml:space="preserve">Barkly (including Tennant Creek) and Katherine have rates between these </w:t>
      </w:r>
      <w:r w:rsidR="00F61D96">
        <w:t>extreme</w:t>
      </w:r>
      <w:r w:rsidR="00EA66D9">
        <w:t xml:space="preserve">s, although tend to be closer to </w:t>
      </w:r>
      <w:r w:rsidR="00B61903">
        <w:t xml:space="preserve">that of </w:t>
      </w:r>
      <w:r w:rsidR="00EA66D9">
        <w:t xml:space="preserve">the remote areas. </w:t>
      </w:r>
      <w:r w:rsidRPr="00DF38B2">
        <w:t>For Indigenous people, while there is some variation in the rates of income management over time, the variation is relatively small.</w:t>
      </w:r>
    </w:p>
    <w:p w:rsidR="005E1FE0" w:rsidRPr="00DF38B2" w:rsidRDefault="005E1FE0" w:rsidP="006654AE">
      <w:r w:rsidRPr="00DF38B2">
        <w:t>For the non-Indigenous</w:t>
      </w:r>
      <w:r w:rsidR="0084437C">
        <w:t xml:space="preserve"> population</w:t>
      </w:r>
      <w:r w:rsidRPr="00DF38B2">
        <w:t xml:space="preserve"> the proportion of </w:t>
      </w:r>
      <w:r w:rsidR="009D7612">
        <w:t>income support</w:t>
      </w:r>
      <w:r w:rsidRPr="00DF38B2">
        <w:t xml:space="preserve"> recipients subject to income management is much smaller.</w:t>
      </w:r>
      <w:r w:rsidR="00BF2CE4">
        <w:rPr>
          <w:rStyle w:val="FootnoteReference"/>
        </w:rPr>
        <w:footnoteReference w:id="62"/>
      </w:r>
      <w:r w:rsidRPr="00DF38B2">
        <w:t xml:space="preserve"> There is variation between regions, but the vast bulk of non-Indigenous people subject to income management are in Greater Darwin and Alice Springs. The proportion of non-Indigenous </w:t>
      </w:r>
      <w:r w:rsidR="0084437C">
        <w:t xml:space="preserve">income support recipients </w:t>
      </w:r>
      <w:r w:rsidRPr="00DF38B2">
        <w:t>subject to income management is 11.2 per cent in Alice Springs and 10.2 per cent in Greater Darwin. While there are substantially higher rates in East Arnhem and the Mid-</w:t>
      </w:r>
      <w:r w:rsidRPr="00DF38B2">
        <w:lastRenderedPageBreak/>
        <w:t>West Desert, these relate to small numbers of people (in December 2013, 42 in East Arnhem and 25 in the Mid-West Desert).</w:t>
      </w:r>
    </w:p>
    <w:p w:rsidR="005E1FE0" w:rsidRPr="00DF38B2" w:rsidRDefault="005E1FE0" w:rsidP="006654AE">
      <w:pPr>
        <w:pStyle w:val="Caption"/>
        <w:keepLines/>
      </w:pPr>
      <w:bookmarkStart w:id="166" w:name="_Ref391232579"/>
      <w:bookmarkStart w:id="167" w:name="_Toc403739416"/>
      <w:r w:rsidRPr="00DF38B2">
        <w:t xml:space="preserve">Table </w:t>
      </w:r>
      <w:fldSimple w:instr=" STYLEREF 1 \s ">
        <w:r w:rsidR="00906D13">
          <w:rPr>
            <w:noProof/>
          </w:rPr>
          <w:t>4</w:t>
        </w:r>
      </w:fldSimple>
      <w:r w:rsidR="00D40B64">
        <w:noBreakHyphen/>
      </w:r>
      <w:fldSimple w:instr=" SEQ Table \* ARABIC \s 1 ">
        <w:r w:rsidR="00906D13">
          <w:rPr>
            <w:noProof/>
          </w:rPr>
          <w:t>11</w:t>
        </w:r>
      </w:fldSimple>
      <w:bookmarkEnd w:id="166"/>
      <w:r w:rsidRPr="00DF38B2">
        <w:tab/>
        <w:t xml:space="preserve">Income </w:t>
      </w:r>
      <w:r w:rsidR="005E4CAC">
        <w:t>m</w:t>
      </w:r>
      <w:r w:rsidRPr="00DF38B2">
        <w:t>anagement rates by Indigenous status and location</w:t>
      </w:r>
      <w:r w:rsidR="005E1DCA">
        <w:t xml:space="preserve"> in the Northern </w:t>
      </w:r>
      <w:r w:rsidR="00A8053C">
        <w:t>Territory,</w:t>
      </w:r>
      <w:r w:rsidRPr="00DF38B2">
        <w:t xml:space="preserve"> </w:t>
      </w:r>
      <w:r w:rsidR="005E1DCA">
        <w:t xml:space="preserve">December </w:t>
      </w:r>
      <w:r w:rsidRPr="00DF38B2">
        <w:t>2010</w:t>
      </w:r>
      <w:r w:rsidR="005E1DCA">
        <w:t xml:space="preserve"> </w:t>
      </w:r>
      <w:r w:rsidR="00B61903">
        <w:t>–</w:t>
      </w:r>
      <w:r w:rsidR="005E1DCA">
        <w:t xml:space="preserve"> December </w:t>
      </w:r>
      <w:r w:rsidRPr="00DF38B2">
        <w:t>2013</w:t>
      </w:r>
      <w:bookmarkEnd w:id="167"/>
    </w:p>
    <w:tbl>
      <w:tblPr>
        <w:tblW w:w="9923" w:type="dxa"/>
        <w:tblInd w:w="-743" w:type="dxa"/>
        <w:tblLayout w:type="fixed"/>
        <w:tblLook w:val="04A0" w:firstRow="1" w:lastRow="0" w:firstColumn="1" w:lastColumn="0" w:noHBand="0" w:noVBand="1"/>
        <w:tblDescription w:val="This table provides details of the number of people subject to income management in locations in the Northern Territory. The data is provides for 4 dates – annually from December 2010.&#10;The table is structured into 8 data columns with the first four providing the number of people on income management at each of the four dates.  The second 4 show the income management rates, that is the proportion of people on income support payments who are subject to income management, again for the four dates.&#10;The table has two panels – the first for Indigenous people and the second for non-Indigenous and within these two panels data is given for 8 regions and the Northern Territory overall.&#10;The main features of the data are described in the text. &#10;"/>
      </w:tblPr>
      <w:tblGrid>
        <w:gridCol w:w="1418"/>
        <w:gridCol w:w="1535"/>
        <w:gridCol w:w="733"/>
        <w:gridCol w:w="851"/>
        <w:gridCol w:w="850"/>
        <w:gridCol w:w="851"/>
        <w:gridCol w:w="283"/>
        <w:gridCol w:w="850"/>
        <w:gridCol w:w="851"/>
        <w:gridCol w:w="851"/>
        <w:gridCol w:w="850"/>
      </w:tblGrid>
      <w:tr w:rsidR="002818B1" w:rsidRPr="0072072C" w:rsidTr="009A06B6">
        <w:trPr>
          <w:trHeight w:val="210"/>
          <w:tblHeader/>
        </w:trPr>
        <w:tc>
          <w:tcPr>
            <w:tcW w:w="1418" w:type="dxa"/>
            <w:tcBorders>
              <w:top w:val="single" w:sz="4" w:space="0" w:color="auto"/>
              <w:left w:val="nil"/>
              <w:bottom w:val="single" w:sz="4" w:space="0" w:color="auto"/>
              <w:right w:val="nil"/>
            </w:tcBorders>
          </w:tcPr>
          <w:p w:rsidR="002818B1" w:rsidRPr="0072072C" w:rsidRDefault="002818B1" w:rsidP="006654AE">
            <w:pPr>
              <w:pStyle w:val="tabletextleft"/>
            </w:pPr>
            <w:r w:rsidRPr="0072072C">
              <w:t>Indigenous status</w:t>
            </w:r>
          </w:p>
        </w:tc>
        <w:tc>
          <w:tcPr>
            <w:tcW w:w="1535"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pPr>
            <w:r w:rsidRPr="0072072C">
              <w:t>Location (NT)</w:t>
            </w:r>
          </w:p>
        </w:tc>
        <w:tc>
          <w:tcPr>
            <w:tcW w:w="733"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w:t>
            </w:r>
          </w:p>
          <w:p w:rsidR="002818B1" w:rsidRPr="0072072C" w:rsidRDefault="002818B1" w:rsidP="006654AE">
            <w:pPr>
              <w:pStyle w:val="tabletextright"/>
            </w:pPr>
            <w:r w:rsidRPr="0072072C">
              <w:t>Dec-10 (n)</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Dec-11 (n)</w:t>
            </w: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Dec-12 (n)</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Dec-13 (n)</w:t>
            </w:r>
          </w:p>
        </w:tc>
        <w:tc>
          <w:tcPr>
            <w:tcW w:w="283" w:type="dxa"/>
            <w:tcBorders>
              <w:top w:val="single" w:sz="4" w:space="0" w:color="auto"/>
              <w:left w:val="nil"/>
              <w:bottom w:val="single" w:sz="4" w:space="0" w:color="auto"/>
              <w:right w:val="nil"/>
            </w:tcBorders>
          </w:tcPr>
          <w:p w:rsidR="002818B1" w:rsidRPr="0072072C" w:rsidRDefault="002818B1" w:rsidP="006654AE">
            <w:pPr>
              <w:pStyle w:val="tabletextright"/>
            </w:pP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B102A0">
            <w:pPr>
              <w:pStyle w:val="tabletextright"/>
            </w:pPr>
            <w:r w:rsidRPr="0072072C">
              <w:t>On IM</w:t>
            </w:r>
          </w:p>
          <w:p w:rsidR="002818B1" w:rsidRPr="0072072C" w:rsidRDefault="002818B1" w:rsidP="002818B1">
            <w:pPr>
              <w:pStyle w:val="tabletextright"/>
            </w:pPr>
            <w:r w:rsidRPr="0072072C">
              <w:t>Dec-10 (%)</w:t>
            </w:r>
            <w:r w:rsidR="00B102A0" w:rsidRPr="0072072C">
              <w:t>(a)</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Dec-11 (%)</w:t>
            </w:r>
            <w:r w:rsidR="00B102A0" w:rsidRPr="0072072C">
              <w:t>(a)</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Dec-12 (%)</w:t>
            </w:r>
            <w:r w:rsidR="00B102A0" w:rsidRPr="0072072C">
              <w:t>(a)</w:t>
            </w: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Dec-13 (%)</w:t>
            </w:r>
            <w:r w:rsidR="00B102A0" w:rsidRPr="0072072C">
              <w:t>(a)</w:t>
            </w:r>
          </w:p>
        </w:tc>
      </w:tr>
      <w:tr w:rsidR="0072072C" w:rsidRPr="0072072C" w:rsidTr="009A06B6">
        <w:trPr>
          <w:trHeight w:val="210"/>
        </w:trPr>
        <w:tc>
          <w:tcPr>
            <w:tcW w:w="1418" w:type="dxa"/>
            <w:vMerge w:val="restart"/>
            <w:tcBorders>
              <w:top w:val="single" w:sz="4" w:space="0" w:color="auto"/>
              <w:left w:val="nil"/>
              <w:right w:val="nil"/>
            </w:tcBorders>
          </w:tcPr>
          <w:p w:rsidR="0072072C" w:rsidRPr="0072072C" w:rsidRDefault="0072072C" w:rsidP="006654AE">
            <w:pPr>
              <w:pStyle w:val="tabletextleft"/>
            </w:pPr>
            <w:r w:rsidRPr="0072072C">
              <w:t>Indigenous</w:t>
            </w:r>
          </w:p>
        </w:tc>
        <w:tc>
          <w:tcPr>
            <w:tcW w:w="1535" w:type="dxa"/>
            <w:tcBorders>
              <w:top w:val="single" w:sz="4" w:space="0" w:color="auto"/>
              <w:left w:val="nil"/>
              <w:bottom w:val="nil"/>
              <w:right w:val="nil"/>
            </w:tcBorders>
            <w:shd w:val="clear" w:color="auto" w:fill="auto"/>
            <w:noWrap/>
            <w:hideMark/>
          </w:tcPr>
          <w:p w:rsidR="0072072C" w:rsidRPr="0072072C" w:rsidRDefault="0072072C" w:rsidP="006654AE">
            <w:pPr>
              <w:pStyle w:val="tabletextleft"/>
            </w:pPr>
            <w:r w:rsidRPr="0072072C">
              <w:t>Alice Springs</w:t>
            </w:r>
          </w:p>
        </w:tc>
        <w:tc>
          <w:tcPr>
            <w:tcW w:w="733"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1,212</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1,338</w:t>
            </w: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1,265</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1,225</w:t>
            </w:r>
          </w:p>
        </w:tc>
        <w:tc>
          <w:tcPr>
            <w:tcW w:w="283" w:type="dxa"/>
            <w:tcBorders>
              <w:top w:val="single" w:sz="4" w:space="0" w:color="auto"/>
              <w:left w:val="nil"/>
              <w:bottom w:val="nil"/>
              <w:right w:val="nil"/>
            </w:tcBorders>
          </w:tcPr>
          <w:p w:rsidR="0072072C" w:rsidRPr="0072072C" w:rsidRDefault="0072072C" w:rsidP="006654AE">
            <w:pPr>
              <w:pStyle w:val="tabletextright"/>
            </w:pP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50.8</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51.0</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51.7</w:t>
            </w: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51.4</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Barkly</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1,109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1,263</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63.9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East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2,443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2,300</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2,326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2,535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67.6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Greater Darwin</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948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1,410</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1,353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1,415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36.1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35.9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37.8</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Katherine</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2,629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2,705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2,737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2,910</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64.2</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63.9</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Mid-West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2,061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1,895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1,914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1,789</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80.7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76.3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74.7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74.5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SE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1,199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1,113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1,524</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75.6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69.1</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73.6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Top &amp; W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2,896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2,879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2,965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3,282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68.5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68.2</w:t>
            </w:r>
          </w:p>
        </w:tc>
      </w:tr>
      <w:tr w:rsidR="0072072C" w:rsidRPr="0072072C" w:rsidTr="009A06B6">
        <w:trPr>
          <w:trHeight w:val="210"/>
        </w:trPr>
        <w:tc>
          <w:tcPr>
            <w:tcW w:w="1418" w:type="dxa"/>
            <w:vMerge/>
            <w:tcBorders>
              <w:left w:val="nil"/>
              <w:bottom w:val="single" w:sz="4" w:space="0" w:color="auto"/>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single" w:sz="4" w:space="0" w:color="auto"/>
              <w:right w:val="nil"/>
            </w:tcBorders>
            <w:shd w:val="clear" w:color="auto" w:fill="auto"/>
            <w:noWrap/>
            <w:hideMark/>
          </w:tcPr>
          <w:p w:rsidR="0072072C" w:rsidRPr="0072072C" w:rsidRDefault="0072072C" w:rsidP="006654AE">
            <w:pPr>
              <w:pStyle w:val="tabletextleft"/>
            </w:pPr>
            <w:r w:rsidRPr="0072072C">
              <w:t>Total</w:t>
            </w:r>
          </w:p>
        </w:tc>
        <w:tc>
          <w:tcPr>
            <w:tcW w:w="733"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14,478</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14,737</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14,782</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15,943</w:t>
            </w:r>
          </w:p>
        </w:tc>
        <w:tc>
          <w:tcPr>
            <w:tcW w:w="283" w:type="dxa"/>
            <w:tcBorders>
              <w:top w:val="nil"/>
              <w:left w:val="nil"/>
              <w:bottom w:val="single" w:sz="4" w:space="0" w:color="auto"/>
              <w:right w:val="nil"/>
            </w:tcBorders>
          </w:tcPr>
          <w:p w:rsidR="0072072C" w:rsidRPr="0072072C" w:rsidRDefault="0072072C" w:rsidP="006654AE">
            <w:pPr>
              <w:pStyle w:val="tabletextright"/>
            </w:pP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62.0</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61.4</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60.7</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62.2</w:t>
            </w:r>
          </w:p>
        </w:tc>
      </w:tr>
      <w:tr w:rsidR="0072072C" w:rsidRPr="0072072C" w:rsidTr="009A06B6">
        <w:trPr>
          <w:trHeight w:val="210"/>
        </w:trPr>
        <w:tc>
          <w:tcPr>
            <w:tcW w:w="1418" w:type="dxa"/>
            <w:vMerge w:val="restart"/>
            <w:tcBorders>
              <w:top w:val="nil"/>
              <w:left w:val="nil"/>
              <w:right w:val="nil"/>
            </w:tcBorders>
          </w:tcPr>
          <w:p w:rsidR="0072072C" w:rsidRPr="0072072C" w:rsidRDefault="0072072C" w:rsidP="006654AE">
            <w:pPr>
              <w:pStyle w:val="tabletextleft"/>
            </w:pPr>
            <w:r w:rsidRPr="0072072C">
              <w:t>Non-Indigenous</w:t>
            </w: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Alice Springs</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190</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11.2</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Barkly</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31</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19.0</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East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22.5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31.6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Greater Darwin</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438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998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1,077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1,158</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10.2</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Katherine</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93</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Mid-West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52.6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62.5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SE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22.4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38.6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47.5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Top &amp; W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121</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17.4</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17.2</w:t>
            </w:r>
          </w:p>
        </w:tc>
      </w:tr>
      <w:tr w:rsidR="0072072C" w:rsidRPr="00DF38B2" w:rsidTr="009A06B6">
        <w:trPr>
          <w:trHeight w:val="132"/>
        </w:trPr>
        <w:tc>
          <w:tcPr>
            <w:tcW w:w="1418" w:type="dxa"/>
            <w:vMerge/>
            <w:tcBorders>
              <w:left w:val="nil"/>
              <w:bottom w:val="single" w:sz="4" w:space="0" w:color="auto"/>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single" w:sz="4" w:space="0" w:color="auto"/>
              <w:right w:val="nil"/>
            </w:tcBorders>
            <w:shd w:val="clear" w:color="auto" w:fill="auto"/>
            <w:noWrap/>
            <w:hideMark/>
          </w:tcPr>
          <w:p w:rsidR="0072072C" w:rsidRPr="0072072C" w:rsidRDefault="0072072C" w:rsidP="006654AE">
            <w:pPr>
              <w:pStyle w:val="tabletextleft"/>
            </w:pPr>
            <w:r w:rsidRPr="0072072C">
              <w:t>Total</w:t>
            </w:r>
          </w:p>
        </w:tc>
        <w:tc>
          <w:tcPr>
            <w:tcW w:w="733"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789</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1,405</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1,530</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1,689</w:t>
            </w:r>
          </w:p>
        </w:tc>
        <w:tc>
          <w:tcPr>
            <w:tcW w:w="283" w:type="dxa"/>
            <w:tcBorders>
              <w:top w:val="nil"/>
              <w:left w:val="nil"/>
              <w:bottom w:val="single" w:sz="4" w:space="0" w:color="auto"/>
              <w:right w:val="nil"/>
            </w:tcBorders>
          </w:tcPr>
          <w:p w:rsidR="0072072C" w:rsidRPr="0072072C" w:rsidRDefault="0072072C" w:rsidP="006654AE">
            <w:pPr>
              <w:pStyle w:val="tabletextright"/>
            </w:pP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5.6</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9.5</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10.5</w:t>
            </w:r>
          </w:p>
        </w:tc>
        <w:tc>
          <w:tcPr>
            <w:tcW w:w="850" w:type="dxa"/>
            <w:tcBorders>
              <w:top w:val="nil"/>
              <w:left w:val="nil"/>
              <w:bottom w:val="single" w:sz="4" w:space="0" w:color="auto"/>
              <w:right w:val="nil"/>
            </w:tcBorders>
            <w:shd w:val="clear" w:color="auto" w:fill="auto"/>
            <w:noWrap/>
            <w:hideMark/>
          </w:tcPr>
          <w:p w:rsidR="0072072C" w:rsidRPr="00DF38B2" w:rsidRDefault="0072072C" w:rsidP="006654AE">
            <w:pPr>
              <w:pStyle w:val="tabletextright"/>
            </w:pPr>
            <w:r w:rsidRPr="0072072C">
              <w:t>11.3</w:t>
            </w:r>
          </w:p>
        </w:tc>
      </w:tr>
    </w:tbl>
    <w:p w:rsidR="00822E8A" w:rsidRDefault="00EA66D9" w:rsidP="006654AE">
      <w:pPr>
        <w:pStyle w:val="tablenotes"/>
        <w:keepNext w:val="0"/>
        <w:spacing w:before="240"/>
        <w:ind w:left="1435" w:hanging="868"/>
      </w:pPr>
      <w:r>
        <w:t>Note</w:t>
      </w:r>
      <w:r w:rsidR="00822E8A">
        <w:t>s</w:t>
      </w:r>
      <w:r>
        <w:t>:</w:t>
      </w:r>
      <w:r>
        <w:tab/>
      </w:r>
      <w:r w:rsidR="00822E8A">
        <w:tab/>
      </w:r>
    </w:p>
    <w:p w:rsidR="00822E8A" w:rsidRDefault="00822E8A" w:rsidP="006654AE">
      <w:pPr>
        <w:pStyle w:val="tablenotes"/>
        <w:keepNext w:val="0"/>
        <w:ind w:left="1437" w:hanging="870"/>
      </w:pPr>
      <w:r w:rsidRPr="00822E8A">
        <w:t>(</w:t>
      </w:r>
      <w:proofErr w:type="gramStart"/>
      <w:r w:rsidRPr="00822E8A">
        <w:t>a</w:t>
      </w:r>
      <w:proofErr w:type="gramEnd"/>
      <w:r w:rsidRPr="00822E8A">
        <w:t>)</w:t>
      </w:r>
      <w:r w:rsidRPr="00822E8A">
        <w:tab/>
        <w:t>Income managed rate is the population subject to income management as a proportion of the population in receipt of income support payments.</w:t>
      </w:r>
    </w:p>
    <w:p w:rsidR="00EA66D9" w:rsidRDefault="00822E8A" w:rsidP="006654AE">
      <w:pPr>
        <w:pStyle w:val="tablenotes"/>
        <w:keepNext w:val="0"/>
        <w:ind w:left="1437" w:hanging="870"/>
      </w:pPr>
      <w:r>
        <w:tab/>
      </w:r>
      <w:r w:rsidR="00EA66D9">
        <w:t xml:space="preserve">Data in this </w:t>
      </w:r>
      <w:r w:rsidR="0042753A">
        <w:t>table</w:t>
      </w:r>
      <w:r w:rsidR="00EA66D9">
        <w:t xml:space="preserve"> do</w:t>
      </w:r>
      <w:r w:rsidR="0042753A">
        <w:t>es</w:t>
      </w:r>
      <w:r w:rsidR="00EA66D9">
        <w:t xml:space="preserve"> not </w:t>
      </w:r>
      <w:r w:rsidR="00D3490D">
        <w:t xml:space="preserve">always </w:t>
      </w:r>
      <w:r w:rsidR="0042753A">
        <w:t xml:space="preserve">exactly </w:t>
      </w:r>
      <w:r w:rsidR="00EA66D9">
        <w:t>match that given in other</w:t>
      </w:r>
      <w:r w:rsidR="0042753A">
        <w:t xml:space="preserve"> figures</w:t>
      </w:r>
      <w:r w:rsidR="00EA66D9">
        <w:t xml:space="preserve"> and tables</w:t>
      </w:r>
      <w:r w:rsidR="00D3490D">
        <w:t>,</w:t>
      </w:r>
      <w:r w:rsidR="00EA66D9">
        <w:t xml:space="preserve"> as </w:t>
      </w:r>
      <w:r w:rsidR="00D3490D">
        <w:t xml:space="preserve">a result of having been </w:t>
      </w:r>
      <w:r w:rsidR="00EA66D9">
        <w:t xml:space="preserve">derived from a different data set which records slightly lower numbers of persons on income management. </w:t>
      </w:r>
      <w:r w:rsidR="0042753A">
        <w:t>These discrepancies are not material</w:t>
      </w:r>
      <w:r w:rsidR="00EA66D9">
        <w:t>.</w:t>
      </w:r>
    </w:p>
    <w:p w:rsidR="00EA66D9" w:rsidRDefault="00EA66D9" w:rsidP="006654AE">
      <w:pPr>
        <w:pStyle w:val="tablenotes"/>
        <w:keepNext w:val="0"/>
        <w:ind w:left="1437"/>
      </w:pPr>
      <w:r>
        <w:t>One consequence of this variation is that the proportion of Indigenous people on income support subject to income management in the table for December 2013 is 62.2 per cent</w:t>
      </w:r>
      <w:r w:rsidR="00D3490D">
        <w:t>,</w:t>
      </w:r>
      <w:r>
        <w:t xml:space="preserve"> in contrast to the 63.9 per cent derived from the more detailed dataset</w:t>
      </w:r>
      <w:r w:rsidR="00D3490D">
        <w:t>;</w:t>
      </w:r>
      <w:r>
        <w:t xml:space="preserve"> for non-Indigenous people the rate of 11.3 per cent</w:t>
      </w:r>
      <w:r w:rsidR="00B84AFE">
        <w:t xml:space="preserve"> </w:t>
      </w:r>
      <w:r>
        <w:t>in the table compares with 11.7 per cent in the more detailed dataset.</w:t>
      </w:r>
    </w:p>
    <w:p w:rsidR="00B102A0" w:rsidRDefault="00B102A0" w:rsidP="006654AE">
      <w:pPr>
        <w:pStyle w:val="tablenotes"/>
        <w:keepNext w:val="0"/>
        <w:ind w:left="1437"/>
      </w:pPr>
      <w:r>
        <w:t>IM – Income Management</w:t>
      </w:r>
    </w:p>
    <w:p w:rsidR="005E1FE0" w:rsidRDefault="005E1FE0" w:rsidP="006654AE">
      <w:pPr>
        <w:pStyle w:val="tablenotes"/>
        <w:keepNext w:val="0"/>
      </w:pPr>
      <w:r w:rsidRPr="00DF38B2">
        <w:t xml:space="preserve">Source: </w:t>
      </w:r>
      <w:r w:rsidR="002532F6">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Heading4"/>
      </w:pPr>
      <w:r w:rsidRPr="00DF38B2">
        <w:t>Incidence by location and socio-economic status</w:t>
      </w:r>
    </w:p>
    <w:p w:rsidR="005E1FE0" w:rsidRPr="00DF38B2" w:rsidRDefault="005E1FE0" w:rsidP="006654AE">
      <w:r w:rsidRPr="00DF38B2">
        <w:t xml:space="preserve">Another dimension of location is that of the socio-economic status of a location, the incidence of income management by this characteristic is shown in </w:t>
      </w:r>
      <w:r w:rsidRPr="00DF38B2">
        <w:fldChar w:fldCharType="begin"/>
      </w:r>
      <w:r w:rsidRPr="00DF38B2">
        <w:instrText xml:space="preserve"> REF _Ref391891360 \h </w:instrText>
      </w:r>
      <w:r w:rsidRPr="00DF38B2">
        <w:fldChar w:fldCharType="separate"/>
      </w:r>
      <w:r w:rsidR="00906D13" w:rsidRPr="00DF38B2">
        <w:t xml:space="preserve">Figure </w:t>
      </w:r>
      <w:r w:rsidR="00906D13">
        <w:rPr>
          <w:noProof/>
        </w:rPr>
        <w:t>4</w:t>
      </w:r>
      <w:r w:rsidR="00906D13" w:rsidRPr="00DF38B2">
        <w:noBreakHyphen/>
      </w:r>
      <w:r w:rsidR="00906D13">
        <w:rPr>
          <w:noProof/>
        </w:rPr>
        <w:t>16</w:t>
      </w:r>
      <w:r w:rsidRPr="00DF38B2">
        <w:fldChar w:fldCharType="end"/>
      </w:r>
      <w:r w:rsidRPr="00DF38B2">
        <w:t xml:space="preserve">. The data in this </w:t>
      </w:r>
      <w:r w:rsidR="00D95B12">
        <w:t>figure</w:t>
      </w:r>
      <w:r w:rsidRPr="00DF38B2">
        <w:t xml:space="preserve"> has been plotted at the geographic level defined by ABS a</w:t>
      </w:r>
      <w:r w:rsidRPr="00FE502F">
        <w:t>s a</w:t>
      </w:r>
      <w:r w:rsidR="00BF2CE4">
        <w:t xml:space="preserve"> ‘Statistical Area – Level 2’ (</w:t>
      </w:r>
      <w:r w:rsidRPr="00FE502F">
        <w:t>SA2</w:t>
      </w:r>
      <w:r w:rsidR="00BF2CE4">
        <w:t>)</w:t>
      </w:r>
      <w:r w:rsidRPr="00FE502F">
        <w:t xml:space="preserve"> and using the ABS Socio Economic Indicator for Areas (SEIFA) of advantage and disadvantage as a measure of socio-economic status. These </w:t>
      </w:r>
      <w:r w:rsidR="00BF2CE4">
        <w:t xml:space="preserve">SA2s </w:t>
      </w:r>
      <w:r w:rsidRPr="00FE502F">
        <w:t>are locations of some two to four thous</w:t>
      </w:r>
      <w:r w:rsidRPr="009655C3">
        <w:t xml:space="preserve">and people – and in urban areas can be roughly translated as suburbs and permit quite detailed analysis. The second difference in the </w:t>
      </w:r>
      <w:r w:rsidR="00D95B12">
        <w:t>figure</w:t>
      </w:r>
      <w:r w:rsidRPr="009655C3">
        <w:t xml:space="preserve"> is that rather than plotting the population on income management, it plots the proportion of income support and rela</w:t>
      </w:r>
      <w:r w:rsidRPr="00DF38B2">
        <w:t>ted transfer payments which are actually income managed funds. If</w:t>
      </w:r>
      <w:r w:rsidR="00DA056B">
        <w:t>, for example,</w:t>
      </w:r>
      <w:r w:rsidRPr="00DF38B2">
        <w:t xml:space="preserve"> everyone in the location only received payments </w:t>
      </w:r>
      <w:r w:rsidR="00D3490D">
        <w:t xml:space="preserve">that </w:t>
      </w:r>
      <w:r w:rsidRPr="00DF38B2">
        <w:t xml:space="preserve">were subject to income management and these were all income managed at 50 per cent, </w:t>
      </w:r>
      <w:proofErr w:type="gramStart"/>
      <w:r w:rsidRPr="00DF38B2">
        <w:t>then</w:t>
      </w:r>
      <w:proofErr w:type="gramEnd"/>
      <w:r w:rsidRPr="00DF38B2">
        <w:t xml:space="preserve"> the locational average would be 50 per cent. </w:t>
      </w:r>
    </w:p>
    <w:p w:rsidR="005E1FE0" w:rsidRPr="00DF38B2" w:rsidRDefault="005E1FE0" w:rsidP="006654AE">
      <w:r w:rsidRPr="00DF38B2">
        <w:t xml:space="preserve">As can be seen in the </w:t>
      </w:r>
      <w:r w:rsidR="00D95B12">
        <w:t>figure</w:t>
      </w:r>
      <w:r w:rsidR="00D3490D">
        <w:t>,</w:t>
      </w:r>
      <w:r w:rsidRPr="00DF38B2">
        <w:t xml:space="preserve"> there is a very strong relationship between the socio</w:t>
      </w:r>
      <w:r w:rsidR="00D3490D">
        <w:t>-</w:t>
      </w:r>
      <w:r w:rsidRPr="00DF38B2">
        <w:t xml:space="preserve">economic status of a location and the proportion of transfers </w:t>
      </w:r>
      <w:r w:rsidR="00D3490D">
        <w:t>that</w:t>
      </w:r>
      <w:r w:rsidRPr="00DF38B2">
        <w:t xml:space="preserve"> are subject to income management. In those areas of highest advantage and lowest disadvantage</w:t>
      </w:r>
      <w:r w:rsidR="00D3490D">
        <w:t>,</w:t>
      </w:r>
      <w:r w:rsidRPr="00DF38B2">
        <w:t xml:space="preserve"> just three </w:t>
      </w:r>
      <w:proofErr w:type="gramStart"/>
      <w:r w:rsidRPr="00DF38B2">
        <w:t>and</w:t>
      </w:r>
      <w:r w:rsidR="00D3490D">
        <w:t>-</w:t>
      </w:r>
      <w:r w:rsidRPr="00DF38B2">
        <w:t>a</w:t>
      </w:r>
      <w:r w:rsidR="00D3490D">
        <w:t>-</w:t>
      </w:r>
      <w:r w:rsidRPr="00DF38B2">
        <w:t>half</w:t>
      </w:r>
      <w:proofErr w:type="gramEnd"/>
      <w:r w:rsidRPr="00DF38B2">
        <w:t xml:space="preserve"> to seven </w:t>
      </w:r>
      <w:r w:rsidR="00D3490D">
        <w:t>and-a-half</w:t>
      </w:r>
      <w:r w:rsidRPr="00DF38B2">
        <w:t> per cent of all the transfer payments made in the area are funds under income management. In the most disadvantaged, least advantaged location this rises to 43.6 per cent.</w:t>
      </w:r>
    </w:p>
    <w:p w:rsidR="005E1FE0" w:rsidRPr="00DF38B2" w:rsidRDefault="005E1FE0" w:rsidP="006654AE">
      <w:pPr>
        <w:pStyle w:val="Caption"/>
        <w:ind w:left="1439" w:hanging="1155"/>
      </w:pPr>
      <w:bookmarkStart w:id="168" w:name="_Ref391891360"/>
      <w:bookmarkStart w:id="169" w:name="_Toc403739509"/>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16</w:t>
      </w:r>
      <w:r w:rsidR="00040708" w:rsidRPr="00F157EE">
        <w:fldChar w:fldCharType="end"/>
      </w:r>
      <w:bookmarkEnd w:id="168"/>
      <w:r w:rsidRPr="00DF38B2">
        <w:t xml:space="preserve"> </w:t>
      </w:r>
      <w:r w:rsidRPr="00DF38B2">
        <w:tab/>
        <w:t>Proportion of transfer payments income managed by socio-economic status of location</w:t>
      </w:r>
      <w:r w:rsidR="005E1DCA">
        <w:t xml:space="preserve"> (SA2) in the Northern Territory</w:t>
      </w:r>
      <w:r w:rsidRPr="00DF38B2">
        <w:t>, December 2013</w:t>
      </w:r>
      <w:bookmarkEnd w:id="169"/>
      <w:r w:rsidRPr="00DF38B2">
        <w:t xml:space="preserve"> </w:t>
      </w:r>
    </w:p>
    <w:p w:rsidR="005E1FE0" w:rsidRPr="00DF38B2" w:rsidRDefault="005E1FE0" w:rsidP="006654AE">
      <w:pPr>
        <w:pStyle w:val="graphicpaste"/>
      </w:pPr>
      <w:r w:rsidRPr="008E4D9D">
        <w:rPr>
          <w:noProof/>
        </w:rPr>
        <w:drawing>
          <wp:inline distT="0" distB="0" distL="0" distR="0" wp14:anchorId="4F747F7B" wp14:editId="434B768A">
            <wp:extent cx="4572000" cy="2767965"/>
            <wp:effectExtent l="0" t="0" r="0" b="0"/>
            <wp:docPr id="7" name="Picture 7" descr="This is a scatter plot which shows the relationship between the socio-economic status of the location and the level of income management of the population whose residential address is in the location. There is a general trend in the data towards low SES locations having higher rates of income management. For example locations with a low SEIFA score of around 600 have some 40 per cent of income support payments being income managed while those with a SEIFA score of 1100 have some 5 to 10 per cent income managed. These results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2767965"/>
                    </a:xfrm>
                    <a:prstGeom prst="rect">
                      <a:avLst/>
                    </a:prstGeom>
                    <a:noFill/>
                    <a:ln>
                      <a:noFill/>
                    </a:ln>
                  </pic:spPr>
                </pic:pic>
              </a:graphicData>
            </a:graphic>
          </wp:inline>
        </w:drawing>
      </w:r>
    </w:p>
    <w:p w:rsidR="005E1FE0" w:rsidRPr="00DF38B2" w:rsidRDefault="005E1FE0" w:rsidP="006654AE">
      <w:pPr>
        <w:pStyle w:val="tablenotes"/>
      </w:pPr>
      <w:r w:rsidRPr="00DF38B2">
        <w:t xml:space="preserve">Source: </w:t>
      </w:r>
      <w:r w:rsidR="002532F6">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DF38B2">
        <w:t>This pattern is affected by several factors. In the higher socio-economic status locations people are more likely to receiv</w:t>
      </w:r>
      <w:r w:rsidR="0041731C">
        <w:t>e</w:t>
      </w:r>
      <w:r w:rsidRPr="00DF38B2">
        <w:t xml:space="preserve"> transfers such as Family Tax Benefit without any income support payments</w:t>
      </w:r>
      <w:r w:rsidR="0041731C">
        <w:t>,</w:t>
      </w:r>
      <w:r w:rsidRPr="00DF38B2">
        <w:t xml:space="preserve"> and the balance of payments is more likely to be towards payments such as the Age Pension</w:t>
      </w:r>
      <w:r w:rsidR="0041731C">
        <w:t>,</w:t>
      </w:r>
      <w:r w:rsidRPr="00DF38B2">
        <w:t xml:space="preserve"> which does not trigger automatic income management. They may also be more likely to gain exemptions from income management.</w:t>
      </w:r>
    </w:p>
    <w:p w:rsidR="005E1FE0" w:rsidRPr="00DF38B2" w:rsidRDefault="005E1FE0" w:rsidP="006654AE">
      <w:r w:rsidRPr="00DF38B2">
        <w:t xml:space="preserve">The </w:t>
      </w:r>
      <w:r w:rsidR="00D95B12">
        <w:t>figure</w:t>
      </w:r>
      <w:r w:rsidRPr="00DF38B2">
        <w:t xml:space="preserve"> does</w:t>
      </w:r>
      <w:r w:rsidR="0041731C">
        <w:t>, however,</w:t>
      </w:r>
      <w:r w:rsidRPr="00DF38B2">
        <w:t xml:space="preserve"> illustrate that in the most disadvantaged locations between 35 and 45 per cent of the </w:t>
      </w:r>
      <w:r w:rsidR="0041731C">
        <w:t>funds</w:t>
      </w:r>
      <w:r w:rsidRPr="00DF38B2">
        <w:t xml:space="preserve"> being paid as welfare payments through </w:t>
      </w:r>
      <w:r w:rsidR="00060511">
        <w:t>DHS</w:t>
      </w:r>
      <w:r w:rsidRPr="00DF38B2">
        <w:t xml:space="preserve"> are actually being controlled under </w:t>
      </w:r>
      <w:r w:rsidR="005E4CAC">
        <w:t>income management</w:t>
      </w:r>
      <w:r w:rsidRPr="00DF38B2">
        <w:t xml:space="preserve"> – that is</w:t>
      </w:r>
      <w:r w:rsidR="0041731C">
        <w:t>,</w:t>
      </w:r>
      <w:r w:rsidRPr="00DF38B2">
        <w:t xml:space="preserve"> placed on people’s BasicsCard or made by </w:t>
      </w:r>
      <w:r w:rsidR="00060511">
        <w:t>DHS</w:t>
      </w:r>
      <w:r w:rsidRPr="00DF38B2">
        <w:t xml:space="preserve"> as payments on their behalf.</w:t>
      </w:r>
    </w:p>
    <w:p w:rsidR="00992705" w:rsidRPr="00DF38B2" w:rsidRDefault="00992705" w:rsidP="006654AE">
      <w:pPr>
        <w:pStyle w:val="Heading4"/>
      </w:pPr>
      <w:r w:rsidRPr="008E4D9D">
        <w:t>The proportion of the population in the Northern Territory</w:t>
      </w:r>
      <w:r w:rsidRPr="00DF38B2">
        <w:t xml:space="preserve"> subject to income management</w:t>
      </w:r>
    </w:p>
    <w:p w:rsidR="00992705" w:rsidRPr="00DF38B2" w:rsidRDefault="00992705" w:rsidP="006654AE">
      <w:r w:rsidRPr="00FE502F">
        <w:t>Across the Northern Territory it is estimated that almost one in ten of the population aged 15 years and over is subject to income management.</w:t>
      </w:r>
      <w:r w:rsidR="0048058F">
        <w:t xml:space="preserve"> </w:t>
      </w:r>
      <w:r w:rsidR="009F3286">
        <w:t>H</w:t>
      </w:r>
      <w:r w:rsidR="009F3286" w:rsidRPr="009655C3">
        <w:t>owever</w:t>
      </w:r>
      <w:r w:rsidR="009F3286">
        <w:t>, t</w:t>
      </w:r>
      <w:r w:rsidRPr="009655C3">
        <w:t xml:space="preserve">his average disguises the massive difference between the experience of the Indigenous and </w:t>
      </w:r>
      <w:r w:rsidR="00BE1F41">
        <w:t xml:space="preserve">the </w:t>
      </w:r>
      <w:r w:rsidRPr="009655C3">
        <w:t>non-Indigenous population</w:t>
      </w:r>
      <w:r w:rsidR="00BE1F41">
        <w:t>s</w:t>
      </w:r>
      <w:r w:rsidRPr="009655C3">
        <w:t xml:space="preserve"> in the Territory. A</w:t>
      </w:r>
      <w:r w:rsidR="00DF38B2">
        <w:t>s</w:t>
      </w:r>
      <w:r w:rsidRPr="00DF38B2">
        <w:t xml:space="preserve"> shown in </w:t>
      </w:r>
      <w:r w:rsidR="00BF0116" w:rsidRPr="00DF38B2">
        <w:fldChar w:fldCharType="begin"/>
      </w:r>
      <w:r w:rsidR="00BF0116" w:rsidRPr="00DF38B2">
        <w:instrText xml:space="preserve"> REF _Ref393815225 \h </w:instrText>
      </w:r>
      <w:r w:rsidR="00BF0116" w:rsidRPr="00DF38B2">
        <w:fldChar w:fldCharType="separate"/>
      </w:r>
      <w:r w:rsidR="00906D13" w:rsidRPr="003D75FE">
        <w:t xml:space="preserve">Table </w:t>
      </w:r>
      <w:r w:rsidR="00906D13">
        <w:rPr>
          <w:noProof/>
        </w:rPr>
        <w:t>4</w:t>
      </w:r>
      <w:r w:rsidR="00906D13">
        <w:noBreakHyphen/>
      </w:r>
      <w:r w:rsidR="00906D13">
        <w:rPr>
          <w:noProof/>
        </w:rPr>
        <w:t>12</w:t>
      </w:r>
      <w:r w:rsidR="00BF0116" w:rsidRPr="00DF38B2">
        <w:fldChar w:fldCharType="end"/>
      </w:r>
      <w:r w:rsidR="009F3286">
        <w:t>:</w:t>
      </w:r>
    </w:p>
    <w:p w:rsidR="00992705" w:rsidRPr="00FE502F" w:rsidRDefault="00992705" w:rsidP="006654AE">
      <w:pPr>
        <w:pStyle w:val="dot"/>
      </w:pPr>
      <w:r w:rsidRPr="00DF38B2">
        <w:t>An estimated 11.0 per cent of the non-Indigenous population aged 15 years and over in the Northern Territory is in receipt of an income support payment from the Australian Government</w:t>
      </w:r>
      <w:r w:rsidR="00445BB3">
        <w:t xml:space="preserve">. </w:t>
      </w:r>
      <w:r w:rsidRPr="00DF38B2">
        <w:t>Of th</w:t>
      </w:r>
      <w:r w:rsidR="00BE1F41">
        <w:t>is group,</w:t>
      </w:r>
      <w:r w:rsidRPr="00DF38B2">
        <w:t xml:space="preserve"> 11.7 per cent </w:t>
      </w:r>
      <w:r w:rsidR="00BE1F41">
        <w:t>is</w:t>
      </w:r>
      <w:r w:rsidRPr="00DF38B2">
        <w:t xml:space="preserve"> subject to inco</w:t>
      </w:r>
      <w:r w:rsidRPr="00FE502F">
        <w:t>me management</w:t>
      </w:r>
      <w:r w:rsidR="00445BB3">
        <w:t xml:space="preserve">. </w:t>
      </w:r>
      <w:r w:rsidRPr="00FE502F">
        <w:t>As a consequence</w:t>
      </w:r>
      <w:r w:rsidR="00BE1F41">
        <w:t>,</w:t>
      </w:r>
      <w:r w:rsidRPr="00FE502F">
        <w:t xml:space="preserve"> some 1.3 per cent of the total non-Indigenous population aged 15 years and over in the Northern Territory is subject to income management.</w:t>
      </w:r>
    </w:p>
    <w:p w:rsidR="00992705" w:rsidRPr="003D75FE" w:rsidRDefault="00992705" w:rsidP="006654AE">
      <w:pPr>
        <w:pStyle w:val="dot"/>
      </w:pPr>
      <w:r w:rsidRPr="00FE502F">
        <w:t>The impact o</w:t>
      </w:r>
      <w:r w:rsidRPr="009655C3">
        <w:t>n the Indigenous population is much greater</w:t>
      </w:r>
      <w:r w:rsidR="00445BB3">
        <w:t xml:space="preserve">. </w:t>
      </w:r>
      <w:r w:rsidRPr="009655C3">
        <w:t xml:space="preserve">In the first instance it is estimated that over half (53.2 per cent) of the Indigenous population aged 15 years and over </w:t>
      </w:r>
      <w:r w:rsidR="00BE1F41">
        <w:t>is</w:t>
      </w:r>
      <w:r w:rsidRPr="009655C3">
        <w:t xml:space="preserve"> in receipt of income support</w:t>
      </w:r>
      <w:r w:rsidR="00BE1F41">
        <w:t>,</w:t>
      </w:r>
      <w:r w:rsidRPr="009655C3">
        <w:t xml:space="preserve"> and of th</w:t>
      </w:r>
      <w:r w:rsidR="00BE1F41">
        <w:t>is proportion</w:t>
      </w:r>
      <w:r w:rsidRPr="009655C3">
        <w:t xml:space="preserve"> 63.9 per cent </w:t>
      </w:r>
      <w:r w:rsidR="00BE1F41">
        <w:t>is</w:t>
      </w:r>
      <w:r w:rsidRPr="009655C3">
        <w:t xml:space="preserve"> subject to income managem</w:t>
      </w:r>
      <w:r w:rsidRPr="008E4D9D">
        <w:t>ent – as a result just over a third</w:t>
      </w:r>
      <w:r w:rsidRPr="003D75FE">
        <w:t xml:space="preserve"> (34.0 per cent) of the </w:t>
      </w:r>
      <w:r w:rsidR="00BF2CE4">
        <w:t xml:space="preserve">Indigenous population in the </w:t>
      </w:r>
      <w:r w:rsidRPr="003D75FE">
        <w:t>Northern Territory aged 15 years and over is estimated to be subject to income management.</w:t>
      </w:r>
    </w:p>
    <w:p w:rsidR="00BF0116" w:rsidRPr="00FC7BDC" w:rsidRDefault="00BF0116" w:rsidP="006654AE">
      <w:pPr>
        <w:pStyle w:val="Caption"/>
      </w:pPr>
      <w:bookmarkStart w:id="170" w:name="_Ref393815225"/>
      <w:bookmarkStart w:id="171" w:name="_Toc403739417"/>
      <w:r w:rsidRPr="003D75FE">
        <w:lastRenderedPageBreak/>
        <w:t xml:space="preserve">Table </w:t>
      </w:r>
      <w:fldSimple w:instr=" STYLEREF 1 \s ">
        <w:r w:rsidR="00906D13">
          <w:rPr>
            <w:noProof/>
          </w:rPr>
          <w:t>4</w:t>
        </w:r>
      </w:fldSimple>
      <w:r w:rsidR="00D40B64">
        <w:noBreakHyphen/>
      </w:r>
      <w:fldSimple w:instr=" SEQ Table \* ARABIC \s 1 ">
        <w:r w:rsidR="00906D13">
          <w:rPr>
            <w:noProof/>
          </w:rPr>
          <w:t>12</w:t>
        </w:r>
      </w:fldSimple>
      <w:bookmarkEnd w:id="170"/>
      <w:r w:rsidRPr="00805620">
        <w:tab/>
        <w:t>Estimated population rate of income management by Indigenous status</w:t>
      </w:r>
      <w:r w:rsidR="005E1DCA">
        <w:t xml:space="preserve"> in the Northern Territory</w:t>
      </w:r>
      <w:r w:rsidRPr="00805620">
        <w:t>, December 2013</w:t>
      </w:r>
      <w:bookmarkEnd w:id="17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ovides estimates of the proportion of people in the Northern Territory who are subject to income management.  The table has three data columns for non-Indigenous people, for Indigenous people and for total persons. It has two panels of data. The first concerns population counts – specifically three rows providing firstly the estimated resident population aged 15 years and over in the Northern Territory, the second the number of people on income support and the third the number on income management.&#10;The second panel provides three rates derived from these data. These rates are: the proportion of people aged 15 years and over in the NT who are in receipt of income support, the proportion of the income support recipients who are income managed and thirdly the proportion of the population aged 15 years and over who are income managed.&#10;The data in the second panel is discussed in some detail in the paper.&#10;"/>
      </w:tblPr>
      <w:tblGrid>
        <w:gridCol w:w="1669"/>
        <w:gridCol w:w="2743"/>
        <w:gridCol w:w="1108"/>
        <w:gridCol w:w="1021"/>
        <w:gridCol w:w="972"/>
      </w:tblGrid>
      <w:tr w:rsidR="00B102A0" w:rsidRPr="0072072C" w:rsidTr="00B102A0">
        <w:trPr>
          <w:tblHeader/>
          <w:jc w:val="center"/>
        </w:trPr>
        <w:tc>
          <w:tcPr>
            <w:tcW w:w="1669" w:type="dxa"/>
            <w:tcBorders>
              <w:top w:val="single" w:sz="4" w:space="0" w:color="auto"/>
              <w:bottom w:val="single" w:sz="4" w:space="0" w:color="auto"/>
            </w:tcBorders>
          </w:tcPr>
          <w:p w:rsidR="00B102A0" w:rsidRPr="0072072C" w:rsidRDefault="00B102A0" w:rsidP="006654AE">
            <w:pPr>
              <w:pStyle w:val="tabletextleft"/>
            </w:pPr>
            <w:r w:rsidRPr="0072072C">
              <w:t>Estimated population rate by:</w:t>
            </w:r>
          </w:p>
        </w:tc>
        <w:tc>
          <w:tcPr>
            <w:tcW w:w="2743" w:type="dxa"/>
            <w:tcBorders>
              <w:top w:val="single" w:sz="4" w:space="0" w:color="auto"/>
              <w:bottom w:val="single" w:sz="4" w:space="0" w:color="auto"/>
            </w:tcBorders>
          </w:tcPr>
          <w:p w:rsidR="00B102A0" w:rsidRPr="0072072C" w:rsidRDefault="00B102A0" w:rsidP="00B102A0">
            <w:pPr>
              <w:pStyle w:val="tabletextleft"/>
              <w:jc w:val="left"/>
            </w:pPr>
            <w:r w:rsidRPr="0072072C">
              <w:t>Population on income management</w:t>
            </w:r>
          </w:p>
        </w:tc>
        <w:tc>
          <w:tcPr>
            <w:tcW w:w="1108" w:type="dxa"/>
            <w:tcBorders>
              <w:top w:val="single" w:sz="4" w:space="0" w:color="auto"/>
              <w:bottom w:val="single" w:sz="4" w:space="0" w:color="auto"/>
            </w:tcBorders>
          </w:tcPr>
          <w:p w:rsidR="00B102A0" w:rsidRPr="0072072C" w:rsidRDefault="00B102A0" w:rsidP="006654AE">
            <w:pPr>
              <w:pStyle w:val="tabletextright"/>
            </w:pPr>
            <w:r w:rsidRPr="0072072C">
              <w:t>Non-Indigenous</w:t>
            </w:r>
          </w:p>
        </w:tc>
        <w:tc>
          <w:tcPr>
            <w:tcW w:w="1021" w:type="dxa"/>
            <w:tcBorders>
              <w:top w:val="single" w:sz="4" w:space="0" w:color="auto"/>
              <w:bottom w:val="single" w:sz="4" w:space="0" w:color="auto"/>
            </w:tcBorders>
          </w:tcPr>
          <w:p w:rsidR="00B102A0" w:rsidRPr="0072072C" w:rsidRDefault="00B102A0" w:rsidP="006654AE">
            <w:pPr>
              <w:pStyle w:val="tabletextright"/>
            </w:pPr>
            <w:r w:rsidRPr="0072072C">
              <w:t>Indigenous</w:t>
            </w:r>
          </w:p>
        </w:tc>
        <w:tc>
          <w:tcPr>
            <w:tcW w:w="972" w:type="dxa"/>
            <w:tcBorders>
              <w:top w:val="single" w:sz="4" w:space="0" w:color="auto"/>
              <w:bottom w:val="single" w:sz="4" w:space="0" w:color="auto"/>
            </w:tcBorders>
          </w:tcPr>
          <w:p w:rsidR="00B102A0" w:rsidRPr="0072072C" w:rsidRDefault="00B102A0" w:rsidP="006654AE">
            <w:pPr>
              <w:pStyle w:val="tabletextright"/>
            </w:pPr>
            <w:r w:rsidRPr="0072072C">
              <w:t xml:space="preserve">Total </w:t>
            </w:r>
          </w:p>
        </w:tc>
      </w:tr>
      <w:tr w:rsidR="0072072C" w:rsidRPr="0072072C" w:rsidTr="00B102A0">
        <w:trPr>
          <w:jc w:val="center"/>
        </w:trPr>
        <w:tc>
          <w:tcPr>
            <w:tcW w:w="1669" w:type="dxa"/>
            <w:vMerge w:val="restart"/>
          </w:tcPr>
          <w:p w:rsidR="0072072C" w:rsidRPr="0072072C" w:rsidRDefault="0072072C" w:rsidP="006654AE">
            <w:pPr>
              <w:pStyle w:val="tabletextleft"/>
              <w:jc w:val="left"/>
            </w:pPr>
            <w:r w:rsidRPr="0072072C">
              <w:t>Persons (n)</w:t>
            </w:r>
          </w:p>
        </w:tc>
        <w:tc>
          <w:tcPr>
            <w:tcW w:w="2743" w:type="dxa"/>
          </w:tcPr>
          <w:p w:rsidR="0072072C" w:rsidRPr="0072072C" w:rsidRDefault="0072072C" w:rsidP="006654AE">
            <w:pPr>
              <w:pStyle w:val="tabletextleft"/>
              <w:jc w:val="left"/>
            </w:pPr>
            <w:r w:rsidRPr="0072072C">
              <w:t>Population 15 years and over (a)</w:t>
            </w:r>
          </w:p>
        </w:tc>
        <w:tc>
          <w:tcPr>
            <w:tcW w:w="1108" w:type="dxa"/>
            <w:vAlign w:val="bottom"/>
          </w:tcPr>
          <w:p w:rsidR="0072072C" w:rsidRPr="0072072C" w:rsidRDefault="0072072C" w:rsidP="006654AE">
            <w:pPr>
              <w:pStyle w:val="tabletextright"/>
            </w:pPr>
            <w:r w:rsidRPr="0072072C">
              <w:t>138,679</w:t>
            </w:r>
          </w:p>
        </w:tc>
        <w:tc>
          <w:tcPr>
            <w:tcW w:w="1021" w:type="dxa"/>
            <w:vAlign w:val="bottom"/>
          </w:tcPr>
          <w:p w:rsidR="0072072C" w:rsidRPr="0072072C" w:rsidRDefault="0072072C" w:rsidP="006654AE">
            <w:pPr>
              <w:pStyle w:val="tabletextright"/>
            </w:pPr>
            <w:r w:rsidRPr="0072072C">
              <w:t>48,555</w:t>
            </w:r>
          </w:p>
        </w:tc>
        <w:tc>
          <w:tcPr>
            <w:tcW w:w="972" w:type="dxa"/>
            <w:vAlign w:val="bottom"/>
          </w:tcPr>
          <w:p w:rsidR="0072072C" w:rsidRPr="0072072C" w:rsidRDefault="0072072C" w:rsidP="006654AE">
            <w:pPr>
              <w:pStyle w:val="tabletextright"/>
            </w:pPr>
            <w:r w:rsidRPr="0072072C">
              <w:t>187,234</w:t>
            </w:r>
          </w:p>
        </w:tc>
      </w:tr>
      <w:tr w:rsidR="0072072C" w:rsidRPr="0072072C" w:rsidTr="00B102A0">
        <w:trPr>
          <w:jc w:val="center"/>
        </w:trPr>
        <w:tc>
          <w:tcPr>
            <w:tcW w:w="1669" w:type="dxa"/>
            <w:vMerge/>
          </w:tcPr>
          <w:p w:rsidR="0072072C" w:rsidRPr="0072072C" w:rsidRDefault="0072072C" w:rsidP="006654AE">
            <w:pPr>
              <w:pStyle w:val="tabletextleft"/>
              <w:jc w:val="left"/>
              <w:rPr>
                <w:color w:val="FFFFFF" w:themeColor="background1"/>
              </w:rPr>
            </w:pPr>
          </w:p>
        </w:tc>
        <w:tc>
          <w:tcPr>
            <w:tcW w:w="2743" w:type="dxa"/>
          </w:tcPr>
          <w:p w:rsidR="0072072C" w:rsidRPr="0072072C" w:rsidRDefault="0072072C" w:rsidP="006654AE">
            <w:pPr>
              <w:pStyle w:val="tabletextleft"/>
              <w:jc w:val="left"/>
            </w:pPr>
            <w:r w:rsidRPr="0072072C">
              <w:t>Income support</w:t>
            </w:r>
          </w:p>
        </w:tc>
        <w:tc>
          <w:tcPr>
            <w:tcW w:w="1108" w:type="dxa"/>
            <w:vAlign w:val="bottom"/>
          </w:tcPr>
          <w:p w:rsidR="0072072C" w:rsidRPr="0072072C" w:rsidRDefault="0072072C" w:rsidP="006654AE">
            <w:pPr>
              <w:pStyle w:val="tabletextright"/>
            </w:pPr>
            <w:r w:rsidRPr="0072072C">
              <w:t>15,288</w:t>
            </w:r>
          </w:p>
        </w:tc>
        <w:tc>
          <w:tcPr>
            <w:tcW w:w="1021" w:type="dxa"/>
            <w:vAlign w:val="bottom"/>
          </w:tcPr>
          <w:p w:rsidR="0072072C" w:rsidRPr="0072072C" w:rsidRDefault="0072072C" w:rsidP="006654AE">
            <w:pPr>
              <w:pStyle w:val="tabletextright"/>
            </w:pPr>
            <w:r w:rsidRPr="0072072C">
              <w:t>25,834</w:t>
            </w:r>
          </w:p>
        </w:tc>
        <w:tc>
          <w:tcPr>
            <w:tcW w:w="972" w:type="dxa"/>
            <w:vAlign w:val="bottom"/>
          </w:tcPr>
          <w:p w:rsidR="0072072C" w:rsidRPr="0072072C" w:rsidRDefault="0072072C" w:rsidP="006654AE">
            <w:pPr>
              <w:pStyle w:val="tabletextright"/>
            </w:pPr>
            <w:r w:rsidRPr="0072072C">
              <w:t>41,122</w:t>
            </w:r>
          </w:p>
        </w:tc>
      </w:tr>
      <w:tr w:rsidR="0072072C" w:rsidRPr="0072072C" w:rsidTr="00B102A0">
        <w:trPr>
          <w:jc w:val="center"/>
        </w:trPr>
        <w:tc>
          <w:tcPr>
            <w:tcW w:w="1669" w:type="dxa"/>
            <w:vMerge/>
            <w:tcBorders>
              <w:bottom w:val="single" w:sz="4" w:space="0" w:color="auto"/>
            </w:tcBorders>
          </w:tcPr>
          <w:p w:rsidR="0072072C" w:rsidRPr="0072072C" w:rsidRDefault="0072072C" w:rsidP="006654AE">
            <w:pPr>
              <w:pStyle w:val="tabletextleft"/>
              <w:jc w:val="left"/>
              <w:rPr>
                <w:color w:val="FFFFFF" w:themeColor="background1"/>
              </w:rPr>
            </w:pPr>
          </w:p>
        </w:tc>
        <w:tc>
          <w:tcPr>
            <w:tcW w:w="2743" w:type="dxa"/>
            <w:tcBorders>
              <w:bottom w:val="single" w:sz="4" w:space="0" w:color="auto"/>
            </w:tcBorders>
          </w:tcPr>
          <w:p w:rsidR="0072072C" w:rsidRPr="0072072C" w:rsidRDefault="0072072C" w:rsidP="006654AE">
            <w:pPr>
              <w:pStyle w:val="tabletextleft"/>
              <w:jc w:val="left"/>
            </w:pPr>
            <w:r w:rsidRPr="0072072C">
              <w:t>Income management</w:t>
            </w:r>
          </w:p>
        </w:tc>
        <w:tc>
          <w:tcPr>
            <w:tcW w:w="1108" w:type="dxa"/>
            <w:tcBorders>
              <w:bottom w:val="single" w:sz="4" w:space="0" w:color="auto"/>
            </w:tcBorders>
            <w:vAlign w:val="bottom"/>
          </w:tcPr>
          <w:p w:rsidR="0072072C" w:rsidRPr="0072072C" w:rsidRDefault="0072072C" w:rsidP="006654AE">
            <w:pPr>
              <w:pStyle w:val="tabletextright"/>
            </w:pPr>
            <w:r w:rsidRPr="0072072C">
              <w:t>1,785</w:t>
            </w:r>
          </w:p>
        </w:tc>
        <w:tc>
          <w:tcPr>
            <w:tcW w:w="1021" w:type="dxa"/>
            <w:tcBorders>
              <w:bottom w:val="single" w:sz="4" w:space="0" w:color="auto"/>
            </w:tcBorders>
            <w:vAlign w:val="bottom"/>
          </w:tcPr>
          <w:p w:rsidR="0072072C" w:rsidRPr="0072072C" w:rsidRDefault="0072072C" w:rsidP="006654AE">
            <w:pPr>
              <w:pStyle w:val="tabletextright"/>
            </w:pPr>
            <w:r w:rsidRPr="0072072C">
              <w:t>16,512</w:t>
            </w:r>
          </w:p>
        </w:tc>
        <w:tc>
          <w:tcPr>
            <w:tcW w:w="972" w:type="dxa"/>
            <w:tcBorders>
              <w:bottom w:val="single" w:sz="4" w:space="0" w:color="auto"/>
            </w:tcBorders>
            <w:vAlign w:val="bottom"/>
          </w:tcPr>
          <w:p w:rsidR="0072072C" w:rsidRPr="0072072C" w:rsidRDefault="0072072C" w:rsidP="006654AE">
            <w:pPr>
              <w:pStyle w:val="tabletextright"/>
            </w:pPr>
            <w:r w:rsidRPr="0072072C">
              <w:t>18,297</w:t>
            </w:r>
          </w:p>
        </w:tc>
      </w:tr>
      <w:tr w:rsidR="0072072C" w:rsidRPr="0072072C" w:rsidTr="00B102A0">
        <w:trPr>
          <w:jc w:val="center"/>
        </w:trPr>
        <w:tc>
          <w:tcPr>
            <w:tcW w:w="1669" w:type="dxa"/>
            <w:vMerge w:val="restart"/>
          </w:tcPr>
          <w:p w:rsidR="0072072C" w:rsidRPr="0072072C" w:rsidRDefault="0072072C" w:rsidP="00B102A0">
            <w:pPr>
              <w:pStyle w:val="tabletextleft"/>
              <w:jc w:val="left"/>
            </w:pPr>
            <w:r w:rsidRPr="0072072C">
              <w:t>Proportion (%)</w:t>
            </w:r>
          </w:p>
        </w:tc>
        <w:tc>
          <w:tcPr>
            <w:tcW w:w="2743" w:type="dxa"/>
          </w:tcPr>
          <w:p w:rsidR="0072072C" w:rsidRPr="0072072C" w:rsidRDefault="0072072C" w:rsidP="006654AE">
            <w:pPr>
              <w:pStyle w:val="tabletextleft"/>
              <w:jc w:val="left"/>
            </w:pPr>
            <w:r w:rsidRPr="0072072C">
              <w:t>Population on income support</w:t>
            </w:r>
          </w:p>
        </w:tc>
        <w:tc>
          <w:tcPr>
            <w:tcW w:w="1108" w:type="dxa"/>
            <w:vAlign w:val="bottom"/>
          </w:tcPr>
          <w:p w:rsidR="0072072C" w:rsidRPr="0072072C" w:rsidRDefault="0072072C" w:rsidP="006654AE">
            <w:pPr>
              <w:pStyle w:val="tabletextright"/>
            </w:pPr>
            <w:r w:rsidRPr="0072072C">
              <w:t>11.0</w:t>
            </w:r>
          </w:p>
        </w:tc>
        <w:tc>
          <w:tcPr>
            <w:tcW w:w="1021" w:type="dxa"/>
            <w:vAlign w:val="bottom"/>
          </w:tcPr>
          <w:p w:rsidR="0072072C" w:rsidRPr="0072072C" w:rsidRDefault="0072072C" w:rsidP="006654AE">
            <w:pPr>
              <w:pStyle w:val="tabletextright"/>
            </w:pPr>
            <w:r w:rsidRPr="0072072C">
              <w:t>53.2</w:t>
            </w:r>
          </w:p>
        </w:tc>
        <w:tc>
          <w:tcPr>
            <w:tcW w:w="972" w:type="dxa"/>
            <w:vAlign w:val="bottom"/>
          </w:tcPr>
          <w:p w:rsidR="0072072C" w:rsidRPr="0072072C" w:rsidRDefault="0072072C" w:rsidP="006654AE">
            <w:pPr>
              <w:pStyle w:val="tabletextright"/>
            </w:pPr>
            <w:r w:rsidRPr="0072072C">
              <w:t>22.0</w:t>
            </w:r>
          </w:p>
        </w:tc>
      </w:tr>
      <w:tr w:rsidR="0072072C" w:rsidRPr="0072072C" w:rsidTr="00B102A0">
        <w:trPr>
          <w:jc w:val="center"/>
        </w:trPr>
        <w:tc>
          <w:tcPr>
            <w:tcW w:w="1669" w:type="dxa"/>
            <w:vMerge/>
          </w:tcPr>
          <w:p w:rsidR="0072072C" w:rsidRPr="0072072C" w:rsidRDefault="0072072C" w:rsidP="006654AE">
            <w:pPr>
              <w:pStyle w:val="tabletextleft"/>
              <w:ind w:left="316" w:hanging="316"/>
              <w:jc w:val="left"/>
              <w:rPr>
                <w:color w:val="FFFFFF" w:themeColor="background1"/>
              </w:rPr>
            </w:pPr>
          </w:p>
        </w:tc>
        <w:tc>
          <w:tcPr>
            <w:tcW w:w="2743" w:type="dxa"/>
          </w:tcPr>
          <w:p w:rsidR="0072072C" w:rsidRPr="0072072C" w:rsidRDefault="0072072C" w:rsidP="006654AE">
            <w:pPr>
              <w:pStyle w:val="tabletextleft"/>
              <w:ind w:left="316" w:hanging="316"/>
              <w:jc w:val="left"/>
            </w:pPr>
            <w:r w:rsidRPr="0072072C">
              <w:t>Income support recipients on income management</w:t>
            </w:r>
          </w:p>
        </w:tc>
        <w:tc>
          <w:tcPr>
            <w:tcW w:w="1108" w:type="dxa"/>
            <w:vAlign w:val="bottom"/>
          </w:tcPr>
          <w:p w:rsidR="0072072C" w:rsidRPr="0072072C" w:rsidRDefault="0072072C" w:rsidP="006654AE">
            <w:pPr>
              <w:pStyle w:val="tabletextright"/>
            </w:pPr>
            <w:r w:rsidRPr="0072072C">
              <w:t>11.7</w:t>
            </w:r>
          </w:p>
        </w:tc>
        <w:tc>
          <w:tcPr>
            <w:tcW w:w="1021" w:type="dxa"/>
            <w:vAlign w:val="bottom"/>
          </w:tcPr>
          <w:p w:rsidR="0072072C" w:rsidRPr="0072072C" w:rsidRDefault="0072072C" w:rsidP="006654AE">
            <w:pPr>
              <w:pStyle w:val="tabletextright"/>
            </w:pPr>
            <w:r w:rsidRPr="0072072C">
              <w:t>63.9</w:t>
            </w:r>
          </w:p>
        </w:tc>
        <w:tc>
          <w:tcPr>
            <w:tcW w:w="972" w:type="dxa"/>
            <w:vAlign w:val="bottom"/>
          </w:tcPr>
          <w:p w:rsidR="0072072C" w:rsidRPr="0072072C" w:rsidRDefault="0072072C" w:rsidP="006654AE">
            <w:pPr>
              <w:pStyle w:val="tabletextright"/>
            </w:pPr>
            <w:r w:rsidRPr="0072072C">
              <w:t>44.5</w:t>
            </w:r>
          </w:p>
        </w:tc>
      </w:tr>
      <w:tr w:rsidR="0072072C" w:rsidRPr="00DF38B2" w:rsidTr="00B102A0">
        <w:trPr>
          <w:jc w:val="center"/>
        </w:trPr>
        <w:tc>
          <w:tcPr>
            <w:tcW w:w="1669" w:type="dxa"/>
            <w:vMerge/>
            <w:tcBorders>
              <w:bottom w:val="single" w:sz="4" w:space="0" w:color="auto"/>
            </w:tcBorders>
          </w:tcPr>
          <w:p w:rsidR="0072072C" w:rsidRPr="0072072C" w:rsidRDefault="0072072C" w:rsidP="006654AE">
            <w:pPr>
              <w:pStyle w:val="tabletextleft"/>
              <w:ind w:left="316" w:hanging="316"/>
              <w:jc w:val="left"/>
              <w:rPr>
                <w:color w:val="FFFFFF" w:themeColor="background1"/>
              </w:rPr>
            </w:pPr>
          </w:p>
        </w:tc>
        <w:tc>
          <w:tcPr>
            <w:tcW w:w="2743" w:type="dxa"/>
            <w:tcBorders>
              <w:bottom w:val="single" w:sz="4" w:space="0" w:color="auto"/>
            </w:tcBorders>
          </w:tcPr>
          <w:p w:rsidR="0072072C" w:rsidRPr="0072072C" w:rsidRDefault="0072072C" w:rsidP="006654AE">
            <w:pPr>
              <w:pStyle w:val="tabletextleft"/>
              <w:ind w:left="316" w:hanging="316"/>
              <w:jc w:val="left"/>
            </w:pPr>
            <w:r w:rsidRPr="0072072C">
              <w:t>Population on income management</w:t>
            </w:r>
          </w:p>
        </w:tc>
        <w:tc>
          <w:tcPr>
            <w:tcW w:w="1108" w:type="dxa"/>
            <w:tcBorders>
              <w:bottom w:val="single" w:sz="4" w:space="0" w:color="auto"/>
            </w:tcBorders>
            <w:vAlign w:val="bottom"/>
          </w:tcPr>
          <w:p w:rsidR="0072072C" w:rsidRPr="0072072C" w:rsidRDefault="0072072C" w:rsidP="006654AE">
            <w:pPr>
              <w:pStyle w:val="tabletextright"/>
            </w:pPr>
            <w:r w:rsidRPr="0072072C">
              <w:t>1.3</w:t>
            </w:r>
          </w:p>
        </w:tc>
        <w:tc>
          <w:tcPr>
            <w:tcW w:w="1021" w:type="dxa"/>
            <w:tcBorders>
              <w:bottom w:val="single" w:sz="4" w:space="0" w:color="auto"/>
            </w:tcBorders>
            <w:vAlign w:val="bottom"/>
          </w:tcPr>
          <w:p w:rsidR="0072072C" w:rsidRPr="0072072C" w:rsidRDefault="0072072C" w:rsidP="006654AE">
            <w:pPr>
              <w:pStyle w:val="tabletextright"/>
            </w:pPr>
            <w:r w:rsidRPr="0072072C">
              <w:t>34.0</w:t>
            </w:r>
          </w:p>
        </w:tc>
        <w:tc>
          <w:tcPr>
            <w:tcW w:w="972" w:type="dxa"/>
            <w:tcBorders>
              <w:bottom w:val="single" w:sz="4" w:space="0" w:color="auto"/>
            </w:tcBorders>
            <w:vAlign w:val="bottom"/>
          </w:tcPr>
          <w:p w:rsidR="0072072C" w:rsidRPr="00DF38B2" w:rsidRDefault="0072072C" w:rsidP="006654AE">
            <w:pPr>
              <w:pStyle w:val="tabletextright"/>
            </w:pPr>
            <w:r w:rsidRPr="0072072C">
              <w:t>9.8</w:t>
            </w:r>
          </w:p>
        </w:tc>
      </w:tr>
    </w:tbl>
    <w:p w:rsidR="002532F6" w:rsidRDefault="002532F6" w:rsidP="006654AE">
      <w:pPr>
        <w:pStyle w:val="tablenotes"/>
      </w:pPr>
      <w:r>
        <w:t>Notes:</w:t>
      </w:r>
    </w:p>
    <w:p w:rsidR="00992705" w:rsidRPr="003D75FE" w:rsidRDefault="00BE1F41" w:rsidP="006654AE">
      <w:pPr>
        <w:pStyle w:val="tablenotes"/>
        <w:numPr>
          <w:ilvl w:val="0"/>
          <w:numId w:val="16"/>
        </w:numPr>
      </w:pPr>
      <w:r>
        <w:tab/>
      </w:r>
      <w:r w:rsidR="00992705" w:rsidRPr="008E4D9D">
        <w:t xml:space="preserve">Estimated from ABS </w:t>
      </w:r>
      <w:r w:rsidR="00EB570A">
        <w:t>(2013a)</w:t>
      </w:r>
      <w:r w:rsidR="00992705" w:rsidRPr="008E4D9D">
        <w:t xml:space="preserve"> </w:t>
      </w:r>
      <w:r w:rsidR="00BE5FEA">
        <w:t>and</w:t>
      </w:r>
      <w:r w:rsidR="00992705" w:rsidRPr="008E4D9D">
        <w:t xml:space="preserve"> ABS </w:t>
      </w:r>
      <w:r w:rsidR="00BE5FEA">
        <w:t>(2014a)</w:t>
      </w:r>
    </w:p>
    <w:p w:rsidR="00BF0116" w:rsidRPr="00DF38B2" w:rsidRDefault="00BF0116" w:rsidP="006654AE">
      <w:pPr>
        <w:pStyle w:val="tablenotes"/>
        <w:ind w:left="1437" w:hanging="870"/>
      </w:pPr>
      <w:r w:rsidRPr="00DF38B2">
        <w:t xml:space="preserve">Source: </w:t>
      </w:r>
      <w:r w:rsidR="002532F6">
        <w:tab/>
      </w:r>
      <w:r w:rsidR="00305D80">
        <w:t xml:space="preserve">Derived from </w:t>
      </w:r>
      <w:r w:rsidRPr="00DF38B2">
        <w:t>DHS Administrative data provided for the purposes of the evaluation</w:t>
      </w:r>
      <w:r w:rsidR="00EB570A">
        <w:t xml:space="preserve">, </w:t>
      </w:r>
      <w:r w:rsidRPr="00DF38B2">
        <w:t>ABS</w:t>
      </w:r>
      <w:r w:rsidR="00EB570A">
        <w:t xml:space="preserve"> (2013a) and </w:t>
      </w:r>
      <w:r w:rsidRPr="00DF38B2">
        <w:t>ABS</w:t>
      </w:r>
      <w:r w:rsidR="00B84AFE">
        <w:t xml:space="preserve"> </w:t>
      </w:r>
      <w:r w:rsidR="00BE5FEA">
        <w:t>(2014a)</w:t>
      </w:r>
      <w:r w:rsidR="00C61A58">
        <w:t>.</w:t>
      </w:r>
    </w:p>
    <w:p w:rsidR="00BF0116" w:rsidRPr="00A60AF1" w:rsidRDefault="00BF0116" w:rsidP="006654AE">
      <w:pPr>
        <w:pStyle w:val="tablefootnoteslastline"/>
      </w:pPr>
    </w:p>
    <w:p w:rsidR="005E1FE0" w:rsidRPr="00DF38B2" w:rsidRDefault="005E1FE0" w:rsidP="006654AE">
      <w:pPr>
        <w:pStyle w:val="Heading2"/>
        <w:ind w:left="578" w:hanging="578"/>
      </w:pPr>
      <w:bookmarkStart w:id="172" w:name="_Toc403739011"/>
      <w:r w:rsidRPr="00DF38B2">
        <w:t>Time spent on income management, flows and duration</w:t>
      </w:r>
      <w:bookmarkEnd w:id="172"/>
    </w:p>
    <w:p w:rsidR="005E1FE0" w:rsidRPr="00DF38B2" w:rsidRDefault="005E1FE0" w:rsidP="006654AE">
      <w:pPr>
        <w:pStyle w:val="Heading3"/>
      </w:pPr>
      <w:bookmarkStart w:id="173" w:name="_Toc403739012"/>
      <w:r w:rsidRPr="00DF38B2">
        <w:t>Flows onto and off income management</w:t>
      </w:r>
      <w:bookmarkEnd w:id="173"/>
    </w:p>
    <w:p w:rsidR="005E1FE0" w:rsidRPr="00DF38B2" w:rsidRDefault="005E1FE0" w:rsidP="006654AE">
      <w:r w:rsidRPr="00DF38B2">
        <w:fldChar w:fldCharType="begin"/>
      </w:r>
      <w:r w:rsidRPr="00DF38B2">
        <w:instrText xml:space="preserve"> REF _Ref391246985 \h </w:instrText>
      </w:r>
      <w:r w:rsidRPr="00DF38B2">
        <w:fldChar w:fldCharType="separate"/>
      </w:r>
      <w:r w:rsidR="00906D13" w:rsidRPr="00DF38B2">
        <w:t xml:space="preserve">Figure </w:t>
      </w:r>
      <w:r w:rsidR="00906D13">
        <w:rPr>
          <w:noProof/>
        </w:rPr>
        <w:t>4</w:t>
      </w:r>
      <w:r w:rsidR="00906D13" w:rsidRPr="00DF38B2">
        <w:noBreakHyphen/>
      </w:r>
      <w:r w:rsidR="00906D13">
        <w:rPr>
          <w:noProof/>
        </w:rPr>
        <w:t>17</w:t>
      </w:r>
      <w:r w:rsidRPr="00DF38B2">
        <w:fldChar w:fldCharType="end"/>
      </w:r>
      <w:r w:rsidRPr="00DF38B2">
        <w:t xml:space="preserve"> and </w:t>
      </w:r>
      <w:r w:rsidRPr="00DF38B2">
        <w:fldChar w:fldCharType="begin"/>
      </w:r>
      <w:r w:rsidRPr="00DF38B2">
        <w:instrText xml:space="preserve"> REF _Ref391246993 \h </w:instrText>
      </w:r>
      <w:r w:rsidRPr="00DF38B2">
        <w:fldChar w:fldCharType="separate"/>
      </w:r>
      <w:r w:rsidR="00906D13" w:rsidRPr="00DF38B2">
        <w:t xml:space="preserve">Figure </w:t>
      </w:r>
      <w:r w:rsidR="00906D13">
        <w:rPr>
          <w:noProof/>
        </w:rPr>
        <w:t>4</w:t>
      </w:r>
      <w:r w:rsidR="00906D13" w:rsidRPr="00DF38B2">
        <w:noBreakHyphen/>
      </w:r>
      <w:r w:rsidR="00906D13">
        <w:rPr>
          <w:noProof/>
        </w:rPr>
        <w:t>18</w:t>
      </w:r>
      <w:r w:rsidRPr="00DF38B2">
        <w:fldChar w:fldCharType="end"/>
      </w:r>
      <w:r w:rsidRPr="00DF38B2">
        <w:t xml:space="preserve"> show the stock </w:t>
      </w:r>
      <w:r w:rsidR="0084437C">
        <w:t xml:space="preserve">on </w:t>
      </w:r>
      <w:r w:rsidRPr="00DF38B2">
        <w:t xml:space="preserve">and flows onto and off Compulsory and Voluntary Income Management respectively. The </w:t>
      </w:r>
      <w:r w:rsidRPr="00FE502F">
        <w:t>transition from the NTER Income Management to New Income Management can be seen in the spike in first entries for Compulsory and Voluntary Income Management during the second half of 2</w:t>
      </w:r>
      <w:r w:rsidRPr="009655C3">
        <w:t>010. For Compulsory Income Management, while there are fluctuations in entries and exits, there is no clear pattern</w:t>
      </w:r>
      <w:r w:rsidR="0084437C">
        <w:rPr>
          <w:rStyle w:val="FootnoteReference"/>
        </w:rPr>
        <w:footnoteReference w:id="63"/>
      </w:r>
      <w:r w:rsidRPr="009655C3">
        <w:t>. For Voluntary Income Management there is a spike in last exits from income management in mid-2013</w:t>
      </w:r>
      <w:r w:rsidR="00BE1F41">
        <w:t>,</w:t>
      </w:r>
      <w:r w:rsidRPr="009655C3">
        <w:t xml:space="preserve"> which appears to be related to people mov</w:t>
      </w:r>
      <w:r w:rsidRPr="00DF38B2">
        <w:t>ing, or returning, to South Australia.</w:t>
      </w:r>
    </w:p>
    <w:p w:rsidR="005E1FE0" w:rsidRPr="00DF38B2" w:rsidRDefault="005E1FE0" w:rsidP="006654AE">
      <w:pPr>
        <w:pStyle w:val="Caption"/>
      </w:pPr>
      <w:bookmarkStart w:id="174" w:name="_Ref391246985"/>
      <w:bookmarkStart w:id="175" w:name="_Toc403739510"/>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17</w:t>
      </w:r>
      <w:r w:rsidR="00040708" w:rsidRPr="00F157EE">
        <w:fldChar w:fldCharType="end"/>
      </w:r>
      <w:bookmarkEnd w:id="174"/>
      <w:r w:rsidRPr="00DF38B2">
        <w:tab/>
        <w:t xml:space="preserve">Flows onto and off </w:t>
      </w:r>
      <w:r w:rsidR="000A3982" w:rsidRPr="00DF38B2">
        <w:t>C</w:t>
      </w:r>
      <w:r w:rsidR="000A3982">
        <w:t>ompulsory Income Management</w:t>
      </w:r>
      <w:r w:rsidR="005E1DCA">
        <w:t xml:space="preserve"> in the Northern Territory</w:t>
      </w:r>
      <w:r w:rsidRPr="00DF38B2">
        <w:t>, 2010</w:t>
      </w:r>
      <w:r w:rsidR="00BE1F41">
        <w:t>–</w:t>
      </w:r>
      <w:r w:rsidRPr="00DF38B2">
        <w:t>2013</w:t>
      </w:r>
      <w:bookmarkEnd w:id="175"/>
    </w:p>
    <w:p w:rsidR="005E1FE0" w:rsidRPr="00DF38B2" w:rsidRDefault="005E1FE0" w:rsidP="006654AE">
      <w:pPr>
        <w:pStyle w:val="graphicpaste"/>
      </w:pPr>
      <w:r w:rsidRPr="008E4D9D">
        <w:rPr>
          <w:noProof/>
        </w:rPr>
        <w:drawing>
          <wp:inline distT="0" distB="0" distL="0" distR="0" wp14:anchorId="2D28C588" wp14:editId="102EB70B">
            <wp:extent cx="4606290" cy="2821940"/>
            <wp:effectExtent l="0" t="0" r="3810" b="0"/>
            <wp:docPr id="8" name="Picture 8" descr="This is a complex line chart and shows five populations plotted on two vertical axes. As indicated in the title it relates to compulsory income management. Four of the lines relate to flows and report on the level of these. The specific flows are:  first entry to income management; last exit from income management; exit from income management to a break; and return to income management from a break.  The fifth line is a plot on the secondary axis of the number of people on income management.  While as discussed in the text above there is considerable volatility in the flows, but other than with regard to the transition from NTER income management, there is no clear pattern in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6290" cy="2821940"/>
                    </a:xfrm>
                    <a:prstGeom prst="rect">
                      <a:avLst/>
                    </a:prstGeom>
                    <a:noFill/>
                    <a:ln>
                      <a:noFill/>
                    </a:ln>
                  </pic:spPr>
                </pic:pic>
              </a:graphicData>
            </a:graphic>
          </wp:inline>
        </w:drawing>
      </w:r>
    </w:p>
    <w:p w:rsidR="005E1FE0" w:rsidRPr="009655C3" w:rsidRDefault="005E1FE0" w:rsidP="006654AE">
      <w:pPr>
        <w:pStyle w:val="tablenotes"/>
        <w:ind w:left="1437" w:hanging="870"/>
      </w:pPr>
      <w:bookmarkStart w:id="176" w:name="_Ref390716092"/>
      <w:r w:rsidRPr="00FE502F">
        <w:t>Notes:</w:t>
      </w:r>
      <w:r w:rsidRPr="00FE502F">
        <w:tab/>
        <w:t xml:space="preserve">In this </w:t>
      </w:r>
      <w:r w:rsidR="000A3982">
        <w:t>figur</w:t>
      </w:r>
      <w:r w:rsidR="000A3982" w:rsidRPr="00FE502F">
        <w:t xml:space="preserve">e </w:t>
      </w:r>
      <w:r w:rsidRPr="00FE502F">
        <w:t>the Compulsory Income Management measure includes Child Protection Income Management, all forms of V</w:t>
      </w:r>
      <w:r w:rsidRPr="009655C3">
        <w:t>ulnerable Income Management, SPAR</w:t>
      </w:r>
      <w:r w:rsidR="00BE1F41">
        <w:t>,</w:t>
      </w:r>
      <w:r w:rsidRPr="009655C3">
        <w:t xml:space="preserve"> and Nominee Income Management.</w:t>
      </w:r>
    </w:p>
    <w:p w:rsidR="005E1FE0" w:rsidRDefault="005E1FE0" w:rsidP="006654AE">
      <w:pPr>
        <w:pStyle w:val="tablenotes"/>
        <w:keepNext w:val="0"/>
      </w:pPr>
      <w:r w:rsidRPr="00DF38B2">
        <w:t>Source:</w:t>
      </w:r>
      <w:r w:rsidR="002532F6">
        <w:tab/>
      </w:r>
      <w:r w:rsidRPr="00DF38B2">
        <w:t xml:space="preserve"> </w:t>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Caption"/>
      </w:pPr>
      <w:bookmarkStart w:id="177" w:name="_Ref391246993"/>
      <w:bookmarkStart w:id="178" w:name="_Toc403739511"/>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18</w:t>
      </w:r>
      <w:r w:rsidR="00040708" w:rsidRPr="00F157EE">
        <w:fldChar w:fldCharType="end"/>
      </w:r>
      <w:bookmarkEnd w:id="176"/>
      <w:bookmarkEnd w:id="177"/>
      <w:r w:rsidRPr="00DF38B2">
        <w:tab/>
        <w:t xml:space="preserve">Flows onto and off </w:t>
      </w:r>
      <w:r w:rsidR="000A3982">
        <w:t>Voluntary Income Management</w:t>
      </w:r>
      <w:r w:rsidR="005E1DCA">
        <w:t xml:space="preserve"> in the Northern Territory</w:t>
      </w:r>
      <w:r w:rsidR="000A3982">
        <w:t>,</w:t>
      </w:r>
      <w:r w:rsidRPr="00DF38B2">
        <w:t xml:space="preserve"> 2010</w:t>
      </w:r>
      <w:r w:rsidR="00BE1F41">
        <w:t>–</w:t>
      </w:r>
      <w:r w:rsidRPr="00DF38B2">
        <w:t>2013</w:t>
      </w:r>
      <w:bookmarkEnd w:id="178"/>
    </w:p>
    <w:p w:rsidR="005E1FE0" w:rsidRPr="00DF38B2" w:rsidRDefault="005E1FE0" w:rsidP="006654AE">
      <w:pPr>
        <w:pStyle w:val="graphicpaste"/>
      </w:pPr>
      <w:r w:rsidRPr="008E4D9D">
        <w:rPr>
          <w:noProof/>
        </w:rPr>
        <w:drawing>
          <wp:inline distT="0" distB="0" distL="0" distR="0" wp14:anchorId="6B30E328" wp14:editId="4D875E48">
            <wp:extent cx="4606290" cy="2821940"/>
            <wp:effectExtent l="0" t="0" r="3810" b="0"/>
            <wp:docPr id="16" name="Picture 16" descr="This takes the same form as figure 4-17 but relates to Voluntary Income Management. A s with the previous chart it is a complex line chart and shows five populations plotted on two axes. Four of the lines relate to flows – first entry to income management, last exit from income management, exit from income management to a break and return from a break.  The fifth line is a plot on the secondary axis of the number of people on income management.  While as discussed in the text above there is considerable volatility in the data other than with regard to the transition from NTER income management there is no clear pattern in the data except some spikes in mid 2013 which are discu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6290" cy="282194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 xml:space="preserve">Source: </w:t>
      </w:r>
      <w:r w:rsidRPr="00FE502F">
        <w:tab/>
      </w:r>
      <w:r w:rsidR="00305D80">
        <w:t xml:space="preserve">Derived from </w:t>
      </w:r>
      <w:r w:rsidRPr="00FE502F">
        <w:t>DHS Admin</w:t>
      </w:r>
      <w:r w:rsidRPr="009655C3">
        <w:t>istrative data provided for the purposes of the evaluation.</w:t>
      </w:r>
    </w:p>
    <w:p w:rsidR="005E1FE0" w:rsidRPr="00DF38B2" w:rsidRDefault="005E1FE0" w:rsidP="006654AE">
      <w:pPr>
        <w:pStyle w:val="tablefootnoteslastline"/>
      </w:pPr>
    </w:p>
    <w:p w:rsidR="005E1FE0" w:rsidRPr="00DF38B2" w:rsidRDefault="005E1FE0" w:rsidP="006654AE">
      <w:pPr>
        <w:pStyle w:val="Heading3"/>
      </w:pPr>
      <w:bookmarkStart w:id="179" w:name="_Ref391161001"/>
      <w:bookmarkStart w:id="180" w:name="_Toc403739013"/>
      <w:r w:rsidRPr="00DF38B2">
        <w:t xml:space="preserve">Length and proportion of time on </w:t>
      </w:r>
      <w:bookmarkEnd w:id="179"/>
      <w:r w:rsidR="005E4CAC">
        <w:t>income management</w:t>
      </w:r>
      <w:bookmarkEnd w:id="180"/>
    </w:p>
    <w:p w:rsidR="005E1FE0" w:rsidRPr="00FE502F" w:rsidRDefault="005E1FE0" w:rsidP="006654AE">
      <w:r w:rsidRPr="00F61D96">
        <w:t xml:space="preserve">This section </w:t>
      </w:r>
      <w:r w:rsidR="00BF0116" w:rsidRPr="00F61D96">
        <w:t xml:space="preserve">initially </w:t>
      </w:r>
      <w:r w:rsidRPr="00F61D96">
        <w:t xml:space="preserve">focuses on the proportion of </w:t>
      </w:r>
      <w:r w:rsidR="00BF2CE4" w:rsidRPr="00F61D96">
        <w:t xml:space="preserve">time that </w:t>
      </w:r>
      <w:r w:rsidR="00BF0116" w:rsidRPr="00F61D96">
        <w:t xml:space="preserve">people who are on income management actually spend on income management while </w:t>
      </w:r>
      <w:r w:rsidRPr="00F61D96">
        <w:t xml:space="preserve">in receipt of </w:t>
      </w:r>
      <w:r w:rsidR="009D7612">
        <w:t>income support</w:t>
      </w:r>
      <w:r w:rsidRPr="00F61D96">
        <w:t xml:space="preserve"> payments. In</w:t>
      </w:r>
      <w:r w:rsidRPr="00DF38B2">
        <w:t xml:space="preserve"> doing so it also presents data on the average time spent to date by those who are on the program, and those who have exited. Section </w:t>
      </w:r>
      <w:r w:rsidRPr="009655C3">
        <w:fldChar w:fldCharType="begin"/>
      </w:r>
      <w:r w:rsidRPr="00DF38B2">
        <w:instrText xml:space="preserve"> REF _Ref391161136 \r \h </w:instrText>
      </w:r>
      <w:r w:rsidRPr="009655C3">
        <w:fldChar w:fldCharType="separate"/>
      </w:r>
      <w:r w:rsidR="00906D13">
        <w:t>4.5.4</w:t>
      </w:r>
      <w:r w:rsidRPr="009655C3">
        <w:fldChar w:fldCharType="end"/>
      </w:r>
      <w:r w:rsidRPr="00DF38B2">
        <w:t xml:space="preserve"> provides a more detailed review of the duration of time spent on income managemen</w:t>
      </w:r>
      <w:r w:rsidRPr="00FE502F">
        <w:t>t and the issues associated with measuring this.</w:t>
      </w:r>
      <w:r w:rsidR="00201738">
        <w:t xml:space="preserve"> In this section the focus i</w:t>
      </w:r>
      <w:r w:rsidR="00A77C74">
        <w:t>s</w:t>
      </w:r>
      <w:r w:rsidR="00201738">
        <w:t xml:space="preserve"> on all people who have been on </w:t>
      </w:r>
      <w:r w:rsidR="00BF2CE4">
        <w:t>N</w:t>
      </w:r>
      <w:r w:rsidR="00201738">
        <w:t xml:space="preserve">ew </w:t>
      </w:r>
      <w:r w:rsidR="00BF2CE4">
        <w:t>I</w:t>
      </w:r>
      <w:r w:rsidR="00201738">
        <w:t xml:space="preserve">ncome </w:t>
      </w:r>
      <w:r w:rsidR="00BF2CE4">
        <w:t>M</w:t>
      </w:r>
      <w:r w:rsidR="00201738">
        <w:t>anagement up to the end of December 2013 and their experience of income management and income support</w:t>
      </w:r>
      <w:r w:rsidR="00BF2CE4">
        <w:t>,</w:t>
      </w:r>
      <w:r w:rsidR="00201738">
        <w:t xml:space="preserve"> after they first move</w:t>
      </w:r>
      <w:r w:rsidR="0084437C">
        <w:t>d</w:t>
      </w:r>
      <w:r w:rsidR="00201738">
        <w:t xml:space="preserve"> onto income management</w:t>
      </w:r>
      <w:r w:rsidR="006A5A23">
        <w:t>,</w:t>
      </w:r>
      <w:r w:rsidR="00201738">
        <w:rPr>
          <w:rStyle w:val="FootnoteReference"/>
        </w:rPr>
        <w:footnoteReference w:id="64"/>
      </w:r>
      <w:r w:rsidR="00201738">
        <w:t xml:space="preserve"> </w:t>
      </w:r>
      <w:r w:rsidR="00BF2CE4">
        <w:t>over the period</w:t>
      </w:r>
      <w:r w:rsidR="00AF36B6">
        <w:t xml:space="preserve"> from</w:t>
      </w:r>
      <w:r w:rsidR="00BF2CE4">
        <w:t xml:space="preserve"> </w:t>
      </w:r>
      <w:r w:rsidR="00201738">
        <w:t xml:space="preserve">August 2010 </w:t>
      </w:r>
      <w:r w:rsidR="006A5A23">
        <w:t>to</w:t>
      </w:r>
      <w:r w:rsidR="00201738">
        <w:t xml:space="preserve"> December 2013</w:t>
      </w:r>
      <w:r w:rsidR="00445BB3">
        <w:t xml:space="preserve">. </w:t>
      </w:r>
      <w:r w:rsidR="00201738">
        <w:t>As such the analysis does not take into account any previous experience they may have had of income management under the NTER, nor does it take account of their future experience. Hence the data should not be interpreted as an ‘average experience’ of income management</w:t>
      </w:r>
      <w:r w:rsidR="006A5A23">
        <w:t>,</w:t>
      </w:r>
      <w:r w:rsidR="00201738">
        <w:t xml:space="preserve"> since for many this is both a historical and continuing experience.</w:t>
      </w:r>
    </w:p>
    <w:p w:rsidR="005E1FE0" w:rsidRPr="00DF38B2" w:rsidRDefault="005E1FE0" w:rsidP="006654AE">
      <w:r w:rsidRPr="009655C3">
        <w:t xml:space="preserve">For all people who have been on </w:t>
      </w:r>
      <w:r w:rsidR="005E4CAC">
        <w:t>income management</w:t>
      </w:r>
      <w:r w:rsidRPr="009655C3">
        <w:t>, the average number of weeks spent subject to income management</w:t>
      </w:r>
      <w:r w:rsidR="00201738">
        <w:t xml:space="preserve"> between August 2010 and December 2013</w:t>
      </w:r>
      <w:r w:rsidR="006A5A23">
        <w:t xml:space="preserve"> –</w:t>
      </w:r>
      <w:r w:rsidRPr="009655C3">
        <w:t xml:space="preserve"> either to date for t</w:t>
      </w:r>
      <w:r w:rsidRPr="00DF38B2">
        <w:t xml:space="preserve">hose </w:t>
      </w:r>
      <w:r w:rsidR="0084437C">
        <w:t xml:space="preserve">who are still </w:t>
      </w:r>
      <w:r w:rsidRPr="00DF38B2">
        <w:t>on at the end of 2013</w:t>
      </w:r>
      <w:r w:rsidR="006A5A23">
        <w:t>,</w:t>
      </w:r>
      <w:r w:rsidRPr="00DF38B2">
        <w:t xml:space="preserve"> or for those who have completed their time on the program</w:t>
      </w:r>
      <w:r w:rsidR="006A5A23">
        <w:t xml:space="preserve"> –</w:t>
      </w:r>
      <w:r w:rsidRPr="00DF38B2">
        <w:t xml:space="preserve"> is 83.9 weeks</w:t>
      </w:r>
      <w:r w:rsidR="006A5A23">
        <w:t>,</w:t>
      </w:r>
      <w:r w:rsidRPr="00DF38B2">
        <w:t xml:space="preserve"> and the median number of weeks is 69.0. The average proportion of </w:t>
      </w:r>
      <w:r w:rsidR="00BF0116" w:rsidRPr="00DF38B2">
        <w:t xml:space="preserve">the </w:t>
      </w:r>
      <w:r w:rsidRPr="00DF38B2">
        <w:t xml:space="preserve">time </w:t>
      </w:r>
      <w:r w:rsidR="00BF0116" w:rsidRPr="00DF38B2">
        <w:t xml:space="preserve">they are </w:t>
      </w:r>
      <w:r w:rsidRPr="00DF38B2">
        <w:t xml:space="preserve">in receipt of income support </w:t>
      </w:r>
      <w:r w:rsidR="00BF0116" w:rsidRPr="00DF38B2">
        <w:t xml:space="preserve">for which they are </w:t>
      </w:r>
      <w:r w:rsidRPr="00DF38B2">
        <w:t>subject to income management is 77.3 per cent</w:t>
      </w:r>
      <w:r w:rsidR="006A5A23">
        <w:t>,</w:t>
      </w:r>
      <w:r w:rsidRPr="00DF38B2">
        <w:t xml:space="preserve"> and the median is 98.8 per cent (</w:t>
      </w:r>
      <w:r w:rsidRPr="00FE502F">
        <w:fldChar w:fldCharType="begin"/>
      </w:r>
      <w:r w:rsidRPr="00DF38B2">
        <w:instrText xml:space="preserve"> REF _Ref390547842 \h </w:instrText>
      </w:r>
      <w:r w:rsidRPr="00FE502F">
        <w:fldChar w:fldCharType="separate"/>
      </w:r>
      <w:r w:rsidR="00906D13" w:rsidRPr="00DF38B2">
        <w:t xml:space="preserve">Table </w:t>
      </w:r>
      <w:r w:rsidR="00906D13">
        <w:rPr>
          <w:noProof/>
        </w:rPr>
        <w:t>4</w:t>
      </w:r>
      <w:r w:rsidR="00906D13">
        <w:noBreakHyphen/>
      </w:r>
      <w:r w:rsidR="00906D13">
        <w:rPr>
          <w:noProof/>
        </w:rPr>
        <w:t>13</w:t>
      </w:r>
      <w:r w:rsidRPr="00FE502F">
        <w:fldChar w:fldCharType="end"/>
      </w:r>
      <w:r w:rsidRPr="00DF38B2">
        <w:t xml:space="preserve">). On average Indigenous </w:t>
      </w:r>
      <w:r w:rsidR="00BF0116" w:rsidRPr="00FE502F">
        <w:t xml:space="preserve">people </w:t>
      </w:r>
      <w:r w:rsidRPr="009655C3">
        <w:t>spend</w:t>
      </w:r>
      <w:r w:rsidR="00BF0116" w:rsidRPr="009655C3">
        <w:t>:</w:t>
      </w:r>
      <w:r w:rsidRPr="009655C3">
        <w:t xml:space="preserve"> much longer subject to income management</w:t>
      </w:r>
      <w:r w:rsidR="00BF0116" w:rsidRPr="00DF38B2">
        <w:t>;</w:t>
      </w:r>
      <w:r w:rsidRPr="00DF38B2">
        <w:t xml:space="preserve"> a longer period of time receiving </w:t>
      </w:r>
      <w:r w:rsidR="009D7612">
        <w:t>income support</w:t>
      </w:r>
      <w:r w:rsidRPr="00DF38B2">
        <w:t xml:space="preserve"> </w:t>
      </w:r>
      <w:r w:rsidR="009D7612">
        <w:t>p</w:t>
      </w:r>
      <w:r w:rsidRPr="00DF38B2">
        <w:t>ayments</w:t>
      </w:r>
      <w:r w:rsidR="00BF0116" w:rsidRPr="00DF38B2">
        <w:t>;</w:t>
      </w:r>
      <w:r w:rsidRPr="00DF38B2">
        <w:t xml:space="preserve"> and a higher proportion of time while in receipt of </w:t>
      </w:r>
      <w:r w:rsidR="009D7612">
        <w:t>income support</w:t>
      </w:r>
      <w:r w:rsidRPr="00DF38B2">
        <w:t xml:space="preserve"> payments subject to </w:t>
      </w:r>
      <w:r w:rsidR="005E4CAC">
        <w:t>income management</w:t>
      </w:r>
      <w:r w:rsidR="001E2112">
        <w:t>,</w:t>
      </w:r>
      <w:r w:rsidRPr="00DF38B2">
        <w:t xml:space="preserve"> than non-Indigenous</w:t>
      </w:r>
      <w:r w:rsidR="00BF0116" w:rsidRPr="00DF38B2">
        <w:t xml:space="preserve"> people</w:t>
      </w:r>
      <w:r w:rsidRPr="00DF38B2">
        <w:t xml:space="preserve">. On average, Indigenous </w:t>
      </w:r>
      <w:r w:rsidR="00BF0116" w:rsidRPr="00DF38B2">
        <w:t xml:space="preserve">people </w:t>
      </w:r>
      <w:r w:rsidRPr="00DF38B2">
        <w:t>spend 97.1 weeks on income management out of 124.5 weeks receiving income support</w:t>
      </w:r>
      <w:r w:rsidR="006A5A23">
        <w:t>,</w:t>
      </w:r>
      <w:r w:rsidRPr="00DF38B2">
        <w:t xml:space="preserve"> compared to non-Indigenous </w:t>
      </w:r>
      <w:r w:rsidR="00BF0116" w:rsidRPr="00DF38B2">
        <w:t xml:space="preserve">people </w:t>
      </w:r>
      <w:r w:rsidRPr="00DF38B2">
        <w:t xml:space="preserve">who spend, on average, 34.0 weeks on </w:t>
      </w:r>
      <w:r w:rsidR="005E4CAC">
        <w:t>income management</w:t>
      </w:r>
      <w:r w:rsidRPr="00DF38B2">
        <w:t xml:space="preserve"> out of 54.7 weeks receiving income support.</w:t>
      </w:r>
    </w:p>
    <w:p w:rsidR="005E1FE0" w:rsidRPr="00DF38B2" w:rsidRDefault="005E1FE0" w:rsidP="006654AE">
      <w:pPr>
        <w:pStyle w:val="Caption"/>
        <w:ind w:left="1439" w:hanging="1155"/>
      </w:pPr>
      <w:bookmarkStart w:id="181" w:name="_Ref390547842"/>
      <w:bookmarkStart w:id="182" w:name="_Toc403739418"/>
      <w:r w:rsidRPr="00DF38B2">
        <w:lastRenderedPageBreak/>
        <w:t xml:space="preserve">Table </w:t>
      </w:r>
      <w:fldSimple w:instr=" STYLEREF 1 \s ">
        <w:r w:rsidR="00906D13">
          <w:rPr>
            <w:noProof/>
          </w:rPr>
          <w:t>4</w:t>
        </w:r>
      </w:fldSimple>
      <w:r w:rsidR="00D40B64">
        <w:noBreakHyphen/>
      </w:r>
      <w:fldSimple w:instr=" SEQ Table \* ARABIC \s 1 ">
        <w:r w:rsidR="00906D13">
          <w:rPr>
            <w:noProof/>
          </w:rPr>
          <w:t>13</w:t>
        </w:r>
      </w:fldSimple>
      <w:bookmarkEnd w:id="181"/>
      <w:r w:rsidRPr="00DF38B2">
        <w:tab/>
        <w:t xml:space="preserve">Number of weeks on </w:t>
      </w:r>
      <w:r w:rsidR="005E4CAC">
        <w:t>income management</w:t>
      </w:r>
      <w:r w:rsidRPr="00DF38B2">
        <w:t xml:space="preserve"> and proportion of time on </w:t>
      </w:r>
      <w:r w:rsidR="009D7612">
        <w:t>income support</w:t>
      </w:r>
      <w:r w:rsidRPr="00DF38B2">
        <w:t xml:space="preserve"> subject to </w:t>
      </w:r>
      <w:r w:rsidR="005E4CAC">
        <w:t>income management</w:t>
      </w:r>
      <w:r w:rsidR="00310622">
        <w:t xml:space="preserve"> between </w:t>
      </w:r>
      <w:r w:rsidR="00201738">
        <w:t xml:space="preserve">August 2010 </w:t>
      </w:r>
      <w:r w:rsidR="006A5A23">
        <w:t>and</w:t>
      </w:r>
      <w:r w:rsidR="00201738">
        <w:t xml:space="preserve"> December 2013</w:t>
      </w:r>
      <w:r w:rsidR="00310622">
        <w:t xml:space="preserve">, </w:t>
      </w:r>
      <w:r w:rsidR="005E1DCA">
        <w:t xml:space="preserve">persons in the Northern Territory </w:t>
      </w:r>
      <w:r w:rsidR="00310622" w:rsidRPr="00DF38B2">
        <w:t xml:space="preserve">by Indigenous </w:t>
      </w:r>
      <w:r w:rsidR="005E1DCA">
        <w:t>s</w:t>
      </w:r>
      <w:r w:rsidR="00310622" w:rsidRPr="00DF38B2">
        <w:t>tatus</w:t>
      </w:r>
      <w:bookmarkEnd w:id="182"/>
    </w:p>
    <w:tbl>
      <w:tblPr>
        <w:tblW w:w="6807" w:type="dxa"/>
        <w:jc w:val="center"/>
        <w:tblLayout w:type="fixed"/>
        <w:tblLook w:val="0000" w:firstRow="0" w:lastRow="0" w:firstColumn="0" w:lastColumn="0" w:noHBand="0" w:noVBand="0"/>
        <w:tblDescription w:val="This table provides data on the mean and median duration amount of time people spend on income support and income management, and the proportion of time on income support spent on income management.  The three data columns provide the duration of time on income management (in weeks), the duration of time on income support, again in weeks and the proportion of time on income support on income management.&#10;It has a total of six rows of data – the first two rows are for Indigenous people and provides the mean and median values for the three items in the columns, this then is followed by the mean and median for non-Indigenous people and again for all persons.&#10;The main features of the table are described in the text.&#10;"/>
      </w:tblPr>
      <w:tblGrid>
        <w:gridCol w:w="1476"/>
        <w:gridCol w:w="1134"/>
        <w:gridCol w:w="1275"/>
        <w:gridCol w:w="1134"/>
        <w:gridCol w:w="1788"/>
      </w:tblGrid>
      <w:tr w:rsidR="00B102A0" w:rsidRPr="0072072C" w:rsidTr="00B102A0">
        <w:trPr>
          <w:trHeight w:val="20"/>
          <w:tblHeader/>
          <w:jc w:val="center"/>
        </w:trPr>
        <w:tc>
          <w:tcPr>
            <w:tcW w:w="1476" w:type="dxa"/>
            <w:tcBorders>
              <w:top w:val="single" w:sz="4" w:space="0" w:color="auto"/>
              <w:left w:val="nil"/>
              <w:bottom w:val="single" w:sz="4" w:space="0" w:color="auto"/>
              <w:right w:val="nil"/>
            </w:tcBorders>
          </w:tcPr>
          <w:p w:rsidR="00B102A0" w:rsidRPr="0072072C" w:rsidRDefault="00B102A0" w:rsidP="006654AE">
            <w:pPr>
              <w:pStyle w:val="tabletextleft"/>
            </w:pPr>
            <w:r w:rsidRPr="0072072C">
              <w:t>Indigenous status</w:t>
            </w:r>
          </w:p>
        </w:tc>
        <w:tc>
          <w:tcPr>
            <w:tcW w:w="1134" w:type="dxa"/>
            <w:tcBorders>
              <w:top w:val="single" w:sz="4" w:space="0" w:color="auto"/>
              <w:left w:val="nil"/>
              <w:bottom w:val="single" w:sz="4" w:space="0" w:color="auto"/>
              <w:right w:val="nil"/>
            </w:tcBorders>
          </w:tcPr>
          <w:p w:rsidR="00B102A0" w:rsidRPr="0072072C" w:rsidRDefault="00B102A0" w:rsidP="006654AE">
            <w:pPr>
              <w:pStyle w:val="tabletextleft"/>
            </w:pPr>
            <w:r w:rsidRPr="0072072C">
              <w:t>Proportion of time</w:t>
            </w:r>
          </w:p>
        </w:tc>
        <w:tc>
          <w:tcPr>
            <w:tcW w:w="1275"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Number of weeks on income management</w:t>
            </w:r>
          </w:p>
        </w:tc>
        <w:tc>
          <w:tcPr>
            <w:tcW w:w="1134"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Weeks receiving income support</w:t>
            </w:r>
          </w:p>
        </w:tc>
        <w:tc>
          <w:tcPr>
            <w:tcW w:w="1788"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 xml:space="preserve"> Proportion of time receiving income support subject to income management</w:t>
            </w:r>
          </w:p>
          <w:p w:rsidR="00B102A0" w:rsidRPr="0072072C" w:rsidRDefault="00B102A0" w:rsidP="006654AE">
            <w:pPr>
              <w:pStyle w:val="tabletextright"/>
            </w:pPr>
            <w:r w:rsidRPr="0072072C">
              <w:t>(%)</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Indigenous</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97.1</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124.5</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77.6</w:t>
            </w:r>
          </w:p>
        </w:tc>
      </w:tr>
      <w:tr w:rsidR="0072072C" w:rsidRPr="0072072C"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96.0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148.0</w:t>
            </w:r>
          </w:p>
        </w:tc>
        <w:tc>
          <w:tcPr>
            <w:tcW w:w="1788" w:type="dxa"/>
            <w:tcBorders>
              <w:top w:val="nil"/>
              <w:left w:val="nil"/>
              <w:bottom w:val="single" w:sz="4" w:space="0" w:color="auto"/>
              <w:right w:val="nil"/>
            </w:tcBorders>
            <w:vAlign w:val="bottom"/>
          </w:tcPr>
          <w:p w:rsidR="0072072C" w:rsidRPr="0072072C" w:rsidRDefault="0072072C" w:rsidP="006654AE">
            <w:pPr>
              <w:pStyle w:val="tabletextright"/>
            </w:pPr>
            <w:r w:rsidRPr="0072072C">
              <w:t>97.4</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Non-Indigenous</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34.0</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54.7</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75.9</w:t>
            </w:r>
          </w:p>
        </w:tc>
      </w:tr>
      <w:tr w:rsidR="0072072C" w:rsidRPr="0072072C"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16.0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34.0</w:t>
            </w:r>
          </w:p>
        </w:tc>
        <w:tc>
          <w:tcPr>
            <w:tcW w:w="1788" w:type="dxa"/>
            <w:tcBorders>
              <w:top w:val="nil"/>
              <w:left w:val="nil"/>
              <w:bottom w:val="single" w:sz="4" w:space="0" w:color="auto"/>
              <w:right w:val="nil"/>
            </w:tcBorders>
            <w:vAlign w:val="bottom"/>
          </w:tcPr>
          <w:p w:rsidR="0072072C" w:rsidRPr="0072072C" w:rsidRDefault="0072072C" w:rsidP="006654AE">
            <w:pPr>
              <w:pStyle w:val="tabletextright"/>
            </w:pPr>
            <w:r w:rsidRPr="0072072C">
              <w:t>100.0</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Total</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83.9</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109.9</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77.3</w:t>
            </w:r>
          </w:p>
        </w:tc>
      </w:tr>
      <w:tr w:rsidR="0072072C" w:rsidRPr="00DF38B2"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69.0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126.0</w:t>
            </w:r>
          </w:p>
        </w:tc>
        <w:tc>
          <w:tcPr>
            <w:tcW w:w="1788" w:type="dxa"/>
            <w:tcBorders>
              <w:top w:val="nil"/>
              <w:left w:val="nil"/>
              <w:bottom w:val="single" w:sz="4" w:space="0" w:color="auto"/>
              <w:right w:val="nil"/>
            </w:tcBorders>
            <w:vAlign w:val="bottom"/>
          </w:tcPr>
          <w:p w:rsidR="0072072C" w:rsidRPr="00A77FC9" w:rsidRDefault="0072072C" w:rsidP="006654AE">
            <w:pPr>
              <w:pStyle w:val="tabletextright"/>
            </w:pPr>
            <w:r w:rsidRPr="0072072C">
              <w:t>98.8</w:t>
            </w:r>
          </w:p>
        </w:tc>
      </w:tr>
      <w:tr w:rsidR="00B102A0" w:rsidRPr="00DF38B2" w:rsidTr="00B102A0">
        <w:trPr>
          <w:trHeight w:val="20"/>
          <w:jc w:val="center"/>
        </w:trPr>
        <w:tc>
          <w:tcPr>
            <w:tcW w:w="1476" w:type="dxa"/>
            <w:tcBorders>
              <w:top w:val="single" w:sz="4" w:space="0" w:color="auto"/>
              <w:left w:val="nil"/>
              <w:bottom w:val="nil"/>
              <w:right w:val="nil"/>
            </w:tcBorders>
          </w:tcPr>
          <w:p w:rsidR="00B102A0" w:rsidRPr="00DF38B2" w:rsidRDefault="00B102A0" w:rsidP="006654AE">
            <w:pPr>
              <w:pStyle w:val="tabletextleft"/>
              <w:keepNext w:val="0"/>
              <w:keepLines w:val="0"/>
            </w:pPr>
          </w:p>
        </w:tc>
        <w:tc>
          <w:tcPr>
            <w:tcW w:w="1134" w:type="dxa"/>
            <w:tcBorders>
              <w:top w:val="single" w:sz="4" w:space="0" w:color="auto"/>
              <w:left w:val="nil"/>
              <w:bottom w:val="nil"/>
              <w:right w:val="nil"/>
            </w:tcBorders>
          </w:tcPr>
          <w:p w:rsidR="00B102A0" w:rsidRPr="00DF38B2" w:rsidRDefault="00B102A0" w:rsidP="006654AE">
            <w:pPr>
              <w:pStyle w:val="tabletextleft"/>
              <w:keepNext w:val="0"/>
              <w:keepLines w:val="0"/>
            </w:pPr>
          </w:p>
        </w:tc>
        <w:tc>
          <w:tcPr>
            <w:tcW w:w="1275" w:type="dxa"/>
            <w:tcBorders>
              <w:top w:val="single" w:sz="4" w:space="0" w:color="auto"/>
              <w:left w:val="nil"/>
              <w:bottom w:val="nil"/>
              <w:right w:val="nil"/>
            </w:tcBorders>
          </w:tcPr>
          <w:p w:rsidR="00B102A0" w:rsidRPr="00DF38B2" w:rsidRDefault="00B102A0" w:rsidP="006654AE">
            <w:pPr>
              <w:pStyle w:val="tabletextright"/>
              <w:keepNext w:val="0"/>
              <w:keepLines w:val="0"/>
            </w:pPr>
          </w:p>
        </w:tc>
        <w:tc>
          <w:tcPr>
            <w:tcW w:w="1134" w:type="dxa"/>
            <w:tcBorders>
              <w:top w:val="single" w:sz="4" w:space="0" w:color="auto"/>
              <w:left w:val="nil"/>
              <w:bottom w:val="nil"/>
              <w:right w:val="nil"/>
            </w:tcBorders>
          </w:tcPr>
          <w:p w:rsidR="00B102A0" w:rsidRPr="00DF38B2" w:rsidRDefault="00B102A0" w:rsidP="006654AE">
            <w:pPr>
              <w:pStyle w:val="tabletextright"/>
              <w:keepNext w:val="0"/>
              <w:keepLines w:val="0"/>
            </w:pPr>
          </w:p>
        </w:tc>
        <w:tc>
          <w:tcPr>
            <w:tcW w:w="1788" w:type="dxa"/>
            <w:tcBorders>
              <w:top w:val="single" w:sz="4" w:space="0" w:color="auto"/>
              <w:left w:val="nil"/>
              <w:bottom w:val="nil"/>
              <w:right w:val="nil"/>
            </w:tcBorders>
          </w:tcPr>
          <w:p w:rsidR="00B102A0" w:rsidRPr="00DF38B2" w:rsidRDefault="00B102A0" w:rsidP="006654AE">
            <w:pPr>
              <w:pStyle w:val="tabletextright"/>
              <w:keepNext w:val="0"/>
              <w:keepLines w:val="0"/>
            </w:pPr>
          </w:p>
        </w:tc>
      </w:tr>
    </w:tbl>
    <w:p w:rsidR="00822E8A" w:rsidRDefault="00822E8A" w:rsidP="006654AE">
      <w:pPr>
        <w:pStyle w:val="tablenotes"/>
        <w:ind w:left="1437" w:hanging="870"/>
      </w:pPr>
    </w:p>
    <w:p w:rsidR="005E1FE0" w:rsidRPr="00DF38B2" w:rsidRDefault="005E1FE0" w:rsidP="006654AE">
      <w:pPr>
        <w:pStyle w:val="tablenotes"/>
        <w:ind w:left="1437" w:hanging="870"/>
      </w:pPr>
      <w:r w:rsidRPr="00DF38B2">
        <w:t>Notes:</w:t>
      </w:r>
      <w:r w:rsidRPr="00DF38B2">
        <w:tab/>
        <w:t xml:space="preserve">Table population restricted to people who spend some time subject to </w:t>
      </w:r>
      <w:r w:rsidR="005E4CAC">
        <w:t>income management</w:t>
      </w:r>
      <w:r w:rsidRPr="00DF38B2">
        <w:t xml:space="preserve"> (excludes people who received an exemption prior to commencing income management). The proportion of time receiving income support subject to income management differs from the average number of weeks subject to income management divided by the average number of weeks receiving income support. This is because the average number of weeks is weighted by the number of weeks</w:t>
      </w:r>
      <w:r w:rsidR="002447D3">
        <w:t>,</w:t>
      </w:r>
      <w:r w:rsidRPr="00DF38B2">
        <w:t xml:space="preserve"> whereas the proportion of time spent subject to income management is the average of the proportion calculated for each individual</w:t>
      </w:r>
      <w:r w:rsidR="002447D3">
        <w:t>,</w:t>
      </w:r>
      <w:r w:rsidRPr="00DF38B2">
        <w:t xml:space="preserve"> and is therefore not weighted by duration.</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FE502F">
        <w:fldChar w:fldCharType="begin"/>
      </w:r>
      <w:r w:rsidRPr="00DF38B2">
        <w:instrText xml:space="preserve"> REF _Ref390549278 \h </w:instrText>
      </w:r>
      <w:r w:rsidRPr="00FE502F">
        <w:fldChar w:fldCharType="separate"/>
      </w:r>
      <w:r w:rsidR="00906D13" w:rsidRPr="00DF38B2">
        <w:t xml:space="preserve">Figure </w:t>
      </w:r>
      <w:r w:rsidR="00906D13">
        <w:rPr>
          <w:noProof/>
        </w:rPr>
        <w:t>4</w:t>
      </w:r>
      <w:r w:rsidR="00906D13" w:rsidRPr="00DF38B2">
        <w:noBreakHyphen/>
      </w:r>
      <w:r w:rsidR="00906D13">
        <w:rPr>
          <w:noProof/>
        </w:rPr>
        <w:t>19</w:t>
      </w:r>
      <w:r w:rsidRPr="00FE502F">
        <w:fldChar w:fldCharType="end"/>
      </w:r>
      <w:r w:rsidRPr="00DF38B2">
        <w:t xml:space="preserve"> shows the average number of weeks on </w:t>
      </w:r>
      <w:r w:rsidR="005E4CAC">
        <w:t>income management</w:t>
      </w:r>
      <w:r w:rsidRPr="00DF38B2">
        <w:t xml:space="preserve"> and the proportion of time on </w:t>
      </w:r>
      <w:r w:rsidR="009D7612">
        <w:t>income support</w:t>
      </w:r>
      <w:r w:rsidRPr="00DF38B2">
        <w:t xml:space="preserve"> payments spent subject to </w:t>
      </w:r>
      <w:r w:rsidR="005E4CAC">
        <w:t>income management</w:t>
      </w:r>
      <w:r w:rsidR="00201738">
        <w:t xml:space="preserve"> over the period August 2010 to December 2013</w:t>
      </w:r>
      <w:r w:rsidRPr="00DF38B2">
        <w:t xml:space="preserve"> by age</w:t>
      </w:r>
      <w:r w:rsidR="00BF0116" w:rsidRPr="009655C3">
        <w:t xml:space="preserve"> group</w:t>
      </w:r>
      <w:r w:rsidR="00310622">
        <w:t xml:space="preserve"> for all people who have spent some time on income management in the Northern Territory</w:t>
      </w:r>
      <w:r w:rsidR="00BF0116" w:rsidRPr="009655C3">
        <w:t>.</w:t>
      </w:r>
      <w:r w:rsidRPr="009655C3">
        <w:t xml:space="preserve"> The average number of weeks spent on </w:t>
      </w:r>
      <w:r w:rsidR="005E4CAC">
        <w:t>income management</w:t>
      </w:r>
      <w:r w:rsidRPr="009655C3">
        <w:t xml:space="preserve"> increases with age from </w:t>
      </w:r>
      <w:r w:rsidR="00201738">
        <w:t>64.3</w:t>
      </w:r>
      <w:r w:rsidR="00201738" w:rsidRPr="009655C3">
        <w:t xml:space="preserve"> </w:t>
      </w:r>
      <w:r w:rsidRPr="009655C3">
        <w:t xml:space="preserve">weeks for those less than 18 years of age </w:t>
      </w:r>
      <w:r w:rsidR="002447D3">
        <w:t xml:space="preserve">– </w:t>
      </w:r>
      <w:r w:rsidRPr="009655C3">
        <w:t xml:space="preserve">who have had relatively little time to be </w:t>
      </w:r>
      <w:r w:rsidR="00A77C74">
        <w:t>i</w:t>
      </w:r>
      <w:r w:rsidRPr="009655C3">
        <w:t xml:space="preserve">ncome </w:t>
      </w:r>
      <w:r w:rsidR="00A77C74">
        <w:t>m</w:t>
      </w:r>
      <w:r w:rsidRPr="009655C3">
        <w:t>anaged</w:t>
      </w:r>
      <w:r w:rsidR="002447D3">
        <w:t xml:space="preserve"> –</w:t>
      </w:r>
      <w:r w:rsidRPr="009655C3">
        <w:t xml:space="preserve"> to </w:t>
      </w:r>
      <w:r w:rsidR="00201738">
        <w:t>117.2</w:t>
      </w:r>
      <w:r w:rsidR="00201738" w:rsidRPr="009655C3">
        <w:t xml:space="preserve"> </w:t>
      </w:r>
      <w:r w:rsidRPr="00DF38B2">
        <w:t xml:space="preserve">weeks for those aged 65 years and older. The proportion of time spent on </w:t>
      </w:r>
      <w:r w:rsidR="009D7612">
        <w:t>income support</w:t>
      </w:r>
      <w:r w:rsidRPr="00DF38B2">
        <w:t xml:space="preserve"> subject to </w:t>
      </w:r>
      <w:r w:rsidR="005E4CAC">
        <w:t>income management</w:t>
      </w:r>
      <w:r w:rsidRPr="00DF38B2">
        <w:t xml:space="preserve"> is </w:t>
      </w:r>
      <w:r w:rsidR="00201738">
        <w:t>between 75 per cent and 80 per cent for all age groups</w:t>
      </w:r>
      <w:r w:rsidR="002447D3">
        <w:t>,</w:t>
      </w:r>
      <w:r w:rsidR="00201738">
        <w:t xml:space="preserve"> with no consistent pattern</w:t>
      </w:r>
      <w:r w:rsidRPr="00DF38B2">
        <w:t>.</w:t>
      </w:r>
    </w:p>
    <w:p w:rsidR="005E1FE0" w:rsidRPr="00DF38B2" w:rsidRDefault="005E1FE0" w:rsidP="006654AE">
      <w:pPr>
        <w:pStyle w:val="Caption"/>
        <w:keepLines/>
        <w:ind w:left="1439" w:hanging="1155"/>
      </w:pPr>
      <w:bookmarkStart w:id="183" w:name="_Ref390549278"/>
      <w:bookmarkStart w:id="184" w:name="_Toc40373951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19</w:t>
      </w:r>
      <w:r w:rsidR="00040708" w:rsidRPr="00F157EE">
        <w:fldChar w:fldCharType="end"/>
      </w:r>
      <w:bookmarkEnd w:id="183"/>
      <w:r w:rsidRPr="00DF38B2">
        <w:tab/>
        <w:t xml:space="preserve">Length of time subject to </w:t>
      </w:r>
      <w:r w:rsidR="005E4CAC">
        <w:t>income management</w:t>
      </w:r>
      <w:r w:rsidRPr="00DF38B2">
        <w:t xml:space="preserve"> and proportion time on </w:t>
      </w:r>
      <w:r w:rsidR="009D7612">
        <w:t>income support</w:t>
      </w:r>
      <w:r w:rsidRPr="00DF38B2">
        <w:t xml:space="preserve"> </w:t>
      </w:r>
      <w:r w:rsidR="005E1DCA">
        <w:t xml:space="preserve">in the Northern Territory </w:t>
      </w:r>
      <w:r w:rsidR="00201738">
        <w:t>between August 2010 and December 2013</w:t>
      </w:r>
      <w:r w:rsidR="00310622">
        <w:t xml:space="preserve">, </w:t>
      </w:r>
      <w:r w:rsidR="00310622" w:rsidRPr="00DF38B2">
        <w:t>by age</w:t>
      </w:r>
      <w:bookmarkEnd w:id="184"/>
    </w:p>
    <w:p w:rsidR="005E1FE0" w:rsidRPr="00DF38B2" w:rsidRDefault="005E1FE0" w:rsidP="006654AE">
      <w:pPr>
        <w:pStyle w:val="graphicpaste"/>
      </w:pPr>
      <w:r w:rsidRPr="008E4D9D">
        <w:rPr>
          <w:noProof/>
        </w:rPr>
        <w:drawing>
          <wp:inline distT="0" distB="0" distL="0" distR="0" wp14:anchorId="5D38C772" wp14:editId="664851B4">
            <wp:extent cx="4670425" cy="2635250"/>
            <wp:effectExtent l="0" t="0" r="0" b="0"/>
            <wp:docPr id="17" name="Picture 17" descr="Chart shows two lines plotted on two vertical axes with age groups on the horizontal axis. The two lines are for the proportion of time on income support spent on income management and the average number of weeks spent on income management.&#10;Trends in the chart are describ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0425" cy="263525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Notes:</w:t>
      </w:r>
      <w:r w:rsidRPr="00FE502F">
        <w:tab/>
      </w:r>
      <w:r w:rsidR="000A3982">
        <w:t xml:space="preserve">Figure </w:t>
      </w:r>
      <w:r w:rsidRPr="00FE502F">
        <w:t xml:space="preserve">population </w:t>
      </w:r>
      <w:r w:rsidR="000A3982">
        <w:t xml:space="preserve">is </w:t>
      </w:r>
      <w:r w:rsidRPr="00FE502F">
        <w:t>restricted to people who spend some time subject to income management (excludes p</w:t>
      </w:r>
      <w:r w:rsidRPr="009655C3">
        <w:t>eople who received an exemption prior to commencing income management</w:t>
      </w:r>
      <w:r w:rsidR="00310622">
        <w:t>)</w:t>
      </w:r>
      <w:r w:rsidRPr="009655C3">
        <w:t>.</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fldChar w:fldCharType="begin"/>
      </w:r>
      <w:r w:rsidRPr="00DF38B2">
        <w:instrText xml:space="preserve"> REF _Ref390549671 \h </w:instrText>
      </w:r>
      <w:r w:rsidRPr="00DF38B2">
        <w:fldChar w:fldCharType="separate"/>
      </w:r>
      <w:r w:rsidR="00906D13" w:rsidRPr="00DF38B2">
        <w:t xml:space="preserve">Figure </w:t>
      </w:r>
      <w:r w:rsidR="00906D13">
        <w:rPr>
          <w:noProof/>
        </w:rPr>
        <w:t>4</w:t>
      </w:r>
      <w:r w:rsidR="00906D13" w:rsidRPr="00DF38B2">
        <w:noBreakHyphen/>
      </w:r>
      <w:r w:rsidR="00906D13">
        <w:rPr>
          <w:noProof/>
        </w:rPr>
        <w:t>20</w:t>
      </w:r>
      <w:r w:rsidRPr="00DF38B2">
        <w:fldChar w:fldCharType="end"/>
      </w:r>
      <w:r w:rsidRPr="00DF38B2">
        <w:t xml:space="preserve"> shows the proportion of time spent on </w:t>
      </w:r>
      <w:r w:rsidR="009D7612">
        <w:t>income support</w:t>
      </w:r>
      <w:r w:rsidRPr="00DF38B2">
        <w:t xml:space="preserve"> subject to income management according to when a person was first on New Income Manageme</w:t>
      </w:r>
      <w:r w:rsidRPr="00FE502F">
        <w:t>nt in the Northern Territory. Those who transition</w:t>
      </w:r>
      <w:r w:rsidR="00310622">
        <w:t>ed</w:t>
      </w:r>
      <w:r w:rsidRPr="00FE502F">
        <w:t xml:space="preserve"> from NTER Income Management to New Income Management </w:t>
      </w:r>
      <w:r w:rsidR="00310622">
        <w:t>mostly</w:t>
      </w:r>
      <w:r w:rsidRPr="00FE502F">
        <w:t xml:space="preserve"> entered New Income Management in the </w:t>
      </w:r>
      <w:r w:rsidR="002447D3">
        <w:t xml:space="preserve">third or fourth </w:t>
      </w:r>
      <w:r w:rsidRPr="009655C3">
        <w:t>quarter of</w:t>
      </w:r>
      <w:r w:rsidRPr="00DF38B2">
        <w:t xml:space="preserve"> 2010. </w:t>
      </w:r>
    </w:p>
    <w:p w:rsidR="005E1FE0" w:rsidRPr="00DF38B2" w:rsidRDefault="005E1FE0" w:rsidP="006654AE">
      <w:pPr>
        <w:pStyle w:val="Caption"/>
        <w:ind w:left="1439" w:hanging="1155"/>
      </w:pPr>
      <w:bookmarkStart w:id="185" w:name="_Ref390549671"/>
      <w:bookmarkStart w:id="186" w:name="_Toc403739513"/>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20</w:t>
      </w:r>
      <w:r w:rsidR="00040708" w:rsidRPr="00F157EE">
        <w:fldChar w:fldCharType="end"/>
      </w:r>
      <w:bookmarkEnd w:id="185"/>
      <w:r w:rsidRPr="00DF38B2">
        <w:tab/>
        <w:t xml:space="preserve">Proportion of time on </w:t>
      </w:r>
      <w:r w:rsidR="009D7612">
        <w:t>income support</w:t>
      </w:r>
      <w:r w:rsidRPr="00DF38B2">
        <w:t xml:space="preserve"> subject to </w:t>
      </w:r>
      <w:r w:rsidR="005E4CAC">
        <w:t>income management</w:t>
      </w:r>
      <w:r w:rsidRPr="00DF38B2">
        <w:t xml:space="preserve"> </w:t>
      </w:r>
      <w:r w:rsidR="00310622">
        <w:t>between August 2010 and December 2013,</w:t>
      </w:r>
      <w:r w:rsidR="002447D3">
        <w:t xml:space="preserve"> </w:t>
      </w:r>
      <w:r w:rsidRPr="00DF38B2">
        <w:t>by when first on New Income Management in the Northern Territory and Indigenous status</w:t>
      </w:r>
      <w:bookmarkEnd w:id="186"/>
    </w:p>
    <w:p w:rsidR="005E1FE0" w:rsidRPr="00DF38B2" w:rsidRDefault="005E1FE0" w:rsidP="006654AE">
      <w:pPr>
        <w:pStyle w:val="graphicpaste"/>
      </w:pPr>
      <w:r w:rsidRPr="008E4D9D">
        <w:rPr>
          <w:noProof/>
        </w:rPr>
        <w:drawing>
          <wp:inline distT="0" distB="0" distL="0" distR="0" wp14:anchorId="7F7358CD" wp14:editId="0722BEB1">
            <wp:extent cx="4670425" cy="2635250"/>
            <wp:effectExtent l="0" t="0" r="0" b="0"/>
            <wp:docPr id="21" name="Picture 21" descr="The horizontal axis of this chart are the quarters from the 3rd quarter of 2010 to the 4th quarter of 2013 with the vertical axis being the proportion of time on income support which is spent on income management. Two series are plotted against this, one for Indigenous persons, and one for non-Indigenous persons. The chart shows an increasing proportion of time associated with more recent commencements, other features are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0425" cy="263525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Notes:</w:t>
      </w:r>
      <w:r w:rsidRPr="00FE502F">
        <w:tab/>
      </w:r>
      <w:r w:rsidR="000A3982">
        <w:t>Figure</w:t>
      </w:r>
      <w:r w:rsidR="000A3982" w:rsidRPr="00FE502F">
        <w:t xml:space="preserve"> </w:t>
      </w:r>
      <w:r w:rsidRPr="00FE502F">
        <w:t>populatio</w:t>
      </w:r>
      <w:r w:rsidRPr="009655C3">
        <w:t xml:space="preserve">n </w:t>
      </w:r>
      <w:r w:rsidR="000A3982">
        <w:t xml:space="preserve">is </w:t>
      </w:r>
      <w:r w:rsidRPr="009655C3">
        <w:t>restricted to people who spend some time subject to income management (excludes people who received an exemption prior to commencing income management).</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 xml:space="preserve">The proportion of time spent on </w:t>
      </w:r>
      <w:r w:rsidR="005E4CAC">
        <w:t>income management</w:t>
      </w:r>
      <w:r w:rsidRPr="00DF38B2">
        <w:t xml:space="preserve"> is relatively high </w:t>
      </w:r>
      <w:r w:rsidR="002447D3">
        <w:t xml:space="preserve">– </w:t>
      </w:r>
      <w:r w:rsidRPr="00DF38B2">
        <w:t xml:space="preserve">nearly 70 per cent of the time on </w:t>
      </w:r>
      <w:r w:rsidR="009D7612">
        <w:t>income support</w:t>
      </w:r>
      <w:r w:rsidR="002447D3">
        <w:t xml:space="preserve"> –</w:t>
      </w:r>
      <w:r w:rsidRPr="00DF38B2">
        <w:t xml:space="preserve"> irrespective of when </w:t>
      </w:r>
      <w:r w:rsidR="00310622">
        <w:t xml:space="preserve">the person </w:t>
      </w:r>
      <w:r w:rsidRPr="00DF38B2">
        <w:t>first entered New Income Management for both Indigenous and non-Indigenous, although the proportion of time subject to income management is lower for non-Indigenous</w:t>
      </w:r>
      <w:r w:rsidR="002447D3">
        <w:t>,</w:t>
      </w:r>
      <w:r w:rsidRPr="00DF38B2">
        <w:t xml:space="preserve"> who entered before the </w:t>
      </w:r>
      <w:r w:rsidR="002447D3">
        <w:t xml:space="preserve">third </w:t>
      </w:r>
      <w:r w:rsidRPr="00DF38B2">
        <w:t xml:space="preserve">quarter </w:t>
      </w:r>
      <w:r w:rsidR="00A77C74">
        <w:t xml:space="preserve">of </w:t>
      </w:r>
      <w:r w:rsidRPr="00DF38B2">
        <w:t>2011</w:t>
      </w:r>
      <w:r w:rsidR="002447D3">
        <w:t>,</w:t>
      </w:r>
      <w:r w:rsidRPr="00DF38B2">
        <w:t xml:space="preserve"> compared to Indigenous</w:t>
      </w:r>
      <w:r w:rsidR="002447D3">
        <w:t>,</w:t>
      </w:r>
      <w:r w:rsidRPr="00DF38B2">
        <w:t xml:space="preserve"> who moved onto New Income Management during this period. The entry cohorts that included a high proportion of people who had been on NTER Income Management spend a higher proportion of time subject to income management than those who entered</w:t>
      </w:r>
      <w:r w:rsidR="00AF36B6">
        <w:t xml:space="preserve"> a little</w:t>
      </w:r>
      <w:r w:rsidRPr="00DF38B2">
        <w:t xml:space="preserve"> later. Apart from this initial cohort, the proportion of time on income support spent subject to income management increases the more recent the first entry onto </w:t>
      </w:r>
      <w:r w:rsidR="005E4CAC">
        <w:t>income management</w:t>
      </w:r>
      <w:r w:rsidR="002447D3">
        <w:t xml:space="preserve"> occurs</w:t>
      </w:r>
      <w:r w:rsidR="00310622">
        <w:t xml:space="preserve">. </w:t>
      </w:r>
      <w:r w:rsidR="002447D3">
        <w:t>However, t</w:t>
      </w:r>
      <w:r w:rsidR="00310622">
        <w:t>his result needs to be treated with caution as it may be biased by the non-recording of previous periods of income management and the non</w:t>
      </w:r>
      <w:r w:rsidR="002447D3">
        <w:t>-</w:t>
      </w:r>
      <w:r w:rsidR="00310622">
        <w:t>recording of periods of income support prior to being income managed.</w:t>
      </w:r>
    </w:p>
    <w:p w:rsidR="005E1FE0" w:rsidRPr="00DF38B2" w:rsidRDefault="005E1FE0" w:rsidP="006654AE">
      <w:pPr>
        <w:pStyle w:val="Heading3"/>
      </w:pPr>
      <w:bookmarkStart w:id="187" w:name="_Toc403739014"/>
      <w:r w:rsidRPr="00DF38B2">
        <w:t>Dynamics of income management and duration</w:t>
      </w:r>
      <w:bookmarkEnd w:id="187"/>
      <w:r w:rsidRPr="00DF38B2">
        <w:t xml:space="preserve"> </w:t>
      </w:r>
    </w:p>
    <w:p w:rsidR="005E1FE0" w:rsidRPr="00DF38B2" w:rsidRDefault="005E1FE0" w:rsidP="006654AE">
      <w:r w:rsidRPr="00DF38B2">
        <w:t>This section provides a summary of the movements on and off income management as well as movements between income management streams. It also analyses the length of time (duration) that people are subject to income management and how this differs according to type of income management, Indigenous status</w:t>
      </w:r>
      <w:r w:rsidR="002447D3">
        <w:t>,</w:t>
      </w:r>
      <w:r w:rsidRPr="00DF38B2">
        <w:t xml:space="preserve"> and gender.</w:t>
      </w:r>
    </w:p>
    <w:p w:rsidR="005E1FE0" w:rsidRPr="00DF38B2" w:rsidRDefault="005E1FE0" w:rsidP="006654AE">
      <w:pPr>
        <w:pStyle w:val="Heading4"/>
      </w:pPr>
      <w:r w:rsidRPr="00DF38B2">
        <w:t>Transitions over time: From NTER to December 2013</w:t>
      </w:r>
    </w:p>
    <w:p w:rsidR="005E1FE0" w:rsidRPr="009655C3" w:rsidRDefault="005E1FE0" w:rsidP="006654AE">
      <w:r w:rsidRPr="00DF38B2">
        <w:t>As discussed in Chapter 2, the experience of people on</w:t>
      </w:r>
      <w:r w:rsidR="00C32D5A">
        <w:t xml:space="preserve"> New Income Management</w:t>
      </w:r>
      <w:r w:rsidRPr="00DF38B2">
        <w:t xml:space="preserve"> in the Northern Territory cannot be detached from their previous experience of income management under the NTER. Given this</w:t>
      </w:r>
      <w:r w:rsidR="002447D3">
        <w:t>,</w:t>
      </w:r>
      <w:r w:rsidRPr="00DF38B2">
        <w:t xml:space="preserve"> it is useful to commence consideration of the transitions of people on income management by looking at the experience of those who had been on income management prior to the introduction of</w:t>
      </w:r>
      <w:r w:rsidR="00C32D5A">
        <w:t xml:space="preserve"> New Income Management</w:t>
      </w:r>
      <w:r w:rsidRPr="00DF38B2">
        <w:t xml:space="preserve">. </w:t>
      </w:r>
      <w:r w:rsidRPr="00DF38B2">
        <w:fldChar w:fldCharType="begin"/>
      </w:r>
      <w:r w:rsidRPr="00DF38B2">
        <w:instrText xml:space="preserve"> REF _Ref389945092 \h </w:instrText>
      </w:r>
      <w:r w:rsidRPr="00DF38B2">
        <w:fldChar w:fldCharType="separate"/>
      </w:r>
      <w:r w:rsidR="00906D13" w:rsidRPr="009655C3">
        <w:t xml:space="preserve">Table </w:t>
      </w:r>
      <w:r w:rsidR="00906D13">
        <w:rPr>
          <w:noProof/>
        </w:rPr>
        <w:t>4</w:t>
      </w:r>
      <w:r w:rsidR="00906D13">
        <w:noBreakHyphen/>
      </w:r>
      <w:r w:rsidR="00906D13">
        <w:rPr>
          <w:noProof/>
        </w:rPr>
        <w:t>14</w:t>
      </w:r>
      <w:r w:rsidRPr="00DF38B2">
        <w:fldChar w:fldCharType="end"/>
      </w:r>
      <w:r w:rsidRPr="00DF38B2">
        <w:t xml:space="preserve"> provides information on the </w:t>
      </w:r>
      <w:r w:rsidR="005E4CAC">
        <w:t>income management</w:t>
      </w:r>
      <w:r w:rsidRPr="00DF38B2">
        <w:t xml:space="preserve"> and </w:t>
      </w:r>
      <w:r w:rsidR="009D7612">
        <w:t>income support</w:t>
      </w:r>
      <w:r w:rsidRPr="00DF38B2">
        <w:t xml:space="preserve"> receipt status in December 2013 of people who were subject to NTER Income Management in July 2010, just prior to the transition from NTER Income Management to New Income Management. Overall, 62.</w:t>
      </w:r>
      <w:r w:rsidR="00310622">
        <w:t>4</w:t>
      </w:r>
      <w:r w:rsidR="00310622" w:rsidRPr="00DF38B2">
        <w:t> </w:t>
      </w:r>
      <w:r w:rsidRPr="00DF38B2">
        <w:t>per cent</w:t>
      </w:r>
      <w:r w:rsidRPr="00FE502F">
        <w:t xml:space="preserve"> of those on NTER Income Management were still on </w:t>
      </w:r>
      <w:r w:rsidR="00407AEF">
        <w:t>income management</w:t>
      </w:r>
      <w:r w:rsidR="00407AEF" w:rsidRPr="00FE502F">
        <w:t xml:space="preserve"> </w:t>
      </w:r>
      <w:r w:rsidR="002447D3">
        <w:t xml:space="preserve">three </w:t>
      </w:r>
      <w:r w:rsidRPr="00FE502F">
        <w:t>and</w:t>
      </w:r>
      <w:r w:rsidR="00A77C74">
        <w:t xml:space="preserve"> </w:t>
      </w:r>
      <w:r w:rsidRPr="00FE502F">
        <w:t>a</w:t>
      </w:r>
      <w:r w:rsidR="00A77C74">
        <w:t xml:space="preserve"> </w:t>
      </w:r>
      <w:r w:rsidRPr="00FE502F">
        <w:t xml:space="preserve">half years later, 21.2 per cent were receiving an </w:t>
      </w:r>
      <w:r w:rsidR="009D7612">
        <w:t>income support</w:t>
      </w:r>
      <w:r w:rsidRPr="00FE502F">
        <w:t xml:space="preserve"> payment but were not on income management</w:t>
      </w:r>
      <w:r w:rsidR="002447D3">
        <w:t>,</w:t>
      </w:r>
      <w:r w:rsidRPr="00FE502F">
        <w:t xml:space="preserve"> and 16.</w:t>
      </w:r>
      <w:r w:rsidR="00310622">
        <w:t>3</w:t>
      </w:r>
      <w:r w:rsidRPr="00FE502F">
        <w:t> per cen</w:t>
      </w:r>
      <w:r w:rsidRPr="009655C3">
        <w:t xml:space="preserve">t were not receiving an </w:t>
      </w:r>
      <w:r w:rsidR="009D7612">
        <w:t>income support</w:t>
      </w:r>
      <w:r w:rsidRPr="009655C3">
        <w:t xml:space="preserve"> payment</w:t>
      </w:r>
      <w:r w:rsidR="00310622">
        <w:t xml:space="preserve">, although 2.6 per cent of this group were receiving some other form of transfer – such as Family Tax </w:t>
      </w:r>
      <w:r w:rsidR="00310622" w:rsidRPr="00F61D96">
        <w:t>Benefit o</w:t>
      </w:r>
      <w:r w:rsidR="002447D3" w:rsidRPr="00F61D96">
        <w:t>r</w:t>
      </w:r>
      <w:r w:rsidR="00310622" w:rsidRPr="00F61D96">
        <w:t xml:space="preserve"> Assistance</w:t>
      </w:r>
      <w:r w:rsidR="00310622">
        <w:t xml:space="preserve"> for Isolated Children</w:t>
      </w:r>
      <w:r w:rsidRPr="009655C3">
        <w:t xml:space="preserve">. Of those receiving an </w:t>
      </w:r>
      <w:r w:rsidR="009D7612">
        <w:t>income support</w:t>
      </w:r>
      <w:r w:rsidRPr="009655C3">
        <w:t xml:space="preserve"> payment, 74.6 per cent were still on income management three</w:t>
      </w:r>
      <w:r w:rsidR="00A77C74">
        <w:t xml:space="preserve"> </w:t>
      </w:r>
      <w:r w:rsidRPr="009655C3">
        <w:t>and</w:t>
      </w:r>
      <w:r w:rsidR="00A77C74">
        <w:t xml:space="preserve"> </w:t>
      </w:r>
      <w:r w:rsidRPr="009655C3">
        <w:t>a</w:t>
      </w:r>
      <w:r w:rsidR="00A77C74">
        <w:t xml:space="preserve"> </w:t>
      </w:r>
      <w:r w:rsidRPr="009655C3">
        <w:t xml:space="preserve">half years later. </w:t>
      </w:r>
    </w:p>
    <w:p w:rsidR="005E1FE0" w:rsidRDefault="005E1FE0" w:rsidP="006654AE">
      <w:pPr>
        <w:pStyle w:val="Caption"/>
        <w:ind w:left="1439" w:hanging="1155"/>
      </w:pPr>
      <w:bookmarkStart w:id="188" w:name="_Ref389945092"/>
      <w:bookmarkStart w:id="189" w:name="_Toc403739419"/>
      <w:r w:rsidRPr="009655C3">
        <w:lastRenderedPageBreak/>
        <w:t xml:space="preserve">Table </w:t>
      </w:r>
      <w:fldSimple w:instr=" STYLEREF 1 \s ">
        <w:r w:rsidR="00906D13">
          <w:rPr>
            <w:noProof/>
          </w:rPr>
          <w:t>4</w:t>
        </w:r>
      </w:fldSimple>
      <w:r w:rsidR="00D40B64">
        <w:noBreakHyphen/>
      </w:r>
      <w:fldSimple w:instr=" SEQ Table \* ARABIC \s 1 ">
        <w:r w:rsidR="00906D13">
          <w:rPr>
            <w:noProof/>
          </w:rPr>
          <w:t>14</w:t>
        </w:r>
      </w:fldSimple>
      <w:bookmarkEnd w:id="188"/>
      <w:r w:rsidRPr="00DF38B2">
        <w:tab/>
        <w:t xml:space="preserve">Income </w:t>
      </w:r>
      <w:r w:rsidR="005E4CAC">
        <w:t>m</w:t>
      </w:r>
      <w:r w:rsidRPr="00DF38B2">
        <w:t xml:space="preserve">anagement status in December 2013 of people subject to NTER </w:t>
      </w:r>
      <w:r w:rsidR="00CC7910">
        <w:t>Income Management</w:t>
      </w:r>
      <w:r w:rsidR="00CC7910" w:rsidRPr="00DF38B2">
        <w:t xml:space="preserve"> </w:t>
      </w:r>
      <w:r w:rsidRPr="00DF38B2">
        <w:t>in July 2010</w:t>
      </w:r>
      <w:bookmarkEnd w:id="189"/>
    </w:p>
    <w:tbl>
      <w:tblPr>
        <w:tblW w:w="6696" w:type="dxa"/>
        <w:jc w:val="center"/>
        <w:tblLayout w:type="fixed"/>
        <w:tblLook w:val="04A0" w:firstRow="1" w:lastRow="0" w:firstColumn="1" w:lastColumn="0" w:noHBand="0" w:noVBand="1"/>
        <w:tblDescription w:val="This table shows the circumstances in December 2013 of those on income management in July 2010.&#10;The two data columns of the table show the number of persons in different circumstances and then these as a proportion of the December 2010 population of 16,748 persons.&#10;The rows of the table represent the different possible states in December 2013, along with subgroupings of these. The table shows that of the 2010 population&#10;6,974 people were on the main streams of compulsory income management in the Northern Territory in December 2013; 3,131 were on voluntary income management; 260 were on Other income management (comprising Child protection, Nominee, SPAR, and Vulnerable Income Management. This gave a total of 10,365 still on income management in the Northern Territory. In addition there were 93 on Income Management in other locations in Australia giving a total of 10,458 on income management.&#10;In addition there were 166 people who while on Income support were exempt from income management and a further 3,387 who were on income support but were not income managed. This gave a total of 3,553 people who were on income management in July 2010 who were on income support but not income managed in December 2013.  The following rows of the table show there were 440 people who had been on income management in July 2010 who were in the Centrelink data in December 2013, but neither on income management or on income support and 2,297 for whom no current record was found. These results are discussed further in the text.&#10;"/>
      </w:tblPr>
      <w:tblGrid>
        <w:gridCol w:w="426"/>
        <w:gridCol w:w="2248"/>
        <w:gridCol w:w="1812"/>
        <w:gridCol w:w="2210"/>
      </w:tblGrid>
      <w:tr w:rsidR="00310622" w:rsidRPr="00310622" w:rsidTr="009A06B6">
        <w:trPr>
          <w:trHeight w:val="20"/>
          <w:tblHeader/>
          <w:jc w:val="center"/>
        </w:trPr>
        <w:tc>
          <w:tcPr>
            <w:tcW w:w="2674" w:type="dxa"/>
            <w:gridSpan w:val="2"/>
            <w:tcBorders>
              <w:top w:val="single" w:sz="4" w:space="0" w:color="auto"/>
              <w:left w:val="nil"/>
              <w:bottom w:val="single" w:sz="4" w:space="0" w:color="auto"/>
              <w:right w:val="nil"/>
            </w:tcBorders>
            <w:shd w:val="clear" w:color="auto" w:fill="auto"/>
            <w:noWrap/>
            <w:hideMark/>
          </w:tcPr>
          <w:p w:rsidR="00310622" w:rsidRPr="00AB3348" w:rsidRDefault="00FB7610" w:rsidP="00FB7610">
            <w:pPr>
              <w:pStyle w:val="tabletextleft"/>
              <w:jc w:val="left"/>
              <w:rPr>
                <w:rFonts w:eastAsia="Times New Roman"/>
              </w:rPr>
            </w:pPr>
            <w:r w:rsidRPr="00AB3348">
              <w:rPr>
                <w:rFonts w:eastAsia="Times New Roman"/>
              </w:rPr>
              <w:t xml:space="preserve">IM status in </w:t>
            </w:r>
            <w:r w:rsidRPr="00AB3348">
              <w:rPr>
                <w:rFonts w:eastAsia="Times New Roman"/>
              </w:rPr>
              <w:br/>
              <w:t>December 2013</w:t>
            </w:r>
          </w:p>
        </w:tc>
        <w:tc>
          <w:tcPr>
            <w:tcW w:w="1812" w:type="dxa"/>
            <w:tcBorders>
              <w:top w:val="single" w:sz="4" w:space="0" w:color="auto"/>
              <w:left w:val="nil"/>
              <w:bottom w:val="single" w:sz="4" w:space="0" w:color="auto"/>
              <w:right w:val="nil"/>
            </w:tcBorders>
            <w:shd w:val="clear" w:color="auto" w:fill="auto"/>
            <w:noWrap/>
            <w:hideMark/>
          </w:tcPr>
          <w:p w:rsidR="00AB3348" w:rsidRDefault="00FB7610" w:rsidP="00FB7610">
            <w:pPr>
              <w:pStyle w:val="tabletextleft"/>
              <w:jc w:val="right"/>
              <w:rPr>
                <w:rFonts w:eastAsia="Times New Roman"/>
              </w:rPr>
            </w:pPr>
            <w:r w:rsidRPr="00AB3348">
              <w:rPr>
                <w:rFonts w:eastAsia="Times New Roman"/>
              </w:rPr>
              <w:t xml:space="preserve">Population </w:t>
            </w:r>
            <w:r w:rsidR="00AB3348">
              <w:rPr>
                <w:rFonts w:eastAsia="Times New Roman"/>
              </w:rPr>
              <w:t xml:space="preserve">on </w:t>
            </w:r>
          </w:p>
          <w:p w:rsidR="009A06B6" w:rsidRPr="00AB3348" w:rsidRDefault="00FB7610" w:rsidP="00FB7610">
            <w:pPr>
              <w:pStyle w:val="tabletextleft"/>
              <w:jc w:val="right"/>
              <w:rPr>
                <w:rFonts w:eastAsia="Times New Roman"/>
              </w:rPr>
            </w:pPr>
            <w:r w:rsidRPr="00AB3348">
              <w:rPr>
                <w:rFonts w:eastAsia="Times New Roman"/>
              </w:rPr>
              <w:t xml:space="preserve">NTER IM in July 2010 </w:t>
            </w:r>
          </w:p>
          <w:p w:rsidR="00310622" w:rsidRPr="00AB3348" w:rsidRDefault="00FB7610" w:rsidP="00FB7610">
            <w:pPr>
              <w:pStyle w:val="tabletextleft"/>
              <w:jc w:val="right"/>
              <w:rPr>
                <w:rFonts w:eastAsia="Times New Roman"/>
              </w:rPr>
            </w:pPr>
            <w:r w:rsidRPr="00AB3348">
              <w:rPr>
                <w:rFonts w:eastAsia="Times New Roman"/>
              </w:rPr>
              <w:t>(n)</w:t>
            </w:r>
          </w:p>
        </w:tc>
        <w:tc>
          <w:tcPr>
            <w:tcW w:w="2210" w:type="dxa"/>
            <w:tcBorders>
              <w:top w:val="single" w:sz="4" w:space="0" w:color="auto"/>
              <w:left w:val="nil"/>
              <w:bottom w:val="single" w:sz="4" w:space="0" w:color="auto"/>
              <w:right w:val="nil"/>
            </w:tcBorders>
            <w:shd w:val="clear" w:color="auto" w:fill="auto"/>
            <w:noWrap/>
            <w:hideMark/>
          </w:tcPr>
          <w:p w:rsidR="009A06B6" w:rsidRPr="00AB3348" w:rsidRDefault="00FB7610" w:rsidP="00FB7610">
            <w:pPr>
              <w:pStyle w:val="tabletextleft"/>
              <w:jc w:val="right"/>
              <w:rPr>
                <w:rFonts w:eastAsia="Times New Roman"/>
              </w:rPr>
            </w:pPr>
            <w:r w:rsidRPr="00AB3348">
              <w:rPr>
                <w:rFonts w:eastAsia="Times New Roman"/>
              </w:rPr>
              <w:t xml:space="preserve">Population </w:t>
            </w:r>
            <w:r w:rsidR="00AB3348">
              <w:rPr>
                <w:rFonts w:eastAsia="Times New Roman"/>
              </w:rPr>
              <w:t xml:space="preserve">on </w:t>
            </w:r>
            <w:r w:rsidR="009A06B6" w:rsidRPr="00AB3348">
              <w:rPr>
                <w:rFonts w:eastAsia="Times New Roman"/>
              </w:rPr>
              <w:br/>
            </w:r>
            <w:r w:rsidRPr="00AB3348">
              <w:rPr>
                <w:rFonts w:eastAsia="Times New Roman"/>
              </w:rPr>
              <w:t>NTER IM in July 2010</w:t>
            </w:r>
            <w:r w:rsidR="00310622" w:rsidRPr="00AB3348">
              <w:rPr>
                <w:rFonts w:eastAsia="Times New Roman"/>
              </w:rPr>
              <w:t xml:space="preserve"> </w:t>
            </w:r>
          </w:p>
          <w:p w:rsidR="00310622" w:rsidRPr="00310622" w:rsidRDefault="00310622" w:rsidP="00FB7610">
            <w:pPr>
              <w:pStyle w:val="tabletextleft"/>
              <w:jc w:val="right"/>
              <w:rPr>
                <w:rFonts w:eastAsia="Times New Roman"/>
              </w:rPr>
            </w:pPr>
            <w:r w:rsidRPr="00AB3348">
              <w:rPr>
                <w:rFonts w:eastAsia="Times New Roman"/>
              </w:rPr>
              <w:t>(%)</w:t>
            </w:r>
          </w:p>
        </w:tc>
      </w:tr>
      <w:tr w:rsidR="00310622" w:rsidRPr="00310622" w:rsidTr="009A06B6">
        <w:trPr>
          <w:trHeight w:val="20"/>
          <w:jc w:val="center"/>
        </w:trPr>
        <w:tc>
          <w:tcPr>
            <w:tcW w:w="4486" w:type="dxa"/>
            <w:gridSpan w:val="3"/>
            <w:tcBorders>
              <w:top w:val="single" w:sz="4" w:space="0" w:color="auto"/>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NT Income management</w:t>
            </w:r>
          </w:p>
        </w:tc>
        <w:tc>
          <w:tcPr>
            <w:tcW w:w="2210" w:type="dxa"/>
            <w:tcBorders>
              <w:top w:val="single" w:sz="4" w:space="0" w:color="auto"/>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Compulsory</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6,974</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41.6</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Voluntary</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3,131</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18.7</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Other (a)</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260</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i/>
              </w:rPr>
            </w:pPr>
            <w:r w:rsidRPr="00310622">
              <w:rPr>
                <w:rFonts w:eastAsia="Times New Roman"/>
                <w:i/>
              </w:rPr>
              <w:t>Total</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10,365</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61.9</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 xml:space="preserve">Interstate IM </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Pr>
                <w:rFonts w:eastAsia="Times New Roman"/>
              </w:rPr>
              <w:t>93</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0.6</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Total still on IM</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Pr>
                <w:rFonts w:eastAsia="Times New Roman"/>
              </w:rPr>
              <w:t>10,458</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62.4</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Income support</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Exempt</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166</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1.0</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Pr>
                <w:rFonts w:eastAsia="Times New Roman"/>
              </w:rPr>
              <w:t>Income support</w:t>
            </w:r>
            <w:r w:rsidRPr="00310622">
              <w:rPr>
                <w:rFonts w:eastAsia="Times New Roman"/>
              </w:rPr>
              <w:t xml:space="preserve"> not </w:t>
            </w:r>
            <w:r>
              <w:rPr>
                <w:rFonts w:eastAsia="Times New Roman"/>
              </w:rPr>
              <w:t>income managed</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3,387</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20.2</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i/>
              </w:rPr>
            </w:pPr>
            <w:r w:rsidRPr="00310622">
              <w:rPr>
                <w:rFonts w:eastAsia="Times New Roman"/>
                <w:i/>
              </w:rPr>
              <w:t>Total</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3,553</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21.2</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 xml:space="preserve">Other </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440</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2.6</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No record</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2,297</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13.7</w:t>
            </w:r>
          </w:p>
        </w:tc>
      </w:tr>
      <w:tr w:rsidR="00310622" w:rsidRPr="00310622" w:rsidTr="009A06B6">
        <w:trPr>
          <w:trHeight w:val="20"/>
          <w:jc w:val="center"/>
        </w:trPr>
        <w:tc>
          <w:tcPr>
            <w:tcW w:w="426" w:type="dxa"/>
            <w:tcBorders>
              <w:top w:val="nil"/>
              <w:left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1812" w:type="dxa"/>
            <w:tcBorders>
              <w:top w:val="nil"/>
              <w:left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c>
          <w:tcPr>
            <w:tcW w:w="2210" w:type="dxa"/>
            <w:tcBorders>
              <w:top w:val="nil"/>
              <w:left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r>
      <w:tr w:rsidR="00310622" w:rsidRPr="00310622" w:rsidTr="009A06B6">
        <w:trPr>
          <w:trHeight w:val="20"/>
          <w:jc w:val="center"/>
        </w:trPr>
        <w:tc>
          <w:tcPr>
            <w:tcW w:w="2674" w:type="dxa"/>
            <w:gridSpan w:val="2"/>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rPr>
                <w:rFonts w:eastAsia="Times New Roman"/>
              </w:rPr>
            </w:pPr>
            <w:r>
              <w:rPr>
                <w:rFonts w:eastAsia="Times New Roman"/>
              </w:rPr>
              <w:t>Total</w:t>
            </w:r>
          </w:p>
        </w:tc>
        <w:tc>
          <w:tcPr>
            <w:tcW w:w="1812" w:type="dxa"/>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16,748</w:t>
            </w:r>
          </w:p>
        </w:tc>
        <w:tc>
          <w:tcPr>
            <w:tcW w:w="2210" w:type="dxa"/>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100.0</w:t>
            </w:r>
          </w:p>
        </w:tc>
      </w:tr>
    </w:tbl>
    <w:p w:rsidR="00310622" w:rsidRDefault="00310622" w:rsidP="006654AE">
      <w:pPr>
        <w:pStyle w:val="tabletextleft"/>
      </w:pPr>
    </w:p>
    <w:p w:rsidR="002532F6" w:rsidRDefault="002532F6" w:rsidP="006654AE">
      <w:pPr>
        <w:pStyle w:val="tablenotes"/>
        <w:spacing w:after="0"/>
      </w:pPr>
      <w:r>
        <w:t>Notes:</w:t>
      </w:r>
      <w:r>
        <w:tab/>
      </w:r>
    </w:p>
    <w:p w:rsidR="00310622" w:rsidRPr="00310622" w:rsidRDefault="00310622" w:rsidP="006654AE">
      <w:pPr>
        <w:pStyle w:val="tablenotes"/>
      </w:pPr>
      <w:r w:rsidRPr="00310622">
        <w:t xml:space="preserve">(a) </w:t>
      </w:r>
      <w:r w:rsidR="002447D3">
        <w:tab/>
      </w:r>
      <w:r w:rsidRPr="00310622">
        <w:t>Child protection, Nominee, SPAR</w:t>
      </w:r>
      <w:r w:rsidR="002447D3">
        <w:t>,</w:t>
      </w:r>
      <w:r w:rsidRPr="00310622">
        <w:t xml:space="preserve"> and Vulnerable</w:t>
      </w:r>
      <w:r w:rsidR="000A3982">
        <w:t xml:space="preserve"> Income Management</w:t>
      </w:r>
      <w:r w:rsidR="002532F6">
        <w: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At the end of 2013 people who had been on income management under the NTER accounted for</w:t>
      </w:r>
      <w:r w:rsidR="00310622">
        <w:t xml:space="preserve"> 56.6 per cent of the population on income management in the Northern Territory</w:t>
      </w:r>
      <w:r w:rsidRPr="00DF38B2">
        <w:t>:</w:t>
      </w:r>
    </w:p>
    <w:p w:rsidR="005E1FE0" w:rsidRPr="00DF38B2" w:rsidRDefault="00310622" w:rsidP="006654AE">
      <w:pPr>
        <w:pStyle w:val="dot"/>
      </w:pPr>
      <w:r>
        <w:t>49.5</w:t>
      </w:r>
      <w:r w:rsidR="005E1FE0" w:rsidRPr="00DF38B2">
        <w:t> per cent of those on Compulsory Income Management; and</w:t>
      </w:r>
    </w:p>
    <w:p w:rsidR="005E1FE0" w:rsidRDefault="00310622" w:rsidP="006654AE">
      <w:pPr>
        <w:pStyle w:val="dot"/>
      </w:pPr>
      <w:r>
        <w:t>85.2</w:t>
      </w:r>
      <w:r w:rsidR="005E1FE0" w:rsidRPr="00DF38B2">
        <w:t> per cent of those on Voluntary Income Management.</w:t>
      </w:r>
    </w:p>
    <w:p w:rsidR="00310622" w:rsidRPr="00DF38B2" w:rsidRDefault="00310622" w:rsidP="006654AE">
      <w:r>
        <w:t>For Indigenous people the proportion rises to 62.5 per cent of those on income management in December 2013</w:t>
      </w:r>
      <w:r w:rsidR="002447D3">
        <w:t>,</w:t>
      </w:r>
      <w:r>
        <w:t xml:space="preserve"> with these proportions rising to 55.9 per cent of those on </w:t>
      </w:r>
      <w:r w:rsidR="00A77C74">
        <w:t>C</w:t>
      </w:r>
      <w:r>
        <w:t xml:space="preserve">ompulsory </w:t>
      </w:r>
      <w:r w:rsidR="00A77C74">
        <w:t>I</w:t>
      </w:r>
      <w:r>
        <w:t xml:space="preserve">ncome </w:t>
      </w:r>
      <w:r w:rsidR="00A77C74">
        <w:t>M</w:t>
      </w:r>
      <w:r>
        <w:t>anagement and 86.0 per cent of those on voluntary.</w:t>
      </w:r>
    </w:p>
    <w:p w:rsidR="005E1FE0" w:rsidRPr="00DF38B2" w:rsidRDefault="005E1FE0" w:rsidP="006654AE">
      <w:pPr>
        <w:pStyle w:val="Heading4"/>
      </w:pPr>
      <w:r w:rsidRPr="00DF38B2">
        <w:t>Transitions over time: December 2012 to December 2013</w:t>
      </w:r>
    </w:p>
    <w:p w:rsidR="005E1FE0" w:rsidRPr="009655C3" w:rsidRDefault="005E1FE0" w:rsidP="006654AE">
      <w:r w:rsidRPr="00DF38B2">
        <w:fldChar w:fldCharType="begin"/>
      </w:r>
      <w:r w:rsidRPr="00DF38B2">
        <w:instrText xml:space="preserve"> REF _Ref389958343 \h </w:instrText>
      </w:r>
      <w:r w:rsidRPr="00DF38B2">
        <w:fldChar w:fldCharType="separate"/>
      </w:r>
      <w:r w:rsidR="00906D13" w:rsidRPr="00DF38B2">
        <w:t xml:space="preserve">Table </w:t>
      </w:r>
      <w:r w:rsidR="00906D13">
        <w:rPr>
          <w:noProof/>
        </w:rPr>
        <w:t>4</w:t>
      </w:r>
      <w:r w:rsidR="00906D13">
        <w:noBreakHyphen/>
      </w:r>
      <w:r w:rsidR="00906D13">
        <w:rPr>
          <w:noProof/>
        </w:rPr>
        <w:t>15</w:t>
      </w:r>
      <w:r w:rsidRPr="00DF38B2">
        <w:fldChar w:fldCharType="end"/>
      </w:r>
      <w:r w:rsidRPr="00DF38B2">
        <w:t xml:space="preserve"> shows the transitions for those on </w:t>
      </w:r>
      <w:r w:rsidR="005E4CAC">
        <w:t>income management</w:t>
      </w:r>
      <w:r w:rsidRPr="00DF38B2">
        <w:t xml:space="preserve"> in December 2012 to December 2013. A</w:t>
      </w:r>
      <w:r w:rsidR="006F3B27">
        <w:t>s a</w:t>
      </w:r>
      <w:r w:rsidRPr="00DF38B2">
        <w:t>n example of how to interpret the table</w:t>
      </w:r>
      <w:r w:rsidR="006F3B27">
        <w:t>:</w:t>
      </w:r>
      <w:r w:rsidRPr="00DF38B2">
        <w:t xml:space="preserve"> the top row of numbers shows that of those Indigenous people i</w:t>
      </w:r>
      <w:r w:rsidRPr="00FE502F">
        <w:t>n December 2012 who were on C</w:t>
      </w:r>
      <w:r w:rsidR="001E2112">
        <w:t xml:space="preserve">ompulsory </w:t>
      </w:r>
      <w:r w:rsidRPr="00FE502F">
        <w:t>I</w:t>
      </w:r>
      <w:r w:rsidR="001E2112">
        <w:t xml:space="preserve">ncome </w:t>
      </w:r>
      <w:r w:rsidRPr="00FE502F">
        <w:t>M</w:t>
      </w:r>
      <w:r w:rsidR="001E2112">
        <w:t>anagement</w:t>
      </w:r>
      <w:r w:rsidRPr="00FE502F">
        <w:t xml:space="preserve">, 79.1 per cent were </w:t>
      </w:r>
      <w:r w:rsidR="001E2112">
        <w:t xml:space="preserve">still </w:t>
      </w:r>
      <w:r w:rsidRPr="00FE502F">
        <w:t>on C</w:t>
      </w:r>
      <w:r w:rsidR="001E2112">
        <w:t xml:space="preserve">ompulsory </w:t>
      </w:r>
      <w:r w:rsidRPr="00FE502F">
        <w:t>I</w:t>
      </w:r>
      <w:r w:rsidR="001E2112">
        <w:t xml:space="preserve">ncome </w:t>
      </w:r>
      <w:r w:rsidRPr="00FE502F">
        <w:t>M</w:t>
      </w:r>
      <w:r w:rsidR="001E2112">
        <w:t>anagement</w:t>
      </w:r>
      <w:r w:rsidRPr="00FE502F">
        <w:t xml:space="preserve"> 12 months later</w:t>
      </w:r>
      <w:r w:rsidR="006F3B27">
        <w:t>, while</w:t>
      </w:r>
      <w:r w:rsidRPr="00FE502F">
        <w:t xml:space="preserve"> a very small proportion moved to V</w:t>
      </w:r>
      <w:r w:rsidR="001E2112">
        <w:t xml:space="preserve">oluntary </w:t>
      </w:r>
      <w:r w:rsidRPr="00FE502F">
        <w:t>I</w:t>
      </w:r>
      <w:r w:rsidR="001E2112">
        <w:t xml:space="preserve">ncome </w:t>
      </w:r>
      <w:r w:rsidRPr="00FE502F">
        <w:t>M</w:t>
      </w:r>
      <w:r w:rsidR="001E2112">
        <w:t>anagement</w:t>
      </w:r>
      <w:r w:rsidRPr="00FE502F">
        <w:t xml:space="preserve"> (0.5 per cent) or had been placed on C</w:t>
      </w:r>
      <w:r w:rsidR="001E2112">
        <w:t xml:space="preserve">hild </w:t>
      </w:r>
      <w:r w:rsidRPr="00FE502F">
        <w:t>P</w:t>
      </w:r>
      <w:r w:rsidR="001E2112">
        <w:t xml:space="preserve">rotection </w:t>
      </w:r>
      <w:r w:rsidRPr="00FE502F">
        <w:t>I</w:t>
      </w:r>
      <w:r w:rsidR="001E2112">
        <w:t xml:space="preserve">ncome </w:t>
      </w:r>
      <w:r w:rsidRPr="00FE502F">
        <w:t>M</w:t>
      </w:r>
      <w:r w:rsidR="001E2112">
        <w:t>anagement</w:t>
      </w:r>
      <w:r w:rsidRPr="00FE502F">
        <w:t xml:space="preserve"> or Vulnerable Income Manageme</w:t>
      </w:r>
      <w:r w:rsidRPr="009655C3">
        <w:t xml:space="preserve">nt (1.2 per cent). Of the 20.9 per cent who were no longer on </w:t>
      </w:r>
      <w:r w:rsidR="00407AEF">
        <w:t xml:space="preserve">income management </w:t>
      </w:r>
      <w:r w:rsidRPr="009655C3">
        <w:t xml:space="preserve">12 months later, almost half were still in receipt of an </w:t>
      </w:r>
      <w:r w:rsidR="009D7612">
        <w:t>income support</w:t>
      </w:r>
      <w:r w:rsidRPr="009655C3">
        <w:t xml:space="preserve"> </w:t>
      </w:r>
      <w:r w:rsidR="009D7612">
        <w:t>p</w:t>
      </w:r>
      <w:r w:rsidRPr="009655C3">
        <w:t xml:space="preserve">ayment (8.6 per cent) and just over half were no longer in receipt of an </w:t>
      </w:r>
      <w:r w:rsidR="009D7612">
        <w:t>income support</w:t>
      </w:r>
      <w:r w:rsidRPr="009655C3">
        <w:t xml:space="preserve"> </w:t>
      </w:r>
      <w:r w:rsidR="009D7612">
        <w:t>p</w:t>
      </w:r>
      <w:r w:rsidRPr="009655C3">
        <w:t>ayment (10.6 per cent).</w:t>
      </w:r>
    </w:p>
    <w:p w:rsidR="005E1FE0" w:rsidRPr="00DF38B2" w:rsidRDefault="005E1FE0" w:rsidP="006654AE">
      <w:r w:rsidRPr="009655C3">
        <w:t xml:space="preserve">A number of points can be taken from the analysis of transitions in </w:t>
      </w:r>
      <w:r w:rsidRPr="00DF38B2">
        <w:fldChar w:fldCharType="begin"/>
      </w:r>
      <w:r w:rsidRPr="00DF38B2">
        <w:instrText xml:space="preserve"> REF _Ref389958343 \h </w:instrText>
      </w:r>
      <w:r w:rsidRPr="00DF38B2">
        <w:fldChar w:fldCharType="separate"/>
      </w:r>
      <w:r w:rsidR="00906D13" w:rsidRPr="00DF38B2">
        <w:t xml:space="preserve">Table </w:t>
      </w:r>
      <w:r w:rsidR="00906D13">
        <w:rPr>
          <w:noProof/>
        </w:rPr>
        <w:t>4</w:t>
      </w:r>
      <w:r w:rsidR="00906D13">
        <w:noBreakHyphen/>
      </w:r>
      <w:r w:rsidR="00906D13">
        <w:rPr>
          <w:noProof/>
        </w:rPr>
        <w:t>15</w:t>
      </w:r>
      <w:r w:rsidRPr="00DF38B2">
        <w:fldChar w:fldCharType="end"/>
      </w:r>
      <w:r w:rsidRPr="00DF38B2">
        <w:t xml:space="preserve">. </w:t>
      </w:r>
    </w:p>
    <w:p w:rsidR="005E1FE0" w:rsidRPr="00DF38B2" w:rsidRDefault="005E1FE0" w:rsidP="006654AE">
      <w:pPr>
        <w:pStyle w:val="dot"/>
      </w:pPr>
      <w:r w:rsidRPr="00FE502F">
        <w:t>The rates of movement off income management from Compulsory and Voluntary Income Management are much higher for non-Indigenous</w:t>
      </w:r>
      <w:r w:rsidR="00EF3909" w:rsidRPr="009655C3">
        <w:t xml:space="preserve"> </w:t>
      </w:r>
      <w:r w:rsidRPr="009655C3">
        <w:t>compared to Indigenous peo</w:t>
      </w:r>
      <w:r w:rsidRPr="00DF38B2">
        <w:t xml:space="preserve">ple. Almost half of non-Indigenous </w:t>
      </w:r>
      <w:r w:rsidR="00EF3909" w:rsidRPr="00DF38B2">
        <w:t xml:space="preserve">people </w:t>
      </w:r>
      <w:r w:rsidRPr="00DF38B2">
        <w:t>on Compulsory Income Management</w:t>
      </w:r>
      <w:r w:rsidR="001E2112">
        <w:t xml:space="preserve"> in December 2012</w:t>
      </w:r>
      <w:r w:rsidRPr="00DF38B2">
        <w:t xml:space="preserve"> (49.</w:t>
      </w:r>
      <w:r w:rsidR="000654F4">
        <w:t>7</w:t>
      </w:r>
      <w:r w:rsidR="000654F4" w:rsidRPr="00DF38B2">
        <w:t> </w:t>
      </w:r>
      <w:r w:rsidRPr="00DF38B2">
        <w:t xml:space="preserve">per cent) were no longer on </w:t>
      </w:r>
      <w:r w:rsidR="000654F4">
        <w:t xml:space="preserve">compulsory </w:t>
      </w:r>
      <w:r w:rsidRPr="00DF38B2">
        <w:t>income management 12 months later</w:t>
      </w:r>
      <w:r w:rsidR="006F3B27">
        <w:t>,</w:t>
      </w:r>
      <w:r w:rsidRPr="00DF38B2">
        <w:t xml:space="preserve"> compared to 19.</w:t>
      </w:r>
      <w:r w:rsidR="000654F4">
        <w:t>7</w:t>
      </w:r>
      <w:r w:rsidRPr="00DF38B2">
        <w:t> per cent of Indigenous</w:t>
      </w:r>
      <w:r w:rsidR="00EF3909" w:rsidRPr="00DF38B2">
        <w:t xml:space="preserve"> people</w:t>
      </w:r>
      <w:r w:rsidRPr="00DF38B2">
        <w:t xml:space="preserve"> on Compulsory Income Management. The higher rate of movement off Compulsory Income Management is in part due to a higher rate of movement off </w:t>
      </w:r>
      <w:r w:rsidR="009D7612">
        <w:t>income support</w:t>
      </w:r>
      <w:r w:rsidRPr="00DF38B2">
        <w:t xml:space="preserve"> amongst non-Indigenous </w:t>
      </w:r>
      <w:r w:rsidR="00EF3909" w:rsidRPr="00DF38B2">
        <w:t xml:space="preserve">people </w:t>
      </w:r>
      <w:r w:rsidRPr="00DF38B2">
        <w:t>on C</w:t>
      </w:r>
      <w:r w:rsidR="001E2112">
        <w:t xml:space="preserve">ompulsory </w:t>
      </w:r>
      <w:r w:rsidRPr="00DF38B2">
        <w:t>I</w:t>
      </w:r>
      <w:r w:rsidR="001E2112">
        <w:t xml:space="preserve">ncome </w:t>
      </w:r>
      <w:r w:rsidRPr="00DF38B2">
        <w:t>M</w:t>
      </w:r>
      <w:r w:rsidR="001E2112">
        <w:t>anagement</w:t>
      </w:r>
      <w:r w:rsidR="006F3B27">
        <w:t>,</w:t>
      </w:r>
      <w:r w:rsidRPr="00DF38B2">
        <w:t xml:space="preserve"> and in part due to a higher rate of still being in receipt of an </w:t>
      </w:r>
      <w:r w:rsidR="009D7612">
        <w:t>income support</w:t>
      </w:r>
      <w:r w:rsidRPr="00DF38B2">
        <w:t xml:space="preserve"> payment but no longer being on C</w:t>
      </w:r>
      <w:r w:rsidR="001E2112">
        <w:t xml:space="preserve">ompulsory </w:t>
      </w:r>
      <w:r w:rsidRPr="00DF38B2">
        <w:t>I</w:t>
      </w:r>
      <w:r w:rsidR="001E2112">
        <w:t xml:space="preserve">ncome </w:t>
      </w:r>
      <w:r w:rsidRPr="00DF38B2">
        <w:t>M</w:t>
      </w:r>
      <w:r w:rsidR="001E2112">
        <w:t>anagement</w:t>
      </w:r>
      <w:r w:rsidRPr="00DF38B2">
        <w:t>.</w:t>
      </w:r>
    </w:p>
    <w:p w:rsidR="005E1FE0" w:rsidRPr="00DF38B2" w:rsidRDefault="005E1FE0" w:rsidP="006654AE">
      <w:pPr>
        <w:pStyle w:val="dot"/>
      </w:pPr>
      <w:r w:rsidRPr="00DF38B2">
        <w:t>For both Indigenous and non-Indigenous</w:t>
      </w:r>
      <w:r w:rsidR="00EF3909" w:rsidRPr="00DF38B2">
        <w:t xml:space="preserve"> persons</w:t>
      </w:r>
      <w:r w:rsidRPr="00DF38B2">
        <w:t xml:space="preserve"> the rates of movement off Voluntary Income Management are lower than for Compulsory Income Management. The difference is largely, although </w:t>
      </w:r>
      <w:r w:rsidRPr="00DF38B2">
        <w:lastRenderedPageBreak/>
        <w:t xml:space="preserve">not entirely, due to a lower rate of movement off </w:t>
      </w:r>
      <w:r w:rsidR="009D7612">
        <w:t>income support</w:t>
      </w:r>
      <w:r w:rsidRPr="00DF38B2">
        <w:t xml:space="preserve"> receipt. This makes sense given that Voluntary Income Management applies to people on payments that are generally longer term (</w:t>
      </w:r>
      <w:r w:rsidR="006F3B27">
        <w:t>for example</w:t>
      </w:r>
      <w:r w:rsidRPr="00DF38B2">
        <w:t>, Disability Support Pension or Age Pension</w:t>
      </w:r>
      <w:r w:rsidR="006F3B27">
        <w:t>,</w:t>
      </w:r>
      <w:r w:rsidRPr="00DF38B2">
        <w:t xml:space="preserve"> for which the main reason for ceasing to receive the payment will be death or movement to another type of payment</w:t>
      </w:r>
      <w:r w:rsidR="006F3B27">
        <w:t>; for instance, from</w:t>
      </w:r>
      <w:r w:rsidRPr="00DF38B2">
        <w:t xml:space="preserve"> Disability Support Pension to Age Pension). </w:t>
      </w:r>
    </w:p>
    <w:p w:rsidR="005E1FE0" w:rsidRPr="00DF38B2" w:rsidRDefault="005E1FE0" w:rsidP="006654AE">
      <w:pPr>
        <w:pStyle w:val="Caption"/>
        <w:ind w:left="1439" w:hanging="1155"/>
      </w:pPr>
      <w:bookmarkStart w:id="190" w:name="_Ref389958343"/>
      <w:bookmarkStart w:id="191" w:name="_Toc403739420"/>
      <w:r w:rsidRPr="00DF38B2">
        <w:t xml:space="preserve">Table </w:t>
      </w:r>
      <w:fldSimple w:instr=" STYLEREF 1 \s ">
        <w:r w:rsidR="00906D13">
          <w:rPr>
            <w:noProof/>
          </w:rPr>
          <w:t>4</w:t>
        </w:r>
      </w:fldSimple>
      <w:r w:rsidR="00D40B64">
        <w:noBreakHyphen/>
      </w:r>
      <w:fldSimple w:instr=" SEQ Table \* ARABIC \s 1 ">
        <w:r w:rsidR="00906D13">
          <w:rPr>
            <w:noProof/>
          </w:rPr>
          <w:t>15</w:t>
        </w:r>
      </w:fldSimple>
      <w:bookmarkEnd w:id="190"/>
      <w:r w:rsidRPr="00DF38B2">
        <w:t xml:space="preserve"> </w:t>
      </w:r>
      <w:r w:rsidRPr="00DF38B2">
        <w:tab/>
        <w:t xml:space="preserve">Transitions in </w:t>
      </w:r>
      <w:r w:rsidR="00CC7910">
        <w:t xml:space="preserve">income </w:t>
      </w:r>
      <w:r w:rsidR="00A8053C">
        <w:t>management</w:t>
      </w:r>
      <w:r w:rsidR="00CC7910" w:rsidRPr="00DF38B2">
        <w:t xml:space="preserve"> </w:t>
      </w:r>
      <w:r w:rsidRPr="00DF38B2">
        <w:t>status in the Northern Territory</w:t>
      </w:r>
      <w:r w:rsidR="00822E8A">
        <w:t xml:space="preserve"> by Indigenous status</w:t>
      </w:r>
      <w:r w:rsidRPr="00DF38B2">
        <w:t>, December 2012 to December 2013</w:t>
      </w:r>
      <w:bookmarkEnd w:id="191"/>
    </w:p>
    <w:tbl>
      <w:tblPr>
        <w:tblW w:w="9010" w:type="dxa"/>
        <w:jc w:val="center"/>
        <w:tblInd w:w="51" w:type="dxa"/>
        <w:tblLayout w:type="fixed"/>
        <w:tblLook w:val="04A0" w:firstRow="1" w:lastRow="0" w:firstColumn="1" w:lastColumn="0" w:noHBand="0" w:noVBand="1"/>
        <w:tblDescription w:val="This table presents some of the one year transition experiences of people on income management in December 2012 by their status a year later.&#10;Data is given in the rows for 5 sub-groups: Indigenous people on the main compulsory streams in December 2012, Indigenous people on Voluntary income management and Indigenous people on the Child Protection and Vulnerable streams as well as non-Indigenous people on the main compulsory streams and on voluntary income management.&#10;The first five columns provide the proportion of the population in the sub categories according to their income management or income support status and the last column provides the number of the people in the sub category.  The five statuses shown in the table are Compulsory Income Management; Voluntary Income Management; Child Protection or Vulnerable Income Management; on income support without being subject to income management; and not receiving income support.&#10;The key findings are presented in the text. &#10;"/>
      </w:tblPr>
      <w:tblGrid>
        <w:gridCol w:w="1432"/>
        <w:gridCol w:w="1432"/>
        <w:gridCol w:w="1134"/>
        <w:gridCol w:w="958"/>
        <w:gridCol w:w="1035"/>
        <w:gridCol w:w="1209"/>
        <w:gridCol w:w="893"/>
        <w:gridCol w:w="917"/>
      </w:tblGrid>
      <w:tr w:rsidR="00FB7610" w:rsidRPr="009A06B6" w:rsidTr="00983147">
        <w:trPr>
          <w:trHeight w:val="20"/>
          <w:tblHeader/>
          <w:jc w:val="center"/>
        </w:trPr>
        <w:tc>
          <w:tcPr>
            <w:tcW w:w="1432" w:type="dxa"/>
            <w:tcBorders>
              <w:top w:val="single" w:sz="4" w:space="0" w:color="auto"/>
              <w:left w:val="nil"/>
              <w:bottom w:val="single" w:sz="4" w:space="0" w:color="auto"/>
            </w:tcBorders>
          </w:tcPr>
          <w:p w:rsidR="00FB7610" w:rsidRPr="009A06B6" w:rsidRDefault="00983147" w:rsidP="006654AE">
            <w:pPr>
              <w:pStyle w:val="tabletextleft"/>
              <w:rPr>
                <w:rFonts w:eastAsia="Times New Roman"/>
              </w:rPr>
            </w:pPr>
            <w:r w:rsidRPr="009A06B6">
              <w:rPr>
                <w:rFonts w:eastAsia="Times New Roman"/>
              </w:rPr>
              <w:t>Indigenous status</w:t>
            </w:r>
          </w:p>
        </w:tc>
        <w:tc>
          <w:tcPr>
            <w:tcW w:w="1432" w:type="dxa"/>
            <w:tcBorders>
              <w:top w:val="single" w:sz="4" w:space="0" w:color="auto"/>
              <w:left w:val="nil"/>
              <w:bottom w:val="single" w:sz="4" w:space="0" w:color="auto"/>
            </w:tcBorders>
            <w:shd w:val="clear" w:color="auto" w:fill="auto"/>
            <w:tcMar>
              <w:left w:w="57" w:type="dxa"/>
              <w:right w:w="57" w:type="dxa"/>
            </w:tcMar>
            <w:hideMark/>
          </w:tcPr>
          <w:p w:rsidR="00FB7610" w:rsidRPr="009A06B6" w:rsidRDefault="00983147" w:rsidP="00983147">
            <w:pPr>
              <w:pStyle w:val="tabletextleft"/>
              <w:jc w:val="left"/>
              <w:rPr>
                <w:rFonts w:eastAsia="Times New Roman"/>
              </w:rPr>
            </w:pPr>
            <w:r w:rsidRPr="009A06B6">
              <w:rPr>
                <w:rFonts w:eastAsia="Times New Roman"/>
              </w:rPr>
              <w:t>December 2012</w:t>
            </w:r>
          </w:p>
        </w:tc>
        <w:tc>
          <w:tcPr>
            <w:tcW w:w="1134" w:type="dxa"/>
            <w:tcBorders>
              <w:top w:val="single" w:sz="4" w:space="0" w:color="auto"/>
              <w:bottom w:val="single" w:sz="4" w:space="0" w:color="auto"/>
            </w:tcBorders>
            <w:shd w:val="clear" w:color="auto" w:fill="auto"/>
            <w:hideMark/>
          </w:tcPr>
          <w:p w:rsidR="00FB7610" w:rsidRPr="009A06B6" w:rsidRDefault="00FB7610" w:rsidP="00983147">
            <w:pPr>
              <w:pStyle w:val="tabletextright"/>
              <w:rPr>
                <w:rFonts w:eastAsia="Times New Roman"/>
              </w:rPr>
            </w:pPr>
            <w:r w:rsidRPr="009A06B6">
              <w:rPr>
                <w:rFonts w:eastAsia="Times New Roman"/>
              </w:rPr>
              <w:t>Compulsory(%)</w:t>
            </w:r>
            <w:r w:rsidR="00983147" w:rsidRPr="009A06B6">
              <w:rPr>
                <w:rFonts w:eastAsia="Times New Roman"/>
              </w:rPr>
              <w:t>(a)</w:t>
            </w:r>
          </w:p>
        </w:tc>
        <w:tc>
          <w:tcPr>
            <w:tcW w:w="958"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Voluntary (%)</w:t>
            </w:r>
            <w:r w:rsidR="00983147" w:rsidRPr="009A06B6">
              <w:rPr>
                <w:rFonts w:eastAsia="Times New Roman"/>
              </w:rPr>
              <w:t>(a)</w:t>
            </w:r>
          </w:p>
        </w:tc>
        <w:tc>
          <w:tcPr>
            <w:tcW w:w="1035" w:type="dxa"/>
            <w:tcBorders>
              <w:top w:val="single" w:sz="4" w:space="0" w:color="auto"/>
              <w:bottom w:val="single" w:sz="4" w:space="0" w:color="auto"/>
            </w:tcBorders>
            <w:shd w:val="clear" w:color="auto" w:fill="auto"/>
            <w:tcMar>
              <w:left w:w="28" w:type="dxa"/>
              <w:right w:w="28" w:type="dxa"/>
            </w:tcMar>
            <w:hideMark/>
          </w:tcPr>
          <w:p w:rsidR="00FB7610" w:rsidRPr="009A06B6" w:rsidRDefault="00FB7610" w:rsidP="006654AE">
            <w:pPr>
              <w:pStyle w:val="tabletextright"/>
              <w:rPr>
                <w:rFonts w:eastAsia="Times New Roman"/>
              </w:rPr>
            </w:pPr>
            <w:r w:rsidRPr="009A06B6">
              <w:rPr>
                <w:rFonts w:eastAsia="Times New Roman"/>
              </w:rPr>
              <w:t>Child Protection/ Vulnerable (%)</w:t>
            </w:r>
            <w:r w:rsidR="00983147" w:rsidRPr="009A06B6">
              <w:rPr>
                <w:rFonts w:eastAsia="Times New Roman"/>
              </w:rPr>
              <w:t>(a)</w:t>
            </w:r>
          </w:p>
        </w:tc>
        <w:tc>
          <w:tcPr>
            <w:tcW w:w="1209"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Income support not income management</w:t>
            </w:r>
            <w:r w:rsidR="00144EDC" w:rsidRPr="009A06B6">
              <w:rPr>
                <w:rFonts w:eastAsia="Times New Roman"/>
              </w:rPr>
              <w:t xml:space="preserve"> (%)</w:t>
            </w:r>
            <w:r w:rsidR="00983147" w:rsidRPr="009A06B6">
              <w:rPr>
                <w:rFonts w:eastAsia="Times New Roman"/>
              </w:rPr>
              <w:t>(a)</w:t>
            </w:r>
          </w:p>
        </w:tc>
        <w:tc>
          <w:tcPr>
            <w:tcW w:w="893"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Not receiving income support</w:t>
            </w:r>
            <w:r w:rsidR="00144EDC" w:rsidRPr="009A06B6">
              <w:rPr>
                <w:rFonts w:eastAsia="Times New Roman"/>
              </w:rPr>
              <w:t xml:space="preserve"> (%)</w:t>
            </w:r>
            <w:r w:rsidR="00983147" w:rsidRPr="009A06B6">
              <w:rPr>
                <w:rFonts w:eastAsia="Times New Roman"/>
              </w:rPr>
              <w:t>(a)</w:t>
            </w:r>
          </w:p>
        </w:tc>
        <w:tc>
          <w:tcPr>
            <w:tcW w:w="917" w:type="dxa"/>
            <w:tcBorders>
              <w:top w:val="single" w:sz="4" w:space="0" w:color="auto"/>
              <w:bottom w:val="single" w:sz="4" w:space="0" w:color="auto"/>
              <w:right w:val="nil"/>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Total (n)</w:t>
            </w:r>
            <w:r w:rsidR="00983147" w:rsidRPr="009A06B6">
              <w:rPr>
                <w:rFonts w:eastAsia="Times New Roman"/>
              </w:rPr>
              <w:t>(a)</w:t>
            </w:r>
          </w:p>
        </w:tc>
      </w:tr>
      <w:tr w:rsidR="009A06B6" w:rsidRPr="009A06B6" w:rsidTr="00EB5275">
        <w:trPr>
          <w:trHeight w:val="20"/>
          <w:jc w:val="center"/>
        </w:trPr>
        <w:tc>
          <w:tcPr>
            <w:tcW w:w="1432" w:type="dxa"/>
            <w:vMerge w:val="restart"/>
            <w:tcBorders>
              <w:top w:val="single" w:sz="4" w:space="0" w:color="auto"/>
              <w:left w:val="nil"/>
            </w:tcBorders>
          </w:tcPr>
          <w:p w:rsidR="009A06B6" w:rsidRPr="009A06B6" w:rsidRDefault="009A06B6" w:rsidP="006654AE">
            <w:pPr>
              <w:pStyle w:val="tabletextleft"/>
              <w:jc w:val="left"/>
              <w:rPr>
                <w:rFonts w:eastAsia="Times New Roman"/>
              </w:rPr>
            </w:pPr>
            <w:r w:rsidRPr="009A06B6">
              <w:rPr>
                <w:rFonts w:eastAsia="Times New Roman"/>
              </w:rPr>
              <w:t>Indigenous</w:t>
            </w:r>
          </w:p>
        </w:tc>
        <w:tc>
          <w:tcPr>
            <w:tcW w:w="1432" w:type="dxa"/>
            <w:tcBorders>
              <w:top w:val="single" w:sz="4" w:space="0" w:color="auto"/>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Compulsory</w:t>
            </w:r>
          </w:p>
        </w:tc>
        <w:tc>
          <w:tcPr>
            <w:tcW w:w="1134"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79.1</w:t>
            </w:r>
          </w:p>
        </w:tc>
        <w:tc>
          <w:tcPr>
            <w:tcW w:w="958"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0.5</w:t>
            </w:r>
          </w:p>
        </w:tc>
        <w:tc>
          <w:tcPr>
            <w:tcW w:w="1035"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1.2</w:t>
            </w:r>
          </w:p>
        </w:tc>
        <w:tc>
          <w:tcPr>
            <w:tcW w:w="1209"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8.6</w:t>
            </w:r>
          </w:p>
        </w:tc>
        <w:tc>
          <w:tcPr>
            <w:tcW w:w="893"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10.6</w:t>
            </w:r>
          </w:p>
        </w:tc>
        <w:tc>
          <w:tcPr>
            <w:tcW w:w="917" w:type="dxa"/>
            <w:tcBorders>
              <w:top w:val="single" w:sz="4" w:space="0" w:color="auto"/>
              <w:bottom w:val="nil"/>
              <w:right w:val="nil"/>
            </w:tcBorders>
            <w:shd w:val="clear" w:color="auto" w:fill="auto"/>
            <w:vAlign w:val="bottom"/>
            <w:hideMark/>
          </w:tcPr>
          <w:p w:rsidR="009A06B6" w:rsidRPr="009A06B6" w:rsidRDefault="009A06B6" w:rsidP="006654AE">
            <w:pPr>
              <w:pStyle w:val="tabletextright"/>
              <w:rPr>
                <w:rFonts w:eastAsia="Times New Roman"/>
              </w:rPr>
            </w:pPr>
            <w:r w:rsidRPr="009A06B6">
              <w:t>11,372</w:t>
            </w:r>
          </w:p>
        </w:tc>
      </w:tr>
      <w:tr w:rsidR="009A06B6" w:rsidRPr="009A06B6" w:rsidTr="00EB5275">
        <w:trPr>
          <w:trHeight w:val="20"/>
          <w:jc w:val="center"/>
        </w:trPr>
        <w:tc>
          <w:tcPr>
            <w:tcW w:w="1432" w:type="dxa"/>
            <w:vMerge/>
            <w:tcBorders>
              <w:left w:val="nil"/>
            </w:tcBorders>
          </w:tcPr>
          <w:p w:rsidR="009A06B6" w:rsidRPr="009A06B6" w:rsidRDefault="009A06B6" w:rsidP="006654AE">
            <w:pPr>
              <w:pStyle w:val="tabletextleft"/>
              <w:jc w:val="left"/>
              <w:rPr>
                <w:rFonts w:eastAsia="Times New Roman"/>
                <w:color w:val="FFFFFF" w:themeColor="background1"/>
              </w:rPr>
            </w:pPr>
          </w:p>
        </w:tc>
        <w:tc>
          <w:tcPr>
            <w:tcW w:w="1432" w:type="dxa"/>
            <w:tcBorders>
              <w:top w:val="nil"/>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Voluntary</w:t>
            </w:r>
          </w:p>
        </w:tc>
        <w:tc>
          <w:tcPr>
            <w:tcW w:w="1134"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4.1</w:t>
            </w:r>
          </w:p>
        </w:tc>
        <w:tc>
          <w:tcPr>
            <w:tcW w:w="958"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82.5</w:t>
            </w:r>
          </w:p>
        </w:tc>
        <w:tc>
          <w:tcPr>
            <w:tcW w:w="1035"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1.0</w:t>
            </w:r>
          </w:p>
        </w:tc>
        <w:tc>
          <w:tcPr>
            <w:tcW w:w="1209"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7.4</w:t>
            </w:r>
          </w:p>
        </w:tc>
        <w:tc>
          <w:tcPr>
            <w:tcW w:w="893"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5.0</w:t>
            </w:r>
          </w:p>
        </w:tc>
        <w:tc>
          <w:tcPr>
            <w:tcW w:w="917" w:type="dxa"/>
            <w:tcBorders>
              <w:top w:val="nil"/>
              <w:bottom w:val="nil"/>
              <w:right w:val="nil"/>
            </w:tcBorders>
            <w:shd w:val="clear" w:color="auto" w:fill="auto"/>
            <w:vAlign w:val="bottom"/>
            <w:hideMark/>
          </w:tcPr>
          <w:p w:rsidR="009A06B6" w:rsidRPr="009A06B6" w:rsidRDefault="009A06B6" w:rsidP="006654AE">
            <w:pPr>
              <w:pStyle w:val="tabletextright"/>
              <w:rPr>
                <w:rFonts w:eastAsia="Times New Roman"/>
              </w:rPr>
            </w:pPr>
            <w:r w:rsidRPr="009A06B6">
              <w:t>3,692</w:t>
            </w:r>
          </w:p>
        </w:tc>
      </w:tr>
      <w:tr w:rsidR="009A06B6" w:rsidRPr="009A06B6" w:rsidTr="00EB5275">
        <w:trPr>
          <w:trHeight w:val="20"/>
          <w:jc w:val="center"/>
        </w:trPr>
        <w:tc>
          <w:tcPr>
            <w:tcW w:w="1432" w:type="dxa"/>
            <w:vMerge/>
            <w:tcBorders>
              <w:left w:val="nil"/>
              <w:bottom w:val="single" w:sz="4" w:space="0" w:color="auto"/>
            </w:tcBorders>
          </w:tcPr>
          <w:p w:rsidR="009A06B6" w:rsidRPr="009A06B6" w:rsidRDefault="009A06B6" w:rsidP="006654AE">
            <w:pPr>
              <w:pStyle w:val="tabletextleft"/>
              <w:ind w:left="274" w:hanging="274"/>
              <w:jc w:val="left"/>
              <w:rPr>
                <w:rFonts w:eastAsia="Times New Roman"/>
                <w:color w:val="FFFFFF" w:themeColor="background1"/>
              </w:rPr>
            </w:pPr>
          </w:p>
        </w:tc>
        <w:tc>
          <w:tcPr>
            <w:tcW w:w="1432" w:type="dxa"/>
            <w:tcBorders>
              <w:top w:val="nil"/>
              <w:left w:val="nil"/>
              <w:bottom w:val="single" w:sz="4" w:space="0" w:color="auto"/>
            </w:tcBorders>
            <w:shd w:val="clear" w:color="auto" w:fill="auto"/>
            <w:tcMar>
              <w:left w:w="57" w:type="dxa"/>
              <w:right w:w="57" w:type="dxa"/>
            </w:tcMar>
            <w:vAlign w:val="bottom"/>
            <w:hideMark/>
          </w:tcPr>
          <w:p w:rsidR="009A06B6" w:rsidRPr="009A06B6" w:rsidRDefault="009A06B6" w:rsidP="006654AE">
            <w:pPr>
              <w:pStyle w:val="tabletextleft"/>
              <w:ind w:left="274" w:hanging="274"/>
              <w:jc w:val="left"/>
              <w:rPr>
                <w:rFonts w:eastAsia="Times New Roman"/>
              </w:rPr>
            </w:pPr>
            <w:r w:rsidRPr="009A06B6">
              <w:rPr>
                <w:rFonts w:eastAsia="Times New Roman"/>
              </w:rPr>
              <w:t>Child Protection/ Vulnerable</w:t>
            </w:r>
          </w:p>
        </w:tc>
        <w:tc>
          <w:tcPr>
            <w:tcW w:w="1134"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25.3</w:t>
            </w:r>
          </w:p>
        </w:tc>
        <w:tc>
          <w:tcPr>
            <w:tcW w:w="958"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2.6</w:t>
            </w:r>
          </w:p>
        </w:tc>
        <w:tc>
          <w:tcPr>
            <w:tcW w:w="1035"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51.5</w:t>
            </w:r>
          </w:p>
        </w:tc>
        <w:tc>
          <w:tcPr>
            <w:tcW w:w="1209"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13.7</w:t>
            </w:r>
          </w:p>
        </w:tc>
        <w:tc>
          <w:tcPr>
            <w:tcW w:w="893"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6.9</w:t>
            </w:r>
          </w:p>
        </w:tc>
        <w:tc>
          <w:tcPr>
            <w:tcW w:w="917" w:type="dxa"/>
            <w:tcBorders>
              <w:top w:val="nil"/>
              <w:bottom w:val="single" w:sz="4" w:space="0" w:color="auto"/>
              <w:right w:val="nil"/>
            </w:tcBorders>
            <w:shd w:val="clear" w:color="auto" w:fill="auto"/>
            <w:vAlign w:val="bottom"/>
            <w:hideMark/>
          </w:tcPr>
          <w:p w:rsidR="009A06B6" w:rsidRPr="009A06B6" w:rsidRDefault="009A06B6" w:rsidP="006654AE">
            <w:pPr>
              <w:pStyle w:val="tabletextright"/>
              <w:rPr>
                <w:rFonts w:eastAsia="Times New Roman"/>
              </w:rPr>
            </w:pPr>
            <w:r w:rsidRPr="009A06B6">
              <w:t>233</w:t>
            </w:r>
          </w:p>
        </w:tc>
      </w:tr>
      <w:tr w:rsidR="009A06B6" w:rsidRPr="009A06B6" w:rsidTr="00EB5275">
        <w:trPr>
          <w:trHeight w:val="20"/>
          <w:jc w:val="center"/>
        </w:trPr>
        <w:tc>
          <w:tcPr>
            <w:tcW w:w="1432" w:type="dxa"/>
            <w:vMerge w:val="restart"/>
            <w:tcBorders>
              <w:top w:val="single" w:sz="4" w:space="0" w:color="auto"/>
              <w:left w:val="nil"/>
            </w:tcBorders>
          </w:tcPr>
          <w:p w:rsidR="009A06B6" w:rsidRPr="009A06B6" w:rsidRDefault="009A06B6" w:rsidP="006654AE">
            <w:pPr>
              <w:pStyle w:val="tabletextleft"/>
              <w:jc w:val="left"/>
              <w:rPr>
                <w:rFonts w:eastAsia="Times New Roman"/>
              </w:rPr>
            </w:pPr>
            <w:r w:rsidRPr="009A06B6">
              <w:rPr>
                <w:rFonts w:eastAsia="Times New Roman"/>
              </w:rPr>
              <w:t>Non-Indigenous</w:t>
            </w:r>
          </w:p>
        </w:tc>
        <w:tc>
          <w:tcPr>
            <w:tcW w:w="1432" w:type="dxa"/>
            <w:tcBorders>
              <w:top w:val="single" w:sz="4" w:space="0" w:color="auto"/>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Compulsory</w:t>
            </w:r>
          </w:p>
        </w:tc>
        <w:tc>
          <w:tcPr>
            <w:tcW w:w="1134"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49.2</w:t>
            </w:r>
          </w:p>
        </w:tc>
        <w:tc>
          <w:tcPr>
            <w:tcW w:w="958"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0.3</w:t>
            </w:r>
          </w:p>
        </w:tc>
        <w:tc>
          <w:tcPr>
            <w:tcW w:w="1035"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1.1</w:t>
            </w:r>
          </w:p>
        </w:tc>
        <w:tc>
          <w:tcPr>
            <w:tcW w:w="1209"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21.6</w:t>
            </w:r>
          </w:p>
        </w:tc>
        <w:tc>
          <w:tcPr>
            <w:tcW w:w="893"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27.8</w:t>
            </w:r>
          </w:p>
        </w:tc>
        <w:tc>
          <w:tcPr>
            <w:tcW w:w="917" w:type="dxa"/>
            <w:tcBorders>
              <w:top w:val="single" w:sz="4" w:space="0" w:color="auto"/>
              <w:bottom w:val="nil"/>
              <w:right w:val="nil"/>
            </w:tcBorders>
            <w:shd w:val="clear" w:color="auto" w:fill="auto"/>
            <w:vAlign w:val="bottom"/>
            <w:hideMark/>
          </w:tcPr>
          <w:p w:rsidR="009A06B6" w:rsidRPr="009A06B6" w:rsidRDefault="009A06B6" w:rsidP="006654AE">
            <w:pPr>
              <w:pStyle w:val="tabletextright"/>
            </w:pPr>
            <w:r w:rsidRPr="009A06B6">
              <w:t>1,619</w:t>
            </w:r>
          </w:p>
        </w:tc>
      </w:tr>
      <w:tr w:rsidR="009A06B6" w:rsidRPr="00DF38B2" w:rsidTr="00EB5275">
        <w:trPr>
          <w:trHeight w:val="20"/>
          <w:jc w:val="center"/>
        </w:trPr>
        <w:tc>
          <w:tcPr>
            <w:tcW w:w="1432" w:type="dxa"/>
            <w:vMerge/>
            <w:tcBorders>
              <w:left w:val="nil"/>
              <w:bottom w:val="single" w:sz="4" w:space="0" w:color="auto"/>
            </w:tcBorders>
          </w:tcPr>
          <w:p w:rsidR="009A06B6" w:rsidRPr="009A06B6" w:rsidRDefault="009A06B6" w:rsidP="006654AE">
            <w:pPr>
              <w:pStyle w:val="tabletextleft"/>
              <w:jc w:val="left"/>
              <w:rPr>
                <w:rFonts w:eastAsia="Times New Roman"/>
              </w:rPr>
            </w:pPr>
          </w:p>
        </w:tc>
        <w:tc>
          <w:tcPr>
            <w:tcW w:w="1432" w:type="dxa"/>
            <w:tcBorders>
              <w:top w:val="nil"/>
              <w:left w:val="nil"/>
              <w:bottom w:val="single" w:sz="4" w:space="0" w:color="auto"/>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Voluntary</w:t>
            </w:r>
          </w:p>
        </w:tc>
        <w:tc>
          <w:tcPr>
            <w:tcW w:w="1134"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0.0</w:t>
            </w:r>
          </w:p>
        </w:tc>
        <w:tc>
          <w:tcPr>
            <w:tcW w:w="958"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69.4</w:t>
            </w:r>
          </w:p>
        </w:tc>
        <w:tc>
          <w:tcPr>
            <w:tcW w:w="1035"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0.0</w:t>
            </w:r>
          </w:p>
        </w:tc>
        <w:tc>
          <w:tcPr>
            <w:tcW w:w="1209"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16.3</w:t>
            </w:r>
          </w:p>
        </w:tc>
        <w:tc>
          <w:tcPr>
            <w:tcW w:w="893"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14.3</w:t>
            </w:r>
          </w:p>
        </w:tc>
        <w:tc>
          <w:tcPr>
            <w:tcW w:w="917" w:type="dxa"/>
            <w:tcBorders>
              <w:top w:val="nil"/>
              <w:bottom w:val="single" w:sz="4" w:space="0" w:color="auto"/>
              <w:right w:val="nil"/>
            </w:tcBorders>
            <w:shd w:val="clear" w:color="auto" w:fill="auto"/>
            <w:vAlign w:val="bottom"/>
            <w:hideMark/>
          </w:tcPr>
          <w:p w:rsidR="009A06B6" w:rsidRPr="00DF38B2" w:rsidRDefault="009A06B6" w:rsidP="006654AE">
            <w:pPr>
              <w:pStyle w:val="tabletextright"/>
            </w:pPr>
            <w:r w:rsidRPr="009A06B6">
              <w:t>49</w:t>
            </w:r>
          </w:p>
        </w:tc>
      </w:tr>
    </w:tbl>
    <w:p w:rsidR="00822E8A" w:rsidRDefault="00822E8A" w:rsidP="006654AE">
      <w:pPr>
        <w:pStyle w:val="tablenotes"/>
        <w:ind w:left="1437" w:hanging="870"/>
      </w:pPr>
    </w:p>
    <w:p w:rsidR="00983147" w:rsidRDefault="005E1FE0" w:rsidP="006654AE">
      <w:pPr>
        <w:pStyle w:val="tablenotes"/>
        <w:ind w:left="1437" w:hanging="870"/>
      </w:pPr>
      <w:r w:rsidRPr="00AB3348">
        <w:t xml:space="preserve">Notes: </w:t>
      </w:r>
      <w:r w:rsidRPr="00AB3348">
        <w:tab/>
      </w:r>
      <w:r w:rsidR="00983147" w:rsidRPr="00AB3348">
        <w:t>(a) Form of income management transitioned to in December 2003</w:t>
      </w:r>
    </w:p>
    <w:p w:rsidR="005E1FE0" w:rsidRPr="00DF38B2" w:rsidRDefault="005E1FE0" w:rsidP="00983147">
      <w:pPr>
        <w:pStyle w:val="tablenotes"/>
        <w:ind w:left="1437"/>
      </w:pPr>
      <w:r w:rsidRPr="00DF38B2">
        <w:t xml:space="preserve">There were only 5 non-Indigenous </w:t>
      </w:r>
      <w:r w:rsidR="006F3B27">
        <w:t xml:space="preserve">people </w:t>
      </w:r>
      <w:r w:rsidRPr="00DF38B2">
        <w:t>on Child Protection or Vulnerable Income Management in December 2013</w:t>
      </w:r>
      <w:r w:rsidR="006F3B27">
        <w:t>,</w:t>
      </w:r>
      <w:r w:rsidRPr="00DF38B2">
        <w:t xml:space="preserve"> and thus the transitions are not reported for this group.</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pPr>
        <w:pStyle w:val="Heading4"/>
      </w:pPr>
      <w:r w:rsidRPr="00DF38B2">
        <w:t xml:space="preserve">Spells on </w:t>
      </w:r>
      <w:r w:rsidR="005E4CAC">
        <w:t>income management</w:t>
      </w:r>
    </w:p>
    <w:p w:rsidR="005E1FE0" w:rsidRPr="00DF38B2" w:rsidRDefault="005E1FE0" w:rsidP="006654AE">
      <w:r w:rsidRPr="00DF38B2">
        <w:t>Most people who are subject to income management have only</w:t>
      </w:r>
      <w:r w:rsidR="006F3B27">
        <w:t xml:space="preserve"> </w:t>
      </w:r>
      <w:r w:rsidRPr="00DF38B2">
        <w:t>one spell on the program. However</w:t>
      </w:r>
      <w:r w:rsidR="006F3B27">
        <w:t>,</w:t>
      </w:r>
      <w:r w:rsidRPr="00DF38B2">
        <w:t xml:space="preserve"> over one</w:t>
      </w:r>
      <w:r w:rsidR="006F3B27">
        <w:t>-</w:t>
      </w:r>
      <w:r w:rsidRPr="00DF38B2">
        <w:t>third have had more than one spell, with this proportion likely to increase over time.</w:t>
      </w:r>
      <w:r w:rsidRPr="00DF38B2">
        <w:rPr>
          <w:rStyle w:val="FootnoteReference"/>
        </w:rPr>
        <w:footnoteReference w:id="65"/>
      </w:r>
      <w:r w:rsidRPr="00DF38B2">
        <w:t xml:space="preserve"> For the purpose of this analysis a person is considered to have exited income management if they have not been income managed for a six</w:t>
      </w:r>
      <w:r w:rsidR="00432F0A">
        <w:t>-</w:t>
      </w:r>
      <w:r w:rsidRPr="00DF38B2">
        <w:t xml:space="preserve">week period. If they return to income management after a break for a period greater than this, they </w:t>
      </w:r>
      <w:r w:rsidRPr="00FE502F">
        <w:t>are considered to have commenced a new spell. The distribution of the population on income management by the number of spells they have had on the measu</w:t>
      </w:r>
      <w:r w:rsidRPr="009655C3">
        <w:t xml:space="preserve">re is shown in </w:t>
      </w:r>
      <w:r w:rsidRPr="00DF38B2">
        <w:fldChar w:fldCharType="begin"/>
      </w:r>
      <w:r w:rsidRPr="00DF38B2">
        <w:instrText xml:space="preserve"> REF _Ref391163651 \h </w:instrText>
      </w:r>
      <w:r w:rsidRPr="00DF38B2">
        <w:fldChar w:fldCharType="separate"/>
      </w:r>
      <w:r w:rsidR="00906D13" w:rsidRPr="00FE502F">
        <w:t xml:space="preserve">Figure </w:t>
      </w:r>
      <w:r w:rsidR="00906D13">
        <w:rPr>
          <w:noProof/>
        </w:rPr>
        <w:t>4</w:t>
      </w:r>
      <w:r w:rsidR="00906D13" w:rsidRPr="00DF38B2">
        <w:noBreakHyphen/>
      </w:r>
      <w:r w:rsidR="00906D13">
        <w:rPr>
          <w:noProof/>
        </w:rPr>
        <w:t>21</w:t>
      </w:r>
      <w:r w:rsidRPr="00DF38B2">
        <w:fldChar w:fldCharType="end"/>
      </w:r>
      <w:r w:rsidRPr="00DF38B2">
        <w:t xml:space="preserve">. </w:t>
      </w:r>
    </w:p>
    <w:p w:rsidR="005E1FE0" w:rsidRPr="00DF38B2" w:rsidRDefault="005E1FE0" w:rsidP="006654AE">
      <w:pPr>
        <w:pStyle w:val="Caption"/>
      </w:pPr>
      <w:bookmarkStart w:id="192" w:name="_Ref391163651"/>
      <w:bookmarkStart w:id="193" w:name="_Toc403739514"/>
      <w:r w:rsidRPr="00FE502F">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21</w:t>
      </w:r>
      <w:r w:rsidR="00040708" w:rsidRPr="00F157EE">
        <w:fldChar w:fldCharType="end"/>
      </w:r>
      <w:bookmarkEnd w:id="192"/>
      <w:r w:rsidR="00B235E1">
        <w:tab/>
      </w:r>
      <w:r w:rsidRPr="00DF38B2">
        <w:t xml:space="preserve">Number of spells of income management between August 2010 and December 2013 </w:t>
      </w:r>
      <w:r w:rsidR="00097266">
        <w:t xml:space="preserve">persons in the Northern Territory </w:t>
      </w:r>
      <w:r w:rsidRPr="00DF38B2">
        <w:t>by Indigenous identification</w:t>
      </w:r>
      <w:bookmarkEnd w:id="193"/>
      <w:r w:rsidRPr="00DF38B2">
        <w:t xml:space="preserve"> </w:t>
      </w:r>
    </w:p>
    <w:p w:rsidR="005E1FE0" w:rsidRPr="00DF38B2" w:rsidRDefault="005E1FE0" w:rsidP="006654AE">
      <w:pPr>
        <w:pStyle w:val="graphicpaste"/>
      </w:pPr>
      <w:r w:rsidRPr="008E4D9D">
        <w:rPr>
          <w:noProof/>
        </w:rPr>
        <w:drawing>
          <wp:inline distT="0" distB="0" distL="0" distR="0" wp14:anchorId="5AFA3656" wp14:editId="4C035742">
            <wp:extent cx="4544695" cy="2514600"/>
            <wp:effectExtent l="0" t="0" r="8255" b="0"/>
            <wp:docPr id="38" name="Picture 38" descr="Bar chart showing the distribution of the number of spells on income management recorded by Indigenous and non-Indigenous persons.  The key features of the chart, including the specific proportions displayed in the chart,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4695" cy="251460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 xml:space="preserve">Notes: </w:t>
      </w:r>
      <w:r w:rsidRPr="00FE502F">
        <w:tab/>
        <w:t>A spell is defined as a c</w:t>
      </w:r>
      <w:r w:rsidRPr="009655C3">
        <w:t>ontinuous period on income management with no breaks of greater than six weeks.</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lastRenderedPageBreak/>
        <w:t xml:space="preserve">As indicated in the </w:t>
      </w:r>
      <w:r w:rsidR="00D95B12">
        <w:t>figure</w:t>
      </w:r>
      <w:r w:rsidR="00432F0A">
        <w:t>,</w:t>
      </w:r>
      <w:r w:rsidRPr="00DF38B2">
        <w:t xml:space="preserve"> 77.5 per cent of non-Indigenous people who have been on income management in the Northern Territory have only one spell on the program. A further 16.7 have two spells</w:t>
      </w:r>
      <w:r w:rsidR="00432F0A">
        <w:t>,</w:t>
      </w:r>
      <w:r w:rsidRPr="00DF38B2">
        <w:t xml:space="preserve"> and 4.5 per cent have three spells. The remainder of the group have between four and six spells. The incidence of multiple spells is higher for Indigenous participants</w:t>
      </w:r>
      <w:r w:rsidR="00432F0A">
        <w:t>,</w:t>
      </w:r>
      <w:r w:rsidRPr="00DF38B2">
        <w:t xml:space="preserve"> of whom only </w:t>
      </w:r>
      <w:r w:rsidR="00310622" w:rsidRPr="00DF38B2">
        <w:t>6</w:t>
      </w:r>
      <w:r w:rsidR="00310622">
        <w:t>2</w:t>
      </w:r>
      <w:r w:rsidRPr="00DF38B2">
        <w:t xml:space="preserve">.4 per cent have a single spell. 24.2 per cent of this group have had two spells and 8.9 per cent three spells. The remaining 4.5 per cent have had between four and </w:t>
      </w:r>
      <w:r w:rsidR="00432F0A">
        <w:t xml:space="preserve">ten </w:t>
      </w:r>
      <w:r w:rsidRPr="00DF38B2">
        <w:t>spells on the program.</w:t>
      </w:r>
    </w:p>
    <w:p w:rsidR="005E1FE0" w:rsidRPr="00DF38B2" w:rsidRDefault="005E1FE0" w:rsidP="006654AE">
      <w:pPr>
        <w:pStyle w:val="Heading4"/>
      </w:pPr>
      <w:r w:rsidRPr="00DF38B2">
        <w:t>Transitions between programs</w:t>
      </w:r>
    </w:p>
    <w:p w:rsidR="005E1FE0" w:rsidRPr="009655C3" w:rsidRDefault="005E1FE0" w:rsidP="006654AE">
      <w:r w:rsidRPr="00DF38B2">
        <w:fldChar w:fldCharType="begin"/>
      </w:r>
      <w:r w:rsidRPr="00DF38B2">
        <w:instrText xml:space="preserve"> REF _Ref391238899 \h </w:instrText>
      </w:r>
      <w:r w:rsidRPr="00DF38B2">
        <w:fldChar w:fldCharType="separate"/>
      </w:r>
      <w:r w:rsidR="00906D13" w:rsidRPr="00DF38B2">
        <w:t xml:space="preserve">Table </w:t>
      </w:r>
      <w:r w:rsidR="00906D13">
        <w:rPr>
          <w:noProof/>
        </w:rPr>
        <w:t>4</w:t>
      </w:r>
      <w:r w:rsidR="00906D13">
        <w:noBreakHyphen/>
      </w:r>
      <w:r w:rsidR="00906D13">
        <w:rPr>
          <w:noProof/>
        </w:rPr>
        <w:t>16</w:t>
      </w:r>
      <w:r w:rsidRPr="00DF38B2">
        <w:fldChar w:fldCharType="end"/>
      </w:r>
      <w:r w:rsidRPr="00DF38B2">
        <w:t xml:space="preserve"> shows the transitions between the different income </w:t>
      </w:r>
      <w:r w:rsidR="001E2112">
        <w:t xml:space="preserve">management </w:t>
      </w:r>
      <w:r w:rsidRPr="00DF38B2">
        <w:t xml:space="preserve">measures over the period December 2012 to December 2013. The table is restricted to people who were subject to income management </w:t>
      </w:r>
      <w:r w:rsidR="000654F4">
        <w:t xml:space="preserve">at both points in time </w:t>
      </w:r>
      <w:r w:rsidRPr="00DF38B2">
        <w:t xml:space="preserve">and splits </w:t>
      </w:r>
      <w:r w:rsidR="000654F4">
        <w:t>these changes into cases where there is a change in</w:t>
      </w:r>
      <w:r w:rsidRPr="00DF38B2">
        <w:t xml:space="preserve"> income management measure</w:t>
      </w:r>
      <w:r w:rsidR="00432F0A">
        <w:t>s</w:t>
      </w:r>
      <w:r w:rsidRPr="00DF38B2">
        <w:t xml:space="preserve"> without a break in being subject to income management (top</w:t>
      </w:r>
      <w:r w:rsidR="00432F0A">
        <w:t xml:space="preserve"> </w:t>
      </w:r>
      <w:r w:rsidRPr="00FE502F">
        <w:t xml:space="preserve">panel) and </w:t>
      </w:r>
      <w:r w:rsidR="000654F4">
        <w:t>where there was</w:t>
      </w:r>
      <w:r w:rsidRPr="00FE502F">
        <w:t xml:space="preserve"> a break in being income managed when the</w:t>
      </w:r>
      <w:r w:rsidR="000654F4">
        <w:t xml:space="preserve"> person</w:t>
      </w:r>
      <w:r w:rsidRPr="00FE502F">
        <w:t xml:space="preserve"> moved between income management measures (bottom panel). </w:t>
      </w:r>
    </w:p>
    <w:p w:rsidR="00BF0116" w:rsidRPr="00DF38B2" w:rsidRDefault="00BF0116" w:rsidP="006654AE">
      <w:r w:rsidRPr="00DF38B2">
        <w:t xml:space="preserve">The 23,053 movements identified in the table relate to the population of 34,950 </w:t>
      </w:r>
      <w:r w:rsidR="00432F0A">
        <w:t xml:space="preserve">people </w:t>
      </w:r>
      <w:r w:rsidRPr="00DF38B2">
        <w:t xml:space="preserve">who have been on </w:t>
      </w:r>
      <w:r w:rsidR="001C3AAB">
        <w:t xml:space="preserve">New Income </w:t>
      </w:r>
      <w:r w:rsidR="00B7352B">
        <w:t>Management</w:t>
      </w:r>
      <w:r w:rsidRPr="00DF38B2">
        <w:t xml:space="preserve"> at some point, with some people having multiple transitions between streams and others none.</w:t>
      </w:r>
    </w:p>
    <w:p w:rsidR="005E1FE0" w:rsidRPr="00DF38B2" w:rsidRDefault="005E1FE0" w:rsidP="006654AE">
      <w:r w:rsidRPr="00DF38B2">
        <w:t xml:space="preserve">Focusing on people who move between income management measures without a break in being subject to income management, after those leaving NTER Income Management, the measure with the largest number moving directly to another income management measure is Voluntary Income Management (1,980), followed by those leaving the Disengaged Youth measure (1,881) and the Long Term Welfare Payment Recipient measure (519). </w:t>
      </w:r>
    </w:p>
    <w:p w:rsidR="005E1FE0" w:rsidRPr="00DF38B2" w:rsidRDefault="005E1FE0" w:rsidP="006654AE">
      <w:r w:rsidRPr="00DF38B2">
        <w:t xml:space="preserve">For people moving directly from Voluntary Income Management to another form of income management, the majority moved to the Long Term Welfare Payment Recipient measure (1,041) and the Disengaged Youth </w:t>
      </w:r>
      <w:r w:rsidR="00A77C74">
        <w:t>m</w:t>
      </w:r>
      <w:r w:rsidRPr="00DF38B2">
        <w:t>easure (709). A small number (191) moved to assessed Vulnerable Income Management. Of those moving from the Disengaged Youth measure</w:t>
      </w:r>
      <w:r w:rsidR="00432F0A">
        <w:t>,</w:t>
      </w:r>
      <w:r w:rsidRPr="00DF38B2">
        <w:t xml:space="preserve"> the majority (1,584) move directly to the Long-Term Welfare Payment </w:t>
      </w:r>
      <w:r w:rsidR="00A77C74">
        <w:t>R</w:t>
      </w:r>
      <w:r w:rsidRPr="00DF38B2">
        <w:t>ecipient measure</w:t>
      </w:r>
      <w:r w:rsidR="00432F0A">
        <w:t>,</w:t>
      </w:r>
      <w:r w:rsidRPr="00DF38B2">
        <w:t xml:space="preserve"> reflecting the fact that they had moved beyond the age range for the Disengaged Youth measure. Smaller numbers moved to the Un</w:t>
      </w:r>
      <w:r w:rsidR="00EF3E03">
        <w:t>reason</w:t>
      </w:r>
      <w:r w:rsidRPr="00DF38B2">
        <w:t>able to Live at Home measure (114), Child Protection Income Management (70) and Voluntary Income Management (53). Of those leaving the Long Term Welfare Payment Recipient measure to another income management measure, almost half (237) moved to Child Protection Income Management and almost half moved to Voluntary Income Management (235).</w:t>
      </w:r>
    </w:p>
    <w:p w:rsidR="005E1FE0" w:rsidRPr="00DF38B2" w:rsidRDefault="005E1FE0" w:rsidP="006654AE"/>
    <w:p w:rsidR="005E1FE0" w:rsidRPr="00DF38B2" w:rsidRDefault="005E1FE0" w:rsidP="006654AE">
      <w:pPr>
        <w:pStyle w:val="Caption"/>
        <w:ind w:left="1439" w:hanging="1155"/>
      </w:pPr>
      <w:bookmarkStart w:id="194" w:name="_Ref391238899"/>
      <w:bookmarkStart w:id="195" w:name="_Toc403739421"/>
      <w:r w:rsidRPr="00DF38B2">
        <w:lastRenderedPageBreak/>
        <w:t xml:space="preserve">Table </w:t>
      </w:r>
      <w:fldSimple w:instr=" STYLEREF 1 \s ">
        <w:r w:rsidR="00906D13">
          <w:rPr>
            <w:noProof/>
          </w:rPr>
          <w:t>4</w:t>
        </w:r>
      </w:fldSimple>
      <w:r w:rsidR="00D40B64">
        <w:noBreakHyphen/>
      </w:r>
      <w:fldSimple w:instr=" SEQ Table \* ARABIC \s 1 ">
        <w:r w:rsidR="00906D13">
          <w:rPr>
            <w:noProof/>
          </w:rPr>
          <w:t>16</w:t>
        </w:r>
      </w:fldSimple>
      <w:bookmarkEnd w:id="194"/>
      <w:r w:rsidRPr="00DF38B2">
        <w:tab/>
        <w:t xml:space="preserve">Transitions between income management measures, </w:t>
      </w:r>
      <w:r w:rsidR="00097266">
        <w:t xml:space="preserve">persons in the Northern Territory between </w:t>
      </w:r>
      <w:r w:rsidRPr="00DF38B2">
        <w:t>late 2010 to December 2013</w:t>
      </w:r>
      <w:bookmarkEnd w:id="195"/>
    </w:p>
    <w:tbl>
      <w:tblPr>
        <w:tblW w:w="9807" w:type="dxa"/>
        <w:jc w:val="center"/>
        <w:tblLook w:val="04A0" w:firstRow="1" w:lastRow="0" w:firstColumn="1" w:lastColumn="0" w:noHBand="0" w:noVBand="1"/>
        <w:tblDescription w:val="This table presents two matrices of switches between detailed income management program elements – either involving, in the first panel, 18,787 cases where there were switches without a break between episodes, and in the second panel 4,266 cases where people had a break between the different types of income management.  Some of the major movements are detailed in the text. "/>
      </w:tblPr>
      <w:tblGrid>
        <w:gridCol w:w="964"/>
        <w:gridCol w:w="1177"/>
        <w:gridCol w:w="681"/>
        <w:gridCol w:w="708"/>
        <w:gridCol w:w="776"/>
        <w:gridCol w:w="753"/>
        <w:gridCol w:w="642"/>
        <w:gridCol w:w="599"/>
        <w:gridCol w:w="768"/>
        <w:gridCol w:w="633"/>
        <w:gridCol w:w="762"/>
        <w:gridCol w:w="626"/>
        <w:gridCol w:w="718"/>
      </w:tblGrid>
      <w:tr w:rsidR="003517EC" w:rsidRPr="00DF38B2" w:rsidTr="003517EC">
        <w:trPr>
          <w:trHeight w:val="20"/>
          <w:tblHeader/>
          <w:jc w:val="center"/>
        </w:trPr>
        <w:tc>
          <w:tcPr>
            <w:tcW w:w="964" w:type="dxa"/>
            <w:tcBorders>
              <w:top w:val="single" w:sz="4" w:space="0" w:color="auto"/>
              <w:left w:val="nil"/>
              <w:bottom w:val="single" w:sz="4" w:space="0" w:color="auto"/>
              <w:right w:val="nil"/>
            </w:tcBorders>
          </w:tcPr>
          <w:p w:rsidR="003517EC" w:rsidRDefault="003517EC" w:rsidP="006654AE">
            <w:pPr>
              <w:pStyle w:val="tabletextleft"/>
              <w:rPr>
                <w:rFonts w:eastAsia="Times New Roman"/>
              </w:rPr>
            </w:pPr>
          </w:p>
        </w:tc>
        <w:tc>
          <w:tcPr>
            <w:tcW w:w="1177" w:type="dxa"/>
            <w:tcBorders>
              <w:top w:val="single" w:sz="4" w:space="0" w:color="auto"/>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Pr>
                <w:rFonts w:eastAsia="Times New Roman"/>
              </w:rPr>
              <w:t>Old initiative (a)</w:t>
            </w:r>
          </w:p>
        </w:tc>
        <w:tc>
          <w:tcPr>
            <w:tcW w:w="681"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CIM</w:t>
            </w:r>
          </w:p>
        </w:tc>
        <w:tc>
          <w:tcPr>
            <w:tcW w:w="70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Diseng</w:t>
            </w:r>
            <w:proofErr w:type="spellEnd"/>
            <w:r w:rsidRPr="00DF38B2">
              <w:rPr>
                <w:rFonts w:eastAsia="Times New Roman"/>
              </w:rPr>
              <w:t xml:space="preserve"> Youth</w:t>
            </w:r>
          </w:p>
        </w:tc>
        <w:tc>
          <w:tcPr>
            <w:tcW w:w="776"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LTWPR</w:t>
            </w:r>
          </w:p>
        </w:tc>
        <w:tc>
          <w:tcPr>
            <w:tcW w:w="753"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Chld</w:t>
            </w:r>
            <w:proofErr w:type="spellEnd"/>
            <w:r w:rsidRPr="00DF38B2">
              <w:rPr>
                <w:rFonts w:eastAsia="Times New Roman"/>
              </w:rPr>
              <w:t xml:space="preserve"> Prot</w:t>
            </w:r>
            <w:r>
              <w:rPr>
                <w:rFonts w:eastAsia="Times New Roman"/>
              </w:rPr>
              <w:t>ect</w:t>
            </w:r>
          </w:p>
        </w:tc>
        <w:tc>
          <w:tcPr>
            <w:tcW w:w="642"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Asses</w:t>
            </w:r>
          </w:p>
        </w:tc>
        <w:tc>
          <w:tcPr>
            <w:tcW w:w="599"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Crisis</w:t>
            </w:r>
          </w:p>
        </w:tc>
        <w:tc>
          <w:tcPr>
            <w:tcW w:w="76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633"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SPAR</w:t>
            </w:r>
          </w:p>
        </w:tc>
        <w:tc>
          <w:tcPr>
            <w:tcW w:w="762"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Nomin-ee</w:t>
            </w:r>
            <w:proofErr w:type="spellEnd"/>
            <w:r w:rsidRPr="00DF38B2">
              <w:rPr>
                <w:rFonts w:eastAsia="Times New Roman"/>
              </w:rPr>
              <w:t xml:space="preserve"> </w:t>
            </w:r>
          </w:p>
        </w:tc>
        <w:tc>
          <w:tcPr>
            <w:tcW w:w="626"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VIM</w:t>
            </w:r>
          </w:p>
        </w:tc>
        <w:tc>
          <w:tcPr>
            <w:tcW w:w="71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Total</w:t>
            </w:r>
          </w:p>
        </w:tc>
      </w:tr>
      <w:tr w:rsidR="003517EC" w:rsidRPr="00DF38B2" w:rsidTr="003517EC">
        <w:trPr>
          <w:trHeight w:val="20"/>
          <w:jc w:val="center"/>
        </w:trPr>
        <w:tc>
          <w:tcPr>
            <w:tcW w:w="964" w:type="dxa"/>
            <w:vMerge w:val="restart"/>
            <w:tcBorders>
              <w:top w:val="single" w:sz="4" w:space="0" w:color="auto"/>
              <w:left w:val="nil"/>
              <w:right w:val="nil"/>
            </w:tcBorders>
          </w:tcPr>
          <w:p w:rsidR="003517EC" w:rsidRPr="00DF38B2" w:rsidRDefault="003517EC" w:rsidP="003517EC">
            <w:pPr>
              <w:pStyle w:val="tabletextleft"/>
              <w:jc w:val="left"/>
              <w:rPr>
                <w:rFonts w:eastAsia="Times New Roman"/>
              </w:rPr>
            </w:pPr>
            <w:r>
              <w:rPr>
                <w:rFonts w:eastAsia="Times New Roman"/>
              </w:rPr>
              <w:t>Switch without a break in being subject to IM</w:t>
            </w:r>
          </w:p>
        </w:tc>
        <w:tc>
          <w:tcPr>
            <w:tcW w:w="1177"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NTER</w:t>
            </w:r>
            <w:r>
              <w:rPr>
                <w:rFonts w:eastAsia="Times New Roman"/>
              </w:rPr>
              <w:t xml:space="preserve"> </w:t>
            </w:r>
            <w:r w:rsidRPr="00DF38B2">
              <w:rPr>
                <w:rFonts w:eastAsia="Times New Roman"/>
              </w:rPr>
              <w:t>IM</w:t>
            </w:r>
          </w:p>
        </w:tc>
        <w:tc>
          <w:tcPr>
            <w:tcW w:w="681"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444</w:t>
            </w:r>
          </w:p>
        </w:tc>
        <w:tc>
          <w:tcPr>
            <w:tcW w:w="70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2,866</w:t>
            </w:r>
          </w:p>
        </w:tc>
        <w:tc>
          <w:tcPr>
            <w:tcW w:w="77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5,669</w:t>
            </w:r>
          </w:p>
        </w:tc>
        <w:tc>
          <w:tcPr>
            <w:tcW w:w="75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64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99</w:t>
            </w:r>
          </w:p>
        </w:tc>
        <w:tc>
          <w:tcPr>
            <w:tcW w:w="599"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4,920</w:t>
            </w:r>
          </w:p>
        </w:tc>
        <w:tc>
          <w:tcPr>
            <w:tcW w:w="71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13,999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Disengaged Youth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1,584</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34</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114</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22</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1,881</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LTWPR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237</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26</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235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519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61</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270</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52</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69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SPAR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Nominee 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43</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55</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VIM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709</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1,041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8</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1,980</w:t>
            </w:r>
          </w:p>
        </w:tc>
      </w:tr>
      <w:tr w:rsidR="003517EC" w:rsidRPr="00DF38B2" w:rsidTr="003517EC">
        <w:trPr>
          <w:trHeight w:val="20"/>
          <w:jc w:val="center"/>
        </w:trPr>
        <w:tc>
          <w:tcPr>
            <w:tcW w:w="964" w:type="dxa"/>
            <w:vMerge/>
            <w:tcBorders>
              <w:left w:val="nil"/>
              <w:bottom w:val="single" w:sz="4" w:space="0" w:color="auto"/>
              <w:right w:val="nil"/>
            </w:tcBorders>
          </w:tcPr>
          <w:p w:rsidR="003517EC" w:rsidRPr="00DF38B2" w:rsidRDefault="003517EC" w:rsidP="006654AE">
            <w:pPr>
              <w:pStyle w:val="tabletextleft"/>
              <w:rPr>
                <w:rFonts w:eastAsia="Times New Roman"/>
              </w:rPr>
            </w:pPr>
          </w:p>
        </w:tc>
        <w:tc>
          <w:tcPr>
            <w:tcW w:w="1177"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Total</w:t>
            </w:r>
          </w:p>
        </w:tc>
        <w:tc>
          <w:tcPr>
            <w:tcW w:w="681"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444</w:t>
            </w:r>
          </w:p>
        </w:tc>
        <w:tc>
          <w:tcPr>
            <w:tcW w:w="70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3,701</w:t>
            </w:r>
          </w:p>
        </w:tc>
        <w:tc>
          <w:tcPr>
            <w:tcW w:w="77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8,499</w:t>
            </w:r>
          </w:p>
        </w:tc>
        <w:tc>
          <w:tcPr>
            <w:tcW w:w="75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336</w:t>
            </w:r>
          </w:p>
        </w:tc>
        <w:tc>
          <w:tcPr>
            <w:tcW w:w="64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300</w:t>
            </w:r>
          </w:p>
        </w:tc>
        <w:tc>
          <w:tcPr>
            <w:tcW w:w="599"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40</w:t>
            </w:r>
          </w:p>
        </w:tc>
        <w:tc>
          <w:tcPr>
            <w:tcW w:w="76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114</w:t>
            </w:r>
          </w:p>
        </w:tc>
        <w:tc>
          <w:tcPr>
            <w:tcW w:w="63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40</w:t>
            </w:r>
          </w:p>
        </w:tc>
        <w:tc>
          <w:tcPr>
            <w:tcW w:w="76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30</w:t>
            </w:r>
          </w:p>
        </w:tc>
        <w:tc>
          <w:tcPr>
            <w:tcW w:w="62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5,283</w:t>
            </w:r>
          </w:p>
        </w:tc>
        <w:tc>
          <w:tcPr>
            <w:tcW w:w="71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18,787</w:t>
            </w:r>
          </w:p>
        </w:tc>
      </w:tr>
      <w:tr w:rsidR="003517EC" w:rsidRPr="00DF38B2" w:rsidTr="003517EC">
        <w:trPr>
          <w:trHeight w:val="20"/>
          <w:jc w:val="center"/>
        </w:trPr>
        <w:tc>
          <w:tcPr>
            <w:tcW w:w="964" w:type="dxa"/>
            <w:vMerge w:val="restart"/>
            <w:tcBorders>
              <w:top w:val="single" w:sz="4" w:space="0" w:color="auto"/>
              <w:left w:val="nil"/>
              <w:right w:val="nil"/>
            </w:tcBorders>
          </w:tcPr>
          <w:p w:rsidR="003517EC" w:rsidRPr="00DF38B2" w:rsidRDefault="003517EC" w:rsidP="003517EC">
            <w:pPr>
              <w:pStyle w:val="tabletextleft"/>
              <w:jc w:val="left"/>
              <w:rPr>
                <w:rFonts w:eastAsia="Times New Roman"/>
              </w:rPr>
            </w:pPr>
            <w:r>
              <w:rPr>
                <w:rFonts w:eastAsia="Times New Roman"/>
              </w:rPr>
              <w:t>Switch with a break in being subject to IM</w:t>
            </w:r>
          </w:p>
        </w:tc>
        <w:tc>
          <w:tcPr>
            <w:tcW w:w="1177"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NTER</w:t>
            </w:r>
            <w:r>
              <w:rPr>
                <w:rFonts w:eastAsia="Times New Roman"/>
              </w:rPr>
              <w:t xml:space="preserve"> </w:t>
            </w:r>
            <w:r w:rsidRPr="00DF38B2">
              <w:rPr>
                <w:rFonts w:eastAsia="Times New Roman"/>
              </w:rPr>
              <w:t>IM</w:t>
            </w:r>
          </w:p>
        </w:tc>
        <w:tc>
          <w:tcPr>
            <w:tcW w:w="681"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0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483</w:t>
            </w:r>
          </w:p>
        </w:tc>
        <w:tc>
          <w:tcPr>
            <w:tcW w:w="77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703</w:t>
            </w:r>
          </w:p>
        </w:tc>
        <w:tc>
          <w:tcPr>
            <w:tcW w:w="75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w:t>
            </w:r>
          </w:p>
        </w:tc>
        <w:tc>
          <w:tcPr>
            <w:tcW w:w="64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27</w:t>
            </w:r>
          </w:p>
        </w:tc>
        <w:tc>
          <w:tcPr>
            <w:tcW w:w="599"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w:t>
            </w:r>
          </w:p>
        </w:tc>
        <w:tc>
          <w:tcPr>
            <w:tcW w:w="76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6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62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630</w:t>
            </w:r>
          </w:p>
        </w:tc>
        <w:tc>
          <w:tcPr>
            <w:tcW w:w="71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1,881</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CIM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135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173</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365</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Disengaged Youth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401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8</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65</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63</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25</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340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902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LTWPR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9</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388</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440</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24</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36</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44</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SPAR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Nominee 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16</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26</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VIM</w:t>
            </w:r>
          </w:p>
        </w:tc>
        <w:tc>
          <w:tcPr>
            <w:tcW w:w="681"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224</w:t>
            </w:r>
          </w:p>
        </w:tc>
        <w:tc>
          <w:tcPr>
            <w:tcW w:w="776"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296</w:t>
            </w:r>
          </w:p>
        </w:tc>
        <w:tc>
          <w:tcPr>
            <w:tcW w:w="753"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642"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w:t>
            </w:r>
          </w:p>
        </w:tc>
        <w:tc>
          <w:tcPr>
            <w:tcW w:w="599"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6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33"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11</w:t>
            </w:r>
          </w:p>
        </w:tc>
        <w:tc>
          <w:tcPr>
            <w:tcW w:w="762"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626"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1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566</w:t>
            </w:r>
          </w:p>
        </w:tc>
      </w:tr>
      <w:tr w:rsidR="003517EC" w:rsidRPr="00DF38B2" w:rsidTr="003517EC">
        <w:trPr>
          <w:trHeight w:val="20"/>
          <w:jc w:val="center"/>
        </w:trPr>
        <w:tc>
          <w:tcPr>
            <w:tcW w:w="964" w:type="dxa"/>
            <w:vMerge/>
            <w:tcBorders>
              <w:left w:val="nil"/>
              <w:bottom w:val="single" w:sz="4" w:space="0" w:color="auto"/>
              <w:right w:val="nil"/>
            </w:tcBorders>
          </w:tcPr>
          <w:p w:rsidR="003517EC" w:rsidRPr="00DF38B2" w:rsidRDefault="003517EC" w:rsidP="006654AE">
            <w:pPr>
              <w:pStyle w:val="tabletextleft"/>
              <w:rPr>
                <w:rFonts w:eastAsia="Times New Roman"/>
              </w:rPr>
            </w:pPr>
          </w:p>
        </w:tc>
        <w:tc>
          <w:tcPr>
            <w:tcW w:w="1177"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Total</w:t>
            </w:r>
          </w:p>
        </w:tc>
        <w:tc>
          <w:tcPr>
            <w:tcW w:w="681"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0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871</w:t>
            </w:r>
          </w:p>
        </w:tc>
        <w:tc>
          <w:tcPr>
            <w:tcW w:w="77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1,606</w:t>
            </w:r>
          </w:p>
        </w:tc>
        <w:tc>
          <w:tcPr>
            <w:tcW w:w="75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67</w:t>
            </w:r>
          </w:p>
        </w:tc>
        <w:tc>
          <w:tcPr>
            <w:tcW w:w="64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50</w:t>
            </w:r>
          </w:p>
        </w:tc>
        <w:tc>
          <w:tcPr>
            <w:tcW w:w="599"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75</w:t>
            </w:r>
          </w:p>
        </w:tc>
        <w:tc>
          <w:tcPr>
            <w:tcW w:w="76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64</w:t>
            </w:r>
          </w:p>
        </w:tc>
        <w:tc>
          <w:tcPr>
            <w:tcW w:w="63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19</w:t>
            </w:r>
          </w:p>
        </w:tc>
        <w:tc>
          <w:tcPr>
            <w:tcW w:w="76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50</w:t>
            </w:r>
          </w:p>
        </w:tc>
        <w:tc>
          <w:tcPr>
            <w:tcW w:w="62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1,457</w:t>
            </w:r>
          </w:p>
        </w:tc>
        <w:tc>
          <w:tcPr>
            <w:tcW w:w="71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4,266</w:t>
            </w:r>
          </w:p>
        </w:tc>
      </w:tr>
    </w:tbl>
    <w:p w:rsidR="00822E8A" w:rsidRDefault="00822E8A" w:rsidP="006654AE">
      <w:pPr>
        <w:pStyle w:val="tablenotes"/>
        <w:ind w:left="1437" w:hanging="870"/>
      </w:pPr>
    </w:p>
    <w:p w:rsidR="00310622" w:rsidRDefault="005E1FE0" w:rsidP="006654AE">
      <w:pPr>
        <w:pStyle w:val="tablenotes"/>
        <w:ind w:left="1437" w:hanging="870"/>
      </w:pPr>
      <w:r w:rsidRPr="00DF38B2">
        <w:t xml:space="preserve">Notes: </w:t>
      </w:r>
      <w:r w:rsidRPr="00DF38B2">
        <w:tab/>
        <w:t xml:space="preserve">A person is considered as having a break in income management if they are not subject to income management for a </w:t>
      </w:r>
      <w:r w:rsidR="00432F0A" w:rsidRPr="00DF38B2">
        <w:t>42</w:t>
      </w:r>
      <w:r w:rsidR="00432F0A">
        <w:t>-</w:t>
      </w:r>
      <w:r w:rsidRPr="00DF38B2">
        <w:t xml:space="preserve">day period (6 weeks). </w:t>
      </w:r>
    </w:p>
    <w:p w:rsidR="005E1FE0" w:rsidRPr="00DF38B2" w:rsidRDefault="00310622" w:rsidP="006654AE">
      <w:pPr>
        <w:pStyle w:val="tablenotes"/>
        <w:ind w:left="1437" w:hanging="870"/>
      </w:pPr>
      <w:r>
        <w:t>(a)</w:t>
      </w:r>
      <w:r>
        <w:tab/>
      </w:r>
      <w:r w:rsidR="005E1FE0" w:rsidRPr="00DF38B2">
        <w:t xml:space="preserve">CIM </w:t>
      </w:r>
      <w:r w:rsidR="000A3982">
        <w:t>=</w:t>
      </w:r>
      <w:r w:rsidR="000A3982" w:rsidRPr="00DF38B2">
        <w:t xml:space="preserve"> </w:t>
      </w:r>
      <w:r w:rsidR="005E1FE0" w:rsidRPr="00DF38B2">
        <w:t>Compulsory Income Management. It is presented in this way here because the two streams of Disengaged Youth and Long Term Welfare Payment Recipient were not separately identified in the data for several months in late 2010. Of the 444 people who moved from NTER Income Management to CIM without a break, 365 then go from CIM to another income management measure (i.e.</w:t>
      </w:r>
      <w:r w:rsidR="00432F0A">
        <w:t>,</w:t>
      </w:r>
      <w:r w:rsidR="005E1FE0" w:rsidRPr="00DF38B2">
        <w:t xml:space="preserve"> they moved from NTER Income Management to </w:t>
      </w:r>
      <w:r w:rsidR="005E4CAC">
        <w:t>N</w:t>
      </w:r>
      <w:r w:rsidR="005E1FE0" w:rsidRPr="00DF38B2">
        <w:t xml:space="preserve">ew Income </w:t>
      </w:r>
      <w:r w:rsidR="00432F0A">
        <w:t>M</w:t>
      </w:r>
      <w:r w:rsidR="005E1FE0" w:rsidRPr="00DF38B2">
        <w:t xml:space="preserve">anagement) but then moved onto this program before the detailed income management measures were coded in the DHS data and were recoded into another income management measure. Of the remaining 79, it is likely that they exited income management before the New Income Management streams were identified in the dataset. </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Turning to people who moved between income management measures but had a break in being subject to income management, the measure with the largest number making this kind of transition is Disengaged Youth (440), followed by</w:t>
      </w:r>
      <w:r w:rsidR="00310622">
        <w:t xml:space="preserve"> the</w:t>
      </w:r>
      <w:r w:rsidRPr="00DF38B2">
        <w:t xml:space="preserve"> Voluntary Income Management (566)</w:t>
      </w:r>
      <w:r w:rsidR="00310622">
        <w:t xml:space="preserve"> and the</w:t>
      </w:r>
      <w:r w:rsidRPr="00DF38B2">
        <w:t xml:space="preserve"> Long Term Welfare Payment Recipient measure (440). </w:t>
      </w:r>
      <w:r w:rsidR="00432F0A">
        <w:t>Of t</w:t>
      </w:r>
      <w:r w:rsidRPr="00DF38B2">
        <w:t xml:space="preserve">hose moving from the Disengaged Youth measure to other forms of income management (with a break), 401 moved to the Long Term Welfare Payment Recipient measure and 340 moved to Voluntary Income management. Of those moving from the Long Term Welfare Payment Recipient measure, most moved onto Voluntary Income Management (388). </w:t>
      </w:r>
      <w:r w:rsidR="00432F0A">
        <w:t>Regarding t</w:t>
      </w:r>
      <w:r w:rsidRPr="00DF38B2">
        <w:t xml:space="preserve">hose moving from Voluntary Income Management, a large majority were moving either to the Disengaged Youth measure (224) </w:t>
      </w:r>
      <w:r w:rsidR="00432F0A">
        <w:t>or</w:t>
      </w:r>
      <w:r w:rsidRPr="00DF38B2">
        <w:t xml:space="preserve"> the Long Term Welfare Payment Recipient measure (296).</w:t>
      </w:r>
    </w:p>
    <w:p w:rsidR="005E1FE0" w:rsidRPr="00DF38B2" w:rsidRDefault="005E1FE0" w:rsidP="006654AE">
      <w:r w:rsidRPr="00DF38B2">
        <w:t>Overall, of people subject to Child Protection Income Management, 336 moved directly from another income management measure</w:t>
      </w:r>
      <w:r w:rsidR="00432F0A">
        <w:t>,</w:t>
      </w:r>
      <w:r w:rsidRPr="00DF38B2">
        <w:t xml:space="preserve"> and 67 had previously been on another income management measure but had a break in income management before moving to Child Protection Income Management. The majority of those coming onto Child Protection Income Management had previously been on another form of income management</w:t>
      </w:r>
      <w:r w:rsidR="00432F0A">
        <w:t>; of these,</w:t>
      </w:r>
      <w:r w:rsidRPr="00DF38B2">
        <w:t xml:space="preserve"> the largest group came from the Long-Term Welfare Payment Recipient </w:t>
      </w:r>
      <w:r w:rsidR="00A77C74">
        <w:t>m</w:t>
      </w:r>
      <w:r w:rsidRPr="00DF38B2">
        <w:t>easure</w:t>
      </w:r>
      <w:r w:rsidR="00432F0A">
        <w:t>,</w:t>
      </w:r>
      <w:r w:rsidRPr="00DF38B2">
        <w:t xml:space="preserve"> followed by the Disengaged Youth measure. Similarly the majority of those moving from another form of income management onto the various </w:t>
      </w:r>
      <w:r w:rsidR="005E4CAC">
        <w:t>A</w:t>
      </w:r>
      <w:r w:rsidRPr="00DF38B2">
        <w:t xml:space="preserve">utomatic Vulnerable Income Management measures came from the Disengaged Youth measure. Many of those moving onto </w:t>
      </w:r>
      <w:r w:rsidR="00A8053C" w:rsidRPr="00DF38B2">
        <w:t>the</w:t>
      </w:r>
      <w:r w:rsidR="00A8053C">
        <w:t xml:space="preserve"> </w:t>
      </w:r>
      <w:r w:rsidR="001E2112">
        <w:t>A</w:t>
      </w:r>
      <w:r w:rsidR="001E2112" w:rsidRPr="00DF38B2">
        <w:t>ssessed</w:t>
      </w:r>
      <w:r w:rsidRPr="00DF38B2">
        <w:t xml:space="preserve"> Vulnerable measure came from Voluntary Income Management.</w:t>
      </w:r>
    </w:p>
    <w:p w:rsidR="005E1FE0" w:rsidRPr="00DF38B2" w:rsidRDefault="005E1FE0" w:rsidP="006654AE">
      <w:pPr>
        <w:pStyle w:val="Heading3"/>
      </w:pPr>
      <w:bookmarkStart w:id="196" w:name="_Ref391161136"/>
      <w:bookmarkStart w:id="197" w:name="_Toc403739015"/>
      <w:r w:rsidRPr="00DF38B2">
        <w:lastRenderedPageBreak/>
        <w:t>Duration of time spent on income management</w:t>
      </w:r>
      <w:bookmarkEnd w:id="196"/>
      <w:bookmarkEnd w:id="197"/>
    </w:p>
    <w:p w:rsidR="005E1FE0" w:rsidRPr="00DF38B2" w:rsidRDefault="005E1FE0" w:rsidP="006654AE">
      <w:r w:rsidRPr="00DF38B2">
        <w:t xml:space="preserve">Some data has been presented in </w:t>
      </w:r>
      <w:r w:rsidR="00A77C74">
        <w:t>S</w:t>
      </w:r>
      <w:r w:rsidRPr="00DF38B2">
        <w:t xml:space="preserve">ection </w:t>
      </w:r>
      <w:r w:rsidRPr="003D75FE">
        <w:fldChar w:fldCharType="begin"/>
      </w:r>
      <w:r w:rsidRPr="00DF38B2">
        <w:instrText xml:space="preserve"> REF _Ref391161001 \r \h </w:instrText>
      </w:r>
      <w:r w:rsidRPr="003D75FE">
        <w:fldChar w:fldCharType="separate"/>
      </w:r>
      <w:r w:rsidR="00906D13">
        <w:t>4.5.2</w:t>
      </w:r>
      <w:r w:rsidRPr="003D75FE">
        <w:fldChar w:fldCharType="end"/>
      </w:r>
      <w:r w:rsidRPr="00DF38B2">
        <w:t xml:space="preserve"> on the average duration o</w:t>
      </w:r>
      <w:r w:rsidR="00EC6BE9">
        <w:t>f</w:t>
      </w:r>
      <w:r w:rsidRPr="00DF38B2">
        <w:t xml:space="preserve"> income management for people currently on the program and those who have exited. This section considers th</w:t>
      </w:r>
      <w:r w:rsidR="00EC6BE9">
        <w:t xml:space="preserve">ese </w:t>
      </w:r>
      <w:r w:rsidRPr="00DF38B2">
        <w:t>matter</w:t>
      </w:r>
      <w:r w:rsidR="00EC6BE9">
        <w:t>s</w:t>
      </w:r>
      <w:r w:rsidRPr="00DF38B2">
        <w:t xml:space="preserve"> </w:t>
      </w:r>
      <w:r w:rsidR="00EC6BE9">
        <w:t>in greater depth</w:t>
      </w:r>
      <w:r w:rsidRPr="00DF38B2">
        <w:t>.</w:t>
      </w:r>
    </w:p>
    <w:p w:rsidR="005E1FE0" w:rsidRPr="00DF38B2" w:rsidRDefault="005E1FE0" w:rsidP="006654AE">
      <w:r w:rsidRPr="00DF38B2">
        <w:t xml:space="preserve">Estimating the duration on income management is not a straightforward exercise for several reasons. First, it is not possible to project the future duration on income management of those in the most recent data (termed “right censoring” in the technical literature). Second, decisions have to be made as to how to define the end of a spell of income management. For example, a person </w:t>
      </w:r>
      <w:r w:rsidR="008F48BE">
        <w:t>may</w:t>
      </w:r>
      <w:r w:rsidRPr="00DF38B2">
        <w:t xml:space="preserve"> cease being subject to income management due to </w:t>
      </w:r>
      <w:r w:rsidR="008F48BE" w:rsidRPr="00DF38B2">
        <w:t>suspen</w:t>
      </w:r>
      <w:r w:rsidR="008F48BE">
        <w:t xml:space="preserve">sion of </w:t>
      </w:r>
      <w:r w:rsidRPr="00DF38B2">
        <w:t>their income support payments for a short period</w:t>
      </w:r>
      <w:r w:rsidR="008F48BE">
        <w:t>, and</w:t>
      </w:r>
      <w:r w:rsidRPr="00DF38B2">
        <w:t xml:space="preserve"> then </w:t>
      </w:r>
      <w:r w:rsidR="008F48BE">
        <w:t xml:space="preserve">return </w:t>
      </w:r>
      <w:r w:rsidRPr="00DF38B2">
        <w:t>to payments and continue to be subject to income management</w:t>
      </w:r>
      <w:r w:rsidR="008F48BE">
        <w:t>: in such circumstances, should they</w:t>
      </w:r>
      <w:r w:rsidRPr="00DF38B2">
        <w:t xml:space="preserve"> be classified as having exited from income management? How long a period off income management should constitute the end of income management? In the following analysis a range of approaches have been taken and are explained in the </w:t>
      </w:r>
      <w:r w:rsidR="000A3982">
        <w:t>discussion</w:t>
      </w:r>
      <w:r w:rsidRPr="00DF38B2">
        <w:t>.</w:t>
      </w:r>
    </w:p>
    <w:p w:rsidR="005E1FE0" w:rsidRPr="00DF38B2" w:rsidRDefault="005E1FE0" w:rsidP="006654AE">
      <w:pPr>
        <w:pStyle w:val="Heading4"/>
      </w:pPr>
      <w:r w:rsidRPr="00DF38B2">
        <w:t>Current income management population by date of first commencement</w:t>
      </w:r>
    </w:p>
    <w:p w:rsidR="005E1FE0" w:rsidRPr="00DF38B2" w:rsidRDefault="005E1FE0" w:rsidP="006654AE">
      <w:r w:rsidRPr="003D75FE">
        <w:fldChar w:fldCharType="begin"/>
      </w:r>
      <w:r w:rsidRPr="00DF38B2">
        <w:instrText xml:space="preserve"> REF _Ref390809184 \h </w:instrText>
      </w:r>
      <w:r w:rsidRPr="003D75FE">
        <w:fldChar w:fldCharType="separate"/>
      </w:r>
      <w:r w:rsidR="00906D13" w:rsidRPr="00DF38B2">
        <w:t xml:space="preserve">Figure </w:t>
      </w:r>
      <w:r w:rsidR="00906D13">
        <w:rPr>
          <w:noProof/>
        </w:rPr>
        <w:t>4</w:t>
      </w:r>
      <w:r w:rsidR="00906D13" w:rsidRPr="00DF38B2">
        <w:noBreakHyphen/>
      </w:r>
      <w:r w:rsidR="00906D13">
        <w:rPr>
          <w:noProof/>
        </w:rPr>
        <w:t>22</w:t>
      </w:r>
      <w:r w:rsidRPr="003D75FE">
        <w:fldChar w:fldCharType="end"/>
      </w:r>
      <w:r w:rsidRPr="00DF38B2">
        <w:t xml:space="preserve"> illustrates when people on income management as of 20 December 2013 were first subject to income management. The figure shows the cumulative proportion of those subject to income management in December 2013 by their </w:t>
      </w:r>
      <w:r w:rsidR="00BF0116" w:rsidRPr="00DF38B2">
        <w:t xml:space="preserve">estimated </w:t>
      </w:r>
      <w:r w:rsidRPr="00DF38B2">
        <w:t>first commencement date</w:t>
      </w:r>
      <w:r w:rsidR="00F4005D">
        <w:t>.</w:t>
      </w:r>
      <w:r w:rsidR="00BF0116" w:rsidRPr="00DF38B2">
        <w:rPr>
          <w:rStyle w:val="FootnoteReference"/>
        </w:rPr>
        <w:footnoteReference w:id="66"/>
      </w:r>
      <w:r w:rsidRPr="00DF38B2">
        <w:t xml:space="preserve"> The data on commencements is monthly and starts in September 2007</w:t>
      </w:r>
      <w:r w:rsidR="00F4005D">
        <w:t>,</w:t>
      </w:r>
      <w:r w:rsidRPr="00DF38B2">
        <w:t xml:space="preserve"> which was when NTER </w:t>
      </w:r>
      <w:r w:rsidR="000A3982">
        <w:t>I</w:t>
      </w:r>
      <w:r w:rsidRPr="00DF38B2">
        <w:t xml:space="preserve">ncome </w:t>
      </w:r>
      <w:r w:rsidR="000A3982">
        <w:t>M</w:t>
      </w:r>
      <w:r w:rsidRPr="00DF38B2">
        <w:t xml:space="preserve">anagement was introduced. While individuals are plotted on the basis of their first commencement, this does not necessarily mean that they have all been on income management continually </w:t>
      </w:r>
      <w:r w:rsidR="00301801">
        <w:t>since</w:t>
      </w:r>
      <w:r w:rsidR="00301801" w:rsidRPr="00DF38B2">
        <w:t xml:space="preserve"> </w:t>
      </w:r>
      <w:r w:rsidRPr="00DF38B2">
        <w:t>then, although a significant proportion have been. Even when breaks have occurred</w:t>
      </w:r>
      <w:r w:rsidR="00F4005D">
        <w:t>,</w:t>
      </w:r>
      <w:r w:rsidRPr="00DF38B2">
        <w:t xml:space="preserve"> these are often for relatively short periods.</w:t>
      </w:r>
    </w:p>
    <w:p w:rsidR="005E1FE0" w:rsidRPr="00DF38B2" w:rsidRDefault="005E1FE0" w:rsidP="006654AE">
      <w:pPr>
        <w:pStyle w:val="Caption"/>
        <w:ind w:left="1439" w:hanging="1155"/>
      </w:pPr>
      <w:bookmarkStart w:id="198" w:name="_Ref390809184"/>
      <w:bookmarkStart w:id="199" w:name="_Toc40373951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22</w:t>
      </w:r>
      <w:r w:rsidR="00040708" w:rsidRPr="00F157EE">
        <w:fldChar w:fldCharType="end"/>
      </w:r>
      <w:bookmarkEnd w:id="198"/>
      <w:r w:rsidRPr="00DF38B2">
        <w:t xml:space="preserve"> </w:t>
      </w:r>
      <w:r w:rsidRPr="00DF38B2">
        <w:tab/>
      </w:r>
      <w:r w:rsidR="00FB59D1">
        <w:t>M</w:t>
      </w:r>
      <w:r w:rsidRPr="00DF38B2">
        <w:t xml:space="preserve">onth first subject to </w:t>
      </w:r>
      <w:r w:rsidR="005E4CAC">
        <w:t>income management</w:t>
      </w:r>
      <w:r w:rsidR="00FB59D1">
        <w:t>, persons</w:t>
      </w:r>
      <w:r w:rsidR="00FB59D1" w:rsidRPr="00DF38B2">
        <w:t xml:space="preserve"> on </w:t>
      </w:r>
      <w:r w:rsidR="00FB59D1">
        <w:t>income management</w:t>
      </w:r>
      <w:r w:rsidR="00FB59D1" w:rsidRPr="00DF38B2">
        <w:t xml:space="preserve"> in the Northern Territory as at 20 December 2013</w:t>
      </w:r>
      <w:bookmarkEnd w:id="199"/>
    </w:p>
    <w:p w:rsidR="001A4830" w:rsidRDefault="001A4830" w:rsidP="006654AE">
      <w:pPr>
        <w:jc w:val="center"/>
      </w:pPr>
      <w:r w:rsidRPr="001A4830">
        <w:rPr>
          <w:noProof/>
        </w:rPr>
        <w:drawing>
          <wp:inline distT="0" distB="0" distL="0" distR="0" wp14:anchorId="46C80EF8" wp14:editId="03F315F7">
            <wp:extent cx="4572000" cy="2838450"/>
            <wp:effectExtent l="0" t="0" r="0" b="0"/>
            <wp:docPr id="139" name="Picture 139" descr="This is a single line chart which shows on the vertical axis the cumulative proportion of the income managed population against the horizontal axis which is the first month the person is on income management. This line essentially plots the proportion of the population who commenced income management prior to any particular date.  The text above and below the figure discusses some of these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rsidR="005E1FE0" w:rsidRPr="00FE502F" w:rsidRDefault="005E1FE0" w:rsidP="006654AE">
      <w:pPr>
        <w:pStyle w:val="tablenotes"/>
        <w:ind w:left="1437" w:hanging="870"/>
      </w:pPr>
      <w:r w:rsidRPr="00DF38B2">
        <w:t xml:space="preserve">Note: </w:t>
      </w:r>
      <w:r w:rsidRPr="00DF38B2">
        <w:tab/>
        <w:t xml:space="preserve">The month when first on </w:t>
      </w:r>
      <w:r w:rsidR="00CC7910">
        <w:t xml:space="preserve">income </w:t>
      </w:r>
      <w:r w:rsidR="00A8053C">
        <w:t>management</w:t>
      </w:r>
      <w:r w:rsidR="00CC7910" w:rsidRPr="00DF38B2">
        <w:t xml:space="preserve"> </w:t>
      </w:r>
      <w:r w:rsidRPr="00DF38B2">
        <w:t xml:space="preserve">is the first date a person is known to have been subject to income management derived from the data provided for the evaluation. This may understate the number who had been on NTER IM at an earlier time but were not current as at </w:t>
      </w:r>
      <w:r w:rsidRPr="00FE502F">
        <w:t xml:space="preserve">30 July 2010, or a person who was on </w:t>
      </w:r>
      <w:r w:rsidR="00CC7910">
        <w:t xml:space="preserve">income </w:t>
      </w:r>
      <w:r w:rsidR="00A8053C">
        <w:t>management</w:t>
      </w:r>
      <w:r w:rsidRPr="00FE502F">
        <w:t xml:space="preserve"> at that date but had a break in being subject to </w:t>
      </w:r>
      <w:r w:rsidR="000A3982">
        <w:t>income management</w:t>
      </w:r>
      <w:r w:rsidRPr="00FE502F">
        <w:t>.</w:t>
      </w:r>
    </w:p>
    <w:p w:rsidR="005E1FE0" w:rsidRDefault="005E1FE0" w:rsidP="006654AE">
      <w:pPr>
        <w:pStyle w:val="tablenotes"/>
        <w:keepNext w:val="0"/>
      </w:pPr>
      <w:r w:rsidRPr="009655C3">
        <w:t xml:space="preserve">Source: </w:t>
      </w:r>
      <w:r w:rsidRPr="009655C3">
        <w:tab/>
      </w:r>
      <w:r w:rsidR="00305D80">
        <w:t xml:space="preserve">Derived from </w:t>
      </w:r>
      <w:r w:rsidRPr="009655C3">
        <w:t>DHS Administrative data provided for the purposes of the evaluation.</w:t>
      </w:r>
    </w:p>
    <w:p w:rsidR="006C7328" w:rsidRPr="009655C3" w:rsidRDefault="006C7328" w:rsidP="006654AE">
      <w:pPr>
        <w:pStyle w:val="tablefootnoteslastline"/>
      </w:pPr>
    </w:p>
    <w:p w:rsidR="005E1FE0" w:rsidRPr="00DF38B2" w:rsidRDefault="005E1FE0" w:rsidP="006654AE">
      <w:r w:rsidRPr="00DF38B2">
        <w:t>Of those on income management in December 2013, 21.4 per cent had already been on income management by June 2008. Almost 60 per cent of those on income management in December 2013 were first on NTER Income Management and transitioned to New Income Management in late 201</w:t>
      </w:r>
      <w:r w:rsidR="00D075EE">
        <w:t>0</w:t>
      </w:r>
      <w:r w:rsidRPr="00DF38B2">
        <w:t xml:space="preserve">. In </w:t>
      </w:r>
      <w:r w:rsidRPr="00DF38B2">
        <w:lastRenderedPageBreak/>
        <w:t>contrast</w:t>
      </w:r>
      <w:r w:rsidR="00F4005D">
        <w:t>,</w:t>
      </w:r>
      <w:r w:rsidRPr="00DF38B2">
        <w:t xml:space="preserve"> just 13</w:t>
      </w:r>
      <w:r w:rsidR="00310622">
        <w:t>.0</w:t>
      </w:r>
      <w:r w:rsidRPr="00DF38B2">
        <w:t xml:space="preserve"> per cent of those on </w:t>
      </w:r>
      <w:r w:rsidR="00407AEF">
        <w:t>income management</w:t>
      </w:r>
      <w:r w:rsidR="00407AEF" w:rsidRPr="00DF38B2">
        <w:t xml:space="preserve"> </w:t>
      </w:r>
      <w:r w:rsidRPr="00DF38B2">
        <w:t xml:space="preserve">as of December 2013 were first subject to income management within the previous 12 months. It is clear that the vast majority of those on </w:t>
      </w:r>
      <w:r w:rsidR="00407AEF">
        <w:t>income management</w:t>
      </w:r>
      <w:r w:rsidRPr="00DF38B2">
        <w:t xml:space="preserve"> have had a very long history of being on income management, with 58</w:t>
      </w:r>
      <w:r w:rsidR="00310622">
        <w:t>.7</w:t>
      </w:r>
      <w:r w:rsidRPr="00DF38B2">
        <w:t xml:space="preserve"> per cent having first been on for three years or longer and </w:t>
      </w:r>
      <w:r w:rsidR="00310622" w:rsidRPr="00DF38B2">
        <w:t>2</w:t>
      </w:r>
      <w:r w:rsidR="00310622">
        <w:t>1.4</w:t>
      </w:r>
      <w:r w:rsidR="00310622" w:rsidRPr="00DF38B2">
        <w:t> </w:t>
      </w:r>
      <w:r w:rsidRPr="00DF38B2">
        <w:t>per cent for five and</w:t>
      </w:r>
      <w:r w:rsidR="00F61D96">
        <w:t xml:space="preserve"> a</w:t>
      </w:r>
      <w:r w:rsidRPr="00DF38B2">
        <w:t xml:space="preserve"> half years or longer.</w:t>
      </w:r>
    </w:p>
    <w:p w:rsidR="005E1FE0" w:rsidRPr="00DF38B2" w:rsidRDefault="005E1FE0" w:rsidP="006654AE">
      <w:pPr>
        <w:pStyle w:val="Heading4"/>
      </w:pPr>
      <w:r w:rsidRPr="00DF38B2">
        <w:t>Survival analysis of duration on income management</w:t>
      </w:r>
    </w:p>
    <w:p w:rsidR="005E1FE0" w:rsidRPr="00DF38B2" w:rsidRDefault="005E1FE0" w:rsidP="006654AE">
      <w:r w:rsidRPr="00DF38B2">
        <w:t xml:space="preserve">An alternative way of understanding </w:t>
      </w:r>
      <w:r w:rsidR="000A3982">
        <w:t>how long people are</w:t>
      </w:r>
      <w:r w:rsidRPr="00DF38B2">
        <w:t xml:space="preserve"> subject to income management is survival analysis. A survival analysis provides an estimate of the probability of remaining subject to income management </w:t>
      </w:r>
      <w:r w:rsidR="00BF0116" w:rsidRPr="00DF38B2">
        <w:t>over</w:t>
      </w:r>
      <w:r w:rsidRPr="00DF38B2">
        <w:t xml:space="preserve"> time</w:t>
      </w:r>
      <w:r w:rsidR="00F4005D">
        <w:t>.</w:t>
      </w:r>
      <w:r w:rsidRPr="00DF38B2">
        <w:rPr>
          <w:rStyle w:val="FootnoteReference"/>
        </w:rPr>
        <w:footnoteReference w:id="67"/>
      </w:r>
      <w:r w:rsidRPr="00DF38B2">
        <w:t xml:space="preserve"> </w:t>
      </w:r>
      <w:r w:rsidRPr="003D75FE">
        <w:fldChar w:fldCharType="begin"/>
      </w:r>
      <w:r w:rsidRPr="00DF38B2">
        <w:instrText xml:space="preserve"> REF _Ref389960407 \h </w:instrText>
      </w:r>
      <w:r w:rsidRPr="003D75FE">
        <w:fldChar w:fldCharType="separate"/>
      </w:r>
      <w:r w:rsidR="00906D13" w:rsidRPr="00DF38B2">
        <w:t xml:space="preserve">Figure </w:t>
      </w:r>
      <w:r w:rsidR="00906D13">
        <w:rPr>
          <w:noProof/>
        </w:rPr>
        <w:t>4</w:t>
      </w:r>
      <w:r w:rsidR="00906D13" w:rsidRPr="00DF38B2">
        <w:noBreakHyphen/>
      </w:r>
      <w:r w:rsidR="00906D13">
        <w:rPr>
          <w:noProof/>
        </w:rPr>
        <w:t>23</w:t>
      </w:r>
      <w:r w:rsidRPr="003D75FE">
        <w:fldChar w:fldCharType="end"/>
      </w:r>
      <w:r w:rsidRPr="00DF38B2">
        <w:t xml:space="preserve"> shows the survival functions by type of </w:t>
      </w:r>
      <w:r w:rsidR="000A3982">
        <w:t>income management</w:t>
      </w:r>
      <w:r w:rsidRPr="00DF38B2">
        <w:t xml:space="preserve">. In this </w:t>
      </w:r>
      <w:r w:rsidR="000A3982">
        <w:t>figure people have been</w:t>
      </w:r>
      <w:r w:rsidRPr="00DF38B2">
        <w:t xml:space="preserve"> classified </w:t>
      </w:r>
      <w:r w:rsidR="000A3982">
        <w:t xml:space="preserve">into </w:t>
      </w:r>
      <w:r w:rsidR="00437109">
        <w:t>three</w:t>
      </w:r>
      <w:r w:rsidR="000A3982">
        <w:t xml:space="preserve"> broad categories</w:t>
      </w:r>
      <w:r w:rsidRPr="00DF38B2">
        <w:t xml:space="preserve"> </w:t>
      </w:r>
      <w:r w:rsidR="000A3982">
        <w:t>‘</w:t>
      </w:r>
      <w:r w:rsidRPr="00DF38B2">
        <w:t>Compulsory</w:t>
      </w:r>
      <w:r w:rsidR="003C3FC0">
        <w:t>’</w:t>
      </w:r>
      <w:r w:rsidRPr="00DF38B2">
        <w:t xml:space="preserve"> </w:t>
      </w:r>
      <w:r w:rsidR="003C3FC0">
        <w:t>i</w:t>
      </w:r>
      <w:r w:rsidRPr="00DF38B2">
        <w:t xml:space="preserve">ncome </w:t>
      </w:r>
      <w:r w:rsidR="003C3FC0">
        <w:t>m</w:t>
      </w:r>
      <w:r w:rsidRPr="00DF38B2">
        <w:t xml:space="preserve">anagement, covering the Long Term Welfare and Disengaged Youth measures; </w:t>
      </w:r>
      <w:r w:rsidR="00F4005D">
        <w:t>‘</w:t>
      </w:r>
      <w:r w:rsidRPr="00DF38B2">
        <w:t>Targeted</w:t>
      </w:r>
      <w:r w:rsidR="00F4005D">
        <w:t>’</w:t>
      </w:r>
      <w:r w:rsidRPr="00DF38B2">
        <w:t xml:space="preserve"> </w:t>
      </w:r>
      <w:r w:rsidR="00AF36B6">
        <w:t>i</w:t>
      </w:r>
      <w:r w:rsidRPr="00DF38B2">
        <w:t xml:space="preserve">ncome </w:t>
      </w:r>
      <w:r w:rsidR="00AF36B6">
        <w:t>m</w:t>
      </w:r>
      <w:r w:rsidRPr="00DF38B2">
        <w:t>anagement (a classification that includes Child Protection Income Management, Vulnerable Income Management, Nominee Income Management, SPAR</w:t>
      </w:r>
      <w:r w:rsidR="00F4005D">
        <w:t>,</w:t>
      </w:r>
      <w:r w:rsidRPr="00DF38B2">
        <w:t xml:space="preserve"> and any people living in the Northern Territory who have been placed in the Cape York program</w:t>
      </w:r>
      <w:r w:rsidR="003C3FC0">
        <w:t>)</w:t>
      </w:r>
      <w:r w:rsidRPr="00DF38B2">
        <w:t xml:space="preserve"> and </w:t>
      </w:r>
      <w:r w:rsidR="003C3FC0">
        <w:t xml:space="preserve">‘Voluntary’, those on </w:t>
      </w:r>
      <w:r w:rsidRPr="00DF38B2">
        <w:t>Voluntary Income Management.</w:t>
      </w:r>
    </w:p>
    <w:p w:rsidR="005E1FE0" w:rsidRPr="00DF38B2" w:rsidRDefault="005E1FE0" w:rsidP="006654AE">
      <w:pPr>
        <w:pStyle w:val="Caption"/>
        <w:keepLines/>
      </w:pPr>
      <w:bookmarkStart w:id="200" w:name="_Ref389960407"/>
      <w:bookmarkStart w:id="201" w:name="_Toc40373951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23</w:t>
      </w:r>
      <w:r w:rsidR="00040708" w:rsidRPr="00F157EE">
        <w:fldChar w:fldCharType="end"/>
      </w:r>
      <w:bookmarkEnd w:id="200"/>
      <w:r w:rsidRPr="00DF38B2">
        <w:tab/>
      </w:r>
      <w:r w:rsidR="00FB59D1">
        <w:t>D</w:t>
      </w:r>
      <w:r w:rsidRPr="00DF38B2">
        <w:t>uration analysis: Kaplan-Meier survival function by type of income management</w:t>
      </w:r>
      <w:r w:rsidR="00FB59D1">
        <w:t>, New Income Management</w:t>
      </w:r>
      <w:bookmarkEnd w:id="201"/>
    </w:p>
    <w:p w:rsidR="005E1FE0" w:rsidRPr="00DF38B2" w:rsidRDefault="005E1FE0" w:rsidP="006654AE">
      <w:pPr>
        <w:pStyle w:val="graphicpaste"/>
      </w:pPr>
      <w:r w:rsidRPr="008E4D9D">
        <w:rPr>
          <w:noProof/>
        </w:rPr>
        <w:drawing>
          <wp:inline distT="0" distB="0" distL="0" distR="0" wp14:anchorId="1F9E5E5A" wp14:editId="19967053">
            <wp:extent cx="4572000" cy="2650490"/>
            <wp:effectExtent l="0" t="0" r="0" b="0"/>
            <wp:docPr id="9" name="Picture 9" descr="Plot of a survival function. The vertical axis is the proportion of the population which still ‘survives’ – in these charts remain on income management, with the horizontal axis being time in weeks since the person commenced. Three series are plotted. Persons on the main compulsory measures, people on the specific targeted measures (as explained in the text) and those on voluntary income management.&#10;The main characteristics of the chart are discus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2650490"/>
                    </a:xfrm>
                    <a:prstGeom prst="rect">
                      <a:avLst/>
                    </a:prstGeom>
                    <a:noFill/>
                    <a:ln>
                      <a:noFill/>
                    </a:ln>
                  </pic:spPr>
                </pic:pic>
              </a:graphicData>
            </a:graphic>
          </wp:inline>
        </w:drawing>
      </w:r>
    </w:p>
    <w:p w:rsidR="00310622" w:rsidRDefault="00310622" w:rsidP="006654AE">
      <w:pPr>
        <w:pStyle w:val="tablenotes"/>
      </w:pPr>
      <w:r>
        <w:t>Note:</w:t>
      </w:r>
      <w:r>
        <w:tab/>
        <w:t>Excludes persons with an exemption who did not spend time on income management</w:t>
      </w:r>
      <w:r w:rsidR="00F4005D">
        <w:t>.</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B0423F" w:rsidRPr="00DF38B2" w:rsidRDefault="00B0423F" w:rsidP="006654AE">
      <w:pPr>
        <w:pStyle w:val="tablefootnoteslastline"/>
      </w:pPr>
    </w:p>
    <w:p w:rsidR="00B0423F" w:rsidRPr="00DF38B2" w:rsidRDefault="00B0423F" w:rsidP="006654AE">
      <w:r w:rsidRPr="00DF38B2">
        <w:t xml:space="preserve">The survival analysis shows that the group that has the lowest probability of remaining on income management after 52 weeks is those on Compulsory </w:t>
      </w:r>
      <w:r w:rsidR="003C3FC0">
        <w:t>i</w:t>
      </w:r>
      <w:r w:rsidRPr="00DF38B2">
        <w:t xml:space="preserve">ncome </w:t>
      </w:r>
      <w:r w:rsidR="003C3FC0">
        <w:t>m</w:t>
      </w:r>
      <w:r w:rsidRPr="00DF38B2">
        <w:t xml:space="preserve">anagement (70.4 per cent remaining on), followed by Targeted (81.4 per cent) and Voluntary (82.0 per cent). After 104 weeks the proportion of those still on Compulsory </w:t>
      </w:r>
      <w:r w:rsidR="003C3FC0">
        <w:t>i</w:t>
      </w:r>
      <w:r w:rsidRPr="00DF38B2">
        <w:t xml:space="preserve">ncome </w:t>
      </w:r>
      <w:r w:rsidR="003C3FC0">
        <w:t>m</w:t>
      </w:r>
      <w:r w:rsidRPr="00DF38B2">
        <w:t xml:space="preserve">anagement is </w:t>
      </w:r>
      <w:r w:rsidR="00310622">
        <w:t>5</w:t>
      </w:r>
      <w:r w:rsidRPr="00DF38B2">
        <w:t xml:space="preserve">9.8 per cent, still on </w:t>
      </w:r>
      <w:r w:rsidR="00310622">
        <w:t>the t</w:t>
      </w:r>
      <w:r w:rsidRPr="00DF38B2">
        <w:t xml:space="preserve">argeted </w:t>
      </w:r>
      <w:r w:rsidR="00310622">
        <w:t xml:space="preserve">measures </w:t>
      </w:r>
      <w:r w:rsidRPr="00DF38B2">
        <w:t xml:space="preserve">69.7 per cent and the proportion still on Voluntary is 72.2 per cent. After </w:t>
      </w:r>
      <w:r w:rsidR="00301801" w:rsidRPr="00DF38B2">
        <w:t>15</w:t>
      </w:r>
      <w:r w:rsidR="00301801">
        <w:t>6</w:t>
      </w:r>
      <w:r w:rsidR="00301801" w:rsidRPr="00DF38B2">
        <w:t xml:space="preserve"> </w:t>
      </w:r>
      <w:r w:rsidRPr="00DF38B2">
        <w:t xml:space="preserve">weeks the proportion estimated to be remaining on Compulsory </w:t>
      </w:r>
      <w:r w:rsidR="003C3FC0">
        <w:t>i</w:t>
      </w:r>
      <w:r w:rsidRPr="00DF38B2">
        <w:t xml:space="preserve">ncome </w:t>
      </w:r>
      <w:r w:rsidR="003C3FC0">
        <w:t>m</w:t>
      </w:r>
      <w:r w:rsidRPr="00DF38B2">
        <w:t xml:space="preserve">anagement falls to 50.6 per cent, the proportion still on Targeted falls to 60.1 per </w:t>
      </w:r>
      <w:proofErr w:type="gramStart"/>
      <w:r w:rsidRPr="00DF38B2">
        <w:t>cent</w:t>
      </w:r>
      <w:r w:rsidR="00F4005D">
        <w:t>,</w:t>
      </w:r>
      <w:proofErr w:type="gramEnd"/>
      <w:r w:rsidRPr="00DF38B2">
        <w:t xml:space="preserve"> and the proportion on Voluntary falls to 62.9 per cent. Given that there are a range of reasons people cease receiving </w:t>
      </w:r>
      <w:r w:rsidR="009D7612">
        <w:t>income support</w:t>
      </w:r>
      <w:r w:rsidRPr="00DF38B2">
        <w:t xml:space="preserve"> payments</w:t>
      </w:r>
      <w:r w:rsidR="00F4005D">
        <w:t xml:space="preserve"> – </w:t>
      </w:r>
      <w:r w:rsidRPr="00DF38B2">
        <w:t>for example, finding paid employment, changes in their family circumstances, incarceration</w:t>
      </w:r>
      <w:r w:rsidR="00F4005D">
        <w:t>,</w:t>
      </w:r>
      <w:r w:rsidRPr="00DF38B2">
        <w:t xml:space="preserve"> and death</w:t>
      </w:r>
      <w:r w:rsidR="00F4005D">
        <w:t xml:space="preserve"> –</w:t>
      </w:r>
      <w:r w:rsidRPr="00DF38B2">
        <w:t xml:space="preserve"> these are long durations on income management.</w:t>
      </w:r>
    </w:p>
    <w:p w:rsidR="005E1FE0" w:rsidRPr="00DF38B2" w:rsidRDefault="005E1FE0" w:rsidP="006654AE">
      <w:r w:rsidRPr="003D75FE">
        <w:fldChar w:fldCharType="begin"/>
      </w:r>
      <w:r w:rsidRPr="00DF38B2">
        <w:instrText xml:space="preserve"> REF _Ref390812922 \h </w:instrText>
      </w:r>
      <w:r w:rsidRPr="003D75FE">
        <w:fldChar w:fldCharType="separate"/>
      </w:r>
      <w:r w:rsidR="00906D13" w:rsidRPr="00DF38B2">
        <w:t xml:space="preserve">Figure </w:t>
      </w:r>
      <w:r w:rsidR="00906D13">
        <w:rPr>
          <w:noProof/>
        </w:rPr>
        <w:t>4</w:t>
      </w:r>
      <w:r w:rsidR="00906D13" w:rsidRPr="00DF38B2">
        <w:noBreakHyphen/>
      </w:r>
      <w:r w:rsidR="00906D13">
        <w:rPr>
          <w:noProof/>
        </w:rPr>
        <w:t>24</w:t>
      </w:r>
      <w:r w:rsidRPr="003D75FE">
        <w:fldChar w:fldCharType="end"/>
      </w:r>
      <w:r w:rsidRPr="00DF38B2">
        <w:t xml:space="preserve"> shows the estimated survival function on income management by Indigenous status. The figure </w:t>
      </w:r>
      <w:r w:rsidR="00301801">
        <w:t xml:space="preserve">firstly </w:t>
      </w:r>
      <w:r w:rsidRPr="00DF38B2">
        <w:t xml:space="preserve">shows the survival function estimated only for those who did not obtain an exemption prior to starting being income managed </w:t>
      </w:r>
      <w:r w:rsidR="00310622">
        <w:t xml:space="preserve">(the population shown in the other </w:t>
      </w:r>
      <w:r w:rsidR="000A3982">
        <w:t>figures</w:t>
      </w:r>
      <w:r w:rsidR="00310622">
        <w:t xml:space="preserve">) </w:t>
      </w:r>
      <w:r w:rsidRPr="00DF38B2">
        <w:t xml:space="preserve">and </w:t>
      </w:r>
      <w:r w:rsidR="00301801">
        <w:t xml:space="preserve">secondly to include </w:t>
      </w:r>
      <w:r w:rsidRPr="00DF38B2">
        <w:t xml:space="preserve">those who obtain an exemption prior to starting being income managed. The impact of the higher rate of exemption among non-Indigenous (discussed in Chapter 5) can be seen in </w:t>
      </w:r>
      <w:r w:rsidRPr="003D75FE">
        <w:fldChar w:fldCharType="begin"/>
      </w:r>
      <w:r w:rsidRPr="00DF38B2">
        <w:instrText xml:space="preserve"> REF _Ref390812922 \h </w:instrText>
      </w:r>
      <w:r w:rsidRPr="003D75FE">
        <w:fldChar w:fldCharType="separate"/>
      </w:r>
      <w:r w:rsidR="00906D13" w:rsidRPr="00DF38B2">
        <w:t xml:space="preserve">Figure </w:t>
      </w:r>
      <w:r w:rsidR="00906D13">
        <w:rPr>
          <w:noProof/>
        </w:rPr>
        <w:t>4</w:t>
      </w:r>
      <w:r w:rsidR="00906D13" w:rsidRPr="00DF38B2">
        <w:noBreakHyphen/>
      </w:r>
      <w:r w:rsidR="00906D13">
        <w:rPr>
          <w:noProof/>
        </w:rPr>
        <w:t>24</w:t>
      </w:r>
      <w:r w:rsidRPr="003D75FE">
        <w:fldChar w:fldCharType="end"/>
      </w:r>
      <w:r w:rsidRPr="00DF38B2">
        <w:t xml:space="preserve"> in the 24.3 per cent having </w:t>
      </w:r>
      <w:proofErr w:type="gramStart"/>
      <w:r w:rsidRPr="00DF38B2">
        <w:t>a duration</w:t>
      </w:r>
      <w:proofErr w:type="gramEnd"/>
      <w:r w:rsidRPr="00DF38B2">
        <w:t xml:space="preserve"> of zero weeks, whereas just </w:t>
      </w:r>
      <w:r w:rsidR="00B0423F" w:rsidRPr="00DF38B2">
        <w:t>1.0</w:t>
      </w:r>
      <w:r w:rsidRPr="00DF38B2">
        <w:t xml:space="preserve"> per cent of non-Indigenous have </w:t>
      </w:r>
      <w:r w:rsidR="00B0423F" w:rsidRPr="00DF38B2">
        <w:t>such duration</w:t>
      </w:r>
      <w:r w:rsidRPr="00DF38B2">
        <w:t>.</w:t>
      </w:r>
    </w:p>
    <w:p w:rsidR="00553C8C" w:rsidRDefault="005E1FE0" w:rsidP="006654AE">
      <w:r w:rsidRPr="00DF38B2">
        <w:lastRenderedPageBreak/>
        <w:t xml:space="preserve">The duration of </w:t>
      </w:r>
      <w:r w:rsidR="00B0423F" w:rsidRPr="00DF38B2">
        <w:t xml:space="preserve">the spells that </w:t>
      </w:r>
      <w:r w:rsidRPr="00DF38B2">
        <w:t xml:space="preserve">non-Indigenous </w:t>
      </w:r>
      <w:r w:rsidR="00B0423F" w:rsidRPr="00DF38B2">
        <w:t xml:space="preserve">people spend </w:t>
      </w:r>
      <w:r w:rsidRPr="00DF38B2">
        <w:t>on income management is much shorter than that of Indigenous</w:t>
      </w:r>
      <w:r w:rsidR="00B0423F" w:rsidRPr="00DF38B2">
        <w:t xml:space="preserve"> people</w:t>
      </w:r>
      <w:r w:rsidRPr="00DF38B2">
        <w:t xml:space="preserve">. For example, after 13 weeks, 60.1 per cent of non-Indigenous </w:t>
      </w:r>
      <w:r w:rsidR="00B0423F" w:rsidRPr="00DF38B2">
        <w:t xml:space="preserve">people </w:t>
      </w:r>
      <w:r w:rsidRPr="00DF38B2">
        <w:t>remain subject to income management (excluding those who gain an exemption prior to being income managed)</w:t>
      </w:r>
      <w:r w:rsidR="00BE5414">
        <w:t>,</w:t>
      </w:r>
      <w:r w:rsidRPr="00DF38B2">
        <w:t xml:space="preserve"> compared to 92.0 per cent of Indigenous</w:t>
      </w:r>
      <w:r w:rsidR="00B0423F" w:rsidRPr="00DF38B2">
        <w:t xml:space="preserve"> people</w:t>
      </w:r>
      <w:r w:rsidRPr="00DF38B2">
        <w:t xml:space="preserve"> who </w:t>
      </w:r>
      <w:r w:rsidR="00B0423F" w:rsidRPr="00DF38B2">
        <w:t xml:space="preserve">commence being </w:t>
      </w:r>
      <w:r w:rsidRPr="00DF38B2">
        <w:t xml:space="preserve">income managed. After 104 weeks, </w:t>
      </w:r>
      <w:r w:rsidR="00310622">
        <w:t>72.1</w:t>
      </w:r>
      <w:r w:rsidRPr="00DF38B2">
        <w:t xml:space="preserve"> per cent of Indigenous </w:t>
      </w:r>
      <w:r w:rsidR="00B0423F" w:rsidRPr="00DF38B2">
        <w:t xml:space="preserve">people </w:t>
      </w:r>
      <w:r w:rsidRPr="00DF38B2">
        <w:t>remain income managed</w:t>
      </w:r>
      <w:r w:rsidR="00BE5414">
        <w:t>,</w:t>
      </w:r>
      <w:r w:rsidRPr="00DF38B2">
        <w:t xml:space="preserve"> compared to </w:t>
      </w:r>
      <w:r w:rsidR="00310622">
        <w:t>22.8</w:t>
      </w:r>
      <w:r w:rsidRPr="00DF38B2">
        <w:t xml:space="preserve"> per cent of non-Indigenous </w:t>
      </w:r>
      <w:r w:rsidR="00B0423F" w:rsidRPr="00DF38B2">
        <w:t>people</w:t>
      </w:r>
      <w:r w:rsidR="00445BB3">
        <w:t xml:space="preserve">. </w:t>
      </w:r>
      <w:r w:rsidR="00553C8C">
        <w:t>When account is taken of exemptions</w:t>
      </w:r>
      <w:r w:rsidR="00BE5414">
        <w:t>,</w:t>
      </w:r>
      <w:r w:rsidR="00553C8C">
        <w:t xml:space="preserve"> only 49.5 per cent of non-Indigenous people are on income management 13 weeks after their initial proposed commencement date</w:t>
      </w:r>
      <w:r w:rsidR="00BE5414">
        <w:t>,</w:t>
      </w:r>
      <w:r w:rsidR="00553C8C">
        <w:t xml:space="preserve"> compared with 91.1 per cent of Indigenous people</w:t>
      </w:r>
    </w:p>
    <w:p w:rsidR="005E1FE0" w:rsidRPr="00DF38B2" w:rsidRDefault="005E1FE0" w:rsidP="006654AE">
      <w:pPr>
        <w:pStyle w:val="Caption"/>
      </w:pPr>
      <w:bookmarkStart w:id="202" w:name="_Ref390812922"/>
      <w:bookmarkStart w:id="203" w:name="_Toc40373951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24</w:t>
      </w:r>
      <w:r w:rsidR="00040708" w:rsidRPr="00F157EE">
        <w:fldChar w:fldCharType="end"/>
      </w:r>
      <w:bookmarkEnd w:id="202"/>
      <w:r w:rsidRPr="00DF38B2">
        <w:tab/>
      </w:r>
      <w:r w:rsidR="00FB59D1">
        <w:t>D</w:t>
      </w:r>
      <w:r w:rsidR="00097266" w:rsidRPr="00097266">
        <w:t>uration analysis</w:t>
      </w:r>
      <w:r w:rsidR="00097266">
        <w:t>:</w:t>
      </w:r>
      <w:r w:rsidRPr="00DF38B2">
        <w:t xml:space="preserve"> Kaplan-Meier survival function by Indigenous status (including those who receive an exemption prior to being income managed)</w:t>
      </w:r>
      <w:r w:rsidR="00FB59D1">
        <w:t>,</w:t>
      </w:r>
      <w:r w:rsidR="00FB59D1" w:rsidRPr="00FB59D1">
        <w:t xml:space="preserve"> </w:t>
      </w:r>
      <w:r w:rsidR="00FB59D1" w:rsidRPr="00097266">
        <w:t>New Income Management</w:t>
      </w:r>
      <w:bookmarkEnd w:id="203"/>
    </w:p>
    <w:p w:rsidR="005E1FE0" w:rsidRPr="00DF38B2" w:rsidRDefault="005E1FE0" w:rsidP="006654AE">
      <w:pPr>
        <w:pStyle w:val="graphicpaste"/>
      </w:pPr>
      <w:r w:rsidRPr="008E4D9D">
        <w:rPr>
          <w:noProof/>
        </w:rPr>
        <w:drawing>
          <wp:inline distT="0" distB="0" distL="0" distR="0" wp14:anchorId="3B5FDA86" wp14:editId="674F0D43">
            <wp:extent cx="4572000" cy="2732405"/>
            <wp:effectExtent l="0" t="0" r="0" b="0"/>
            <wp:docPr id="10" name="Picture 10" descr="Plot of a survival function. The vertical axis is the proportion of the population which still ‘survives’ – in these charts remain on income management, with the horizontal axis being time in weeks since the person commenced. Four series are plotted. These are Indigenous people who commence being income managed; Indigenous people who commence being income managed and those who gain an exemption prior to commencement; non-Indigenous people who commence being income managed; and non-Indigenous people who commence being income managed and those who gain an exemption prior to commencement.&#10;The key features of these charts is discussed in the text above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rsidR="005E1FE0" w:rsidRDefault="005E1FE0" w:rsidP="006654AE">
      <w:pPr>
        <w:pStyle w:val="tablenotes"/>
        <w:keepNext w:val="0"/>
        <w:keepLines w:val="0"/>
      </w:pPr>
      <w:r w:rsidRPr="00DF38B2">
        <w:t xml:space="preserve">Source: </w:t>
      </w:r>
      <w:r w:rsidRPr="00DF38B2">
        <w:tab/>
      </w:r>
      <w:r w:rsidR="00305D80">
        <w:t xml:space="preserve">Derived from </w:t>
      </w:r>
      <w:r w:rsidRPr="00DF38B2">
        <w:t>DHS Administrative data provided for the purposes of the evaluation.</w:t>
      </w:r>
    </w:p>
    <w:p w:rsidR="00553C8C" w:rsidRDefault="00553C8C" w:rsidP="006654AE">
      <w:pPr>
        <w:pStyle w:val="tablefootnoteslastline"/>
      </w:pPr>
    </w:p>
    <w:p w:rsidR="00553C8C" w:rsidRPr="00DF38B2" w:rsidRDefault="00553C8C" w:rsidP="006654AE">
      <w:r>
        <w:t xml:space="preserve">This pattern can also be considered in terms of an exit rate – the proportion of people who exit after each week on the program. </w:t>
      </w:r>
      <w:r w:rsidRPr="00DF38B2">
        <w:t>The one</w:t>
      </w:r>
      <w:r w:rsidR="001A5F30">
        <w:t>-</w:t>
      </w:r>
      <w:r w:rsidRPr="00DF38B2">
        <w:t>week exit rate is higher for the non-Indigenous population compared to the Indigenous population for most of the durations able to be studied, but the difference falls with increasing duration. The ratio of the one</w:t>
      </w:r>
      <w:r w:rsidR="001A5F30">
        <w:t>-</w:t>
      </w:r>
      <w:r w:rsidRPr="00DF38B2">
        <w:t xml:space="preserve">week exit rate for the non-Indigenous to Indigenous populations is shown in </w:t>
      </w:r>
      <w:r w:rsidRPr="003D75FE">
        <w:fldChar w:fldCharType="begin"/>
      </w:r>
      <w:r w:rsidRPr="00DF38B2">
        <w:instrText xml:space="preserve"> REF _Ref391234658 \h </w:instrText>
      </w:r>
      <w:r w:rsidRPr="003D75FE">
        <w:fldChar w:fldCharType="separate"/>
      </w:r>
      <w:r w:rsidR="00906D13" w:rsidRPr="00DF38B2">
        <w:t xml:space="preserve">Figure </w:t>
      </w:r>
      <w:r w:rsidR="00906D13">
        <w:rPr>
          <w:noProof/>
        </w:rPr>
        <w:t>4</w:t>
      </w:r>
      <w:r w:rsidR="00906D13" w:rsidRPr="00DF38B2">
        <w:noBreakHyphen/>
      </w:r>
      <w:r w:rsidR="00906D13">
        <w:rPr>
          <w:noProof/>
        </w:rPr>
        <w:t>25</w:t>
      </w:r>
      <w:r w:rsidRPr="003D75FE">
        <w:fldChar w:fldCharType="end"/>
      </w:r>
      <w:r w:rsidRPr="00DF38B2">
        <w:t xml:space="preserve">. The ratio 6.56 at one week means that non-Indigenous people are 6.56 times as likely to have exited from income management over the first week compared to Indigenous people on the measure. </w:t>
      </w:r>
    </w:p>
    <w:p w:rsidR="005E1FE0" w:rsidRPr="00DF38B2" w:rsidRDefault="005E1FE0" w:rsidP="006654AE">
      <w:pPr>
        <w:pStyle w:val="Caption"/>
        <w:ind w:left="1439" w:hanging="1155"/>
      </w:pPr>
      <w:bookmarkStart w:id="204" w:name="_Ref391234658"/>
      <w:bookmarkStart w:id="205" w:name="_Toc40373951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25</w:t>
      </w:r>
      <w:r w:rsidR="00040708" w:rsidRPr="00F157EE">
        <w:fldChar w:fldCharType="end"/>
      </w:r>
      <w:bookmarkEnd w:id="204"/>
      <w:r w:rsidRPr="00DF38B2">
        <w:tab/>
      </w:r>
      <w:r w:rsidR="00FB59D1">
        <w:t>R</w:t>
      </w:r>
      <w:r w:rsidRPr="00DF38B2">
        <w:t>atio of non-Indigenous to Indigenous exit rate from income management by length of time on income management</w:t>
      </w:r>
      <w:r w:rsidR="00FB59D1">
        <w:t>,</w:t>
      </w:r>
      <w:r w:rsidR="00FB59D1" w:rsidRPr="00FB59D1">
        <w:t xml:space="preserve"> New Income Management</w:t>
      </w:r>
      <w:bookmarkEnd w:id="205"/>
    </w:p>
    <w:p w:rsidR="005E1FE0" w:rsidRPr="00DF38B2" w:rsidRDefault="00683D67" w:rsidP="006654AE">
      <w:pPr>
        <w:pStyle w:val="graphicpaste"/>
      </w:pPr>
      <w:r w:rsidRPr="00DF38B2">
        <w:t xml:space="preserve"> </w:t>
      </w:r>
      <w:r w:rsidRPr="008E4D9D">
        <w:rPr>
          <w:noProof/>
        </w:rPr>
        <w:drawing>
          <wp:inline distT="0" distB="0" distL="0" distR="0" wp14:anchorId="5EBCA139" wp14:editId="0581F867">
            <wp:extent cx="4611370" cy="2630170"/>
            <wp:effectExtent l="0" t="0" r="0" b="0"/>
            <wp:docPr id="145" name="Picture 145" descr="This chart has the ratio of the non-Indigenous to Indigenous exit rate on the vertical axis and weeks since commencement on income management on the horizontal axis. The chart combines a bar chart which reports on this ratio on a weekly basis and a line chart which is a fitted polynomial function to this data.  This fitted data is required as the original weekly data is very noisy and it is difficult to ascertain any specific trend in it. This is discussed in the text above.&#10;As discussed in the text the chart shows that non-Indigenous exit rates are higher than those of Indigenous people with this being much more marked with short du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11370" cy="2630170"/>
                    </a:xfrm>
                    <a:prstGeom prst="rect">
                      <a:avLst/>
                    </a:prstGeom>
                    <a:noFill/>
                    <a:ln>
                      <a:noFill/>
                    </a:ln>
                  </pic:spPr>
                </pic:pic>
              </a:graphicData>
            </a:graphic>
          </wp:inline>
        </w:drawing>
      </w:r>
    </w:p>
    <w:p w:rsidR="005E1FE0" w:rsidRPr="009655C3" w:rsidRDefault="005E1FE0" w:rsidP="006654AE">
      <w:pPr>
        <w:pStyle w:val="tablenotes"/>
      </w:pPr>
      <w:r w:rsidRPr="00FE502F">
        <w:t xml:space="preserve">Source: </w:t>
      </w:r>
      <w:r w:rsidRPr="00FE502F">
        <w:tab/>
      </w:r>
      <w:r w:rsidR="00305D80">
        <w:t xml:space="preserve">Derived from </w:t>
      </w:r>
      <w:r w:rsidRPr="00FE502F">
        <w:t>DHS</w:t>
      </w:r>
      <w:r w:rsidRPr="009655C3">
        <w:t xml:space="preserve"> Administrative data provided for the purposes of the evaluation.</w:t>
      </w:r>
    </w:p>
    <w:p w:rsidR="00553C8C" w:rsidRDefault="00553C8C" w:rsidP="006654AE">
      <w:pPr>
        <w:pStyle w:val="tablefootnoteslastline"/>
      </w:pPr>
    </w:p>
    <w:p w:rsidR="005E1FE0" w:rsidRPr="00DF38B2" w:rsidRDefault="00553C8C" w:rsidP="006654AE">
      <w:r w:rsidRPr="00553C8C">
        <w:t>The survival function by gender is shown in</w:t>
      </w:r>
      <w:r w:rsidR="006C7328">
        <w:t xml:space="preserve"> </w:t>
      </w:r>
      <w:r>
        <w:fldChar w:fldCharType="begin"/>
      </w:r>
      <w:r>
        <w:instrText xml:space="preserve"> REF _Ref395026218 \h </w:instrText>
      </w:r>
      <w:r>
        <w:fldChar w:fldCharType="separate"/>
      </w:r>
      <w:r w:rsidR="00906D13" w:rsidRPr="00DF38B2">
        <w:t xml:space="preserve">Figure </w:t>
      </w:r>
      <w:r w:rsidR="00906D13">
        <w:rPr>
          <w:noProof/>
        </w:rPr>
        <w:t>4</w:t>
      </w:r>
      <w:r w:rsidR="00906D13" w:rsidRPr="00DF38B2">
        <w:noBreakHyphen/>
      </w:r>
      <w:r w:rsidR="00906D13">
        <w:rPr>
          <w:noProof/>
        </w:rPr>
        <w:t>26</w:t>
      </w:r>
      <w:r>
        <w:fldChar w:fldCharType="end"/>
      </w:r>
      <w:r w:rsidRPr="00553C8C">
        <w:t>. This clearly shows that women are less likely to exit income management than men. At the end of a year the estimated proportion of women who will still be on income management is 75.7 per cent</w:t>
      </w:r>
      <w:r w:rsidR="001A5F30">
        <w:t>,</w:t>
      </w:r>
      <w:r w:rsidRPr="00553C8C">
        <w:t xml:space="preserve"> compared with 69.1 per cent of men. At the end of two years the proportions are 66.3 per cent and 57.2 per cent</w:t>
      </w:r>
      <w:r w:rsidR="001A5F30">
        <w:t>,</w:t>
      </w:r>
      <w:r w:rsidRPr="00553C8C">
        <w:t xml:space="preserve"> and at the end of three years 57.7 per cent and 47.2 per cent</w:t>
      </w:r>
      <w:r w:rsidR="00445BB3">
        <w:t xml:space="preserve">. </w:t>
      </w:r>
      <w:r w:rsidRPr="00553C8C">
        <w:t>This pattern is entirely driven by the experience of Indigenous people on income management</w:t>
      </w:r>
      <w:r w:rsidR="001A5F30">
        <w:t>,</w:t>
      </w:r>
      <w:r w:rsidRPr="00553C8C">
        <w:t xml:space="preserve"> as the experience of non-Indigenous men and women is almost identical. At the end of one year, for example</w:t>
      </w:r>
      <w:r w:rsidR="001A5F30">
        <w:t>,</w:t>
      </w:r>
      <w:r w:rsidRPr="00553C8C">
        <w:t xml:space="preserve"> just 38.7</w:t>
      </w:r>
      <w:r w:rsidR="00301801">
        <w:t xml:space="preserve"> per cent</w:t>
      </w:r>
      <w:r w:rsidRPr="00553C8C">
        <w:t xml:space="preserve"> o</w:t>
      </w:r>
      <w:r w:rsidR="001A5F30">
        <w:t>f</w:t>
      </w:r>
      <w:r w:rsidRPr="00553C8C">
        <w:t xml:space="preserve"> those non-Indigenous </w:t>
      </w:r>
      <w:r w:rsidR="001A5F30">
        <w:t xml:space="preserve">people </w:t>
      </w:r>
      <w:r w:rsidRPr="00553C8C">
        <w:t>who actually commence being income managed remain on the measure</w:t>
      </w:r>
      <w:r w:rsidR="001A5F30">
        <w:t>,</w:t>
      </w:r>
      <w:r w:rsidRPr="00553C8C">
        <w:t xml:space="preserve"> as do 37.7 per cent of non-Indigenous men.</w:t>
      </w:r>
    </w:p>
    <w:p w:rsidR="005E1FE0" w:rsidRPr="00DF38B2" w:rsidRDefault="005E1FE0" w:rsidP="006654AE">
      <w:pPr>
        <w:pStyle w:val="Caption"/>
      </w:pPr>
      <w:bookmarkStart w:id="206" w:name="_Ref395026218"/>
      <w:bookmarkStart w:id="207" w:name="_Toc40373951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26</w:t>
      </w:r>
      <w:r w:rsidR="00040708" w:rsidRPr="00F157EE">
        <w:fldChar w:fldCharType="end"/>
      </w:r>
      <w:bookmarkEnd w:id="206"/>
      <w:r w:rsidRPr="00DF38B2">
        <w:tab/>
      </w:r>
      <w:r w:rsidR="00FB59D1">
        <w:t>D</w:t>
      </w:r>
      <w:r w:rsidRPr="00DF38B2">
        <w:t xml:space="preserve">uration analysis: Kaplan-Meier survival function </w:t>
      </w:r>
      <w:r w:rsidR="00553C8C" w:rsidRPr="00553C8C">
        <w:t>by gender</w:t>
      </w:r>
      <w:r w:rsidR="00FB59D1">
        <w:t>, New</w:t>
      </w:r>
      <w:r w:rsidR="00FB59D1" w:rsidRPr="00DF38B2">
        <w:t xml:space="preserve"> </w:t>
      </w:r>
      <w:r w:rsidR="00FB59D1">
        <w:t>I</w:t>
      </w:r>
      <w:r w:rsidR="00FB59D1" w:rsidRPr="00DF38B2">
        <w:t xml:space="preserve">ncome </w:t>
      </w:r>
      <w:r w:rsidR="00FB59D1">
        <w:t>M</w:t>
      </w:r>
      <w:r w:rsidR="00FB59D1" w:rsidRPr="00DF38B2">
        <w:t>anagement</w:t>
      </w:r>
      <w:bookmarkEnd w:id="207"/>
    </w:p>
    <w:p w:rsidR="005E1FE0" w:rsidRPr="00DF38B2" w:rsidRDefault="005E1FE0" w:rsidP="006654AE">
      <w:pPr>
        <w:pStyle w:val="graphicpaste"/>
      </w:pPr>
      <w:r w:rsidRPr="008E4D9D">
        <w:rPr>
          <w:noProof/>
        </w:rPr>
        <w:drawing>
          <wp:inline distT="0" distB="0" distL="0" distR="0" wp14:anchorId="66234216" wp14:editId="71AB2872">
            <wp:extent cx="4572000" cy="2743200"/>
            <wp:effectExtent l="0" t="0" r="0" b="0"/>
            <wp:docPr id="11" name="Picture 11" descr="Plot of a survival function. The vertical axis is the proportion of the population which still ‘survives’ – in these charts remain on income management, with the horizontal axis being time in weeks since the person commenced. Two series are plotted – one for men and one for women.&#10;The main features of the figure are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FE502F">
        <w:t xml:space="preserve">Source: </w:t>
      </w:r>
      <w:r w:rsidRPr="00FE502F">
        <w:tab/>
      </w:r>
      <w:r w:rsidR="00305D80">
        <w:t xml:space="preserve">Derived from </w:t>
      </w:r>
      <w:r w:rsidRPr="00FE502F">
        <w:t>DHS Administrative data pro</w:t>
      </w:r>
      <w:r w:rsidRPr="009655C3">
        <w:t>vided for the purposes of the evaluation.</w:t>
      </w:r>
    </w:p>
    <w:p w:rsidR="006C7328" w:rsidRPr="009655C3" w:rsidRDefault="006C7328" w:rsidP="006654AE">
      <w:pPr>
        <w:pStyle w:val="tablefootnoteslastline"/>
      </w:pPr>
    </w:p>
    <w:p w:rsidR="005E1FE0" w:rsidRPr="00DF38B2" w:rsidRDefault="005E1FE0" w:rsidP="006654AE">
      <w:pPr>
        <w:pStyle w:val="Heading3"/>
      </w:pPr>
      <w:bookmarkStart w:id="208" w:name="_Toc403739016"/>
      <w:r w:rsidRPr="00DF38B2">
        <w:t xml:space="preserve">Exits from </w:t>
      </w:r>
      <w:r w:rsidR="005E4CAC">
        <w:t>income management</w:t>
      </w:r>
      <w:bookmarkEnd w:id="208"/>
    </w:p>
    <w:p w:rsidR="005E1FE0" w:rsidRPr="00DF38B2" w:rsidRDefault="005E1FE0" w:rsidP="006654AE">
      <w:r w:rsidRPr="00DF38B2">
        <w:t xml:space="preserve">People who leave income management do so in different ways. </w:t>
      </w:r>
      <w:r w:rsidRPr="003D75FE">
        <w:fldChar w:fldCharType="begin"/>
      </w:r>
      <w:r w:rsidRPr="00DF38B2">
        <w:instrText xml:space="preserve"> REF _Ref390370214 \h </w:instrText>
      </w:r>
      <w:r w:rsidRPr="003D75FE">
        <w:fldChar w:fldCharType="separate"/>
      </w:r>
      <w:r w:rsidR="00906D13" w:rsidRPr="00DF38B2">
        <w:t xml:space="preserve">Figure </w:t>
      </w:r>
      <w:r w:rsidR="00906D13">
        <w:rPr>
          <w:noProof/>
        </w:rPr>
        <w:t>4</w:t>
      </w:r>
      <w:r w:rsidR="00906D13" w:rsidRPr="00DF38B2">
        <w:noBreakHyphen/>
      </w:r>
      <w:r w:rsidR="00906D13">
        <w:rPr>
          <w:noProof/>
        </w:rPr>
        <w:t>27</w:t>
      </w:r>
      <w:r w:rsidRPr="003D75FE">
        <w:fldChar w:fldCharType="end"/>
      </w:r>
      <w:r w:rsidRPr="00DF38B2">
        <w:t xml:space="preserve"> illustrates the income support status of people who were subject to income management in the Northern Territory at the end of December 2012, but not in December 2013. It shows five forms of exits from income management: through obtaining an exemption from income management; moving interstate but remaining on income </w:t>
      </w:r>
      <w:r w:rsidRPr="00DF38B2">
        <w:lastRenderedPageBreak/>
        <w:t>management</w:t>
      </w:r>
      <w:r w:rsidR="001A5F30">
        <w:t>;</w:t>
      </w:r>
      <w:r w:rsidRPr="00DF38B2">
        <w:t xml:space="preserve"> remaining on income support in the</w:t>
      </w:r>
      <w:r w:rsidR="00C74BD2">
        <w:t xml:space="preserve"> Northern Territory </w:t>
      </w:r>
      <w:r w:rsidRPr="00DF38B2">
        <w:t>without being income managed (for example</w:t>
      </w:r>
      <w:r w:rsidR="001A5F30">
        <w:t>,</w:t>
      </w:r>
      <w:r w:rsidRPr="00DF38B2">
        <w:t xml:space="preserve"> by moving to a non-income</w:t>
      </w:r>
      <w:r w:rsidR="00A04470">
        <w:t xml:space="preserve"> </w:t>
      </w:r>
      <w:r w:rsidRPr="00DF38B2">
        <w:t>managed payment</w:t>
      </w:r>
      <w:r w:rsidR="001A5F30">
        <w:t>,</w:t>
      </w:r>
      <w:r w:rsidRPr="00DF38B2">
        <w:t xml:space="preserve"> or ceasing to have a duration on payment</w:t>
      </w:r>
      <w:r w:rsidR="001A5F30">
        <w:t>,</w:t>
      </w:r>
      <w:r w:rsidRPr="00DF38B2">
        <w:t xml:space="preserve"> which makes the</w:t>
      </w:r>
      <w:r w:rsidR="001A5F30">
        <w:t xml:space="preserve"> person</w:t>
      </w:r>
      <w:r w:rsidRPr="00DF38B2">
        <w:t xml:space="preserve"> subject to </w:t>
      </w:r>
      <w:r w:rsidR="00407AEF">
        <w:t>income management</w:t>
      </w:r>
      <w:r w:rsidRPr="00DF38B2">
        <w:t>); moving interstate but remaining on income support; or no longer receiving income support</w:t>
      </w:r>
      <w:r w:rsidR="00445BB3">
        <w:t xml:space="preserve">. </w:t>
      </w:r>
      <w:r w:rsidR="00553C8C">
        <w:t>It excludes those who have moved from one stream of income management to another.</w:t>
      </w:r>
    </w:p>
    <w:p w:rsidR="005E1FE0" w:rsidRPr="00DF38B2" w:rsidRDefault="00437109" w:rsidP="006654AE">
      <w:r>
        <w:t>Of</w:t>
      </w:r>
      <w:r w:rsidRPr="00DF38B2">
        <w:t xml:space="preserve"> </w:t>
      </w:r>
      <w:r w:rsidR="005E1FE0" w:rsidRPr="00DF38B2">
        <w:t xml:space="preserve">the 3,167 people </w:t>
      </w:r>
      <w:r w:rsidR="00A77FC9">
        <w:t>who had been on compulsory income management in the Northern Territory in December 2012 and were no longer on income management in the</w:t>
      </w:r>
      <w:r w:rsidR="00C74BD2">
        <w:t xml:space="preserve"> Northern Territory </w:t>
      </w:r>
      <w:r w:rsidR="00A77FC9">
        <w:t>in December 2013</w:t>
      </w:r>
      <w:r w:rsidR="001A5F30">
        <w:t>,</w:t>
      </w:r>
      <w:r w:rsidR="005E1FE0" w:rsidRPr="00DF38B2">
        <w:t xml:space="preserve"> the main form of exit from </w:t>
      </w:r>
      <w:r w:rsidR="001C3AAB">
        <w:t xml:space="preserve">New Income </w:t>
      </w:r>
      <w:r w:rsidR="00B7352B">
        <w:t>Management</w:t>
      </w:r>
      <w:r w:rsidR="00A77FC9">
        <w:t xml:space="preserve"> in the</w:t>
      </w:r>
      <w:r w:rsidR="00C74BD2">
        <w:t xml:space="preserve"> Northern Territory </w:t>
      </w:r>
      <w:r w:rsidR="005E1FE0" w:rsidRPr="00DF38B2">
        <w:t>was because they exited income support (52.8 per cent), followed by 19.5 per cent who remained on income support in the</w:t>
      </w:r>
      <w:r w:rsidR="00C74BD2">
        <w:t xml:space="preserve"> Northern Territory </w:t>
      </w:r>
      <w:r w:rsidR="005E1FE0" w:rsidRPr="00DF38B2">
        <w:t>but were no longer subject to income management, 10.3 per cent who gained an exemption</w:t>
      </w:r>
      <w:r w:rsidR="001A5F30">
        <w:t>,</w:t>
      </w:r>
      <w:r w:rsidR="005E1FE0" w:rsidRPr="00DF38B2">
        <w:t xml:space="preserve"> and 13.2 per cent who moved interstate but remained on income support.</w:t>
      </w:r>
      <w:r w:rsidR="005E1FE0" w:rsidRPr="00DF38B2">
        <w:rPr>
          <w:rStyle w:val="FootnoteReference"/>
        </w:rPr>
        <w:footnoteReference w:id="68"/>
      </w:r>
    </w:p>
    <w:p w:rsidR="005E1FE0" w:rsidRPr="009655C3" w:rsidRDefault="005E1FE0" w:rsidP="006654AE">
      <w:r w:rsidRPr="00DF38B2">
        <w:t>There were 488</w:t>
      </w:r>
      <w:r w:rsidRPr="00FE502F">
        <w:t xml:space="preserve"> people </w:t>
      </w:r>
      <w:r w:rsidR="003C3FC0">
        <w:t xml:space="preserve">who </w:t>
      </w:r>
      <w:r w:rsidR="00A77FC9">
        <w:t xml:space="preserve">had been on </w:t>
      </w:r>
      <w:r w:rsidR="001544DF">
        <w:t>Voluntary Income Management</w:t>
      </w:r>
      <w:r w:rsidR="00A77FC9">
        <w:t xml:space="preserve"> in December 2012 and exited</w:t>
      </w:r>
      <w:r w:rsidRPr="00FE502F">
        <w:t xml:space="preserve"> over the period J</w:t>
      </w:r>
      <w:r w:rsidRPr="009655C3">
        <w:t>anuary to December 2013.</w:t>
      </w:r>
      <w:r w:rsidRPr="00DF38B2">
        <w:rPr>
          <w:rStyle w:val="FootnoteReference"/>
        </w:rPr>
        <w:footnoteReference w:id="69"/>
      </w:r>
      <w:r w:rsidRPr="00DF38B2">
        <w:t xml:space="preserve"> Of these, 54.9 per cent remained on income support in the N</w:t>
      </w:r>
      <w:r w:rsidR="00407AEF">
        <w:t xml:space="preserve">orthern </w:t>
      </w:r>
      <w:r w:rsidR="001A5F30">
        <w:t>T</w:t>
      </w:r>
      <w:r w:rsidR="00407AEF">
        <w:t>erritory</w:t>
      </w:r>
      <w:r w:rsidRPr="00DF38B2">
        <w:t>; 3</w:t>
      </w:r>
      <w:r w:rsidRPr="00FE502F">
        <w:t>9.3 per cent were no longer on income support; 3.3 per cent were interstate and on income management; 1.8 per cent were on income support in another st</w:t>
      </w:r>
      <w:r w:rsidRPr="009655C3">
        <w:t>ate or territory</w:t>
      </w:r>
      <w:r w:rsidR="001A5F30">
        <w:t>;</w:t>
      </w:r>
      <w:r w:rsidRPr="009655C3">
        <w:t xml:space="preserve"> and 0.6 per cent were exempt.</w:t>
      </w:r>
    </w:p>
    <w:p w:rsidR="005E1FE0" w:rsidRDefault="005E1FE0" w:rsidP="006654AE">
      <w:pPr>
        <w:pStyle w:val="Caption"/>
        <w:ind w:left="1439" w:hanging="1155"/>
      </w:pPr>
      <w:bookmarkStart w:id="209" w:name="_Ref390370214"/>
      <w:bookmarkStart w:id="210" w:name="_Toc403739520"/>
      <w:bookmarkStart w:id="211" w:name="_Toc328601651"/>
      <w:bookmarkStart w:id="212" w:name="_Toc33591591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27</w:t>
      </w:r>
      <w:r w:rsidR="00040708" w:rsidRPr="00F157EE">
        <w:fldChar w:fldCharType="end"/>
      </w:r>
      <w:bookmarkEnd w:id="209"/>
      <w:r w:rsidRPr="00DF38B2">
        <w:tab/>
        <w:t xml:space="preserve">Income support status of people exiting </w:t>
      </w:r>
      <w:r w:rsidR="005E4CAC">
        <w:t>income management</w:t>
      </w:r>
      <w:r w:rsidRPr="00DF38B2">
        <w:t xml:space="preserve"> </w:t>
      </w:r>
      <w:r w:rsidR="00553C8C">
        <w:t xml:space="preserve">in the Northern Territory </w:t>
      </w:r>
      <w:r w:rsidRPr="00DF38B2">
        <w:t>between January and December 2013</w:t>
      </w:r>
      <w:bookmarkEnd w:id="210"/>
      <w:r w:rsidRPr="00DF38B2">
        <w:t xml:space="preserve"> </w:t>
      </w:r>
      <w:bookmarkEnd w:id="211"/>
      <w:bookmarkEnd w:id="212"/>
    </w:p>
    <w:p w:rsidR="00B9729F" w:rsidRPr="00B9729F" w:rsidRDefault="00B9729F" w:rsidP="00B9729F">
      <w:r>
        <w:rPr>
          <w:noProof/>
        </w:rPr>
        <w:drawing>
          <wp:inline distT="0" distB="0" distL="0" distR="0" wp14:anchorId="4E3B912E" wp14:editId="5E3D5D9D">
            <wp:extent cx="5281930" cy="2954655"/>
            <wp:effectExtent l="0" t="0" r="0" b="0"/>
            <wp:docPr id="47" name="Picture 47" descr="Two pie charts show exits from income management for people on compulsory income management and for voluntary income management. The data is discussed in detail above.&#10;&#10;For compulsory income management, data is: Exemption 10.3%; Interstate Income Management 4.2%; On income support in NT 19.5%; On income support, not in NT 13.2%;and  Not on income support 52.8%.&#10;&#10;For voluntary income management, data is: Exemption 0.6%; Interstate Income Management 3.3%; On income support in NT 54.9%; On income support, not in NT 1.8%; and Not on income support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1930" cy="2954655"/>
                    </a:xfrm>
                    <a:prstGeom prst="rect">
                      <a:avLst/>
                    </a:prstGeom>
                    <a:noFill/>
                    <a:ln>
                      <a:noFill/>
                    </a:ln>
                  </pic:spPr>
                </pic:pic>
              </a:graphicData>
            </a:graphic>
          </wp:inline>
        </w:drawing>
      </w:r>
    </w:p>
    <w:p w:rsidR="003173D0" w:rsidRDefault="005E1FE0" w:rsidP="006654AE">
      <w:pPr>
        <w:pStyle w:val="tablenotes"/>
      </w:pPr>
      <w:r w:rsidRPr="00DF38B2">
        <w:t>Notes:</w:t>
      </w:r>
      <w:r w:rsidRPr="00DF38B2">
        <w:tab/>
      </w:r>
    </w:p>
    <w:p w:rsidR="005E1FE0" w:rsidRPr="00DF38B2" w:rsidRDefault="003173D0" w:rsidP="006654AE">
      <w:pPr>
        <w:pStyle w:val="tablenotes"/>
        <w:ind w:left="1418" w:hanging="851"/>
      </w:pPr>
      <w:r>
        <w:t>(a)</w:t>
      </w:r>
      <w:r>
        <w:tab/>
      </w:r>
      <w:r w:rsidR="005E1FE0" w:rsidRPr="00DF38B2">
        <w:t>C</w:t>
      </w:r>
      <w:r w:rsidR="003C3FC0">
        <w:t xml:space="preserve">ompulsory income management </w:t>
      </w:r>
      <w:r w:rsidR="005E1FE0" w:rsidRPr="00DF38B2">
        <w:t>includes Child Protection I</w:t>
      </w:r>
      <w:r>
        <w:t>ncome Management</w:t>
      </w:r>
      <w:r w:rsidR="005E1FE0" w:rsidRPr="00DF38B2">
        <w:t>, Vulnerable I</w:t>
      </w:r>
      <w:r>
        <w:t xml:space="preserve">ncome </w:t>
      </w:r>
      <w:r w:rsidR="005E1FE0" w:rsidRPr="00DF38B2">
        <w:t>M</w:t>
      </w:r>
      <w:r>
        <w:t>anagement</w:t>
      </w:r>
      <w:r w:rsidR="005E1FE0" w:rsidRPr="00DF38B2">
        <w:t>, SPAR</w:t>
      </w:r>
      <w:r w:rsidR="001A5F30">
        <w:t>,</w:t>
      </w:r>
      <w:r w:rsidR="005E1FE0" w:rsidRPr="00DF38B2">
        <w:t xml:space="preserve"> and Nominee Income Management</w:t>
      </w:r>
      <w:r w:rsidR="003C3FC0">
        <w:t xml:space="preserve"> in addition to CIM</w:t>
      </w:r>
      <w:r w:rsidR="005E1FE0" w:rsidRPr="00DF38B2">
        <w:t xml:space="preserve">. </w:t>
      </w:r>
    </w:p>
    <w:p w:rsidR="005E1FE0" w:rsidRDefault="005E1FE0" w:rsidP="006654AE">
      <w:pPr>
        <w:pStyle w:val="tablenotes"/>
        <w:ind w:left="1418" w:hanging="851"/>
      </w:pPr>
      <w:r w:rsidRPr="00DF38B2">
        <w:t xml:space="preserve">Source: </w:t>
      </w:r>
      <w:r w:rsidRPr="00DF38B2">
        <w:tab/>
      </w:r>
      <w:r w:rsidR="00305D80">
        <w:t xml:space="preserve">Derived from </w:t>
      </w:r>
      <w:r w:rsidRPr="00DF38B2">
        <w:t>DHS Administrative data provided for the purposes of the evaluation.</w:t>
      </w:r>
    </w:p>
    <w:p w:rsidR="00A77FC9" w:rsidRPr="00DF38B2" w:rsidRDefault="00A77FC9" w:rsidP="006654AE">
      <w:pPr>
        <w:pStyle w:val="tablefootnoteslastline"/>
        <w:ind w:left="1418" w:hanging="851"/>
      </w:pPr>
    </w:p>
    <w:p w:rsidR="005E1FE0" w:rsidRPr="00DF38B2" w:rsidRDefault="005E1FE0" w:rsidP="006654AE">
      <w:r w:rsidRPr="00DF38B2">
        <w:fldChar w:fldCharType="begin"/>
      </w:r>
      <w:r w:rsidRPr="00DF38B2">
        <w:instrText xml:space="preserve"> REF _Ref391234814 \h </w:instrText>
      </w:r>
      <w:r w:rsidRPr="00DF38B2">
        <w:fldChar w:fldCharType="separate"/>
      </w:r>
      <w:r w:rsidR="00906D13" w:rsidRPr="00DF38B2">
        <w:t xml:space="preserve">Table </w:t>
      </w:r>
      <w:r w:rsidR="00906D13">
        <w:rPr>
          <w:noProof/>
        </w:rPr>
        <w:t>4</w:t>
      </w:r>
      <w:r w:rsidR="00906D13">
        <w:noBreakHyphen/>
      </w:r>
      <w:r w:rsidR="00906D13">
        <w:rPr>
          <w:noProof/>
        </w:rPr>
        <w:t>17</w:t>
      </w:r>
      <w:r w:rsidRPr="00DF38B2">
        <w:fldChar w:fldCharType="end"/>
      </w:r>
      <w:r w:rsidRPr="00DF38B2">
        <w:t xml:space="preserve"> provides information by broad stream of income management and Indigenous status about the income support status of people wh</w:t>
      </w:r>
      <w:r w:rsidRPr="00FE502F">
        <w:t xml:space="preserve">o ceased being subject to income management between December 2012 and December 2013. </w:t>
      </w:r>
      <w:r w:rsidR="00373506">
        <w:t>That is, in contrast to the above figure</w:t>
      </w:r>
      <w:r w:rsidR="009B7361">
        <w:t>,</w:t>
      </w:r>
      <w:r w:rsidR="00373506">
        <w:t xml:space="preserve"> it excludes those who exit income management in the</w:t>
      </w:r>
      <w:r w:rsidR="00C74BD2">
        <w:t xml:space="preserve"> Northern Territory </w:t>
      </w:r>
      <w:r w:rsidR="00373506">
        <w:t xml:space="preserve">but are subject to </w:t>
      </w:r>
      <w:r w:rsidR="003173D0">
        <w:t xml:space="preserve">income </w:t>
      </w:r>
      <w:r w:rsidR="00A8053C">
        <w:t>management</w:t>
      </w:r>
      <w:r w:rsidR="00373506">
        <w:t xml:space="preserve"> </w:t>
      </w:r>
      <w:r w:rsidR="003173D0">
        <w:t>outside of the Northern Territory</w:t>
      </w:r>
      <w:r w:rsidR="00373506">
        <w:t xml:space="preserve">. </w:t>
      </w:r>
      <w:r w:rsidRPr="00FE502F">
        <w:t>In broad terms the income support status of Indigenous and non-</w:t>
      </w:r>
      <w:r w:rsidR="00DF38B2" w:rsidRPr="00DF38B2">
        <w:t>Indigenous people</w:t>
      </w:r>
      <w:r w:rsidR="00EF3909" w:rsidRPr="00DF38B2">
        <w:t xml:space="preserve"> </w:t>
      </w:r>
      <w:r w:rsidRPr="00DF38B2">
        <w:t xml:space="preserve">exiting </w:t>
      </w:r>
      <w:r w:rsidR="003173D0">
        <w:t>the various forms of c</w:t>
      </w:r>
      <w:r w:rsidRPr="00DF38B2">
        <w:t xml:space="preserve">ompulsory </w:t>
      </w:r>
      <w:r w:rsidR="003173D0">
        <w:t>i</w:t>
      </w:r>
      <w:r w:rsidRPr="00DF38B2">
        <w:t xml:space="preserve">ncome </w:t>
      </w:r>
      <w:r w:rsidR="003173D0">
        <w:t>m</w:t>
      </w:r>
      <w:r w:rsidRPr="00DF38B2">
        <w:t xml:space="preserve">anagement are similar. The main difference is that, while a similar proportion of Indigenous and non-Indigenous </w:t>
      </w:r>
      <w:r w:rsidR="00EF3909" w:rsidRPr="00DF38B2">
        <w:t xml:space="preserve">people </w:t>
      </w:r>
      <w:r w:rsidRPr="00DF38B2">
        <w:t xml:space="preserve">remain on income support after </w:t>
      </w:r>
      <w:r w:rsidR="003173D0">
        <w:t>these compulsory income management measures</w:t>
      </w:r>
      <w:r w:rsidRPr="00DF38B2">
        <w:t xml:space="preserve">, non-Indigenous </w:t>
      </w:r>
      <w:r w:rsidR="00EF3909" w:rsidRPr="00DF38B2">
        <w:t xml:space="preserve">people </w:t>
      </w:r>
      <w:r w:rsidRPr="00DF38B2">
        <w:t>are about twice as likely to have left the</w:t>
      </w:r>
      <w:r w:rsidR="00C74BD2">
        <w:t xml:space="preserve"> Northern </w:t>
      </w:r>
      <w:r w:rsidR="00C74BD2">
        <w:lastRenderedPageBreak/>
        <w:t xml:space="preserve">Territory </w:t>
      </w:r>
      <w:r w:rsidRPr="00DF38B2">
        <w:t>and half as likely to remain in the</w:t>
      </w:r>
      <w:r w:rsidR="00C74BD2">
        <w:t xml:space="preserve"> Northern Territory </w:t>
      </w:r>
      <w:r w:rsidRPr="00DF38B2">
        <w:t>as are Indigenous</w:t>
      </w:r>
      <w:r w:rsidR="00EF3909" w:rsidRPr="00DF38B2">
        <w:t xml:space="preserve"> people</w:t>
      </w:r>
      <w:r w:rsidRPr="00DF38B2">
        <w:t xml:space="preserve">. The number of non-Indigenous people leaving Voluntary Income Management is very small (only 15 over the period January to December 2013) and this needs to be </w:t>
      </w:r>
      <w:r w:rsidR="00A8053C">
        <w:t>taken</w:t>
      </w:r>
      <w:r w:rsidR="003173D0">
        <w:t xml:space="preserve"> into account</w:t>
      </w:r>
      <w:r w:rsidRPr="00DF38B2">
        <w:t xml:space="preserve"> when comparing Indigenous and non-Indigenous </w:t>
      </w:r>
      <w:r w:rsidR="00791004">
        <w:t xml:space="preserve">people </w:t>
      </w:r>
      <w:r w:rsidRPr="00DF38B2">
        <w:t>exiting from Voluntary Income Management. The main difference is that non-Indigenous</w:t>
      </w:r>
      <w:r w:rsidR="00EF3909" w:rsidRPr="00DF38B2">
        <w:t xml:space="preserve"> people</w:t>
      </w:r>
      <w:r w:rsidRPr="00DF38B2">
        <w:t xml:space="preserve"> are </w:t>
      </w:r>
      <w:r w:rsidR="00373506">
        <w:t xml:space="preserve">a little </w:t>
      </w:r>
      <w:r w:rsidRPr="00DF38B2">
        <w:t xml:space="preserve">less likely to be receiving an </w:t>
      </w:r>
      <w:r w:rsidR="009D7612">
        <w:t>income support</w:t>
      </w:r>
      <w:r w:rsidRPr="00DF38B2">
        <w:t xml:space="preserve"> </w:t>
      </w:r>
      <w:r w:rsidR="009D7612">
        <w:t>p</w:t>
      </w:r>
      <w:r w:rsidRPr="00DF38B2">
        <w:t>ayment</w:t>
      </w:r>
      <w:r w:rsidR="00791004">
        <w:t>,</w:t>
      </w:r>
      <w:r w:rsidRPr="00DF38B2">
        <w:t xml:space="preserve"> and Indigenous</w:t>
      </w:r>
      <w:r w:rsidR="00EF3909" w:rsidRPr="00DF38B2">
        <w:t xml:space="preserve"> people</w:t>
      </w:r>
      <w:r w:rsidRPr="00DF38B2">
        <w:t xml:space="preserve"> relatively more likely to be still receiving an </w:t>
      </w:r>
      <w:r w:rsidR="009D7612">
        <w:t>income support</w:t>
      </w:r>
      <w:r w:rsidRPr="00DF38B2">
        <w:t xml:space="preserve"> </w:t>
      </w:r>
      <w:r w:rsidR="009D7612">
        <w:t>p</w:t>
      </w:r>
      <w:r w:rsidRPr="00DF38B2">
        <w:t>ayment and to be living in the Northern Territory.</w:t>
      </w:r>
    </w:p>
    <w:p w:rsidR="005E1FE0" w:rsidRPr="00DF38B2" w:rsidRDefault="005E1FE0" w:rsidP="006654AE">
      <w:pPr>
        <w:pStyle w:val="Caption"/>
        <w:ind w:left="1439" w:hanging="1155"/>
      </w:pPr>
      <w:bookmarkStart w:id="213" w:name="_Ref391234814"/>
      <w:bookmarkStart w:id="214" w:name="_Toc328601576"/>
      <w:bookmarkStart w:id="215" w:name="_Toc329051354"/>
      <w:bookmarkStart w:id="216" w:name="_Toc335915842"/>
      <w:bookmarkStart w:id="217" w:name="_Toc403739422"/>
      <w:r w:rsidRPr="00DF38B2">
        <w:t xml:space="preserve">Table </w:t>
      </w:r>
      <w:fldSimple w:instr=" STYLEREF 1 \s ">
        <w:r w:rsidR="00906D13">
          <w:rPr>
            <w:noProof/>
          </w:rPr>
          <w:t>4</w:t>
        </w:r>
      </w:fldSimple>
      <w:r w:rsidR="00D40B64">
        <w:noBreakHyphen/>
      </w:r>
      <w:fldSimple w:instr=" SEQ Table \* ARABIC \s 1 ">
        <w:r w:rsidR="00906D13">
          <w:rPr>
            <w:noProof/>
          </w:rPr>
          <w:t>17</w:t>
        </w:r>
      </w:fldSimple>
      <w:bookmarkEnd w:id="213"/>
      <w:r w:rsidRPr="00DF38B2">
        <w:tab/>
      </w:r>
      <w:bookmarkEnd w:id="214"/>
      <w:bookmarkEnd w:id="215"/>
      <w:bookmarkEnd w:id="216"/>
      <w:r w:rsidRPr="00DF38B2">
        <w:t>Income support status of people exiting income management between January and December 2013 by Indigenous status and broad stream of income management</w:t>
      </w:r>
      <w:bookmarkEnd w:id="217"/>
    </w:p>
    <w:tbl>
      <w:tblPr>
        <w:tblW w:w="4853" w:type="pct"/>
        <w:jc w:val="center"/>
        <w:tblLayout w:type="fixed"/>
        <w:tblCellMar>
          <w:right w:w="0" w:type="dxa"/>
        </w:tblCellMar>
        <w:tblLook w:val="0000" w:firstRow="0" w:lastRow="0" w:firstColumn="0" w:lastColumn="0" w:noHBand="0" w:noVBand="0"/>
        <w:tblDescription w:val="This table shows the distribution of outcomes of people who had exited from income management. Specifically in the rows of the table show the proportion: who have an exemption; who are on income support in the NT, those who are on income support not in the NT, and those who are not on income support, along the total of 100.0%. The table concludes showing a final row of the population of persons for whom the column relates.&#10;The table has five data columns. The first two are for Indigenous people – firstly those on voluntary income management and secondly those on any of the compulsory measures, this is followed by two for non-Indigenous people again split for the voluntary and compulsory populations. The fifth column is a total of the populations in the previous four columns – that is all people who exited IM.&#10;There is some discussion of the table in the text.&#10;"/>
      </w:tblPr>
      <w:tblGrid>
        <w:gridCol w:w="2629"/>
        <w:gridCol w:w="967"/>
        <w:gridCol w:w="965"/>
        <w:gridCol w:w="277"/>
        <w:gridCol w:w="1303"/>
        <w:gridCol w:w="1304"/>
        <w:gridCol w:w="749"/>
      </w:tblGrid>
      <w:tr w:rsidR="00C32E6C" w:rsidRPr="00DF38B2" w:rsidTr="00C32E6C">
        <w:trPr>
          <w:trHeight w:val="20"/>
          <w:tblHeader/>
          <w:jc w:val="center"/>
        </w:trPr>
        <w:tc>
          <w:tcPr>
            <w:tcW w:w="1604" w:type="pct"/>
            <w:tcBorders>
              <w:top w:val="single" w:sz="4" w:space="0" w:color="auto"/>
              <w:left w:val="nil"/>
              <w:bottom w:val="single" w:sz="4" w:space="0" w:color="auto"/>
              <w:right w:val="nil"/>
            </w:tcBorders>
          </w:tcPr>
          <w:p w:rsidR="005E1FE0" w:rsidRPr="009A06B6" w:rsidRDefault="00C32E6C" w:rsidP="006654AE">
            <w:pPr>
              <w:pStyle w:val="tabletextleft"/>
            </w:pPr>
            <w:r w:rsidRPr="009A06B6">
              <w:t>Income support status</w:t>
            </w:r>
          </w:p>
        </w:tc>
        <w:tc>
          <w:tcPr>
            <w:tcW w:w="590"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Indigenous</w:t>
            </w:r>
          </w:p>
          <w:p w:rsidR="005E1FE0" w:rsidRPr="009A06B6" w:rsidRDefault="005E1FE0" w:rsidP="006654AE">
            <w:pPr>
              <w:pStyle w:val="tabletextright"/>
            </w:pPr>
            <w:r w:rsidRPr="009A06B6">
              <w:t>VIM</w:t>
            </w:r>
            <w:r w:rsidR="00C32E6C" w:rsidRPr="009A06B6">
              <w:t xml:space="preserve"> (%)</w:t>
            </w:r>
          </w:p>
        </w:tc>
        <w:tc>
          <w:tcPr>
            <w:tcW w:w="589"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Indigenous</w:t>
            </w:r>
          </w:p>
          <w:p w:rsidR="005E1FE0" w:rsidRPr="009A06B6" w:rsidRDefault="005E1FE0" w:rsidP="006654AE">
            <w:pPr>
              <w:pStyle w:val="tabletextright"/>
            </w:pPr>
            <w:r w:rsidRPr="009A06B6">
              <w:t>CIM</w:t>
            </w:r>
            <w:r w:rsidR="00C32E6C" w:rsidRPr="009A06B6">
              <w:t xml:space="preserve"> (%)</w:t>
            </w:r>
          </w:p>
        </w:tc>
        <w:tc>
          <w:tcPr>
            <w:tcW w:w="169" w:type="pct"/>
            <w:tcBorders>
              <w:top w:val="single" w:sz="4" w:space="0" w:color="auto"/>
              <w:left w:val="nil"/>
              <w:bottom w:val="single" w:sz="4" w:space="0" w:color="auto"/>
              <w:right w:val="nil"/>
            </w:tcBorders>
          </w:tcPr>
          <w:p w:rsidR="005E1FE0" w:rsidRPr="009A06B6" w:rsidRDefault="005E1FE0" w:rsidP="006654AE">
            <w:pPr>
              <w:pStyle w:val="tabletextright"/>
            </w:pPr>
          </w:p>
        </w:tc>
        <w:tc>
          <w:tcPr>
            <w:tcW w:w="795" w:type="pct"/>
            <w:tcBorders>
              <w:top w:val="single" w:sz="4" w:space="0" w:color="auto"/>
              <w:left w:val="nil"/>
              <w:bottom w:val="single" w:sz="4" w:space="0" w:color="auto"/>
              <w:right w:val="nil"/>
            </w:tcBorders>
          </w:tcPr>
          <w:p w:rsidR="00C32E6C" w:rsidRPr="009A06B6" w:rsidRDefault="00C32E6C" w:rsidP="00C32E6C">
            <w:pPr>
              <w:pStyle w:val="tabletextright"/>
            </w:pPr>
            <w:r w:rsidRPr="009A06B6">
              <w:t>Non-Indigenous</w:t>
            </w:r>
          </w:p>
          <w:p w:rsidR="005E1FE0" w:rsidRPr="009A06B6" w:rsidRDefault="005E1FE0" w:rsidP="006654AE">
            <w:pPr>
              <w:pStyle w:val="tabletextright"/>
            </w:pPr>
            <w:r w:rsidRPr="009A06B6">
              <w:t>VIM</w:t>
            </w:r>
            <w:r w:rsidR="00C32E6C" w:rsidRPr="009A06B6">
              <w:t xml:space="preserve"> (%)</w:t>
            </w:r>
          </w:p>
        </w:tc>
        <w:tc>
          <w:tcPr>
            <w:tcW w:w="796"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Non-Indigenous</w:t>
            </w:r>
          </w:p>
          <w:p w:rsidR="005E1FE0" w:rsidRPr="009A06B6" w:rsidRDefault="005E1FE0" w:rsidP="006654AE">
            <w:pPr>
              <w:pStyle w:val="tabletextright"/>
            </w:pPr>
            <w:r w:rsidRPr="009A06B6">
              <w:t>CIM</w:t>
            </w:r>
            <w:r w:rsidR="00C32E6C" w:rsidRPr="009A06B6">
              <w:t xml:space="preserve"> (%)</w:t>
            </w:r>
          </w:p>
        </w:tc>
        <w:tc>
          <w:tcPr>
            <w:tcW w:w="457" w:type="pct"/>
            <w:tcBorders>
              <w:top w:val="single" w:sz="4" w:space="0" w:color="auto"/>
              <w:left w:val="nil"/>
              <w:bottom w:val="single" w:sz="4" w:space="0" w:color="auto"/>
              <w:right w:val="nil"/>
            </w:tcBorders>
          </w:tcPr>
          <w:p w:rsidR="005E1FE0" w:rsidRPr="00DF38B2" w:rsidRDefault="00C32E6C" w:rsidP="006654AE">
            <w:pPr>
              <w:pStyle w:val="tabletextright"/>
            </w:pPr>
            <w:r w:rsidRPr="009A06B6">
              <w:t>Total (%)</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Exemption</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0.7</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10.6</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0.0</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11.2</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9.4</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On income support in the NT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57.1</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23.9</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46.7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10.5</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25.3</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On income support not in the NT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1.8</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10.7</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22.3</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12.2</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Not on income support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40.5</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54.7</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46.7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55.9</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53.1</w:t>
            </w:r>
          </w:p>
        </w:tc>
      </w:tr>
      <w:tr w:rsidR="00C32E6C" w:rsidRPr="00DF38B2" w:rsidTr="00C32E6C">
        <w:trPr>
          <w:trHeight w:val="20"/>
          <w:jc w:val="center"/>
        </w:trPr>
        <w:tc>
          <w:tcPr>
            <w:tcW w:w="1604" w:type="pct"/>
            <w:tcBorders>
              <w:top w:val="nil"/>
              <w:left w:val="nil"/>
              <w:bottom w:val="single" w:sz="4" w:space="0" w:color="auto"/>
              <w:right w:val="nil"/>
            </w:tcBorders>
          </w:tcPr>
          <w:p w:rsidR="00553C8C" w:rsidRPr="00DF38B2" w:rsidRDefault="00553C8C" w:rsidP="006654AE">
            <w:pPr>
              <w:pStyle w:val="tabletextleft"/>
            </w:pPr>
            <w:r w:rsidRPr="00DF38B2">
              <w:t>Total</w:t>
            </w:r>
          </w:p>
        </w:tc>
        <w:tc>
          <w:tcPr>
            <w:tcW w:w="590"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589"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169" w:type="pct"/>
            <w:tcBorders>
              <w:top w:val="nil"/>
              <w:left w:val="nil"/>
              <w:bottom w:val="single" w:sz="4" w:space="0" w:color="auto"/>
              <w:right w:val="nil"/>
            </w:tcBorders>
            <w:vAlign w:val="center"/>
          </w:tcPr>
          <w:p w:rsidR="00553C8C" w:rsidRPr="00DF38B2" w:rsidRDefault="00553C8C" w:rsidP="006654AE">
            <w:pPr>
              <w:pStyle w:val="tabletextright"/>
            </w:pPr>
          </w:p>
        </w:tc>
        <w:tc>
          <w:tcPr>
            <w:tcW w:w="795"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796"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457"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r>
      <w:tr w:rsidR="00C32E6C" w:rsidRPr="00DF38B2" w:rsidTr="00C32E6C">
        <w:trPr>
          <w:trHeight w:val="20"/>
          <w:jc w:val="center"/>
        </w:trPr>
        <w:tc>
          <w:tcPr>
            <w:tcW w:w="1604" w:type="pct"/>
            <w:tcBorders>
              <w:top w:val="single" w:sz="4" w:space="0" w:color="auto"/>
              <w:left w:val="nil"/>
              <w:bottom w:val="single" w:sz="4" w:space="0" w:color="auto"/>
              <w:right w:val="nil"/>
            </w:tcBorders>
            <w:vAlign w:val="center"/>
          </w:tcPr>
          <w:p w:rsidR="00553C8C" w:rsidRPr="00DF38B2" w:rsidRDefault="00553C8C" w:rsidP="006654AE">
            <w:pPr>
              <w:pStyle w:val="tabletextleft"/>
            </w:pPr>
            <w:r w:rsidRPr="00DF38B2">
              <w:t>Total (Persons)</w:t>
            </w:r>
          </w:p>
        </w:tc>
        <w:tc>
          <w:tcPr>
            <w:tcW w:w="590"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457</w:t>
            </w:r>
          </w:p>
        </w:tc>
        <w:tc>
          <w:tcPr>
            <w:tcW w:w="589"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2,234</w:t>
            </w:r>
          </w:p>
        </w:tc>
        <w:tc>
          <w:tcPr>
            <w:tcW w:w="169" w:type="pct"/>
            <w:tcBorders>
              <w:top w:val="single" w:sz="4" w:space="0" w:color="auto"/>
              <w:left w:val="nil"/>
              <w:bottom w:val="single" w:sz="4" w:space="0" w:color="auto"/>
              <w:right w:val="nil"/>
            </w:tcBorders>
            <w:vAlign w:val="center"/>
          </w:tcPr>
          <w:p w:rsidR="00553C8C" w:rsidRPr="00DF38B2" w:rsidRDefault="00553C8C" w:rsidP="006654AE">
            <w:pPr>
              <w:pStyle w:val="tabletextright"/>
            </w:pPr>
          </w:p>
        </w:tc>
        <w:tc>
          <w:tcPr>
            <w:tcW w:w="795"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15</w:t>
            </w:r>
          </w:p>
        </w:tc>
        <w:tc>
          <w:tcPr>
            <w:tcW w:w="796"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801</w:t>
            </w:r>
          </w:p>
        </w:tc>
        <w:tc>
          <w:tcPr>
            <w:tcW w:w="457"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3,507</w:t>
            </w:r>
          </w:p>
        </w:tc>
      </w:tr>
    </w:tbl>
    <w:p w:rsidR="00822E8A" w:rsidRDefault="00822E8A" w:rsidP="006654AE">
      <w:pPr>
        <w:pStyle w:val="tablenotes"/>
        <w:ind w:left="1437" w:hanging="870"/>
      </w:pPr>
    </w:p>
    <w:p w:rsidR="00553C8C" w:rsidRDefault="005E1FE0" w:rsidP="006654AE">
      <w:pPr>
        <w:pStyle w:val="tablenotes"/>
        <w:ind w:left="1437" w:hanging="870"/>
      </w:pPr>
      <w:r w:rsidRPr="00DF38B2">
        <w:t>Notes:</w:t>
      </w:r>
      <w:r w:rsidRPr="00DF38B2">
        <w:tab/>
      </w:r>
      <w:r w:rsidR="00553C8C">
        <w:t>Table excludes those who move to another state but remain on income management</w:t>
      </w:r>
      <w:r w:rsidR="00791004">
        <w:t>.</w:t>
      </w:r>
    </w:p>
    <w:p w:rsidR="005E1FE0" w:rsidRPr="00DF38B2" w:rsidRDefault="00553C8C" w:rsidP="006654AE">
      <w:pPr>
        <w:pStyle w:val="tablenotes"/>
        <w:ind w:left="1437" w:hanging="870"/>
      </w:pPr>
      <w:r>
        <w:tab/>
      </w:r>
      <w:r w:rsidR="005E1FE0" w:rsidRPr="00DF38B2">
        <w:t xml:space="preserve">CIM includes Child Protection Income Management, Vulnerable Income Management, </w:t>
      </w:r>
      <w:r w:rsidR="00791004">
        <w:t>SPAR, and Nominee Income Management.</w:t>
      </w:r>
      <w:r w:rsidR="005E1FE0" w:rsidRPr="00DF38B2">
        <w:t xml:space="preserve"> </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pPr>
        <w:pStyle w:val="Heading3"/>
      </w:pPr>
      <w:bookmarkStart w:id="218" w:name="_Toc403739017"/>
      <w:r w:rsidRPr="00DF38B2">
        <w:t>Exits due to death and imprisonment</w:t>
      </w:r>
      <w:bookmarkEnd w:id="218"/>
    </w:p>
    <w:p w:rsidR="005E1FE0" w:rsidRPr="00DF38B2" w:rsidRDefault="005E1FE0" w:rsidP="006654AE">
      <w:r w:rsidRPr="00DF38B2">
        <w:t>As indicated above</w:t>
      </w:r>
      <w:r w:rsidR="00A55266">
        <w:t>,</w:t>
      </w:r>
      <w:r w:rsidRPr="00DF38B2">
        <w:t xml:space="preserve"> in most cases when people move off income support there is little information to identify what has happened to them. There are two exceptions to this</w:t>
      </w:r>
      <w:r w:rsidR="00192DCA">
        <w:t>:</w:t>
      </w:r>
      <w:r w:rsidRPr="00DF38B2">
        <w:t xml:space="preserve"> exits because of death</w:t>
      </w:r>
      <w:r w:rsidR="00192DCA">
        <w:t>,</w:t>
      </w:r>
      <w:r w:rsidRPr="00DF38B2">
        <w:t xml:space="preserve"> or because of imprisonment. Exits for these reasons can also be seen</w:t>
      </w:r>
      <w:r w:rsidR="00301801">
        <w:t>,</w:t>
      </w:r>
      <w:r w:rsidRPr="00DF38B2">
        <w:t xml:space="preserve"> in some circumstances</w:t>
      </w:r>
      <w:r w:rsidR="00301801">
        <w:t>, as</w:t>
      </w:r>
      <w:r w:rsidRPr="00DF38B2">
        <w:t xml:space="preserve"> important indicators of the outcomes for people who are subject to income management.</w:t>
      </w:r>
    </w:p>
    <w:p w:rsidR="005E1FE0" w:rsidRPr="00DF38B2" w:rsidRDefault="005E1FE0" w:rsidP="006654AE">
      <w:r w:rsidRPr="00DF38B2">
        <w:t xml:space="preserve">While it is likely that the </w:t>
      </w:r>
      <w:r w:rsidR="00D5404D">
        <w:t>data are</w:t>
      </w:r>
      <w:r w:rsidRPr="00DF38B2">
        <w:t xml:space="preserve"> not comprehensive, and may understate exits due to these reasons, it nevertheless provides some insight.</w:t>
      </w:r>
    </w:p>
    <w:p w:rsidR="005E1FE0" w:rsidRPr="00DF38B2" w:rsidRDefault="005E1FE0" w:rsidP="006654AE">
      <w:pPr>
        <w:pStyle w:val="Heading4"/>
      </w:pPr>
      <w:r w:rsidRPr="00DF38B2">
        <w:t xml:space="preserve">Exits from </w:t>
      </w:r>
      <w:r w:rsidR="005E4CAC">
        <w:t>income management</w:t>
      </w:r>
      <w:r w:rsidRPr="00DF38B2">
        <w:t xml:space="preserve"> due to death</w:t>
      </w:r>
    </w:p>
    <w:p w:rsidR="005E1FE0" w:rsidRPr="00DF38B2" w:rsidRDefault="005E1FE0" w:rsidP="006654AE">
      <w:r w:rsidRPr="00DF38B2">
        <w:t xml:space="preserve">In total, </w:t>
      </w:r>
      <w:r w:rsidR="00373506" w:rsidRPr="00DF38B2">
        <w:t>61</w:t>
      </w:r>
      <w:r w:rsidR="00373506">
        <w:t>9</w:t>
      </w:r>
      <w:r w:rsidR="00373506" w:rsidRPr="00DF38B2">
        <w:t xml:space="preserve"> </w:t>
      </w:r>
      <w:r w:rsidRPr="00DF38B2">
        <w:t xml:space="preserve">Indigenous people and </w:t>
      </w:r>
      <w:r w:rsidR="00373506" w:rsidRPr="00DF38B2">
        <w:t>1</w:t>
      </w:r>
      <w:r w:rsidR="00373506">
        <w:t>6</w:t>
      </w:r>
      <w:r w:rsidR="00373506" w:rsidRPr="00DF38B2">
        <w:t xml:space="preserve"> </w:t>
      </w:r>
      <w:r w:rsidRPr="00DF38B2">
        <w:t>non-Indigenous people subject to income management are recorded on the Centrelink administrative data as having died over the period between late 2010 and 2013. In almost all of these cases the person’s death was either while they were being income managed or a short time after they appeared to move off</w:t>
      </w:r>
      <w:r w:rsidR="00271D4B">
        <w:t xml:space="preserve"> income management</w:t>
      </w:r>
      <w:r w:rsidRPr="00DF38B2">
        <w:t xml:space="preserve">. Deaths accounted for </w:t>
      </w:r>
      <w:r w:rsidR="00373506">
        <w:t>6.0</w:t>
      </w:r>
      <w:r w:rsidRPr="00DF38B2">
        <w:t xml:space="preserve"> per cent of Indigenous </w:t>
      </w:r>
      <w:r w:rsidR="00683D67" w:rsidRPr="00DF38B2">
        <w:t xml:space="preserve">people </w:t>
      </w:r>
      <w:r w:rsidRPr="00DF38B2">
        <w:t>exiting from income management and 0.</w:t>
      </w:r>
      <w:r w:rsidR="00373506">
        <w:t>3</w:t>
      </w:r>
      <w:r w:rsidR="00373506" w:rsidRPr="00DF38B2">
        <w:t> </w:t>
      </w:r>
      <w:r w:rsidRPr="00DF38B2">
        <w:t>per cent of non-Indigenous</w:t>
      </w:r>
      <w:r w:rsidR="00683D67" w:rsidRPr="00DF38B2">
        <w:t xml:space="preserve"> people</w:t>
      </w:r>
      <w:r w:rsidRPr="00DF38B2">
        <w:t>. This reflects a range of factors, the two most significant being the extent to which some older Indigenous income support recipients chose to go onto Voluntary Income Management and the much shorter life-expectancy of the Indigenous population compared to the non-Indigenous population.</w:t>
      </w:r>
    </w:p>
    <w:p w:rsidR="005E1FE0" w:rsidRPr="00DF38B2" w:rsidRDefault="005E1FE0" w:rsidP="006654AE">
      <w:r w:rsidRPr="00DF38B2">
        <w:t>Given the small number of deaths recorded amongst the non-Indigenous population on income management, we do not present any detailed analysis of these deaths, other than that contained in the table.</w:t>
      </w:r>
    </w:p>
    <w:p w:rsidR="005E1FE0" w:rsidRPr="00DF38B2" w:rsidRDefault="005E1FE0" w:rsidP="006654AE">
      <w:r w:rsidRPr="00DF38B2">
        <w:t xml:space="preserve">Focusing on the Indigenous population, there are substantial differences in the numbers of deaths and proportion of exits accounted for by death between streams of income management. The stream with the largest number of deaths is Voluntary Income Management. The data indicate that </w:t>
      </w:r>
      <w:r w:rsidR="00373506" w:rsidRPr="00DF38B2">
        <w:t>4</w:t>
      </w:r>
      <w:r w:rsidR="00373506">
        <w:t>61</w:t>
      </w:r>
      <w:r w:rsidR="00373506" w:rsidRPr="00DF38B2">
        <w:t xml:space="preserve"> </w:t>
      </w:r>
      <w:r w:rsidRPr="00DF38B2">
        <w:t xml:space="preserve">Indigenous people on this measure have died since it was first implemented. This accounts for </w:t>
      </w:r>
      <w:r w:rsidR="00373506">
        <w:t>19.5</w:t>
      </w:r>
      <w:r w:rsidRPr="00DF38B2">
        <w:t> per cent of exits from Voluntary Income Management by Indigenous people</w:t>
      </w:r>
      <w:r w:rsidR="00271D4B">
        <w:t>;</w:t>
      </w:r>
      <w:r w:rsidR="00683D67" w:rsidRPr="00DF38B2">
        <w:t xml:space="preserve"> that is</w:t>
      </w:r>
      <w:r w:rsidR="00271D4B">
        <w:t>,</w:t>
      </w:r>
      <w:r w:rsidRPr="00DF38B2">
        <w:t xml:space="preserve"> </w:t>
      </w:r>
      <w:r w:rsidR="00373506">
        <w:t>one in five</w:t>
      </w:r>
      <w:r w:rsidRPr="00DF38B2">
        <w:t xml:space="preserve"> of the Indigenous people who exit this program do so because they died. </w:t>
      </w:r>
    </w:p>
    <w:p w:rsidR="005E1FE0" w:rsidRPr="009655C3" w:rsidRDefault="005E1FE0" w:rsidP="006654AE">
      <w:r w:rsidRPr="00DF38B2">
        <w:t xml:space="preserve">The higher proportion of exits being a result of death for Indigenous people on Voluntary Income Management is to be expected given the older average of those on Voluntary Income Management (see </w:t>
      </w:r>
      <w:r w:rsidRPr="00FE502F">
        <w:lastRenderedPageBreak/>
        <w:fldChar w:fldCharType="begin"/>
      </w:r>
      <w:r w:rsidRPr="00DF38B2">
        <w:instrText xml:space="preserve"> REF _Ref391232004 \h </w:instrText>
      </w:r>
      <w:r w:rsidRPr="00FE502F">
        <w:fldChar w:fldCharType="separate"/>
      </w:r>
      <w:r w:rsidR="00906D13" w:rsidRPr="00DF38B2">
        <w:t xml:space="preserve">Figure </w:t>
      </w:r>
      <w:r w:rsidR="00906D13">
        <w:rPr>
          <w:noProof/>
        </w:rPr>
        <w:t>4</w:t>
      </w:r>
      <w:r w:rsidR="00906D13" w:rsidRPr="00DF38B2">
        <w:noBreakHyphen/>
      </w:r>
      <w:r w:rsidR="00906D13">
        <w:rPr>
          <w:noProof/>
        </w:rPr>
        <w:t>9</w:t>
      </w:r>
      <w:r w:rsidRPr="00FE502F">
        <w:fldChar w:fldCharType="end"/>
      </w:r>
      <w:r w:rsidRPr="00DF38B2">
        <w:t xml:space="preserve">) and the higher proportion on Disability Support Pension </w:t>
      </w:r>
      <w:r w:rsidR="00683D67" w:rsidRPr="00FE502F">
        <w:t>with the possibility that this disability may relate to a health condition with an increased risk of mortality</w:t>
      </w:r>
      <w:r w:rsidRPr="009655C3">
        <w:t>.</w:t>
      </w:r>
    </w:p>
    <w:p w:rsidR="005E1FE0" w:rsidRPr="00DF38B2" w:rsidRDefault="005E1FE0" w:rsidP="006654AE">
      <w:pPr>
        <w:pStyle w:val="Caption"/>
        <w:ind w:left="1439" w:hanging="1155"/>
      </w:pPr>
      <w:bookmarkStart w:id="219" w:name="_Toc403739423"/>
      <w:r w:rsidRPr="009655C3">
        <w:t xml:space="preserve">Table </w:t>
      </w:r>
      <w:fldSimple w:instr=" STYLEREF 1 \s ">
        <w:r w:rsidR="00906D13">
          <w:rPr>
            <w:noProof/>
          </w:rPr>
          <w:t>4</w:t>
        </w:r>
      </w:fldSimple>
      <w:r w:rsidR="00D40B64">
        <w:noBreakHyphen/>
      </w:r>
      <w:fldSimple w:instr=" SEQ Table \* ARABIC \s 1 ">
        <w:r w:rsidR="00906D13">
          <w:rPr>
            <w:noProof/>
          </w:rPr>
          <w:t>18</w:t>
        </w:r>
      </w:fldSimple>
      <w:r w:rsidRPr="00DF38B2">
        <w:tab/>
        <w:t xml:space="preserve">Exits from </w:t>
      </w:r>
      <w:r w:rsidR="00CC7910">
        <w:t>income management</w:t>
      </w:r>
      <w:r w:rsidR="00CC7910" w:rsidRPr="00DF38B2">
        <w:t xml:space="preserve"> </w:t>
      </w:r>
      <w:r w:rsidR="00097266">
        <w:t xml:space="preserve">on the Northern Territory </w:t>
      </w:r>
      <w:r w:rsidRPr="00DF38B2">
        <w:t xml:space="preserve">due to death by stream of </w:t>
      </w:r>
      <w:r w:rsidR="00CC7910">
        <w:t>income management</w:t>
      </w:r>
      <w:r w:rsidRPr="00DF38B2">
        <w:t xml:space="preserve"> and Indigenous status, late 2010 to December 2013</w:t>
      </w:r>
      <w:bookmarkEnd w:id="219"/>
    </w:p>
    <w:tbl>
      <w:tblPr>
        <w:tblW w:w="6946" w:type="dxa"/>
        <w:jc w:val="center"/>
        <w:tblLayout w:type="fixed"/>
        <w:tblLook w:val="04A0" w:firstRow="1" w:lastRow="0" w:firstColumn="1" w:lastColumn="0" w:noHBand="0" w:noVBand="1"/>
        <w:tblDescription w:val="This table is concerned with the group of people who have died since they commenced being income managed. The data is presented by stream of income management (in rows) with the two sets of data in the columns. The first two data columns contain the number of people who have been identified has having been on income management and subsequently died. This is provided firstly for non-Indigenous people (a total of 16 persons) and for Indigenous people (619 persons).  The table then presents for these two population groups, again by type of income management, the proportion of exits from income management that are accounted for by these deaths.&#10;The text contains some discussion of this data.&#10;"/>
      </w:tblPr>
      <w:tblGrid>
        <w:gridCol w:w="1843"/>
        <w:gridCol w:w="1276"/>
        <w:gridCol w:w="1134"/>
        <w:gridCol w:w="283"/>
        <w:gridCol w:w="1275"/>
        <w:gridCol w:w="1135"/>
      </w:tblGrid>
      <w:tr w:rsidR="005E1FE0" w:rsidRPr="00DF38B2" w:rsidTr="00C32E6C">
        <w:trPr>
          <w:trHeight w:val="20"/>
          <w:tblHeader/>
          <w:jc w:val="center"/>
        </w:trPr>
        <w:tc>
          <w:tcPr>
            <w:tcW w:w="1843" w:type="dxa"/>
            <w:tcBorders>
              <w:top w:val="single" w:sz="4" w:space="0" w:color="auto"/>
              <w:bottom w:val="single" w:sz="4" w:space="0" w:color="auto"/>
            </w:tcBorders>
            <w:shd w:val="clear" w:color="auto" w:fill="auto"/>
            <w:noWrap/>
          </w:tcPr>
          <w:p w:rsidR="005E1FE0" w:rsidRPr="009A06B6" w:rsidRDefault="00C32E6C" w:rsidP="00C32E6C">
            <w:pPr>
              <w:pStyle w:val="tabletextleft"/>
              <w:jc w:val="left"/>
            </w:pPr>
            <w:r w:rsidRPr="009A06B6">
              <w:t>Stream of income management</w:t>
            </w:r>
          </w:p>
        </w:tc>
        <w:tc>
          <w:tcPr>
            <w:tcW w:w="1276" w:type="dxa"/>
            <w:tcBorders>
              <w:top w:val="single" w:sz="4" w:space="0" w:color="auto"/>
              <w:bottom w:val="single" w:sz="4" w:space="0" w:color="auto"/>
            </w:tcBorders>
            <w:shd w:val="clear" w:color="auto" w:fill="auto"/>
            <w:noWrap/>
            <w:hideMark/>
          </w:tcPr>
          <w:p w:rsidR="005E1FE0" w:rsidRPr="009A06B6" w:rsidRDefault="00C32E6C" w:rsidP="006654AE">
            <w:pPr>
              <w:pStyle w:val="tabletextright"/>
            </w:pPr>
            <w:r w:rsidRPr="009A06B6">
              <w:t xml:space="preserve">Exits due to death (n) </w:t>
            </w:r>
            <w:r w:rsidRPr="009A06B6">
              <w:br/>
            </w:r>
            <w:r w:rsidR="005E1FE0" w:rsidRPr="009A06B6">
              <w:t>Non-Indigenous</w:t>
            </w:r>
          </w:p>
        </w:tc>
        <w:tc>
          <w:tcPr>
            <w:tcW w:w="1134" w:type="dxa"/>
            <w:tcBorders>
              <w:top w:val="single" w:sz="4" w:space="0" w:color="auto"/>
              <w:bottom w:val="single" w:sz="4" w:space="0" w:color="auto"/>
            </w:tcBorders>
            <w:shd w:val="clear" w:color="auto" w:fill="auto"/>
            <w:noWrap/>
            <w:hideMark/>
          </w:tcPr>
          <w:p w:rsidR="005E1FE0" w:rsidRPr="009A06B6" w:rsidRDefault="00C32E6C" w:rsidP="006654AE">
            <w:pPr>
              <w:pStyle w:val="tabletextright"/>
            </w:pPr>
            <w:r w:rsidRPr="009A06B6">
              <w:t xml:space="preserve">Exits due to death (n) </w:t>
            </w:r>
            <w:r w:rsidR="005E1FE0" w:rsidRPr="009A06B6">
              <w:t>Indigenous</w:t>
            </w:r>
          </w:p>
        </w:tc>
        <w:tc>
          <w:tcPr>
            <w:tcW w:w="283" w:type="dxa"/>
            <w:tcBorders>
              <w:top w:val="single" w:sz="4" w:space="0" w:color="auto"/>
              <w:bottom w:val="single" w:sz="4" w:space="0" w:color="auto"/>
            </w:tcBorders>
          </w:tcPr>
          <w:p w:rsidR="005E1FE0" w:rsidRPr="009A06B6" w:rsidRDefault="005E1FE0" w:rsidP="006654AE">
            <w:pPr>
              <w:pStyle w:val="tabletextright"/>
            </w:pPr>
          </w:p>
        </w:tc>
        <w:tc>
          <w:tcPr>
            <w:tcW w:w="1275" w:type="dxa"/>
            <w:tcBorders>
              <w:top w:val="single" w:sz="4" w:space="0" w:color="auto"/>
              <w:bottom w:val="single" w:sz="4" w:space="0" w:color="auto"/>
            </w:tcBorders>
            <w:shd w:val="clear" w:color="auto" w:fill="auto"/>
            <w:noWrap/>
            <w:hideMark/>
          </w:tcPr>
          <w:p w:rsidR="005E1FE0" w:rsidRPr="009A06B6" w:rsidRDefault="00C32E6C" w:rsidP="00C32E6C">
            <w:pPr>
              <w:pStyle w:val="tabletextright"/>
            </w:pPr>
            <w:r w:rsidRPr="009A06B6">
              <w:t xml:space="preserve">Exits due to death (%) </w:t>
            </w:r>
            <w:r w:rsidRPr="009A06B6">
              <w:br/>
              <w:t>Non-Indigenous</w:t>
            </w:r>
          </w:p>
        </w:tc>
        <w:tc>
          <w:tcPr>
            <w:tcW w:w="1135" w:type="dxa"/>
            <w:tcBorders>
              <w:top w:val="single" w:sz="4" w:space="0" w:color="auto"/>
              <w:bottom w:val="single" w:sz="4" w:space="0" w:color="auto"/>
            </w:tcBorders>
            <w:shd w:val="clear" w:color="auto" w:fill="auto"/>
            <w:noWrap/>
            <w:hideMark/>
          </w:tcPr>
          <w:p w:rsidR="005E1FE0" w:rsidRPr="00DF38B2" w:rsidRDefault="00C32E6C" w:rsidP="00C32E6C">
            <w:pPr>
              <w:pStyle w:val="tabletextright"/>
            </w:pPr>
            <w:r w:rsidRPr="009A06B6">
              <w:t>Exits due to death (%) Indigenous</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Compulsory</w:t>
            </w:r>
          </w:p>
        </w:tc>
        <w:tc>
          <w:tcPr>
            <w:tcW w:w="1276" w:type="dxa"/>
            <w:shd w:val="clear" w:color="auto" w:fill="auto"/>
            <w:noWrap/>
            <w:vAlign w:val="bottom"/>
          </w:tcPr>
          <w:p w:rsidR="00373506" w:rsidRPr="00373506" w:rsidRDefault="00373506" w:rsidP="006654AE">
            <w:pPr>
              <w:pStyle w:val="tabletextright"/>
            </w:pPr>
            <w:r w:rsidRPr="00373506">
              <w:t>12</w:t>
            </w:r>
          </w:p>
        </w:tc>
        <w:tc>
          <w:tcPr>
            <w:tcW w:w="1134" w:type="dxa"/>
            <w:shd w:val="clear" w:color="auto" w:fill="auto"/>
            <w:noWrap/>
            <w:vAlign w:val="bottom"/>
          </w:tcPr>
          <w:p w:rsidR="00373506" w:rsidRPr="00373506" w:rsidRDefault="00373506" w:rsidP="006654AE">
            <w:pPr>
              <w:pStyle w:val="tabletextright"/>
            </w:pPr>
            <w:r w:rsidRPr="00373506">
              <w:t>128</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0.2</w:t>
            </w:r>
          </w:p>
        </w:tc>
        <w:tc>
          <w:tcPr>
            <w:tcW w:w="1135" w:type="dxa"/>
            <w:shd w:val="clear" w:color="auto" w:fill="auto"/>
            <w:noWrap/>
            <w:vAlign w:val="bottom"/>
          </w:tcPr>
          <w:p w:rsidR="00373506" w:rsidRPr="00373506" w:rsidRDefault="00373506" w:rsidP="006654AE">
            <w:pPr>
              <w:pStyle w:val="tabletextright"/>
            </w:pPr>
            <w:r w:rsidRPr="00373506">
              <w:t>1.7</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Child protection</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0.0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Vulnerable assessed</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30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28.0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Vulnerable automatic</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0.0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Voluntary</w:t>
            </w:r>
          </w:p>
        </w:tc>
        <w:tc>
          <w:tcPr>
            <w:tcW w:w="1276" w:type="dxa"/>
            <w:shd w:val="clear" w:color="auto" w:fill="auto"/>
            <w:noWrap/>
            <w:vAlign w:val="bottom"/>
          </w:tcPr>
          <w:p w:rsidR="00373506" w:rsidRPr="00373506" w:rsidRDefault="00373506" w:rsidP="006654AE">
            <w:pPr>
              <w:pStyle w:val="tabletextright"/>
            </w:pPr>
            <w:r w:rsidRPr="00373506">
              <w:t>4</w:t>
            </w:r>
          </w:p>
        </w:tc>
        <w:tc>
          <w:tcPr>
            <w:tcW w:w="1134" w:type="dxa"/>
            <w:shd w:val="clear" w:color="auto" w:fill="auto"/>
            <w:noWrap/>
            <w:vAlign w:val="bottom"/>
          </w:tcPr>
          <w:p w:rsidR="00373506" w:rsidRPr="00373506" w:rsidRDefault="00373506" w:rsidP="006654AE">
            <w:pPr>
              <w:pStyle w:val="tabletextright"/>
            </w:pPr>
            <w:r w:rsidRPr="00373506">
              <w:t>461</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4.9</w:t>
            </w:r>
          </w:p>
        </w:tc>
        <w:tc>
          <w:tcPr>
            <w:tcW w:w="1135" w:type="dxa"/>
            <w:shd w:val="clear" w:color="auto" w:fill="auto"/>
            <w:noWrap/>
            <w:vAlign w:val="bottom"/>
          </w:tcPr>
          <w:p w:rsidR="00373506" w:rsidRPr="00373506" w:rsidRDefault="00373506" w:rsidP="006654AE">
            <w:pPr>
              <w:pStyle w:val="tabletextright"/>
            </w:pPr>
            <w:r w:rsidRPr="00373506">
              <w:t>19.5</w:t>
            </w:r>
          </w:p>
        </w:tc>
      </w:tr>
      <w:tr w:rsidR="00373506" w:rsidRPr="00DF38B2" w:rsidTr="00F157EE">
        <w:trPr>
          <w:trHeight w:val="20"/>
          <w:jc w:val="center"/>
        </w:trPr>
        <w:tc>
          <w:tcPr>
            <w:tcW w:w="1843" w:type="dxa"/>
            <w:tcBorders>
              <w:bottom w:val="single" w:sz="4" w:space="0" w:color="auto"/>
            </w:tcBorders>
            <w:shd w:val="clear" w:color="auto" w:fill="auto"/>
            <w:noWrap/>
          </w:tcPr>
          <w:p w:rsidR="00373506" w:rsidRPr="00DF38B2" w:rsidRDefault="00373506" w:rsidP="006654AE">
            <w:pPr>
              <w:pStyle w:val="tabletextleft"/>
            </w:pPr>
            <w:r w:rsidRPr="00DF38B2">
              <w:t>Total</w:t>
            </w:r>
          </w:p>
        </w:tc>
        <w:tc>
          <w:tcPr>
            <w:tcW w:w="1276" w:type="dxa"/>
            <w:tcBorders>
              <w:bottom w:val="single" w:sz="4" w:space="0" w:color="auto"/>
            </w:tcBorders>
            <w:shd w:val="clear" w:color="auto" w:fill="auto"/>
            <w:noWrap/>
            <w:vAlign w:val="bottom"/>
          </w:tcPr>
          <w:p w:rsidR="00373506" w:rsidRPr="00373506" w:rsidRDefault="00373506" w:rsidP="006654AE">
            <w:pPr>
              <w:pStyle w:val="tabletextright"/>
            </w:pPr>
            <w:r w:rsidRPr="00373506">
              <w:t>16</w:t>
            </w:r>
          </w:p>
        </w:tc>
        <w:tc>
          <w:tcPr>
            <w:tcW w:w="1134" w:type="dxa"/>
            <w:tcBorders>
              <w:bottom w:val="single" w:sz="4" w:space="0" w:color="auto"/>
            </w:tcBorders>
            <w:shd w:val="clear" w:color="auto" w:fill="auto"/>
            <w:noWrap/>
            <w:vAlign w:val="bottom"/>
          </w:tcPr>
          <w:p w:rsidR="00373506" w:rsidRPr="00373506" w:rsidRDefault="00373506" w:rsidP="006654AE">
            <w:pPr>
              <w:pStyle w:val="tabletextright"/>
            </w:pPr>
            <w:r w:rsidRPr="00373506">
              <w:t>619</w:t>
            </w:r>
          </w:p>
        </w:tc>
        <w:tc>
          <w:tcPr>
            <w:tcW w:w="283" w:type="dxa"/>
            <w:tcBorders>
              <w:bottom w:val="single" w:sz="4" w:space="0" w:color="auto"/>
            </w:tcBorders>
            <w:vAlign w:val="bottom"/>
          </w:tcPr>
          <w:p w:rsidR="00373506" w:rsidRPr="00373506" w:rsidRDefault="00373506" w:rsidP="006654AE">
            <w:pPr>
              <w:pStyle w:val="tabletextright"/>
            </w:pPr>
          </w:p>
        </w:tc>
        <w:tc>
          <w:tcPr>
            <w:tcW w:w="1275" w:type="dxa"/>
            <w:tcBorders>
              <w:bottom w:val="single" w:sz="4" w:space="0" w:color="auto"/>
            </w:tcBorders>
            <w:shd w:val="clear" w:color="auto" w:fill="auto"/>
            <w:noWrap/>
            <w:vAlign w:val="bottom"/>
          </w:tcPr>
          <w:p w:rsidR="00373506" w:rsidRPr="00373506" w:rsidRDefault="00373506" w:rsidP="006654AE">
            <w:pPr>
              <w:pStyle w:val="tabletextright"/>
            </w:pPr>
            <w:r w:rsidRPr="00373506">
              <w:t>0.3</w:t>
            </w:r>
          </w:p>
        </w:tc>
        <w:tc>
          <w:tcPr>
            <w:tcW w:w="1135" w:type="dxa"/>
            <w:tcBorders>
              <w:bottom w:val="single" w:sz="4" w:space="0" w:color="auto"/>
            </w:tcBorders>
            <w:shd w:val="clear" w:color="auto" w:fill="auto"/>
            <w:noWrap/>
            <w:vAlign w:val="bottom"/>
          </w:tcPr>
          <w:p w:rsidR="00373506" w:rsidRPr="00373506" w:rsidRDefault="00373506" w:rsidP="006654AE">
            <w:pPr>
              <w:pStyle w:val="tabletextright"/>
            </w:pPr>
            <w:r w:rsidRPr="00373506">
              <w:t>6.0</w:t>
            </w:r>
          </w:p>
        </w:tc>
      </w:tr>
    </w:tbl>
    <w:p w:rsidR="00822E8A" w:rsidRDefault="00822E8A" w:rsidP="006654AE">
      <w:pPr>
        <w:pStyle w:val="tablenotes"/>
      </w:pPr>
    </w:p>
    <w:p w:rsidR="005E1FE0" w:rsidRPr="00DF38B2" w:rsidRDefault="005E1FE0" w:rsidP="006654AE">
      <w:pPr>
        <w:pStyle w:val="tablenotes"/>
      </w:pPr>
      <w:r w:rsidRPr="00DF38B2">
        <w:t xml:space="preserve">Notes: </w:t>
      </w:r>
      <w:r w:rsidRPr="00DF38B2">
        <w:tab/>
        <w:t>Compulsory includes C</w:t>
      </w:r>
      <w:r w:rsidR="003173D0">
        <w:t xml:space="preserve">ompulsory </w:t>
      </w:r>
      <w:r w:rsidRPr="00DF38B2">
        <w:t>I</w:t>
      </w:r>
      <w:r w:rsidR="003173D0">
        <w:t xml:space="preserve">ncome </w:t>
      </w:r>
      <w:r w:rsidRPr="00DF38B2">
        <w:t>M</w:t>
      </w:r>
      <w:r w:rsidR="003173D0">
        <w:t>anagement</w:t>
      </w:r>
      <w:r w:rsidRPr="00DF38B2">
        <w:t>, SPAR</w:t>
      </w:r>
      <w:r w:rsidR="00271D4B">
        <w:t xml:space="preserve"> </w:t>
      </w:r>
      <w:r w:rsidRPr="00DF38B2">
        <w:t>Nominee Income Management.</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purposes of the evaluation.</w:t>
      </w:r>
    </w:p>
    <w:p w:rsidR="00A77FC9" w:rsidRPr="00DF38B2" w:rsidRDefault="00A77FC9" w:rsidP="006654AE">
      <w:pPr>
        <w:pStyle w:val="tablefootnoteslastline"/>
      </w:pPr>
    </w:p>
    <w:p w:rsidR="005E1FE0" w:rsidRPr="00FE502F" w:rsidRDefault="005E1FE0" w:rsidP="006654AE">
      <w:r w:rsidRPr="00DF38B2">
        <w:t xml:space="preserve">The proportion of exits due to death was highest for the </w:t>
      </w:r>
      <w:r w:rsidR="003173D0">
        <w:t>a</w:t>
      </w:r>
      <w:r w:rsidR="003173D0" w:rsidRPr="00DF38B2">
        <w:t xml:space="preserve">ssessed </w:t>
      </w:r>
      <w:proofErr w:type="gramStart"/>
      <w:r w:rsidRPr="00DF38B2">
        <w:t>Vulnerable</w:t>
      </w:r>
      <w:proofErr w:type="gramEnd"/>
      <w:r w:rsidRPr="00DF38B2">
        <w:t xml:space="preserve"> stream. In this program death explains some </w:t>
      </w:r>
      <w:r w:rsidR="00373506">
        <w:t>28.0</w:t>
      </w:r>
      <w:r w:rsidR="00373506" w:rsidRPr="00DF38B2">
        <w:t> </w:t>
      </w:r>
      <w:r w:rsidRPr="00DF38B2">
        <w:t>per cent of the exits, with 30 deaths being recorded amongst the Indigenous participants on this measure. As discussed in Chapter 12</w:t>
      </w:r>
      <w:r w:rsidR="00271D4B">
        <w:t>,</w:t>
      </w:r>
      <w:r w:rsidRPr="00DF38B2">
        <w:t xml:space="preserve"> it is likely that this result is related to the characteristics of this popul</w:t>
      </w:r>
      <w:r w:rsidRPr="00FE502F">
        <w:t>ation and the way in which it is targeted at some highly vulnerable individuals.</w:t>
      </w:r>
    </w:p>
    <w:p w:rsidR="005E1FE0" w:rsidRPr="009655C3" w:rsidRDefault="005E1FE0" w:rsidP="006654AE">
      <w:r w:rsidRPr="009655C3">
        <w:t xml:space="preserve">The </w:t>
      </w:r>
      <w:r w:rsidR="00271D4B">
        <w:t>remaining</w:t>
      </w:r>
      <w:r w:rsidRPr="009655C3">
        <w:t xml:space="preserve"> deaths of Indigenous participants were recorded by those on the compulsory measure. Here </w:t>
      </w:r>
      <w:r w:rsidR="00534784" w:rsidRPr="009655C3">
        <w:t>12</w:t>
      </w:r>
      <w:r w:rsidR="00534784">
        <w:t>8</w:t>
      </w:r>
      <w:r w:rsidR="00534784" w:rsidRPr="009655C3">
        <w:t xml:space="preserve"> </w:t>
      </w:r>
      <w:r w:rsidRPr="009655C3">
        <w:t xml:space="preserve">deaths were recorded, with these accounting for </w:t>
      </w:r>
      <w:r w:rsidR="00534784">
        <w:t>1.7</w:t>
      </w:r>
      <w:r w:rsidRPr="009655C3">
        <w:t> per cent of exits.</w:t>
      </w:r>
    </w:p>
    <w:p w:rsidR="005E1FE0" w:rsidRPr="00DF38B2" w:rsidRDefault="00534784" w:rsidP="006654AE">
      <w:r>
        <w:t>Data on the</w:t>
      </w:r>
      <w:r w:rsidR="005E1FE0" w:rsidRPr="00DF38B2">
        <w:t xml:space="preserve"> age </w:t>
      </w:r>
      <w:r>
        <w:t>at which people died</w:t>
      </w:r>
      <w:r w:rsidR="005E1FE0" w:rsidRPr="00DF38B2">
        <w:t xml:space="preserve"> (as approximated by age at last receipt of an </w:t>
      </w:r>
      <w:r w:rsidR="009D7612">
        <w:t>income support</w:t>
      </w:r>
      <w:r w:rsidR="005E1FE0" w:rsidRPr="00DF38B2">
        <w:t xml:space="preserve"> payment</w:t>
      </w:r>
      <w:r w:rsidR="00271D4B">
        <w:t>)</w:t>
      </w:r>
      <w:r w:rsidR="005E1FE0" w:rsidRPr="00DF38B2">
        <w:t xml:space="preserve"> shows </w:t>
      </w:r>
      <w:r>
        <w:t>that</w:t>
      </w:r>
      <w:r w:rsidR="00B84AFE">
        <w:t xml:space="preserve"> </w:t>
      </w:r>
      <w:r>
        <w:t>12.6 per cent of the deaths were of people aged under 25 years</w:t>
      </w:r>
      <w:r w:rsidR="00271D4B">
        <w:t>;</w:t>
      </w:r>
      <w:r>
        <w:t xml:space="preserve"> 16.5</w:t>
      </w:r>
      <w:r w:rsidRPr="00534784">
        <w:t xml:space="preserve"> per cent of deaths </w:t>
      </w:r>
      <w:r>
        <w:t xml:space="preserve">were </w:t>
      </w:r>
      <w:r w:rsidRPr="00534784">
        <w:t>for the age group 35 to 44 years</w:t>
      </w:r>
      <w:r w:rsidR="00271D4B">
        <w:t>;</w:t>
      </w:r>
      <w:r w:rsidRPr="00534784">
        <w:t xml:space="preserve"> </w:t>
      </w:r>
      <w:r>
        <w:t>40.9</w:t>
      </w:r>
      <w:r w:rsidRPr="00534784">
        <w:t xml:space="preserve"> per cent </w:t>
      </w:r>
      <w:r w:rsidR="00271D4B">
        <w:t>comprised</w:t>
      </w:r>
      <w:r w:rsidRPr="00534784">
        <w:t xml:space="preserve"> the age group 45 to 64 years</w:t>
      </w:r>
      <w:r w:rsidR="00271D4B">
        <w:t>;</w:t>
      </w:r>
      <w:r w:rsidRPr="00534784">
        <w:t xml:space="preserve"> and </w:t>
      </w:r>
      <w:r>
        <w:t>30.0</w:t>
      </w:r>
      <w:r w:rsidRPr="00534784">
        <w:t xml:space="preserve"> per cent of deaths </w:t>
      </w:r>
      <w:r w:rsidR="00271D4B">
        <w:t xml:space="preserve">occurred in </w:t>
      </w:r>
      <w:r w:rsidRPr="00534784">
        <w:t>the age group 65 years and over</w:t>
      </w:r>
      <w:r>
        <w:t>. Analysis indicates that these results</w:t>
      </w:r>
      <w:r w:rsidR="00B84AFE">
        <w:t xml:space="preserve"> </w:t>
      </w:r>
      <w:r>
        <w:t xml:space="preserve">are not inconsistent with the </w:t>
      </w:r>
      <w:r w:rsidR="005E1FE0" w:rsidRPr="00DF38B2">
        <w:t>profile expected for Indigenous death, given the much lower life expectancy of Indigenous people (ABS, 201</w:t>
      </w:r>
      <w:r w:rsidR="00D7119A">
        <w:t>3b</w:t>
      </w:r>
      <w:r w:rsidR="005E1FE0" w:rsidRPr="00DF38B2">
        <w:t>).</w:t>
      </w:r>
    </w:p>
    <w:p w:rsidR="005E1FE0" w:rsidRPr="00DF38B2" w:rsidRDefault="005E1FE0" w:rsidP="006654AE">
      <w:pPr>
        <w:pStyle w:val="Heading4"/>
      </w:pPr>
      <w:r w:rsidRPr="00DF38B2">
        <w:t xml:space="preserve">Exits from </w:t>
      </w:r>
      <w:r w:rsidR="005E4CAC">
        <w:t>income management</w:t>
      </w:r>
      <w:r w:rsidRPr="00DF38B2">
        <w:t xml:space="preserve"> due to incarceration</w:t>
      </w:r>
    </w:p>
    <w:p w:rsidR="005E1FE0" w:rsidRPr="00DF38B2" w:rsidRDefault="005E1FE0" w:rsidP="006654AE">
      <w:r w:rsidRPr="00DF38B2">
        <w:t xml:space="preserve">Incarceration of a person receiving an </w:t>
      </w:r>
      <w:r w:rsidR="009D7612">
        <w:t>income support</w:t>
      </w:r>
      <w:r w:rsidRPr="00DF38B2">
        <w:t xml:space="preserve"> payment results in cancellation of the payment</w:t>
      </w:r>
      <w:r w:rsidR="00271D4B">
        <w:t>,</w:t>
      </w:r>
      <w:r w:rsidRPr="00DF38B2">
        <w:t xml:space="preserve"> and therefore incarceration is one of the reasons for exiting from income management. In addition it represents a poor </w:t>
      </w:r>
      <w:r w:rsidR="00593D5C">
        <w:t>wellbeing</w:t>
      </w:r>
      <w:r w:rsidRPr="00DF38B2">
        <w:t xml:space="preserve"> outcome. In many cases the interactions between incarceration and income management are complex, and for this reason the analysis here is concerned with a number of these complexities and some of the key characteristics of the group </w:t>
      </w:r>
      <w:r w:rsidR="00271D4B">
        <w:t>that is</w:t>
      </w:r>
      <w:r w:rsidRPr="00DF38B2">
        <w:t xml:space="preserve"> affected. </w:t>
      </w:r>
    </w:p>
    <w:p w:rsidR="005E1FE0" w:rsidRPr="00FE502F" w:rsidRDefault="005E1FE0" w:rsidP="006654AE">
      <w:r w:rsidRPr="00DF38B2">
        <w:t xml:space="preserve">There are 1,555 people in the Northern Territory who were receiving an </w:t>
      </w:r>
      <w:r w:rsidR="009D7612">
        <w:t>income support</w:t>
      </w:r>
      <w:r w:rsidRPr="00DF38B2">
        <w:t xml:space="preserve"> payment between mid-2010 and the end of 2013 who were incarcerated one or more times during this period. Of </w:t>
      </w:r>
      <w:r w:rsidR="009D7612">
        <w:t>income support</w:t>
      </w:r>
      <w:r w:rsidRPr="00DF38B2">
        <w:t xml:space="preserve"> recipients who were incarcerated</w:t>
      </w:r>
      <w:r w:rsidR="00271D4B">
        <w:t>,</w:t>
      </w:r>
      <w:r w:rsidRPr="00DF38B2">
        <w:t xml:space="preserve"> 77.1 per cent (1,199) had been subject to income management </w:t>
      </w:r>
      <w:r w:rsidR="00301801">
        <w:t xml:space="preserve">either </w:t>
      </w:r>
      <w:r w:rsidRPr="00DF38B2">
        <w:t>before or after</w:t>
      </w:r>
      <w:r w:rsidR="00271D4B">
        <w:t>,</w:t>
      </w:r>
      <w:r w:rsidRPr="00DF38B2">
        <w:t xml:space="preserve"> or both before and after</w:t>
      </w:r>
      <w:r w:rsidR="00271D4B">
        <w:t>,</w:t>
      </w:r>
      <w:r w:rsidRPr="00DF38B2">
        <w:t xml:space="preserve"> being incarcerated.</w:t>
      </w:r>
      <w:r w:rsidRPr="00DF38B2">
        <w:rPr>
          <w:rStyle w:val="FootnoteReference"/>
        </w:rPr>
        <w:footnoteReference w:id="70"/>
      </w:r>
      <w:r w:rsidRPr="00DF38B2">
        <w:t xml:space="preserve"> The majority of </w:t>
      </w:r>
      <w:r w:rsidR="009D7612">
        <w:t>income support</w:t>
      </w:r>
      <w:r w:rsidRPr="00DF38B2">
        <w:t xml:space="preserve"> recipients who </w:t>
      </w:r>
      <w:r w:rsidR="00534784">
        <w:t>have been</w:t>
      </w:r>
      <w:r w:rsidR="00534784" w:rsidRPr="00DF38B2">
        <w:t xml:space="preserve"> </w:t>
      </w:r>
      <w:r w:rsidRPr="00DF38B2">
        <w:t>subject to</w:t>
      </w:r>
      <w:r w:rsidR="00534784">
        <w:t xml:space="preserve"> income management</w:t>
      </w:r>
      <w:r w:rsidRPr="00DF38B2">
        <w:t xml:space="preserve"> and who were incarcerated were male (88.7</w:t>
      </w:r>
      <w:r w:rsidRPr="00FE502F">
        <w:t> per cent) and Indigenous (93.6 per cent).</w:t>
      </w:r>
    </w:p>
    <w:p w:rsidR="005E1FE0" w:rsidRPr="00DF38B2" w:rsidRDefault="005E1FE0" w:rsidP="006654AE">
      <w:r w:rsidRPr="009655C3">
        <w:t xml:space="preserve">Of </w:t>
      </w:r>
      <w:r w:rsidR="009D7612">
        <w:t>income support</w:t>
      </w:r>
      <w:r w:rsidRPr="009655C3">
        <w:t xml:space="preserve"> recipients subject to income management who were incarcerated, 90.5 per cent were subject to income management prior to incarceration and over half (5</w:t>
      </w:r>
      <w:r w:rsidR="00534784">
        <w:t>3</w:t>
      </w:r>
      <w:r w:rsidRPr="009655C3">
        <w:t>.7 per cent)</w:t>
      </w:r>
      <w:r w:rsidRPr="00DF38B2">
        <w:t xml:space="preserve"> were subject to income management before and after incarceration. Some of those who are not recorded as having been subject to income management after incarceration may have still been incarcerated at the end of 2013, the most recent point </w:t>
      </w:r>
      <w:r w:rsidR="003E7695">
        <w:t xml:space="preserve">in </w:t>
      </w:r>
      <w:r w:rsidR="003E7695" w:rsidRPr="00DF38B2">
        <w:t xml:space="preserve">time </w:t>
      </w:r>
      <w:r w:rsidRPr="00DF38B2">
        <w:t>included in the data used in the evaluation.</w:t>
      </w:r>
    </w:p>
    <w:p w:rsidR="005E1FE0" w:rsidRPr="00DF38B2" w:rsidRDefault="005E1FE0" w:rsidP="006654AE">
      <w:r w:rsidRPr="00DF38B2">
        <w:lastRenderedPageBreak/>
        <w:t>The age profile of those incarcerated is relatively young</w:t>
      </w:r>
      <w:r w:rsidR="003E7695">
        <w:t>,</w:t>
      </w:r>
      <w:r w:rsidRPr="00DF38B2">
        <w:t xml:space="preserve"> with 3.</w:t>
      </w:r>
      <w:r w:rsidR="00534784">
        <w:t>6</w:t>
      </w:r>
      <w:r w:rsidRPr="00DF38B2">
        <w:t> per cent under 20 years of age, 19.3 per cent 20 to 24 years, 42.9 per cent 25 to 34 years, 26.4 per cent 35 to 44 years and 7.8 per cent 45 to 64 years of age.</w:t>
      </w:r>
    </w:p>
    <w:p w:rsidR="005E1FE0" w:rsidRPr="00DF38B2" w:rsidRDefault="005E1FE0" w:rsidP="006654AE">
      <w:pPr>
        <w:pStyle w:val="Caption"/>
        <w:ind w:left="1439" w:hanging="1155"/>
      </w:pPr>
      <w:bookmarkStart w:id="220" w:name="_Toc403739424"/>
      <w:r w:rsidRPr="00DF38B2">
        <w:t xml:space="preserve">Table </w:t>
      </w:r>
      <w:fldSimple w:instr=" STYLEREF 1 \s ">
        <w:r w:rsidR="00906D13">
          <w:rPr>
            <w:noProof/>
          </w:rPr>
          <w:t>4</w:t>
        </w:r>
      </w:fldSimple>
      <w:r w:rsidR="00D40B64">
        <w:noBreakHyphen/>
      </w:r>
      <w:fldSimple w:instr=" SEQ Table \* ARABIC \s 1 ">
        <w:r w:rsidR="00906D13">
          <w:rPr>
            <w:noProof/>
          </w:rPr>
          <w:t>19</w:t>
        </w:r>
      </w:fldSimple>
      <w:r w:rsidRPr="00DF38B2">
        <w:tab/>
        <w:t xml:space="preserve">Income </w:t>
      </w:r>
      <w:r w:rsidR="005E4CAC">
        <w:t>m</w:t>
      </w:r>
      <w:r w:rsidRPr="00DF38B2">
        <w:t xml:space="preserve">anagement status of </w:t>
      </w:r>
      <w:r w:rsidR="005E4CAC">
        <w:t>i</w:t>
      </w:r>
      <w:r w:rsidRPr="00DF38B2">
        <w:t xml:space="preserve">ncome </w:t>
      </w:r>
      <w:r w:rsidR="005E4CAC">
        <w:t>s</w:t>
      </w:r>
      <w:r w:rsidRPr="00DF38B2">
        <w:t>upport recipients in the Northern Territory who experience</w:t>
      </w:r>
      <w:r w:rsidR="000253E5">
        <w:t>d</w:t>
      </w:r>
      <w:r w:rsidRPr="00DF38B2">
        <w:t xml:space="preserve"> incarceration</w:t>
      </w:r>
      <w:r w:rsidR="00D86209">
        <w:t>, 2010 to 2013</w:t>
      </w:r>
      <w:bookmarkEnd w:id="220"/>
    </w:p>
    <w:tbl>
      <w:tblPr>
        <w:tblW w:w="7388" w:type="dxa"/>
        <w:jc w:val="center"/>
        <w:tblLayout w:type="fixed"/>
        <w:tblLook w:val="04A0" w:firstRow="1" w:lastRow="0" w:firstColumn="1" w:lastColumn="0" w:noHBand="0" w:noVBand="1"/>
        <w:tblDescription w:val="The table presents data on income support recipients who have a period of incarceration on their records between 2010 and 2013.  The rows of the table are formed by a series of sequences of the experience of income management and incarceration, specifically: 1. Persons who have a record of being on income management before prison only; 2. Those with a record of income management after prison only; 3. Persons who were on income management before and after prison; 4 Total with of those with some record of incarceration and some experience of being income managed and 5. Those with a record as being on income support and at some time being incarcerated over the period but no record of having been on income management.  The final row of the table reports all 1,555 persons with some record of incarceration.  Three data columns are used in the table. The first reports the number of people in each of the above category.  The second shows these as a proportion of the total population, while the third provides data for the first 4 categories only and shows the proportional distribution of the 1,199 who had been on income management.&#10;The data is discussed in the text.&#10;"/>
      </w:tblPr>
      <w:tblGrid>
        <w:gridCol w:w="2278"/>
        <w:gridCol w:w="1276"/>
        <w:gridCol w:w="1585"/>
        <w:gridCol w:w="2249"/>
      </w:tblGrid>
      <w:tr w:rsidR="00534784" w:rsidRPr="00534784" w:rsidTr="00156BBE">
        <w:trPr>
          <w:trHeight w:val="20"/>
          <w:tblHeader/>
          <w:jc w:val="center"/>
        </w:trPr>
        <w:tc>
          <w:tcPr>
            <w:tcW w:w="2278" w:type="dxa"/>
            <w:tcBorders>
              <w:top w:val="single" w:sz="4" w:space="0" w:color="auto"/>
              <w:bottom w:val="single" w:sz="4" w:space="0" w:color="auto"/>
            </w:tcBorders>
            <w:shd w:val="clear" w:color="auto" w:fill="auto"/>
            <w:noWrap/>
            <w:hideMark/>
          </w:tcPr>
          <w:p w:rsidR="00534784" w:rsidRPr="00534784" w:rsidRDefault="00534784" w:rsidP="00C32E6C">
            <w:pPr>
              <w:pStyle w:val="tabletextleft"/>
              <w:jc w:val="left"/>
              <w:rPr>
                <w:rFonts w:eastAsia="Times New Roman"/>
              </w:rPr>
            </w:pPr>
          </w:p>
        </w:tc>
        <w:tc>
          <w:tcPr>
            <w:tcW w:w="1276" w:type="dxa"/>
            <w:tcBorders>
              <w:top w:val="single" w:sz="4" w:space="0" w:color="auto"/>
              <w:bottom w:val="single" w:sz="4" w:space="0" w:color="auto"/>
            </w:tcBorders>
            <w:shd w:val="clear" w:color="auto" w:fill="auto"/>
            <w:noWrap/>
            <w:hideMark/>
          </w:tcPr>
          <w:p w:rsidR="00534784" w:rsidRPr="00534784" w:rsidRDefault="00C32E6C" w:rsidP="00C32E6C">
            <w:pPr>
              <w:pStyle w:val="tabletextright"/>
              <w:rPr>
                <w:rFonts w:eastAsia="Times New Roman"/>
              </w:rPr>
            </w:pPr>
            <w:r>
              <w:rPr>
                <w:rFonts w:eastAsia="Times New Roman"/>
              </w:rPr>
              <w:t>n</w:t>
            </w:r>
          </w:p>
        </w:tc>
        <w:tc>
          <w:tcPr>
            <w:tcW w:w="1585" w:type="dxa"/>
            <w:tcBorders>
              <w:top w:val="single" w:sz="4" w:space="0" w:color="auto"/>
              <w:bottom w:val="single" w:sz="4" w:space="0" w:color="auto"/>
            </w:tcBorders>
            <w:shd w:val="clear" w:color="auto" w:fill="auto"/>
            <w:noWrap/>
            <w:hideMark/>
          </w:tcPr>
          <w:p w:rsidR="00534784" w:rsidRPr="00534784" w:rsidRDefault="00156BBE" w:rsidP="000253E5">
            <w:pPr>
              <w:pStyle w:val="tabletextright"/>
              <w:rPr>
                <w:rFonts w:eastAsia="Times New Roman"/>
              </w:rPr>
            </w:pPr>
            <w:r>
              <w:rPr>
                <w:rFonts w:eastAsia="Times New Roman"/>
              </w:rPr>
              <w:t xml:space="preserve">% </w:t>
            </w:r>
            <w:r w:rsidR="000253E5">
              <w:rPr>
                <w:rFonts w:eastAsia="Times New Roman"/>
              </w:rPr>
              <w:t xml:space="preserve"> people incarcerated</w:t>
            </w:r>
          </w:p>
        </w:tc>
        <w:tc>
          <w:tcPr>
            <w:tcW w:w="2249" w:type="dxa"/>
            <w:tcBorders>
              <w:top w:val="single" w:sz="4" w:space="0" w:color="auto"/>
              <w:bottom w:val="single" w:sz="4" w:space="0" w:color="auto"/>
            </w:tcBorders>
            <w:shd w:val="clear" w:color="auto" w:fill="auto"/>
            <w:noWrap/>
            <w:hideMark/>
          </w:tcPr>
          <w:p w:rsidR="00534784" w:rsidRPr="00534784" w:rsidRDefault="00156BBE" w:rsidP="000253E5">
            <w:pPr>
              <w:pStyle w:val="tabletextright"/>
              <w:rPr>
                <w:rFonts w:eastAsia="Times New Roman"/>
              </w:rPr>
            </w:pPr>
            <w:r>
              <w:rPr>
                <w:rFonts w:eastAsia="Times New Roman"/>
              </w:rPr>
              <w:t xml:space="preserve">% </w:t>
            </w:r>
            <w:r w:rsidR="000253E5">
              <w:rPr>
                <w:rFonts w:eastAsia="Times New Roman"/>
              </w:rPr>
              <w:t>people incarcerated on IM</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before prison only</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441</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28.4</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36.8</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after prison only</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114</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7.3</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9.5</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before and after prison</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644</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41.4</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53.7</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Total with IM experience</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1,199</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77.1</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100.0</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No IM</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356</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22.9</w:t>
            </w:r>
          </w:p>
        </w:tc>
        <w:tc>
          <w:tcPr>
            <w:tcW w:w="2249" w:type="dxa"/>
            <w:shd w:val="clear" w:color="auto" w:fill="auto"/>
            <w:noWrap/>
            <w:vAlign w:val="bottom"/>
            <w:hideMark/>
          </w:tcPr>
          <w:p w:rsidR="00534784" w:rsidRPr="00534784" w:rsidRDefault="00534784" w:rsidP="006654AE">
            <w:pPr>
              <w:pStyle w:val="tabletextright"/>
              <w:rPr>
                <w:rFonts w:eastAsia="Times New Roman"/>
              </w:rPr>
            </w:pPr>
          </w:p>
        </w:tc>
      </w:tr>
      <w:tr w:rsidR="00534784" w:rsidRPr="00534784" w:rsidTr="00156BBE">
        <w:trPr>
          <w:trHeight w:val="20"/>
          <w:jc w:val="center"/>
        </w:trPr>
        <w:tc>
          <w:tcPr>
            <w:tcW w:w="2278" w:type="dxa"/>
            <w:tcBorders>
              <w:bottom w:val="single" w:sz="4" w:space="0" w:color="auto"/>
            </w:tcBorders>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Total</w:t>
            </w:r>
          </w:p>
        </w:tc>
        <w:tc>
          <w:tcPr>
            <w:tcW w:w="1276"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1,555</w:t>
            </w:r>
          </w:p>
        </w:tc>
        <w:tc>
          <w:tcPr>
            <w:tcW w:w="1585"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100.0</w:t>
            </w:r>
          </w:p>
        </w:tc>
        <w:tc>
          <w:tcPr>
            <w:tcW w:w="2249"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p>
        </w:tc>
      </w:tr>
    </w:tbl>
    <w:p w:rsidR="00534784" w:rsidRDefault="00534784" w:rsidP="006654AE">
      <w:pPr>
        <w:pStyle w:val="tabletextright"/>
      </w:pPr>
    </w:p>
    <w:p w:rsidR="005E1FE0" w:rsidRPr="00DF38B2" w:rsidRDefault="005E1FE0" w:rsidP="006654AE">
      <w:pPr>
        <w:pStyle w:val="tablenotes"/>
        <w:ind w:left="1437" w:hanging="870"/>
      </w:pPr>
      <w:r w:rsidRPr="00DF38B2">
        <w:t xml:space="preserve">Notes: </w:t>
      </w:r>
      <w:r w:rsidRPr="00DF38B2">
        <w:tab/>
        <w:t>An individual may have been incarcerated one or multiple times. For people with multiple incarcerations</w:t>
      </w:r>
      <w:r w:rsidR="003E7695">
        <w:t>,</w:t>
      </w:r>
      <w:r w:rsidRPr="00DF38B2">
        <w:t xml:space="preserve"> IM before prison is defined as being on </w:t>
      </w:r>
      <w:r w:rsidR="00CC7910">
        <w:t xml:space="preserve">income management </w:t>
      </w:r>
      <w:r w:rsidRPr="00DF38B2">
        <w:t>before either first or subsequent spells of incarceration</w:t>
      </w:r>
      <w:r w:rsidR="003E7695">
        <w:t>,</w:t>
      </w:r>
      <w:r w:rsidRPr="00DF38B2">
        <w:t xml:space="preserve"> and IM after prison is defined as being on </w:t>
      </w:r>
      <w:r w:rsidR="00CC7910">
        <w:t>income management</w:t>
      </w:r>
      <w:r w:rsidR="00CC7910" w:rsidRPr="00DF38B2">
        <w:t xml:space="preserve"> </w:t>
      </w:r>
      <w:r w:rsidRPr="00DF38B2">
        <w:t>after either first or subsequent spells of incarceration.</w:t>
      </w:r>
    </w:p>
    <w:p w:rsidR="005E1FE0" w:rsidRPr="00DF38B2" w:rsidRDefault="005E1FE0" w:rsidP="006654AE">
      <w:pPr>
        <w:pStyle w:val="tablenotes"/>
        <w:ind w:left="1437"/>
      </w:pPr>
      <w:r w:rsidRPr="00DF38B2">
        <w:t>Some people who were on IM before incarceration but do not have any income management recorded after incarceration may still have been in prison at the end of 2013 – the Centrelink data does not record whether a person is incarcerated at any particular point in time</w:t>
      </w:r>
      <w:r w:rsidR="003E7695">
        <w:t>;</w:t>
      </w:r>
      <w:r w:rsidRPr="00DF38B2">
        <w:t xml:space="preserve"> rather</w:t>
      </w:r>
      <w:r w:rsidR="003E7695">
        <w:t>,</w:t>
      </w:r>
      <w:r w:rsidRPr="00DF38B2">
        <w:t xml:space="preserve"> incarceration is recorded as a reason for termination of </w:t>
      </w:r>
      <w:r w:rsidR="00012F91">
        <w:t>income support payment</w:t>
      </w:r>
      <w:r w:rsidRPr="00DF38B2">
        <w:t>s.</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purposes of the evaluation.</w:t>
      </w:r>
    </w:p>
    <w:p w:rsidR="006C7328" w:rsidRPr="00DF38B2" w:rsidRDefault="006C7328" w:rsidP="006654AE">
      <w:pPr>
        <w:pStyle w:val="tablefootnoteslastline"/>
      </w:pPr>
    </w:p>
    <w:p w:rsidR="005E1FE0" w:rsidRPr="00DF38B2" w:rsidRDefault="005E1FE0" w:rsidP="006654AE">
      <w:pPr>
        <w:pStyle w:val="Heading2"/>
        <w:ind w:left="578" w:hanging="578"/>
      </w:pPr>
      <w:bookmarkStart w:id="221" w:name="_Toc403739018"/>
      <w:r w:rsidRPr="00DF38B2">
        <w:t>Money Management and Financial Counselling Services</w:t>
      </w:r>
      <w:bookmarkEnd w:id="221"/>
    </w:p>
    <w:p w:rsidR="005E1FE0" w:rsidRPr="00DF38B2" w:rsidRDefault="005E1FE0" w:rsidP="006654AE">
      <w:r w:rsidRPr="00DF38B2">
        <w:t xml:space="preserve">In addition to the aspects of </w:t>
      </w:r>
      <w:r w:rsidR="005E4CAC">
        <w:t>income management</w:t>
      </w:r>
      <w:r w:rsidRPr="00DF38B2">
        <w:t xml:space="preserve"> that are designed to restrict how people spend their money, there are elements that are designed to improve the ability of people to manage their money. This aspect of </w:t>
      </w:r>
      <w:r w:rsidR="005E4CAC">
        <w:t>income management</w:t>
      </w:r>
      <w:r w:rsidRPr="00DF38B2">
        <w:t xml:space="preserve"> involves two strategies</w:t>
      </w:r>
      <w:r w:rsidR="00301801">
        <w:t xml:space="preserve"> supported by specific program initiatives</w:t>
      </w:r>
      <w:r w:rsidRPr="00DF38B2">
        <w:t xml:space="preserve">: (i) improving budgeting skills via financial education (money management courses and financial counselling); and (ii) encouraging people to develop a savings pattern by providing a Matched Savings Payment. This section provides an overview of use of Money Management and Financial Counselling Services and the extent to which people have received a Matched Savings Scheme </w:t>
      </w:r>
      <w:r w:rsidR="00D95B12">
        <w:t>P</w:t>
      </w:r>
      <w:r w:rsidRPr="00DF38B2">
        <w:t xml:space="preserve">ayment. </w:t>
      </w:r>
    </w:p>
    <w:p w:rsidR="005E1FE0" w:rsidRPr="00DF38B2" w:rsidRDefault="005E1FE0" w:rsidP="006654AE">
      <w:r w:rsidRPr="00DF38B2">
        <w:t xml:space="preserve">The analysis in this section is </w:t>
      </w:r>
      <w:r w:rsidR="00D075EE">
        <w:t xml:space="preserve">mainly </w:t>
      </w:r>
      <w:r w:rsidRPr="00DF38B2">
        <w:t>based upon data provided by contracted money management and financial counselling services providers</w:t>
      </w:r>
      <w:r w:rsidR="00D075EE">
        <w:t xml:space="preserve"> along with some d</w:t>
      </w:r>
      <w:r w:rsidRPr="00DF38B2">
        <w:t xml:space="preserve">ata from people subject to </w:t>
      </w:r>
      <w:r w:rsidR="005E4CAC">
        <w:t>income management</w:t>
      </w:r>
      <w:r w:rsidRPr="00DF38B2">
        <w:t xml:space="preserve"> collected in the </w:t>
      </w:r>
      <w:r w:rsidR="003173D0">
        <w:t>LSNIM</w:t>
      </w:r>
      <w:r w:rsidR="00D075EE">
        <w:t xml:space="preserve">. Qualitative findings </w:t>
      </w:r>
      <w:r w:rsidRPr="00DF38B2">
        <w:t xml:space="preserve">from focus groups with Money Management and Financial Counselling service providers </w:t>
      </w:r>
      <w:r w:rsidR="003C3FC0">
        <w:t xml:space="preserve">are </w:t>
      </w:r>
      <w:r w:rsidRPr="00DF38B2">
        <w:t>reported in Chapter 10.</w:t>
      </w:r>
    </w:p>
    <w:p w:rsidR="005E1FE0" w:rsidRPr="00DF38B2" w:rsidRDefault="005E1FE0" w:rsidP="006654AE">
      <w:r w:rsidRPr="00DF38B2">
        <w:t>As outlined in Chapter 2, the Matched Savings Payment is designed to encourage people on income management to develop a savings pattern and increase their capacity to manage their money. Under this scheme, Centrelink matches savings dollar</w:t>
      </w:r>
      <w:r w:rsidR="00C27A71">
        <w:t xml:space="preserve"> </w:t>
      </w:r>
      <w:r w:rsidRPr="00DF38B2">
        <w:t>for dollar up to a maximum of $500. A Matched Savings Payment can be made for savings of less than $500, but a person can receive a Matched Savings Payment only once. The Matched Savings Payment is available to people subject to Compulsory Income Management, Child Protection Income Management</w:t>
      </w:r>
      <w:r w:rsidR="003E7695">
        <w:t>,</w:t>
      </w:r>
      <w:r w:rsidRPr="00DF38B2">
        <w:t xml:space="preserve"> and Vulnerable Income Management. To be eligible for the Matched Savings Payment, the person has to have completed an approved money management course and have achieved a ‘pattern of saving’ over a minimum of 13 weeks. People are required to save this money from their non-income</w:t>
      </w:r>
      <w:r w:rsidR="00A04470">
        <w:t xml:space="preserve"> </w:t>
      </w:r>
      <w:r w:rsidRPr="00DF38B2">
        <w:t>managed funds. However, the matched payment becomes part of their income</w:t>
      </w:r>
      <w:r w:rsidR="00A04470">
        <w:t xml:space="preserve"> </w:t>
      </w:r>
      <w:r w:rsidRPr="00DF38B2">
        <w:t>managed funds.</w:t>
      </w:r>
    </w:p>
    <w:p w:rsidR="005E1FE0" w:rsidRPr="00DF38B2" w:rsidRDefault="005E1FE0" w:rsidP="008525AF">
      <w:pPr>
        <w:pStyle w:val="h4l3"/>
      </w:pPr>
      <w:r w:rsidRPr="00DF38B2">
        <w:t>Number of people accessing management and financial counselling services</w:t>
      </w:r>
    </w:p>
    <w:p w:rsidR="005E1FE0" w:rsidRPr="00DF38B2" w:rsidRDefault="005E1FE0" w:rsidP="006654AE">
      <w:r w:rsidRPr="00DF38B2">
        <w:t xml:space="preserve">While money management services have been delivered in the Northern Territory for some time, the number of sites from which they were offered had been low. In 2008 the program was considerably expanded and by February 2011 was being provided in </w:t>
      </w:r>
      <w:r w:rsidRPr="00D075EE">
        <w:t xml:space="preserve">about </w:t>
      </w:r>
      <w:r w:rsidR="00D075EE" w:rsidRPr="00D075EE">
        <w:t xml:space="preserve">215 </w:t>
      </w:r>
      <w:r w:rsidRPr="00D075EE">
        <w:t>different locations.</w:t>
      </w:r>
      <w:r w:rsidR="00D075EE">
        <w:t xml:space="preserve"> </w:t>
      </w:r>
      <w:r w:rsidR="00D075EE" w:rsidRPr="00D075EE">
        <w:t>Commonwealth Financial Counselling services are also provided by seven organisations servicing communities across the N</w:t>
      </w:r>
      <w:r w:rsidR="00D075EE">
        <w:t xml:space="preserve">orthern </w:t>
      </w:r>
      <w:r w:rsidR="00D075EE" w:rsidRPr="00D075EE">
        <w:t>T</w:t>
      </w:r>
      <w:r w:rsidR="00D075EE">
        <w:t>erritory.</w:t>
      </w:r>
    </w:p>
    <w:p w:rsidR="005E1FE0" w:rsidRPr="00DF38B2" w:rsidRDefault="005E1FE0" w:rsidP="006654AE">
      <w:r w:rsidRPr="00DF38B2">
        <w:t>Money management services include approved money management courses, workshops</w:t>
      </w:r>
      <w:r w:rsidR="003E7695">
        <w:t>,</w:t>
      </w:r>
      <w:r w:rsidRPr="00DF38B2">
        <w:t xml:space="preserve"> and individual coaching and support around financial management and literacy; assistance with planning and setting goals </w:t>
      </w:r>
      <w:r w:rsidRPr="00DF38B2">
        <w:lastRenderedPageBreak/>
        <w:t>to save for more expensive items such as whitegoods; and assisting people to make better use of financial services such as ATMs, internet and telephone banking. Data on the number of people accessing money management and financial counselling services comes from the contracted money management</w:t>
      </w:r>
      <w:r w:rsidR="00D075EE">
        <w:t xml:space="preserve"> and financial counselling</w:t>
      </w:r>
      <w:r w:rsidRPr="00DF38B2">
        <w:t xml:space="preserve"> service providers’ reports to DSS.</w:t>
      </w:r>
      <w:r w:rsidR="00D075EE">
        <w:rPr>
          <w:rStyle w:val="FootnoteReference"/>
        </w:rPr>
        <w:footnoteReference w:id="71"/>
      </w:r>
    </w:p>
    <w:p w:rsidR="005E1FE0" w:rsidRPr="00DF38B2" w:rsidRDefault="005E1FE0" w:rsidP="006654AE">
      <w:r w:rsidRPr="00DF38B2">
        <w:fldChar w:fldCharType="begin"/>
      </w:r>
      <w:r w:rsidRPr="00DF38B2">
        <w:instrText xml:space="preserve"> REF _Ref390354380 \h </w:instrText>
      </w:r>
      <w:r w:rsidRPr="00DF38B2">
        <w:fldChar w:fldCharType="separate"/>
      </w:r>
      <w:r w:rsidR="00906D13" w:rsidRPr="00DF38B2">
        <w:t xml:space="preserve">Figure </w:t>
      </w:r>
      <w:r w:rsidR="00906D13">
        <w:rPr>
          <w:noProof/>
        </w:rPr>
        <w:t>4</w:t>
      </w:r>
      <w:r w:rsidR="00906D13" w:rsidRPr="00DF38B2">
        <w:noBreakHyphen/>
      </w:r>
      <w:r w:rsidR="00906D13">
        <w:rPr>
          <w:noProof/>
        </w:rPr>
        <w:t>28</w:t>
      </w:r>
      <w:r w:rsidRPr="00DF38B2">
        <w:fldChar w:fldCharType="end"/>
      </w:r>
      <w:r w:rsidRPr="00DF38B2">
        <w:t xml:space="preserve"> shows the number of people accessing </w:t>
      </w:r>
      <w:r w:rsidR="00E964B4">
        <w:t>M</w:t>
      </w:r>
      <w:r w:rsidRPr="00DF38B2">
        <w:t xml:space="preserve">oney </w:t>
      </w:r>
      <w:r w:rsidR="00E964B4">
        <w:t>M</w:t>
      </w:r>
      <w:r w:rsidRPr="00DF38B2">
        <w:t xml:space="preserve">anagement </w:t>
      </w:r>
      <w:r w:rsidR="00E964B4">
        <w:t>S</w:t>
      </w:r>
      <w:r w:rsidRPr="00DF38B2">
        <w:t>ervi</w:t>
      </w:r>
      <w:r w:rsidRPr="00FE502F">
        <w:t xml:space="preserve">ces </w:t>
      </w:r>
      <w:r w:rsidR="00301801">
        <w:t xml:space="preserve">in the Northern Territory </w:t>
      </w:r>
      <w:r w:rsidRPr="00FE502F">
        <w:t xml:space="preserve">over the period </w:t>
      </w:r>
      <w:r w:rsidRPr="009655C3">
        <w:t xml:space="preserve">2009 to 2013. The numbers in this figure include both people on income management and those </w:t>
      </w:r>
      <w:r w:rsidR="008D7DC2">
        <w:t xml:space="preserve">people </w:t>
      </w:r>
      <w:r w:rsidRPr="009655C3">
        <w:t>not</w:t>
      </w:r>
      <w:r w:rsidR="003E7695">
        <w:t xml:space="preserve"> on income management</w:t>
      </w:r>
      <w:r w:rsidRPr="009655C3">
        <w:t xml:space="preserve">. </w:t>
      </w:r>
      <w:r w:rsidRPr="00DF38B2">
        <w:fldChar w:fldCharType="begin"/>
      </w:r>
      <w:r w:rsidRPr="00DF38B2">
        <w:instrText xml:space="preserve"> REF _Ref390358854 \h </w:instrText>
      </w:r>
      <w:r w:rsidRPr="00DF38B2">
        <w:fldChar w:fldCharType="separate"/>
      </w:r>
      <w:r w:rsidR="00906D13" w:rsidRPr="00DF38B2">
        <w:t xml:space="preserve">Figure </w:t>
      </w:r>
      <w:r w:rsidR="00906D13">
        <w:rPr>
          <w:noProof/>
        </w:rPr>
        <w:t>4</w:t>
      </w:r>
      <w:r w:rsidR="00906D13" w:rsidRPr="00DF38B2">
        <w:noBreakHyphen/>
      </w:r>
      <w:r w:rsidR="00906D13">
        <w:rPr>
          <w:noProof/>
        </w:rPr>
        <w:t>29</w:t>
      </w:r>
      <w:r w:rsidRPr="00DF38B2">
        <w:fldChar w:fldCharType="end"/>
      </w:r>
      <w:r w:rsidRPr="00DF38B2">
        <w:t xml:space="preserve"> provides a breakdown of clients on income management according to whether they are on Compulsory Income Management or Voluntary Income Management</w:t>
      </w:r>
      <w:r w:rsidR="008D7DC2">
        <w:t xml:space="preserve">, </w:t>
      </w:r>
      <w:r w:rsidRPr="00DF38B2">
        <w:t xml:space="preserve">for the period </w:t>
      </w:r>
      <w:r w:rsidR="008D7DC2">
        <w:t>commencing</w:t>
      </w:r>
      <w:r w:rsidRPr="00DF38B2">
        <w:t xml:space="preserve"> July 2010. </w:t>
      </w:r>
      <w:r w:rsidRPr="00FE502F">
        <w:t xml:space="preserve">They also include services only provided on a one-on-one basis. Services are also provided in the form of workshops, and the number of workshops is shown in </w:t>
      </w:r>
      <w:r w:rsidRPr="00DF38B2">
        <w:fldChar w:fldCharType="begin"/>
      </w:r>
      <w:r w:rsidRPr="00DF38B2">
        <w:instrText xml:space="preserve"> REF _Ref390354393 \h </w:instrText>
      </w:r>
      <w:r w:rsidRPr="00DF38B2">
        <w:fldChar w:fldCharType="separate"/>
      </w:r>
      <w:r w:rsidR="00906D13" w:rsidRPr="00FE502F">
        <w:t xml:space="preserve">Figure </w:t>
      </w:r>
      <w:r w:rsidR="00906D13">
        <w:rPr>
          <w:noProof/>
        </w:rPr>
        <w:t>4</w:t>
      </w:r>
      <w:r w:rsidR="00906D13" w:rsidRPr="00DF38B2">
        <w:noBreakHyphen/>
      </w:r>
      <w:r w:rsidR="00906D13">
        <w:rPr>
          <w:noProof/>
        </w:rPr>
        <w:t>30</w:t>
      </w:r>
      <w:r w:rsidRPr="00DF38B2">
        <w:fldChar w:fldCharType="end"/>
      </w:r>
      <w:r w:rsidRPr="00DF38B2">
        <w:t>.</w:t>
      </w:r>
    </w:p>
    <w:p w:rsidR="005E1FE0" w:rsidRPr="00DF38B2" w:rsidRDefault="005E1FE0" w:rsidP="006654AE">
      <w:r w:rsidRPr="00FE502F">
        <w:t xml:space="preserve">The total number of people accessing </w:t>
      </w:r>
      <w:r w:rsidR="00E964B4">
        <w:t>these</w:t>
      </w:r>
      <w:r w:rsidRPr="00FE502F">
        <w:t xml:space="preserve"> </w:t>
      </w:r>
      <w:r w:rsidR="00E964B4">
        <w:t>M</w:t>
      </w:r>
      <w:r w:rsidRPr="00FE502F">
        <w:t xml:space="preserve">oney </w:t>
      </w:r>
      <w:r w:rsidR="00E964B4">
        <w:t>M</w:t>
      </w:r>
      <w:r w:rsidRPr="00FE502F">
        <w:t xml:space="preserve">anagement </w:t>
      </w:r>
      <w:r w:rsidR="00E964B4">
        <w:t>S</w:t>
      </w:r>
      <w:r w:rsidRPr="00FE502F">
        <w:t>ervice</w:t>
      </w:r>
      <w:r w:rsidR="00E964B4">
        <w:t>s</w:t>
      </w:r>
      <w:r w:rsidRPr="00FE502F">
        <w:t xml:space="preserve"> increased from 3,845 over the</w:t>
      </w:r>
      <w:r w:rsidR="00C27A71">
        <w:t xml:space="preserve"> six month</w:t>
      </w:r>
      <w:r w:rsidRPr="00FE502F">
        <w:t xml:space="preserve"> period just prior to the transition from NTER I</w:t>
      </w:r>
      <w:r w:rsidR="00CC7910">
        <w:t xml:space="preserve">ncome </w:t>
      </w:r>
      <w:r w:rsidRPr="00FE502F">
        <w:t>M</w:t>
      </w:r>
      <w:r w:rsidR="00CC7910">
        <w:t>anagement</w:t>
      </w:r>
      <w:r w:rsidRPr="00FE502F">
        <w:t xml:space="preserve"> to</w:t>
      </w:r>
      <w:r w:rsidR="00C32D5A">
        <w:t xml:space="preserve"> New Income Management</w:t>
      </w:r>
      <w:r w:rsidRPr="00FE502F">
        <w:t xml:space="preserve"> (January to June 2010) to a peak of 7,499 over the period July to December 2011. The number then f</w:t>
      </w:r>
      <w:r w:rsidRPr="009655C3">
        <w:t>ell to 5,321 in the period January to June 2012</w:t>
      </w:r>
      <w:r w:rsidR="008D7DC2">
        <w:t>,</w:t>
      </w:r>
      <w:r w:rsidRPr="009655C3">
        <w:t xml:space="preserve"> and since then has been around 7,000 per six</w:t>
      </w:r>
      <w:r w:rsidR="008D7DC2">
        <w:t>-</w:t>
      </w:r>
      <w:r w:rsidRPr="009655C3">
        <w:t xml:space="preserve">month period. The vast majority of clients of </w:t>
      </w:r>
      <w:r w:rsidR="00E964B4">
        <w:t>Money Management Service</w:t>
      </w:r>
      <w:r w:rsidRPr="009655C3">
        <w:t>s are Indigenous</w:t>
      </w:r>
      <w:r w:rsidR="00683D67" w:rsidRPr="00DF38B2">
        <w:t xml:space="preserve"> people</w:t>
      </w:r>
      <w:r w:rsidRPr="00DF38B2">
        <w:t xml:space="preserve">, with the proportion </w:t>
      </w:r>
      <w:r w:rsidR="00683D67" w:rsidRPr="00DF38B2">
        <w:t xml:space="preserve">who are </w:t>
      </w:r>
      <w:r w:rsidRPr="00DF38B2">
        <w:t>Indigenous varying from 90</w:t>
      </w:r>
      <w:r w:rsidR="00C27A71">
        <w:t>.2</w:t>
      </w:r>
      <w:r w:rsidRPr="00DF38B2">
        <w:t xml:space="preserve"> per cent in July to December 2010 to </w:t>
      </w:r>
      <w:r w:rsidR="00C27A71" w:rsidRPr="00DF38B2">
        <w:t>9</w:t>
      </w:r>
      <w:r w:rsidR="00C27A71">
        <w:t>7.9</w:t>
      </w:r>
      <w:r w:rsidR="00C27A71" w:rsidRPr="00DF38B2">
        <w:t> </w:t>
      </w:r>
      <w:r w:rsidRPr="00DF38B2">
        <w:t>per cent for the period July 2011 to June 2012.</w:t>
      </w:r>
    </w:p>
    <w:p w:rsidR="005E1FE0" w:rsidRPr="00DF38B2" w:rsidRDefault="005E1FE0" w:rsidP="006654AE">
      <w:pPr>
        <w:pStyle w:val="Caption"/>
        <w:ind w:left="1439" w:hanging="1155"/>
      </w:pPr>
      <w:bookmarkStart w:id="222" w:name="_Ref390354380"/>
      <w:bookmarkStart w:id="223" w:name="_Ref194578403"/>
      <w:bookmarkStart w:id="224" w:name="_Toc321254604"/>
      <w:bookmarkStart w:id="225" w:name="_Toc328601658"/>
      <w:bookmarkStart w:id="226" w:name="_Toc335915924"/>
      <w:bookmarkStart w:id="227" w:name="_Toc40373952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28</w:t>
      </w:r>
      <w:r w:rsidR="00040708" w:rsidRPr="00F157EE">
        <w:fldChar w:fldCharType="end"/>
      </w:r>
      <w:bookmarkEnd w:id="222"/>
      <w:r w:rsidRPr="00DF38B2">
        <w:t xml:space="preserve"> </w:t>
      </w:r>
      <w:r w:rsidRPr="00DF38B2">
        <w:tab/>
        <w:t>Number of clients provided services by</w:t>
      </w:r>
      <w:r w:rsidR="00E964B4">
        <w:t xml:space="preserve"> Mo</w:t>
      </w:r>
      <w:r w:rsidRPr="00DF38B2">
        <w:t xml:space="preserve">ney </w:t>
      </w:r>
      <w:r w:rsidR="00E964B4">
        <w:t>M</w:t>
      </w:r>
      <w:r w:rsidRPr="00DF38B2">
        <w:t xml:space="preserve">anagement </w:t>
      </w:r>
      <w:r w:rsidR="00E964B4">
        <w:t>S</w:t>
      </w:r>
      <w:r w:rsidRPr="00DF38B2">
        <w:t>ervice providers in the Northern Territory, 2009</w:t>
      </w:r>
      <w:r w:rsidR="008D7DC2">
        <w:t>–</w:t>
      </w:r>
      <w:r w:rsidRPr="00DF38B2">
        <w:t>201</w:t>
      </w:r>
      <w:bookmarkEnd w:id="223"/>
      <w:bookmarkEnd w:id="224"/>
      <w:bookmarkEnd w:id="225"/>
      <w:bookmarkEnd w:id="226"/>
      <w:r w:rsidRPr="00DF38B2">
        <w:t>3</w:t>
      </w:r>
      <w:bookmarkEnd w:id="227"/>
    </w:p>
    <w:p w:rsidR="005E1FE0" w:rsidRPr="00DF38B2" w:rsidRDefault="005E1FE0" w:rsidP="006654AE">
      <w:pPr>
        <w:pStyle w:val="graphicpaste"/>
      </w:pPr>
      <w:r w:rsidRPr="008E4D9D">
        <w:rPr>
          <w:noProof/>
        </w:rPr>
        <w:drawing>
          <wp:inline distT="0" distB="0" distL="0" distR="0" wp14:anchorId="37583899" wp14:editId="4E800858">
            <wp:extent cx="4533900" cy="2699385"/>
            <wp:effectExtent l="0" t="0" r="0" b="5715"/>
            <wp:docPr id="15" name="Picture 15" descr="This line chart plots the number of clients on the vertical axis and six month time periods from July to December 2009 to January to June 2013 on the horizontal axis. Two lines are plotted the first for total clients and the second for the number of clients who were on income management. The main features of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33900" cy="2699385"/>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Notes:</w:t>
      </w:r>
      <w:r w:rsidRPr="00DF38B2">
        <w:tab/>
        <w:t xml:space="preserve">Some of the clients who received services provided by </w:t>
      </w:r>
      <w:r w:rsidR="00E964B4">
        <w:t>Money Management Service</w:t>
      </w:r>
      <w:r w:rsidRPr="00DF38B2">
        <w:t xml:space="preserve"> providers who are not recorded as being on income management by the service provider may in fact have been on income management. Clients are not required to advise service providers that they are currently on income management in order to receive </w:t>
      </w:r>
      <w:r w:rsidR="00E964B4">
        <w:t>Money Management Service</w:t>
      </w:r>
      <w:r w:rsidRPr="00DF38B2">
        <w:t>s.</w:t>
      </w:r>
    </w:p>
    <w:p w:rsidR="005E1FE0" w:rsidRDefault="005E1FE0" w:rsidP="006654AE">
      <w:pPr>
        <w:pStyle w:val="tablenotes"/>
        <w:keepNext w:val="0"/>
      </w:pPr>
      <w:r w:rsidRPr="00DF38B2">
        <w:t xml:space="preserve">Source: </w:t>
      </w:r>
      <w:r w:rsidRPr="00DF38B2">
        <w:tab/>
        <w:t xml:space="preserve">Derived from reports provided by </w:t>
      </w:r>
      <w:r w:rsidR="00E964B4">
        <w:t>M</w:t>
      </w:r>
      <w:r w:rsidRPr="00DF38B2">
        <w:t xml:space="preserve">oney </w:t>
      </w:r>
      <w:r w:rsidR="00E964B4">
        <w:t>M</w:t>
      </w:r>
      <w:r w:rsidRPr="00DF38B2">
        <w:t xml:space="preserve">anagement </w:t>
      </w:r>
      <w:r w:rsidR="00E964B4">
        <w:t>S</w:t>
      </w:r>
      <w:r w:rsidRPr="00DF38B2">
        <w:t>ervices to DSS.</w:t>
      </w:r>
    </w:p>
    <w:p w:rsidR="006C7328" w:rsidRDefault="006C7328" w:rsidP="006654AE">
      <w:pPr>
        <w:pStyle w:val="tablefootnoteslastline"/>
      </w:pPr>
    </w:p>
    <w:p w:rsidR="003F2A38" w:rsidRDefault="003F2A38" w:rsidP="006654AE">
      <w:r>
        <w:t xml:space="preserve">The number of people who were using </w:t>
      </w:r>
      <w:r w:rsidR="00E964B4">
        <w:t>Money Management Service</w:t>
      </w:r>
      <w:r>
        <w:t xml:space="preserve">s who are identified as being subject to income management is reported to have increased from 2,089 in the six months just prior to the transition to New Income Management (January to June 2010) to 4,588 over the period July to December 2011, and since then has steadily declined to 2,990 in January to June 2013. </w:t>
      </w:r>
    </w:p>
    <w:p w:rsidR="003F2A38" w:rsidRPr="00DF38B2" w:rsidRDefault="003F2A38" w:rsidP="006654AE">
      <w:r>
        <w:t xml:space="preserve">Much of the increase and then decline in the number of individuals subject to income management accessing </w:t>
      </w:r>
      <w:r w:rsidR="00E964B4">
        <w:t>Money Management Service</w:t>
      </w:r>
      <w:r>
        <w:t xml:space="preserve">s after July 2010 comprises people on Compulsory Income </w:t>
      </w:r>
      <w:r>
        <w:lastRenderedPageBreak/>
        <w:t>Management (</w:t>
      </w:r>
      <w:r w:rsidR="003173D0">
        <w:fldChar w:fldCharType="begin"/>
      </w:r>
      <w:r w:rsidR="003173D0">
        <w:instrText xml:space="preserve"> REF _Ref390358854 \h </w:instrText>
      </w:r>
      <w:r w:rsidR="003173D0">
        <w:fldChar w:fldCharType="separate"/>
      </w:r>
      <w:r w:rsidR="00906D13" w:rsidRPr="00DF38B2">
        <w:t xml:space="preserve">Figure </w:t>
      </w:r>
      <w:r w:rsidR="00906D13">
        <w:rPr>
          <w:noProof/>
        </w:rPr>
        <w:t>4</w:t>
      </w:r>
      <w:r w:rsidR="00906D13" w:rsidRPr="00DF38B2">
        <w:noBreakHyphen/>
      </w:r>
      <w:r w:rsidR="00906D13">
        <w:rPr>
          <w:noProof/>
        </w:rPr>
        <w:t>29</w:t>
      </w:r>
      <w:r w:rsidR="003173D0">
        <w:fldChar w:fldCharType="end"/>
      </w:r>
      <w:r>
        <w:t>). There is virtually no change in the number of those on Voluntary Income Management accessing these services except for a spike in the reported number in July to December 2012. (It should be noted that this is likely to be an underestimate of the actual number of people assisted because the data in Figure 4 29 does not include people who only attended workshops.)</w:t>
      </w:r>
    </w:p>
    <w:p w:rsidR="005E1FE0" w:rsidRPr="00DF38B2" w:rsidRDefault="005E1FE0" w:rsidP="006654AE">
      <w:pPr>
        <w:pStyle w:val="Caption"/>
        <w:ind w:left="1439" w:hanging="1155"/>
      </w:pPr>
      <w:bookmarkStart w:id="228" w:name="_Ref390358854"/>
      <w:bookmarkStart w:id="229" w:name="_Toc321254606"/>
      <w:bookmarkStart w:id="230" w:name="_Toc328601660"/>
      <w:bookmarkStart w:id="231" w:name="_Toc335915926"/>
      <w:bookmarkStart w:id="232" w:name="_Toc40373952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29</w:t>
      </w:r>
      <w:r w:rsidR="00040708" w:rsidRPr="00F157EE">
        <w:fldChar w:fldCharType="end"/>
      </w:r>
      <w:bookmarkEnd w:id="228"/>
      <w:r w:rsidRPr="00DF38B2">
        <w:tab/>
        <w:t xml:space="preserve">Numbers assisted by </w:t>
      </w:r>
      <w:r w:rsidR="00E964B4">
        <w:t>Money Management Service</w:t>
      </w:r>
      <w:r w:rsidRPr="00DF38B2">
        <w:t xml:space="preserve"> providers by type of income management in the Northern Territory, 2010</w:t>
      </w:r>
      <w:r w:rsidR="008D7DC2">
        <w:t>–</w:t>
      </w:r>
      <w:r w:rsidRPr="00DF38B2">
        <w:t>201</w:t>
      </w:r>
      <w:bookmarkEnd w:id="229"/>
      <w:bookmarkEnd w:id="230"/>
      <w:bookmarkEnd w:id="231"/>
      <w:r w:rsidRPr="00DF38B2">
        <w:t>3</w:t>
      </w:r>
      <w:bookmarkEnd w:id="232"/>
    </w:p>
    <w:p w:rsidR="005E1FE0" w:rsidRPr="00DF38B2" w:rsidRDefault="005E1FE0" w:rsidP="006654AE">
      <w:pPr>
        <w:pStyle w:val="graphicpaste"/>
        <w:rPr>
          <w:sz w:val="18"/>
        </w:rPr>
      </w:pPr>
      <w:r w:rsidRPr="008E4D9D">
        <w:rPr>
          <w:noProof/>
        </w:rPr>
        <w:drawing>
          <wp:inline distT="0" distB="0" distL="0" distR="0" wp14:anchorId="20CCEBBE" wp14:editId="707C8E58">
            <wp:extent cx="4533900" cy="2699385"/>
            <wp:effectExtent l="0" t="0" r="0" b="5715"/>
            <wp:docPr id="19" name="Picture 19" descr="This line chart plots the number of clients on the vertical axis and six month time periods from July to December 2009 to January to June 2013 on the horizontal axis. Two lines are plotted the first for those on compulsory income management and the second for those on the voluntary measure. The second series is much lower than the first. For example in January to June 2013 there were 2,792 clients who were on compulsory income management and 101 on voluntary. The main features of this data are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33900" cy="2699385"/>
                    </a:xfrm>
                    <a:prstGeom prst="rect">
                      <a:avLst/>
                    </a:prstGeom>
                    <a:noFill/>
                    <a:ln>
                      <a:noFill/>
                    </a:ln>
                  </pic:spPr>
                </pic:pic>
              </a:graphicData>
            </a:graphic>
          </wp:inline>
        </w:drawing>
      </w:r>
    </w:p>
    <w:p w:rsidR="005E1FE0" w:rsidRDefault="005E1FE0" w:rsidP="006654AE">
      <w:pPr>
        <w:pStyle w:val="tablenotes"/>
      </w:pPr>
      <w:r w:rsidRPr="00FE502F">
        <w:t xml:space="preserve">Source: </w:t>
      </w:r>
      <w:r w:rsidRPr="00FE502F">
        <w:tab/>
        <w:t xml:space="preserve">Derived from reports provided by </w:t>
      </w:r>
      <w:r w:rsidR="00E964B4">
        <w:t>Money Management Service</w:t>
      </w:r>
      <w:r w:rsidRPr="00FE502F">
        <w:t>s to DSS.</w:t>
      </w:r>
    </w:p>
    <w:p w:rsidR="006C7328" w:rsidRPr="00FE502F" w:rsidRDefault="006C7328" w:rsidP="006654AE">
      <w:pPr>
        <w:pStyle w:val="tablefootnoteslastline"/>
      </w:pPr>
    </w:p>
    <w:p w:rsidR="005E1FE0" w:rsidRPr="00DF38B2" w:rsidRDefault="005E1FE0" w:rsidP="006654AE">
      <w:r w:rsidRPr="009655C3">
        <w:t xml:space="preserve">The number of workshops provided by </w:t>
      </w:r>
      <w:r w:rsidR="00E964B4">
        <w:t>Money Management Service</w:t>
      </w:r>
      <w:r w:rsidRPr="009655C3">
        <w:t xml:space="preserve">s </w:t>
      </w:r>
      <w:r w:rsidR="00C27A71">
        <w:t xml:space="preserve">initially </w:t>
      </w:r>
      <w:r w:rsidRPr="009655C3">
        <w:t>increased from 105 for the period January to June 2010 to 5</w:t>
      </w:r>
      <w:r w:rsidRPr="00DF38B2">
        <w:t>17 for the period January to June 2012. The number of workshops then tripled to 1,445 for the period July to December 2012 (</w:t>
      </w:r>
      <w:r w:rsidRPr="00FE502F">
        <w:fldChar w:fldCharType="begin"/>
      </w:r>
      <w:r w:rsidRPr="00DF38B2">
        <w:instrText xml:space="preserve"> REF _Ref390354393 \h </w:instrText>
      </w:r>
      <w:r w:rsidRPr="00FE502F">
        <w:fldChar w:fldCharType="separate"/>
      </w:r>
      <w:r w:rsidR="00906D13" w:rsidRPr="00FE502F">
        <w:t xml:space="preserve">Figure </w:t>
      </w:r>
      <w:r w:rsidR="00906D13">
        <w:rPr>
          <w:noProof/>
        </w:rPr>
        <w:t>4</w:t>
      </w:r>
      <w:r w:rsidR="00906D13" w:rsidRPr="00DF38B2">
        <w:noBreakHyphen/>
      </w:r>
      <w:r w:rsidR="00906D13">
        <w:rPr>
          <w:noProof/>
        </w:rPr>
        <w:t>30</w:t>
      </w:r>
      <w:r w:rsidRPr="00FE502F">
        <w:fldChar w:fldCharType="end"/>
      </w:r>
      <w:r w:rsidRPr="00DF38B2">
        <w:t>).</w:t>
      </w:r>
    </w:p>
    <w:p w:rsidR="005E1FE0" w:rsidRPr="00DF38B2" w:rsidRDefault="005E1FE0" w:rsidP="006654AE">
      <w:pPr>
        <w:pStyle w:val="Caption"/>
        <w:ind w:left="1440" w:hanging="1155"/>
      </w:pPr>
      <w:bookmarkStart w:id="233" w:name="_Ref390354393"/>
      <w:bookmarkStart w:id="234" w:name="_Toc403739523"/>
      <w:r w:rsidRPr="00FE502F">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30</w:t>
      </w:r>
      <w:r w:rsidR="00040708" w:rsidRPr="00F157EE">
        <w:fldChar w:fldCharType="end"/>
      </w:r>
      <w:bookmarkEnd w:id="233"/>
      <w:r w:rsidRPr="00DF38B2">
        <w:tab/>
        <w:t xml:space="preserve">Number of workshops run by </w:t>
      </w:r>
      <w:r w:rsidR="00E964B4">
        <w:t>Money Management Service</w:t>
      </w:r>
      <w:r w:rsidRPr="00DF38B2">
        <w:t>s in the Northern Territory, 2009</w:t>
      </w:r>
      <w:r w:rsidR="008D7DC2">
        <w:t>–</w:t>
      </w:r>
      <w:r w:rsidRPr="00DF38B2">
        <w:t>2013</w:t>
      </w:r>
      <w:bookmarkEnd w:id="234"/>
    </w:p>
    <w:p w:rsidR="005E1FE0" w:rsidRPr="00E964B4" w:rsidRDefault="008D7DC2" w:rsidP="006654AE">
      <w:pPr>
        <w:pStyle w:val="graphicpaste"/>
        <w:rPr>
          <w:sz w:val="4"/>
          <w:szCs w:val="4"/>
        </w:rPr>
      </w:pPr>
      <w:r>
        <w:rPr>
          <w:noProof/>
        </w:rPr>
        <w:drawing>
          <wp:inline distT="0" distB="0" distL="0" distR="0" wp14:anchorId="756DBA41" wp14:editId="0D8F4C39">
            <wp:extent cx="4531360" cy="2698115"/>
            <wp:effectExtent l="0" t="0" r="2540" b="6985"/>
            <wp:docPr id="14" name="Picture 14" descr="This single line chart plots the number of workshops on the vertical axis and six month time periods from July to December 2009 to January to June 2013 on the horizontal axis. The key features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31360" cy="2698115"/>
                    </a:xfrm>
                    <a:prstGeom prst="rect">
                      <a:avLst/>
                    </a:prstGeom>
                    <a:noFill/>
                    <a:ln>
                      <a:noFill/>
                    </a:ln>
                  </pic:spPr>
                </pic:pic>
              </a:graphicData>
            </a:graphic>
          </wp:inline>
        </w:drawing>
      </w:r>
    </w:p>
    <w:p w:rsidR="005E1FE0" w:rsidRDefault="005E1FE0" w:rsidP="006654AE">
      <w:pPr>
        <w:pStyle w:val="tablenotes"/>
      </w:pPr>
      <w:r w:rsidRPr="00FE502F">
        <w:t xml:space="preserve">Source: </w:t>
      </w:r>
      <w:r w:rsidRPr="00FE502F">
        <w:tab/>
        <w:t xml:space="preserve">Derived from reports provided by </w:t>
      </w:r>
      <w:r w:rsidR="00E964B4">
        <w:t>Money Management Service</w:t>
      </w:r>
      <w:r w:rsidRPr="00FE502F">
        <w:t>s to DSS.</w:t>
      </w:r>
    </w:p>
    <w:p w:rsidR="00A77FC9" w:rsidRPr="00FE502F" w:rsidRDefault="00A77FC9" w:rsidP="006654AE">
      <w:pPr>
        <w:pStyle w:val="tablefootnoteslastline"/>
      </w:pPr>
    </w:p>
    <w:p w:rsidR="005E1FE0" w:rsidRPr="00DF38B2" w:rsidRDefault="005E1FE0" w:rsidP="006654AE">
      <w:r w:rsidRPr="009655C3">
        <w:t>Money management services provide approved money management courses and workshops. Only a relatively small proportion of</w:t>
      </w:r>
      <w:r w:rsidRPr="00DF38B2">
        <w:t xml:space="preserve"> the </w:t>
      </w:r>
      <w:r w:rsidR="003C3FC0">
        <w:t>m</w:t>
      </w:r>
      <w:r w:rsidR="00E964B4">
        <w:t xml:space="preserve">oney </w:t>
      </w:r>
      <w:r w:rsidR="003C3FC0">
        <w:t>m</w:t>
      </w:r>
      <w:r w:rsidR="00E964B4">
        <w:t xml:space="preserve">anagement </w:t>
      </w:r>
      <w:r w:rsidR="003C3FC0">
        <w:t>s</w:t>
      </w:r>
      <w:r w:rsidR="00E964B4">
        <w:t>ervice</w:t>
      </w:r>
      <w:r w:rsidRPr="00DF38B2">
        <w:t>s provided are approved money management courses</w:t>
      </w:r>
      <w:r w:rsidR="008D7DC2">
        <w:t>,</w:t>
      </w:r>
      <w:r w:rsidRPr="00DF38B2">
        <w:t xml:space="preserve"> although there has been a sharp increase in July to December 2012 and a further increase in January to June 2013. Over the period January to June 2013, 901 people commenced an approved money management course. Of these, 501 completed the course, 78 withdrew</w:t>
      </w:r>
      <w:r w:rsidR="008D7DC2">
        <w:t>,</w:t>
      </w:r>
      <w:r w:rsidRPr="00DF38B2">
        <w:t xml:space="preserve"> and 322 were apparently still </w:t>
      </w:r>
      <w:r w:rsidR="008D7DC2">
        <w:t>undertaking</w:t>
      </w:r>
      <w:r w:rsidRPr="00DF38B2">
        <w:t xml:space="preserve"> the course in June 2013</w:t>
      </w:r>
      <w:r w:rsidR="00692788">
        <w:t xml:space="preserve"> (</w:t>
      </w:r>
      <w:r w:rsidR="00692788">
        <w:fldChar w:fldCharType="begin"/>
      </w:r>
      <w:r w:rsidR="00692788">
        <w:instrText xml:space="preserve"> REF _Ref405979873 \h </w:instrText>
      </w:r>
      <w:r w:rsidR="00692788">
        <w:fldChar w:fldCharType="separate"/>
      </w:r>
      <w:r w:rsidR="00692788" w:rsidRPr="00DF38B2">
        <w:t xml:space="preserve">Figure </w:t>
      </w:r>
      <w:r w:rsidR="00692788">
        <w:rPr>
          <w:noProof/>
        </w:rPr>
        <w:t>4</w:t>
      </w:r>
      <w:r w:rsidR="00692788" w:rsidRPr="00DF38B2">
        <w:noBreakHyphen/>
      </w:r>
      <w:r w:rsidR="00692788">
        <w:rPr>
          <w:noProof/>
        </w:rPr>
        <w:t>31</w:t>
      </w:r>
      <w:r w:rsidR="00692788">
        <w:fldChar w:fldCharType="end"/>
      </w:r>
      <w:r w:rsidR="00692788">
        <w:t>)</w:t>
      </w:r>
      <w:r w:rsidRPr="00DF38B2">
        <w:t>.</w:t>
      </w:r>
    </w:p>
    <w:p w:rsidR="005E1FE0" w:rsidRPr="00DF38B2" w:rsidRDefault="005E1FE0" w:rsidP="006654AE">
      <w:r w:rsidRPr="00DF38B2">
        <w:lastRenderedPageBreak/>
        <w:t xml:space="preserve">While the majority of those commencing approved money management courses are Indigenous, the proportion </w:t>
      </w:r>
      <w:proofErr w:type="gramStart"/>
      <w:r w:rsidRPr="00DF38B2">
        <w:t>who</w:t>
      </w:r>
      <w:proofErr w:type="gramEnd"/>
      <w:r w:rsidRPr="00DF38B2">
        <w:t xml:space="preserve"> identify as being Indigenous </w:t>
      </w:r>
      <w:r w:rsidR="008D7DC2">
        <w:t>fell</w:t>
      </w:r>
      <w:r w:rsidRPr="00DF38B2">
        <w:t xml:space="preserve"> from 94</w:t>
      </w:r>
      <w:r w:rsidR="00C27A71">
        <w:t>.3</w:t>
      </w:r>
      <w:r w:rsidRPr="00DF38B2">
        <w:t xml:space="preserve"> per cent over the period July to December 2010, to </w:t>
      </w:r>
      <w:r w:rsidR="00C27A71" w:rsidRPr="00DF38B2">
        <w:t>7</w:t>
      </w:r>
      <w:r w:rsidR="00C27A71">
        <w:t>8.5</w:t>
      </w:r>
      <w:r w:rsidR="00C27A71" w:rsidRPr="00DF38B2">
        <w:t> </w:t>
      </w:r>
      <w:r w:rsidRPr="00DF38B2">
        <w:t>per cent over the period July to December 2011</w:t>
      </w:r>
      <w:r w:rsidR="008D7DC2">
        <w:t>,</w:t>
      </w:r>
      <w:r w:rsidRPr="00DF38B2">
        <w:t xml:space="preserve"> and </w:t>
      </w:r>
      <w:r w:rsidR="008D7DC2">
        <w:t>increased to</w:t>
      </w:r>
      <w:r w:rsidRPr="00DF38B2">
        <w:t xml:space="preserve"> 96</w:t>
      </w:r>
      <w:r w:rsidR="00C27A71">
        <w:t>.0</w:t>
      </w:r>
      <w:r w:rsidRPr="00DF38B2">
        <w:t> per cent for the period January to June 2013.</w:t>
      </w:r>
    </w:p>
    <w:p w:rsidR="005E1FE0" w:rsidRDefault="005E1FE0" w:rsidP="006654AE">
      <w:pPr>
        <w:pStyle w:val="Caption"/>
        <w:ind w:left="1439" w:hanging="1155"/>
      </w:pPr>
      <w:bookmarkStart w:id="235" w:name="_Ref405979873"/>
      <w:bookmarkStart w:id="236" w:name="_Toc321254607"/>
      <w:bookmarkStart w:id="237" w:name="_Toc328601661"/>
      <w:bookmarkStart w:id="238" w:name="_Toc335915927"/>
      <w:bookmarkStart w:id="239" w:name="_Toc40373952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31</w:t>
      </w:r>
      <w:r w:rsidR="00040708" w:rsidRPr="00F157EE">
        <w:fldChar w:fldCharType="end"/>
      </w:r>
      <w:bookmarkEnd w:id="235"/>
      <w:r w:rsidR="00822E8A">
        <w:tab/>
        <w:t>Number of clients attending Approved Money M</w:t>
      </w:r>
      <w:r w:rsidRPr="00DF38B2">
        <w:t>anagement courses in the Northern Territory, 2010</w:t>
      </w:r>
      <w:r w:rsidR="008D7DC2">
        <w:t>–</w:t>
      </w:r>
      <w:r w:rsidRPr="00DF38B2">
        <w:t>201</w:t>
      </w:r>
      <w:bookmarkEnd w:id="236"/>
      <w:bookmarkEnd w:id="237"/>
      <w:bookmarkEnd w:id="238"/>
      <w:r w:rsidRPr="00DF38B2">
        <w:t>3</w:t>
      </w:r>
      <w:bookmarkEnd w:id="239"/>
    </w:p>
    <w:p w:rsidR="001A4830" w:rsidRPr="001A4830" w:rsidRDefault="00F63BB0" w:rsidP="006654AE">
      <w:pPr>
        <w:jc w:val="center"/>
      </w:pPr>
      <w:r w:rsidRPr="00F63BB0">
        <w:rPr>
          <w:noProof/>
        </w:rPr>
        <w:drawing>
          <wp:inline distT="0" distB="0" distL="0" distR="0" wp14:anchorId="4D6BDCE1" wp14:editId="3E058A17">
            <wp:extent cx="4405630" cy="2738755"/>
            <wp:effectExtent l="0" t="0" r="0" b="4445"/>
            <wp:docPr id="142" name="Picture 142" descr="This is a line chart which plots with three lines the number of people who commenced, completed and withdrew from approved money management courses.  These numbers are plotted on the vertical axis and six month time periods from July to December 2009 to January to June 2013 on the horizontal axis. The figure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05630" cy="2738755"/>
                    </a:xfrm>
                    <a:prstGeom prst="rect">
                      <a:avLst/>
                    </a:prstGeom>
                    <a:noFill/>
                    <a:ln>
                      <a:noFill/>
                    </a:ln>
                  </pic:spPr>
                </pic:pic>
              </a:graphicData>
            </a:graphic>
          </wp:inline>
        </w:drawing>
      </w:r>
    </w:p>
    <w:p w:rsidR="005E1FE0" w:rsidRDefault="005E1FE0" w:rsidP="006654AE">
      <w:pPr>
        <w:pStyle w:val="tablenotes"/>
        <w:keepNext w:val="0"/>
      </w:pPr>
      <w:r w:rsidRPr="00DF38B2">
        <w:t>Source:</w:t>
      </w:r>
      <w:r w:rsidRPr="00DF38B2">
        <w:tab/>
        <w:t xml:space="preserve">Derived from reports provided by </w:t>
      </w:r>
      <w:r w:rsidR="00E964B4">
        <w:t>Money Management Service</w:t>
      </w:r>
      <w:r w:rsidRPr="00DF38B2">
        <w:t>s to DSS.</w:t>
      </w:r>
    </w:p>
    <w:p w:rsidR="00A77FC9" w:rsidRPr="00DF38B2" w:rsidRDefault="00A77FC9" w:rsidP="006654AE">
      <w:pPr>
        <w:pStyle w:val="tablefootnoteslastline"/>
      </w:pPr>
    </w:p>
    <w:p w:rsidR="00C27A71" w:rsidRDefault="00C27A71" w:rsidP="006654AE">
      <w:r>
        <w:t xml:space="preserve">DSS analysis based on the reports of service providers indicate that some of the reasons cited for problems in </w:t>
      </w:r>
      <w:r w:rsidRPr="00C64F39">
        <w:t>attracting people to courses include “fear, genuine disinterest, shame, and lack of relevance</w:t>
      </w:r>
      <w:r w:rsidR="00A8053C">
        <w:t>.</w:t>
      </w:r>
      <w:r w:rsidRPr="00C64F39">
        <w:t>”</w:t>
      </w:r>
      <w:r w:rsidR="00B84AFE" w:rsidRPr="00C64F39">
        <w:t xml:space="preserve"> </w:t>
      </w:r>
      <w:r w:rsidR="008D7DC2" w:rsidRPr="00C64F39">
        <w:t>I</w:t>
      </w:r>
      <w:r w:rsidRPr="00C64F39">
        <w:t xml:space="preserve">t has been reported </w:t>
      </w:r>
      <w:r w:rsidR="008D7DC2" w:rsidRPr="00C64F39">
        <w:t xml:space="preserve">that </w:t>
      </w:r>
      <w:r w:rsidRPr="00C64F39">
        <w:t>“</w:t>
      </w:r>
      <w:r w:rsidR="008D7DC2" w:rsidRPr="00C64F39">
        <w:t>[t]</w:t>
      </w:r>
      <w:r w:rsidRPr="00C64F39">
        <w:t xml:space="preserve">here has been minimal attendance to all workshops in remote areas. There is very little incentive or interest in the current Matched Savings Scheme for those that receive mining royalties.” With respect to urban locations </w:t>
      </w:r>
      <w:r w:rsidR="00E964B4">
        <w:t>these reports have stated that:</w:t>
      </w:r>
      <w:r w:rsidRPr="00C64F39">
        <w:t xml:space="preserve"> “</w:t>
      </w:r>
      <w:r w:rsidR="008D7DC2" w:rsidRPr="00C64F39">
        <w:t>[u]</w:t>
      </w:r>
      <w:proofErr w:type="spellStart"/>
      <w:r w:rsidRPr="00C64F39">
        <w:t>rban</w:t>
      </w:r>
      <w:proofErr w:type="spellEnd"/>
      <w:r w:rsidRPr="00C64F39">
        <w:t xml:space="preserve"> clients who have a high level of financial literacy have shown the most interest in the Matched Savings Scheme, however the course content has very little to offer them and is seen as </w:t>
      </w:r>
      <w:r w:rsidR="008D7DC2" w:rsidRPr="00C64F39">
        <w:t>‘</w:t>
      </w:r>
      <w:r w:rsidRPr="00C64F39">
        <w:t>hoops to jump through</w:t>
      </w:r>
      <w:r w:rsidR="008D7DC2" w:rsidRPr="00C64F39">
        <w:t>’”</w:t>
      </w:r>
      <w:r w:rsidRPr="00C64F39">
        <w:t xml:space="preserve">. </w:t>
      </w:r>
      <w:r w:rsidR="00C77EB8" w:rsidRPr="00C64F39">
        <w:t>(DSS</w:t>
      </w:r>
      <w:r w:rsidR="00A75096" w:rsidRPr="00C64F39">
        <w:t>, 2014d</w:t>
      </w:r>
      <w:r w:rsidR="00C77EB8" w:rsidRPr="00C64F39">
        <w:t>)</w:t>
      </w:r>
    </w:p>
    <w:p w:rsidR="00C27A71" w:rsidRDefault="00C27A71" w:rsidP="006654AE">
      <w:r>
        <w:t xml:space="preserve">To the end of June 2013 a total of 1,139 people had completed an approved money management course. This </w:t>
      </w:r>
      <w:r w:rsidRPr="00C74BD2">
        <w:t xml:space="preserve">number </w:t>
      </w:r>
      <w:r w:rsidR="003C4726" w:rsidRPr="00C74BD2">
        <w:t>is</w:t>
      </w:r>
      <w:r w:rsidR="00B84AFE" w:rsidRPr="00C74BD2">
        <w:t xml:space="preserve"> </w:t>
      </w:r>
      <w:r w:rsidR="00384E39" w:rsidRPr="00C74BD2">
        <w:t xml:space="preserve">not substantial relative to the total of </w:t>
      </w:r>
      <w:r w:rsidRPr="00C74BD2">
        <w:t xml:space="preserve">34,950 people who have been on </w:t>
      </w:r>
      <w:r w:rsidR="005E4CAC">
        <w:t>income management</w:t>
      </w:r>
      <w:r w:rsidRPr="00C74BD2">
        <w:t xml:space="preserve"> in the Northern Territory and 29,477</w:t>
      </w:r>
      <w:r>
        <w:t xml:space="preserve"> </w:t>
      </w:r>
      <w:r w:rsidR="00384E39">
        <w:t xml:space="preserve">people </w:t>
      </w:r>
      <w:r>
        <w:t xml:space="preserve">who have been on compulsory measures between </w:t>
      </w:r>
      <w:r w:rsidR="00384E39">
        <w:t xml:space="preserve">the </w:t>
      </w:r>
      <w:r>
        <w:t xml:space="preserve">end </w:t>
      </w:r>
      <w:r w:rsidR="00384E39">
        <w:t xml:space="preserve">of </w:t>
      </w:r>
      <w:r>
        <w:t>2010 and December 2013.</w:t>
      </w:r>
    </w:p>
    <w:p w:rsidR="005E1FE0" w:rsidRPr="00DF38B2" w:rsidRDefault="005E1FE0" w:rsidP="006654AE">
      <w:pPr>
        <w:pStyle w:val="Heading4"/>
      </w:pPr>
      <w:r w:rsidRPr="00DF38B2">
        <w:t xml:space="preserve">Matched savings </w:t>
      </w:r>
      <w:r w:rsidR="003C3FC0">
        <w:t xml:space="preserve">scheme </w:t>
      </w:r>
      <w:r w:rsidR="00D075EE">
        <w:t>payment</w:t>
      </w:r>
    </w:p>
    <w:p w:rsidR="005E1FE0" w:rsidRPr="00DF38B2" w:rsidRDefault="005E1FE0" w:rsidP="006654AE">
      <w:r w:rsidRPr="00DF38B2">
        <w:t xml:space="preserve">Very few people received a Matched Savings </w:t>
      </w:r>
      <w:r w:rsidR="00E964B4">
        <w:t xml:space="preserve">Scheme </w:t>
      </w:r>
      <w:r w:rsidRPr="00DF38B2">
        <w:t>Payment. As at mid November 2013, just 31 Matched Saving</w:t>
      </w:r>
      <w:r w:rsidR="00384E39">
        <w:t>s</w:t>
      </w:r>
      <w:r w:rsidRPr="00DF38B2">
        <w:t xml:space="preserve"> </w:t>
      </w:r>
      <w:r w:rsidR="00E964B4">
        <w:t xml:space="preserve">Scheme </w:t>
      </w:r>
      <w:r w:rsidRPr="00DF38B2">
        <w:t>Payments had been made</w:t>
      </w:r>
      <w:r w:rsidR="00683D67" w:rsidRPr="00DF38B2">
        <w:t xml:space="preserve"> since </w:t>
      </w:r>
      <w:r w:rsidR="00E964B4">
        <w:t>N</w:t>
      </w:r>
      <w:r w:rsidR="00683D67" w:rsidRPr="00DF38B2">
        <w:t xml:space="preserve">ew </w:t>
      </w:r>
      <w:r w:rsidR="00E964B4">
        <w:t>I</w:t>
      </w:r>
      <w:r w:rsidR="00683D67" w:rsidRPr="00DF38B2">
        <w:t xml:space="preserve">ncome </w:t>
      </w:r>
      <w:r w:rsidR="00E964B4">
        <w:t>M</w:t>
      </w:r>
      <w:r w:rsidR="00683D67" w:rsidRPr="00DF38B2">
        <w:t>anagement was introduced in 2010</w:t>
      </w:r>
      <w:r w:rsidR="00445BB3">
        <w:t xml:space="preserve">. </w:t>
      </w:r>
      <w:r w:rsidRPr="00DF38B2">
        <w:t>Virtually all of these payments were made to people on the Long Term Welfare Payment Recipient measure.</w:t>
      </w:r>
    </w:p>
    <w:p w:rsidR="005E1FE0" w:rsidRPr="00DF38B2" w:rsidRDefault="005E1FE0" w:rsidP="006654AE">
      <w:pPr>
        <w:pStyle w:val="Heading4"/>
      </w:pPr>
      <w:r w:rsidRPr="00DF38B2">
        <w:t>The perspective of people on income management of money management and financial counselling</w:t>
      </w:r>
    </w:p>
    <w:p w:rsidR="005E1FE0" w:rsidRPr="00DF38B2" w:rsidRDefault="00E964B4" w:rsidP="006654AE">
      <w:r>
        <w:t xml:space="preserve">In </w:t>
      </w:r>
      <w:r w:rsidR="00A8053C">
        <w:t xml:space="preserve">the </w:t>
      </w:r>
      <w:r>
        <w:t>LSNIM</w:t>
      </w:r>
      <w:r w:rsidR="005E1FE0" w:rsidRPr="00DF38B2">
        <w:t xml:space="preserve"> people who were currently on income management or had been in the past </w:t>
      </w:r>
      <w:r>
        <w:t xml:space="preserve">were asked </w:t>
      </w:r>
      <w:r w:rsidR="005E1FE0" w:rsidRPr="00DF38B2">
        <w:t>about their knowledge and experience of these services</w:t>
      </w:r>
      <w:r w:rsidR="00FF555C">
        <w:t>.</w:t>
      </w:r>
      <w:r>
        <w:rPr>
          <w:rStyle w:val="FootnoteReference"/>
        </w:rPr>
        <w:footnoteReference w:id="72"/>
      </w:r>
      <w:r w:rsidR="005E1FE0" w:rsidRPr="00DF38B2">
        <w:t xml:space="preserve"> </w:t>
      </w:r>
    </w:p>
    <w:p w:rsidR="005E1FE0" w:rsidRPr="00FE502F" w:rsidRDefault="005E1FE0" w:rsidP="006654AE">
      <w:r w:rsidRPr="00DF38B2">
        <w:t xml:space="preserve">Around half of the survey participants indicated that they were aware of the services, and of those who were aware about one in five said that they had spoken with a service in the past four weeks. As shown in </w:t>
      </w:r>
      <w:r w:rsidRPr="00DF38B2">
        <w:lastRenderedPageBreak/>
        <w:fldChar w:fldCharType="begin"/>
      </w:r>
      <w:r w:rsidRPr="00DF38B2">
        <w:instrText xml:space="preserve"> REF _Ref392543746 \h </w:instrText>
      </w:r>
      <w:r w:rsidRPr="00DF38B2">
        <w:fldChar w:fldCharType="separate"/>
      </w:r>
      <w:r w:rsidR="00906D13" w:rsidRPr="00FE502F">
        <w:t xml:space="preserve">Figure </w:t>
      </w:r>
      <w:r w:rsidR="00906D13">
        <w:rPr>
          <w:noProof/>
        </w:rPr>
        <w:t>4</w:t>
      </w:r>
      <w:r w:rsidR="00906D13" w:rsidRPr="00DF38B2">
        <w:noBreakHyphen/>
      </w:r>
      <w:r w:rsidR="00906D13">
        <w:rPr>
          <w:noProof/>
        </w:rPr>
        <w:t>32</w:t>
      </w:r>
      <w:r w:rsidRPr="00DF38B2">
        <w:fldChar w:fldCharType="end"/>
      </w:r>
      <w:r w:rsidR="00384E39">
        <w:t>,</w:t>
      </w:r>
      <w:r w:rsidRPr="00DF38B2">
        <w:t xml:space="preserve"> although almost seventy per cent of respondents in main urban areas reported being aware of the services, this level of awareness was much lo</w:t>
      </w:r>
      <w:r w:rsidRPr="00FE502F">
        <w:t>wer in other locations</w:t>
      </w:r>
      <w:r w:rsidR="00384E39">
        <w:t>,</w:t>
      </w:r>
      <w:r w:rsidRPr="00FE502F">
        <w:t xml:space="preserve"> falling to just below a quarter in remote communities.</w:t>
      </w:r>
    </w:p>
    <w:p w:rsidR="005E1FE0" w:rsidRPr="00DF38B2" w:rsidRDefault="005E1FE0" w:rsidP="006654AE">
      <w:pPr>
        <w:pStyle w:val="Caption"/>
      </w:pPr>
      <w:bookmarkStart w:id="240" w:name="_Ref392543746"/>
      <w:bookmarkStart w:id="241" w:name="_Toc403739525"/>
      <w:r w:rsidRPr="00FE502F">
        <w:t xml:space="preserve">Figure </w:t>
      </w:r>
      <w:fldSimple w:instr=" STYLEREF 1 \s ">
        <w:r w:rsidR="00906D13">
          <w:rPr>
            <w:noProof/>
          </w:rPr>
          <w:t>4</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32</w:t>
      </w:r>
      <w:r w:rsidR="00040708" w:rsidRPr="00F157EE">
        <w:fldChar w:fldCharType="end"/>
      </w:r>
      <w:bookmarkEnd w:id="240"/>
      <w:r w:rsidRPr="00DF38B2">
        <w:tab/>
        <w:t>Knowledge and use of money management and financial counselling services</w:t>
      </w:r>
      <w:r w:rsidR="00F30A93">
        <w:t xml:space="preserve"> in the Northern Territory</w:t>
      </w:r>
      <w:r w:rsidRPr="00DF38B2">
        <w:t>, by broad type of location</w:t>
      </w:r>
      <w:r w:rsidR="00097266">
        <w:t>,</w:t>
      </w:r>
      <w:r w:rsidR="00097266" w:rsidRPr="00097266">
        <w:t xml:space="preserve"> </w:t>
      </w:r>
      <w:r w:rsidR="00097266" w:rsidRPr="00D86209">
        <w:t>LSNIM, Wave 2, 2013</w:t>
      </w:r>
      <w:bookmarkEnd w:id="241"/>
    </w:p>
    <w:p w:rsidR="005E1FE0" w:rsidRPr="00DF38B2" w:rsidRDefault="005E1FE0" w:rsidP="006654AE">
      <w:pPr>
        <w:pStyle w:val="graphicpaste"/>
      </w:pPr>
      <w:r w:rsidRPr="008E4D9D">
        <w:rPr>
          <w:noProof/>
        </w:rPr>
        <w:drawing>
          <wp:inline distT="0" distB="0" distL="0" distR="0" wp14:anchorId="758F72D6" wp14:editId="1B357DD2">
            <wp:extent cx="4572000" cy="2743200"/>
            <wp:effectExtent l="0" t="0" r="0" b="0"/>
            <wp:docPr id="30" name="Picture 30" descr="This is a bar chart which reports on the proportion of people who were aware of, had used if they were aware of them, and had used as a proportion of the total population for 4 geographic areas Urban locations, Town camps and similar communities, remote communities and other locations. The main features of the chart are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FE502F">
        <w:t xml:space="preserve">Source: </w:t>
      </w:r>
      <w:r w:rsidR="002532F6">
        <w:tab/>
      </w:r>
      <w:r w:rsidRPr="00FE502F">
        <w:t>LSNIM Wave 2</w:t>
      </w:r>
      <w:r w:rsidR="00E964B4">
        <w:t>.</w:t>
      </w:r>
    </w:p>
    <w:p w:rsidR="00A77FC9" w:rsidRPr="00FE502F" w:rsidRDefault="00A77FC9" w:rsidP="006654AE">
      <w:pPr>
        <w:pStyle w:val="tablefootnoteslastline"/>
      </w:pPr>
    </w:p>
    <w:p w:rsidR="005E1FE0" w:rsidRPr="00DF38B2" w:rsidRDefault="005E1FE0" w:rsidP="006654AE">
      <w:r w:rsidRPr="009655C3">
        <w:t>There were also different responses by location to the question of whether, if they were aware of the services, they had used them in the previous four weeks. The highest ratio of use to knowledge was in Town Camps and similar Indigenous communities in major urban areas</w:t>
      </w:r>
      <w:r w:rsidR="00484A16">
        <w:t>,</w:t>
      </w:r>
      <w:r w:rsidRPr="009655C3">
        <w:t xml:space="preserve"> where a third of those who knew of the services had used them. While there was higher awareness of the services in urban </w:t>
      </w:r>
      <w:r w:rsidR="00484A16" w:rsidRPr="009655C3">
        <w:t>area</w:t>
      </w:r>
      <w:r w:rsidR="00484A16">
        <w:t>,</w:t>
      </w:r>
      <w:r w:rsidR="00484A16" w:rsidRPr="009655C3">
        <w:t xml:space="preserve"> </w:t>
      </w:r>
      <w:r w:rsidRPr="009655C3">
        <w:t>the level of u</w:t>
      </w:r>
      <w:r w:rsidR="00484A16">
        <w:t>se</w:t>
      </w:r>
      <w:r w:rsidRPr="009655C3">
        <w:t xml:space="preserve"> by those who knew of the services was the lowest in any of the three major locations. When taken as a share of the responding population the effective usage rate of th</w:t>
      </w:r>
      <w:r w:rsidRPr="00DF38B2">
        <w:t xml:space="preserve">e services was between </w:t>
      </w:r>
      <w:r w:rsidR="00484A16">
        <w:t>6</w:t>
      </w:r>
      <w:r w:rsidRPr="00DF38B2">
        <w:t xml:space="preserve"> and </w:t>
      </w:r>
      <w:r w:rsidR="00C27A71" w:rsidRPr="00DF38B2">
        <w:t>1</w:t>
      </w:r>
      <w:r w:rsidR="00C27A71">
        <w:t>8</w:t>
      </w:r>
      <w:r w:rsidR="00C27A71" w:rsidRPr="00DF38B2">
        <w:t> </w:t>
      </w:r>
      <w:r w:rsidRPr="00DF38B2">
        <w:t>per cent.</w:t>
      </w:r>
    </w:p>
    <w:p w:rsidR="005E1FE0" w:rsidRPr="00DF38B2" w:rsidRDefault="005E1FE0" w:rsidP="006654AE">
      <w:r w:rsidRPr="00DF38B2">
        <w:t xml:space="preserve">The most commonly reported reason for going to a service was because someone had told them to. 27.7 per cent said it was because Centrelink had told </w:t>
      </w:r>
      <w:proofErr w:type="gramStart"/>
      <w:r w:rsidRPr="00DF38B2">
        <w:t>them</w:t>
      </w:r>
      <w:r w:rsidR="00484A16">
        <w:t>,</w:t>
      </w:r>
      <w:proofErr w:type="gramEnd"/>
      <w:r w:rsidRPr="00DF38B2">
        <w:t xml:space="preserve"> and a further 11.9 per cent because another organisation had done so. This was followed by </w:t>
      </w:r>
      <w:r w:rsidR="00484A16">
        <w:t xml:space="preserve">seeking </w:t>
      </w:r>
      <w:r w:rsidRPr="00DF38B2">
        <w:t>to obtain help with a budget (21.8 per cent), because they had debts (16.8 per cent)</w:t>
      </w:r>
      <w:r w:rsidR="00484A16">
        <w:t>,</w:t>
      </w:r>
      <w:r w:rsidRPr="00DF38B2">
        <w:t xml:space="preserve"> and to obtain help with how to save money (13.9 per cent).</w:t>
      </w:r>
    </w:p>
    <w:p w:rsidR="005E1FE0" w:rsidRPr="00DF38B2" w:rsidRDefault="005E1FE0" w:rsidP="006654AE">
      <w:r w:rsidRPr="00DF38B2">
        <w:t>The most common services they received were face</w:t>
      </w:r>
      <w:r w:rsidR="00484A16">
        <w:t>-</w:t>
      </w:r>
      <w:r w:rsidRPr="00DF38B2">
        <w:t>to</w:t>
      </w:r>
      <w:r w:rsidR="00484A16">
        <w:t>-</w:t>
      </w:r>
      <w:r w:rsidRPr="00DF38B2">
        <w:t>face support with working out how to make a budget (23.8 per cent)</w:t>
      </w:r>
      <w:r w:rsidR="00484A16">
        <w:t>,</w:t>
      </w:r>
      <w:r w:rsidRPr="00DF38B2">
        <w:t xml:space="preserve"> and specific assistance with particular bills where the service made contact with the biller to help work out how payment may be managed (16.8 per cent). These two </w:t>
      </w:r>
      <w:r w:rsidR="00683D67" w:rsidRPr="00DF38B2">
        <w:t xml:space="preserve">services </w:t>
      </w:r>
      <w:r w:rsidRPr="00DF38B2">
        <w:t xml:space="preserve">were then followed by undertaking an </w:t>
      </w:r>
      <w:r w:rsidR="00E964B4">
        <w:t>A</w:t>
      </w:r>
      <w:r w:rsidRPr="00DF38B2">
        <w:t xml:space="preserve">pproved </w:t>
      </w:r>
      <w:r w:rsidR="00E964B4">
        <w:t>M</w:t>
      </w:r>
      <w:r w:rsidRPr="00DF38B2">
        <w:t xml:space="preserve">oney </w:t>
      </w:r>
      <w:r w:rsidR="00E964B4">
        <w:t>M</w:t>
      </w:r>
      <w:r w:rsidRPr="00DF38B2">
        <w:t xml:space="preserve">anagement course for the </w:t>
      </w:r>
      <w:r w:rsidR="00E964B4">
        <w:t>M</w:t>
      </w:r>
      <w:r w:rsidRPr="00DF38B2">
        <w:t xml:space="preserve">atched </w:t>
      </w:r>
      <w:r w:rsidR="00E964B4">
        <w:t>S</w:t>
      </w:r>
      <w:r w:rsidRPr="00DF38B2">
        <w:t xml:space="preserve">avings </w:t>
      </w:r>
      <w:r w:rsidR="00E964B4">
        <w:t>Scheme P</w:t>
      </w:r>
      <w:r w:rsidRPr="00DF38B2">
        <w:t>ayment (15.8 per cent). A further 9.9 per cent of people indicate</w:t>
      </w:r>
      <w:r w:rsidR="00484A16">
        <w:t>d</w:t>
      </w:r>
      <w:r w:rsidRPr="00DF38B2">
        <w:t xml:space="preserve"> that while the service provider had recommended that they do this course</w:t>
      </w:r>
      <w:r w:rsidR="00484A16">
        <w:t>,</w:t>
      </w:r>
      <w:r w:rsidRPr="00DF38B2">
        <w:t xml:space="preserve"> they </w:t>
      </w:r>
      <w:r w:rsidR="00484A16">
        <w:t xml:space="preserve">had </w:t>
      </w:r>
      <w:r w:rsidRPr="00DF38B2">
        <w:t>decided not to.</w:t>
      </w:r>
    </w:p>
    <w:p w:rsidR="005E1FE0" w:rsidRDefault="005E1FE0" w:rsidP="006654AE">
      <w:r w:rsidRPr="00DF38B2">
        <w:t>On the whole</w:t>
      </w:r>
      <w:r w:rsidR="00484A16">
        <w:t>,</w:t>
      </w:r>
      <w:r w:rsidRPr="00DF38B2">
        <w:t xml:space="preserve"> people who attended these services </w:t>
      </w:r>
      <w:r w:rsidR="00683D67" w:rsidRPr="00DF38B2">
        <w:t xml:space="preserve">report having </w:t>
      </w:r>
      <w:r w:rsidRPr="00DF38B2">
        <w:t>found the</w:t>
      </w:r>
      <w:r w:rsidR="00683D67" w:rsidRPr="00DF38B2">
        <w:t>m</w:t>
      </w:r>
      <w:r w:rsidRPr="00DF38B2">
        <w:t xml:space="preserve"> useful – although in some cases a significant minority did not. Classified by broad </w:t>
      </w:r>
      <w:r w:rsidR="00683D67" w:rsidRPr="00DF38B2">
        <w:t xml:space="preserve">income management </w:t>
      </w:r>
      <w:r w:rsidRPr="00DF38B2">
        <w:t>category</w:t>
      </w:r>
      <w:r w:rsidR="00484A16">
        <w:t>,</w:t>
      </w:r>
      <w:r w:rsidRPr="00DF38B2">
        <w:t xml:space="preserve"> the highest level of satisfaction was expressed by those on </w:t>
      </w:r>
      <w:r w:rsidR="001544DF">
        <w:t>Voluntary Income Management</w:t>
      </w:r>
      <w:r w:rsidRPr="00DF38B2">
        <w:t xml:space="preserve"> (</w:t>
      </w:r>
      <w:r w:rsidR="00C27A71">
        <w:t>87.</w:t>
      </w:r>
      <w:r w:rsidRPr="00DF38B2">
        <w:t>5 per cent) and those who had either exited income management or gained an exemption (78.6 per cent). Lower, but still on balance positive views were reported by Indigenous people who were on compulsory income management (67.5 per cent) and non-Indigenous people on these measures (60.9 per cent).</w:t>
      </w:r>
    </w:p>
    <w:p w:rsidR="00301801" w:rsidRPr="00DF38B2" w:rsidRDefault="00301801" w:rsidP="006654AE">
      <w:r>
        <w:t>As noted in Section 1.4 the first report of the evaluation identified the existence of a number of concerns about the implementation of these services. Some of these are further considered in Chapter 10.  As noted in Chapter 16 from discussions undertaken as part of the final feedback it would appear that many of these remain unaddressed.</w:t>
      </w:r>
    </w:p>
    <w:p w:rsidR="005E1FE0" w:rsidRPr="00DF38B2" w:rsidRDefault="005E1FE0" w:rsidP="006654AE">
      <w:pPr>
        <w:pStyle w:val="Heading2"/>
        <w:ind w:left="578" w:hanging="578"/>
      </w:pPr>
      <w:bookmarkStart w:id="242" w:name="_Toc403739019"/>
      <w:r w:rsidRPr="00DF38B2">
        <w:lastRenderedPageBreak/>
        <w:t>Summary</w:t>
      </w:r>
      <w:bookmarkEnd w:id="242"/>
    </w:p>
    <w:p w:rsidR="005E1FE0" w:rsidRDefault="005E1FE0" w:rsidP="006654AE">
      <w:pPr>
        <w:spacing w:line="276" w:lineRule="auto"/>
        <w:jc w:val="left"/>
      </w:pPr>
      <w:r w:rsidRPr="00DF38B2">
        <w:t xml:space="preserve">This chapter provides an overview of the Northern Territory income management population and its characteristics based upon </w:t>
      </w:r>
      <w:r w:rsidR="00060511">
        <w:t>DHS</w:t>
      </w:r>
      <w:r w:rsidRPr="00DF38B2">
        <w:t xml:space="preserve"> administrative data. The data show that the number of people subject to income management in the N</w:t>
      </w:r>
      <w:r w:rsidR="00C74BD2">
        <w:t xml:space="preserve">orthern </w:t>
      </w:r>
      <w:r w:rsidR="00484A16">
        <w:t>T</w:t>
      </w:r>
      <w:r w:rsidR="00C74BD2">
        <w:t>erritory</w:t>
      </w:r>
      <w:r w:rsidRPr="00DF38B2">
        <w:t xml:space="preserve"> has grown gradually</w:t>
      </w:r>
      <w:r w:rsidR="00484A16">
        <w:t>,</w:t>
      </w:r>
      <w:r w:rsidRPr="00DF38B2">
        <w:t xml:space="preserve"> and </w:t>
      </w:r>
      <w:r w:rsidR="00484A16">
        <w:t xml:space="preserve">that </w:t>
      </w:r>
      <w:r w:rsidRPr="00DF38B2">
        <w:t xml:space="preserve">this has been due </w:t>
      </w:r>
      <w:r w:rsidR="00484A16">
        <w:t xml:space="preserve">to </w:t>
      </w:r>
      <w:r w:rsidRPr="00DF38B2">
        <w:t xml:space="preserve">increases in the numbers </w:t>
      </w:r>
      <w:r w:rsidR="00484A16">
        <w:t xml:space="preserve">of people </w:t>
      </w:r>
      <w:r w:rsidRPr="00DF38B2">
        <w:t xml:space="preserve">on Compulsory Income Management and the automatic Vulnerable </w:t>
      </w:r>
      <w:r w:rsidR="00E964B4">
        <w:t xml:space="preserve">Income Management </w:t>
      </w:r>
      <w:r w:rsidRPr="00DF38B2">
        <w:t>measures. Increases in the number of people on these income management measures have offset the gradual but steady decline in the numbers on Voluntary Income Management. The increase in the number of people subject to income management largely reflects an increase in the number of people in the N</w:t>
      </w:r>
      <w:r w:rsidR="00C74BD2">
        <w:t xml:space="preserve">orthern </w:t>
      </w:r>
      <w:r w:rsidR="006D2C8C">
        <w:t>T</w:t>
      </w:r>
      <w:r w:rsidR="00C74BD2">
        <w:t>erritory</w:t>
      </w:r>
      <w:r w:rsidRPr="00DF38B2">
        <w:t xml:space="preserve"> receiving income support payment. </w:t>
      </w:r>
    </w:p>
    <w:p w:rsidR="00C27A71" w:rsidRPr="00DF38B2" w:rsidRDefault="00C27A71" w:rsidP="006654AE">
      <w:pPr>
        <w:spacing w:line="276" w:lineRule="auto"/>
        <w:jc w:val="left"/>
      </w:pPr>
      <w:r>
        <w:t>In December 2013 there were 18,300 people on income management in the Northern Territory. Over the period New Income Management has been operating</w:t>
      </w:r>
      <w:r w:rsidR="006D2C8C">
        <w:t>,</w:t>
      </w:r>
      <w:r>
        <w:t xml:space="preserve"> 34,950 people have been on the program.</w:t>
      </w:r>
    </w:p>
    <w:p w:rsidR="005E1FE0" w:rsidRPr="00823476" w:rsidRDefault="005E1FE0" w:rsidP="006654AE">
      <w:pPr>
        <w:pStyle w:val="dot"/>
      </w:pPr>
      <w:r w:rsidRPr="008E4D9D">
        <w:t>90</w:t>
      </w:r>
      <w:r w:rsidR="00C27A71">
        <w:t xml:space="preserve">.2 </w:t>
      </w:r>
      <w:r w:rsidRPr="008E4D9D">
        <w:t xml:space="preserve">per cent of </w:t>
      </w:r>
      <w:r w:rsidR="00C65383" w:rsidRPr="003D75FE">
        <w:t xml:space="preserve">people </w:t>
      </w:r>
      <w:r w:rsidRPr="00506E74">
        <w:t>subject to income management in the N</w:t>
      </w:r>
      <w:r w:rsidR="00C74BD2">
        <w:t xml:space="preserve">orthern </w:t>
      </w:r>
      <w:r w:rsidR="006D2C8C">
        <w:t>T</w:t>
      </w:r>
      <w:r w:rsidR="00C74BD2">
        <w:t>erritory</w:t>
      </w:r>
      <w:r w:rsidRPr="00506E74">
        <w:t xml:space="preserve"> are Indigenous</w:t>
      </w:r>
      <w:r w:rsidR="00C65383" w:rsidRPr="00506E74">
        <w:t xml:space="preserve"> Australians</w:t>
      </w:r>
      <w:r w:rsidRPr="00506E74">
        <w:t xml:space="preserve">, which is well in excess of the proportion of income support recipients who </w:t>
      </w:r>
      <w:r w:rsidR="00E22428" w:rsidRPr="00B8523A">
        <w:t xml:space="preserve">identify as </w:t>
      </w:r>
      <w:r w:rsidRPr="00961A43">
        <w:t>Indigenous (62.8</w:t>
      </w:r>
      <w:r w:rsidRPr="00823476">
        <w:t> per cent).</w:t>
      </w:r>
    </w:p>
    <w:p w:rsidR="005E1FE0" w:rsidRPr="00DF38B2" w:rsidRDefault="005E1FE0" w:rsidP="006654AE">
      <w:pPr>
        <w:pStyle w:val="dash"/>
      </w:pPr>
      <w:r w:rsidRPr="00DF38B2">
        <w:t>The proportion</w:t>
      </w:r>
      <w:r w:rsidR="00C65383" w:rsidRPr="00DF38B2">
        <w:t xml:space="preserve"> who identify as </w:t>
      </w:r>
      <w:r w:rsidRPr="00DF38B2">
        <w:t>Indigenous is 72.5 per cent for the automatic Vulnerable measures, 88.3 per cent for Compulsory Income Management, 91.6 per cent for Child Protection Income Management, 98.2 per cent for assessed Vulnerable</w:t>
      </w:r>
      <w:r w:rsidR="006D2C8C">
        <w:t>,</w:t>
      </w:r>
      <w:r w:rsidRPr="00DF38B2">
        <w:t xml:space="preserve"> and 98.5 per cent for Voluntary Income Management (</w:t>
      </w:r>
      <w:r w:rsidR="006D2C8C">
        <w:t xml:space="preserve">as at </w:t>
      </w:r>
      <w:r w:rsidRPr="00DF38B2">
        <w:t>December 2013).</w:t>
      </w:r>
    </w:p>
    <w:p w:rsidR="005E1FE0" w:rsidRPr="00DF38B2" w:rsidRDefault="005E1FE0" w:rsidP="006654AE">
      <w:pPr>
        <w:pStyle w:val="dot"/>
      </w:pPr>
      <w:r w:rsidRPr="00DF38B2">
        <w:t xml:space="preserve">Women </w:t>
      </w:r>
      <w:r w:rsidR="006D2C8C">
        <w:t>comprise</w:t>
      </w:r>
      <w:r w:rsidR="00C27A71">
        <w:t xml:space="preserve"> 59.2</w:t>
      </w:r>
      <w:r w:rsidRPr="00DF38B2">
        <w:t> per cent of those subject to income management</w:t>
      </w:r>
      <w:r w:rsidR="00E964B4">
        <w:t>.</w:t>
      </w:r>
    </w:p>
    <w:p w:rsidR="005E1FE0" w:rsidRPr="00DF38B2" w:rsidRDefault="005E1FE0" w:rsidP="006654AE">
      <w:pPr>
        <w:pStyle w:val="dash"/>
      </w:pPr>
      <w:r w:rsidRPr="00DF38B2">
        <w:t xml:space="preserve">The proportion </w:t>
      </w:r>
      <w:r w:rsidR="00C27A71">
        <w:t xml:space="preserve">of the people on the streams of the program who are </w:t>
      </w:r>
      <w:r w:rsidRPr="00DF38B2">
        <w:t>female is 39.6</w:t>
      </w:r>
      <w:r w:rsidR="00C27A71">
        <w:t xml:space="preserve"> per cent</w:t>
      </w:r>
      <w:r w:rsidRPr="00DF38B2">
        <w:t xml:space="preserve"> for the automatic Vulnerable measures, 55.</w:t>
      </w:r>
      <w:r w:rsidR="00C27A71">
        <w:t>3</w:t>
      </w:r>
      <w:r w:rsidRPr="00DF38B2">
        <w:t> per cent for assessed Vulnerable, 58.4 per cent for Voluntary, 59.8 per cent for Compulsory Income Management</w:t>
      </w:r>
      <w:r w:rsidR="006D2C8C">
        <w:t>,</w:t>
      </w:r>
      <w:r w:rsidRPr="00DF38B2">
        <w:t xml:space="preserve"> and 80.7 per cent for Child Protection Income Management (in December 2013).</w:t>
      </w:r>
    </w:p>
    <w:p w:rsidR="005E1FE0" w:rsidRPr="00DF38B2" w:rsidRDefault="00301801" w:rsidP="006654AE">
      <w:pPr>
        <w:pStyle w:val="dot"/>
      </w:pPr>
      <w:r>
        <w:t>The a</w:t>
      </w:r>
      <w:r w:rsidR="005E1FE0" w:rsidRPr="00DF38B2">
        <w:t>verage age of people subject to income management is 36.1 years</w:t>
      </w:r>
      <w:r w:rsidR="006D2C8C">
        <w:t>.</w:t>
      </w:r>
      <w:r w:rsidR="005E1FE0" w:rsidRPr="00DF38B2">
        <w:t xml:space="preserve"> A quarter of the population is aged 25 years and under, and half </w:t>
      </w:r>
      <w:r w:rsidR="006D2C8C">
        <w:t xml:space="preserve">of </w:t>
      </w:r>
      <w:r w:rsidR="005E1FE0" w:rsidRPr="00DF38B2">
        <w:t>the population is aged 33 years or under. Three</w:t>
      </w:r>
      <w:r w:rsidR="006D2C8C">
        <w:t>-</w:t>
      </w:r>
      <w:r w:rsidR="005E1FE0" w:rsidRPr="00DF38B2">
        <w:t xml:space="preserve">quarters are aged </w:t>
      </w:r>
      <w:proofErr w:type="gramStart"/>
      <w:r w:rsidR="005E1FE0" w:rsidRPr="00DF38B2">
        <w:t>under</w:t>
      </w:r>
      <w:proofErr w:type="gramEnd"/>
      <w:r w:rsidR="005E1FE0" w:rsidRPr="00DF38B2">
        <w:t xml:space="preserve"> 45 years.</w:t>
      </w:r>
    </w:p>
    <w:p w:rsidR="005E1FE0" w:rsidRPr="00DF38B2" w:rsidRDefault="005E1FE0" w:rsidP="006654AE">
      <w:pPr>
        <w:pStyle w:val="dot"/>
      </w:pPr>
      <w:r w:rsidRPr="00DF38B2">
        <w:t>Most people subject to income management are single (39.8 per cent), followed by people who live as member of a couple with dependent children (28.9 per cent), single parents (17.8 per cent) and people living in a couple without dependent children (13.5 percent). This means that just under half (46.7 per cent) of those subject to income management have dependent children.</w:t>
      </w:r>
    </w:p>
    <w:p w:rsidR="005E1FE0" w:rsidRPr="00DF38B2" w:rsidRDefault="005E1FE0" w:rsidP="006654AE">
      <w:pPr>
        <w:pStyle w:val="dot"/>
      </w:pPr>
      <w:r w:rsidRPr="00DF38B2">
        <w:t xml:space="preserve">There are big differences in the composition </w:t>
      </w:r>
      <w:r w:rsidR="00301801">
        <w:t>by</w:t>
      </w:r>
      <w:r w:rsidR="00301801" w:rsidRPr="00DF38B2">
        <w:t xml:space="preserve"> </w:t>
      </w:r>
      <w:r w:rsidRPr="00DF38B2">
        <w:t xml:space="preserve">family type of Indigenous and non-Indigenous people subject to income management. </w:t>
      </w:r>
    </w:p>
    <w:p w:rsidR="005E1FE0" w:rsidRPr="00DF38B2" w:rsidRDefault="005E1FE0" w:rsidP="006654AE">
      <w:pPr>
        <w:pStyle w:val="dash"/>
      </w:pPr>
      <w:r w:rsidRPr="00DF38B2">
        <w:t>Well over half (60.</w:t>
      </w:r>
      <w:r w:rsidR="00C27A71">
        <w:t>2</w:t>
      </w:r>
      <w:r w:rsidR="00C27A71" w:rsidRPr="00DF38B2">
        <w:t> </w:t>
      </w:r>
      <w:r w:rsidRPr="00DF38B2">
        <w:t>per cent) of non-Indigenous</w:t>
      </w:r>
      <w:r w:rsidR="00C65383" w:rsidRPr="00DF38B2">
        <w:t xml:space="preserve"> people on income management</w:t>
      </w:r>
      <w:r w:rsidRPr="00DF38B2">
        <w:t xml:space="preserve"> are single and 22.5 per cent were single parents. Just </w:t>
      </w:r>
      <w:r w:rsidR="00C27A71">
        <w:t>17.3</w:t>
      </w:r>
      <w:r w:rsidRPr="00DF38B2">
        <w:t> per cent were living as a member of a couple (</w:t>
      </w:r>
      <w:r w:rsidR="00C27A71">
        <w:t>10.3</w:t>
      </w:r>
      <w:r w:rsidRPr="00DF38B2">
        <w:t> per cent with dependent children and 7.0 per cent without dependent children). About two-thirds do not have dependent children.</w:t>
      </w:r>
    </w:p>
    <w:p w:rsidR="005E1FE0" w:rsidRPr="00DF38B2" w:rsidRDefault="005E1FE0" w:rsidP="006654AE">
      <w:pPr>
        <w:pStyle w:val="dash"/>
      </w:pPr>
      <w:r w:rsidRPr="00DF38B2">
        <w:t xml:space="preserve">For Indigenous people, </w:t>
      </w:r>
      <w:r w:rsidR="00C27A71">
        <w:t>37.5 per cent</w:t>
      </w:r>
      <w:r w:rsidRPr="00DF38B2">
        <w:t xml:space="preserve"> are single and </w:t>
      </w:r>
      <w:r w:rsidR="00C27A71">
        <w:t>30.9 per cent</w:t>
      </w:r>
      <w:r w:rsidRPr="00DF38B2">
        <w:t xml:space="preserve"> were living as a member of a couple with dependent children. The remaining third were split between single parent families (17.3 per cent) and members of a couple without dependent children</w:t>
      </w:r>
      <w:r w:rsidRPr="00DF38B2" w:rsidDel="00972326">
        <w:t xml:space="preserve"> </w:t>
      </w:r>
      <w:r w:rsidRPr="00DF38B2">
        <w:t>(14.2 per cent). This means that 51.7 per cent did not have dependent children.</w:t>
      </w:r>
    </w:p>
    <w:p w:rsidR="005E1FE0" w:rsidRPr="00DF38B2" w:rsidRDefault="005E1FE0" w:rsidP="006654AE">
      <w:pPr>
        <w:pStyle w:val="dot"/>
      </w:pPr>
      <w:r w:rsidRPr="00DF38B2">
        <w:t xml:space="preserve">The types of income support payments that have the largest numbers of people subject to </w:t>
      </w:r>
      <w:r w:rsidR="005E4CAC">
        <w:t>income management</w:t>
      </w:r>
      <w:r w:rsidRPr="00DF38B2">
        <w:t xml:space="preserve"> are New</w:t>
      </w:r>
      <w:r w:rsidR="00301801">
        <w:t>s</w:t>
      </w:r>
      <w:r w:rsidRPr="00DF38B2">
        <w:t>tart Allowance (8,</w:t>
      </w:r>
      <w:r w:rsidR="00C27A71">
        <w:t>718</w:t>
      </w:r>
      <w:r w:rsidRPr="00DF38B2">
        <w:t>), Disability Support Pension (2,</w:t>
      </w:r>
      <w:r w:rsidR="00C27A71" w:rsidRPr="00DF38B2">
        <w:t>5</w:t>
      </w:r>
      <w:r w:rsidR="00C27A71">
        <w:t>88</w:t>
      </w:r>
      <w:r w:rsidRPr="00DF38B2">
        <w:t xml:space="preserve">), </w:t>
      </w:r>
      <w:r w:rsidR="00C27A71" w:rsidRPr="00C27A71">
        <w:t>Parenting Payment Single (2,116)</w:t>
      </w:r>
      <w:r w:rsidR="00C27A71">
        <w:t>,</w:t>
      </w:r>
      <w:r w:rsidR="00C27A71" w:rsidRPr="00C27A71">
        <w:t xml:space="preserve"> </w:t>
      </w:r>
      <w:r w:rsidRPr="00DF38B2">
        <w:t>Parenting Payment Partnered (2,</w:t>
      </w:r>
      <w:r w:rsidR="00C27A71" w:rsidRPr="00DF38B2">
        <w:t>1</w:t>
      </w:r>
      <w:r w:rsidR="00C27A71">
        <w:t>14</w:t>
      </w:r>
      <w:r w:rsidRPr="00DF38B2">
        <w:t>)</w:t>
      </w:r>
      <w:r w:rsidR="00CD0E26">
        <w:t>,</w:t>
      </w:r>
      <w:r w:rsidRPr="00DF38B2">
        <w:t xml:space="preserve"> and Youth Allowance (1,</w:t>
      </w:r>
      <w:r w:rsidR="00C27A71">
        <w:t>721</w:t>
      </w:r>
      <w:r w:rsidRPr="00DF38B2">
        <w:t>).</w:t>
      </w:r>
    </w:p>
    <w:p w:rsidR="005E1FE0" w:rsidRPr="00DF38B2" w:rsidRDefault="005E1FE0" w:rsidP="006654AE">
      <w:pPr>
        <w:pStyle w:val="dot"/>
      </w:pPr>
      <w:r w:rsidRPr="00DF38B2">
        <w:t>For Indigenous income support recipients the rates of income management are 85.</w:t>
      </w:r>
      <w:r w:rsidR="00C27A71">
        <w:t>7</w:t>
      </w:r>
      <w:r w:rsidR="00C27A71" w:rsidRPr="00DF38B2">
        <w:t> </w:t>
      </w:r>
      <w:r w:rsidRPr="00DF38B2">
        <w:t>per cent for those receiving Parenting Payment Partnered, 79.</w:t>
      </w:r>
      <w:r w:rsidR="00C27A71">
        <w:t>3</w:t>
      </w:r>
      <w:r w:rsidRPr="00DF38B2">
        <w:t> per cent for those receiving New Start Allowance, 76.</w:t>
      </w:r>
      <w:r w:rsidR="00B505B3">
        <w:t>3</w:t>
      </w:r>
      <w:r w:rsidRPr="00DF38B2">
        <w:t xml:space="preserve"> per cent for those receiving Parenting Payment Single, </w:t>
      </w:r>
      <w:r w:rsidR="00B505B3">
        <w:t>44.9</w:t>
      </w:r>
      <w:r w:rsidRPr="00DF38B2">
        <w:t xml:space="preserve"> per cent for those receiving Age </w:t>
      </w:r>
      <w:r w:rsidRPr="00DF38B2">
        <w:lastRenderedPageBreak/>
        <w:t>Pension, 4</w:t>
      </w:r>
      <w:r w:rsidR="00B505B3">
        <w:t xml:space="preserve">0.0 </w:t>
      </w:r>
      <w:r w:rsidRPr="00DF38B2">
        <w:t>per cent for those receiving Disability Support Pension</w:t>
      </w:r>
      <w:r w:rsidR="00CD0E26">
        <w:t>,</w:t>
      </w:r>
      <w:r w:rsidRPr="00DF38B2">
        <w:t xml:space="preserve"> and </w:t>
      </w:r>
      <w:r w:rsidR="00B505B3">
        <w:t>22.8</w:t>
      </w:r>
      <w:r w:rsidRPr="00DF38B2">
        <w:t> per cent for those receiving Carer Payment.</w:t>
      </w:r>
    </w:p>
    <w:p w:rsidR="005E1FE0" w:rsidRPr="00DF38B2" w:rsidRDefault="005E1FE0" w:rsidP="006654AE">
      <w:pPr>
        <w:pStyle w:val="dot"/>
      </w:pPr>
      <w:r w:rsidRPr="00DF38B2">
        <w:t xml:space="preserve">The median length of time spent on income management </w:t>
      </w:r>
      <w:r w:rsidR="00C74BD2">
        <w:t>by</w:t>
      </w:r>
      <w:r w:rsidR="00C74BD2" w:rsidRPr="00DF38B2">
        <w:t xml:space="preserve"> </w:t>
      </w:r>
      <w:r w:rsidRPr="00DF38B2">
        <w:t>Indigenous</w:t>
      </w:r>
      <w:r w:rsidR="00B505B3">
        <w:t xml:space="preserve"> </w:t>
      </w:r>
      <w:r w:rsidR="00CD0E26">
        <w:t xml:space="preserve">people </w:t>
      </w:r>
      <w:r w:rsidR="00B505B3">
        <w:t>between August 2010 and December 2013</w:t>
      </w:r>
      <w:r w:rsidRPr="00DF38B2">
        <w:t xml:space="preserve"> is 96</w:t>
      </w:r>
      <w:r w:rsidR="00B505B3">
        <w:t>.0</w:t>
      </w:r>
      <w:r w:rsidRPr="00DF38B2">
        <w:t xml:space="preserve"> weeks</w:t>
      </w:r>
      <w:r w:rsidR="00CD0E26">
        <w:t>,</w:t>
      </w:r>
      <w:r w:rsidRPr="00DF38B2">
        <w:t xml:space="preserve"> and for non-Indigenous</w:t>
      </w:r>
      <w:r w:rsidR="00B505B3">
        <w:t xml:space="preserve"> people</w:t>
      </w:r>
      <w:r w:rsidRPr="00DF38B2">
        <w:t xml:space="preserve"> it is 16</w:t>
      </w:r>
      <w:r w:rsidR="00B505B3">
        <w:t>.0</w:t>
      </w:r>
      <w:r w:rsidRPr="00DF38B2">
        <w:t xml:space="preserve"> weeks</w:t>
      </w:r>
      <w:r w:rsidR="00445BB3">
        <w:t xml:space="preserve">. </w:t>
      </w:r>
      <w:r w:rsidR="00B505B3">
        <w:t xml:space="preserve">In many cases </w:t>
      </w:r>
      <w:r w:rsidR="00CD0E26">
        <w:t xml:space="preserve">however, </w:t>
      </w:r>
      <w:r w:rsidR="00B505B3">
        <w:t>these are incomplete spells</w:t>
      </w:r>
      <w:r w:rsidR="00CD0E26">
        <w:t>,</w:t>
      </w:r>
      <w:r w:rsidR="00B505B3">
        <w:t xml:space="preserve"> and this does not therefore reflect the amount of time they are likely to remain on income management.</w:t>
      </w:r>
      <w:r w:rsidR="00CD0E26">
        <w:t xml:space="preserve"> </w:t>
      </w:r>
      <w:r w:rsidRPr="00DF38B2">
        <w:t>Of people on income management in December 2013, 58</w:t>
      </w:r>
      <w:r w:rsidR="00B505B3">
        <w:t>.7</w:t>
      </w:r>
      <w:r w:rsidRPr="00DF38B2">
        <w:t xml:space="preserve"> per cent had been on income management for three years or </w:t>
      </w:r>
      <w:proofErr w:type="gramStart"/>
      <w:r w:rsidRPr="00DF38B2">
        <w:t>longer</w:t>
      </w:r>
      <w:r w:rsidR="00CD0E26">
        <w:t>,</w:t>
      </w:r>
      <w:proofErr w:type="gramEnd"/>
      <w:r w:rsidRPr="00DF38B2">
        <w:t xml:space="preserve"> and </w:t>
      </w:r>
      <w:r w:rsidR="00B505B3" w:rsidRPr="00DF38B2">
        <w:t>2</w:t>
      </w:r>
      <w:r w:rsidR="00B505B3">
        <w:t>1.4</w:t>
      </w:r>
      <w:r w:rsidR="00B505B3" w:rsidRPr="00DF38B2">
        <w:t> </w:t>
      </w:r>
      <w:r w:rsidRPr="00DF38B2">
        <w:t xml:space="preserve">per cent for five </w:t>
      </w:r>
      <w:r w:rsidR="00D3490D">
        <w:t>and-a-half</w:t>
      </w:r>
      <w:r w:rsidRPr="00DF38B2">
        <w:t xml:space="preserve"> year</w:t>
      </w:r>
      <w:r w:rsidR="00B505B3">
        <w:t>s</w:t>
      </w:r>
      <w:r w:rsidRPr="00DF38B2">
        <w:t xml:space="preserve"> or longer. </w:t>
      </w:r>
      <w:r w:rsidR="00CD0E26">
        <w:t xml:space="preserve">Of all people, </w:t>
      </w:r>
      <w:r w:rsidR="00B505B3">
        <w:t>56.6 per cent</w:t>
      </w:r>
      <w:r w:rsidR="00CD0E26">
        <w:t xml:space="preserve"> –</w:t>
      </w:r>
      <w:r w:rsidR="00B505B3">
        <w:t xml:space="preserve"> and 62.5 per cent of Indigenous </w:t>
      </w:r>
      <w:r w:rsidRPr="00DF38B2">
        <w:t xml:space="preserve">people </w:t>
      </w:r>
      <w:r w:rsidR="00CD0E26">
        <w:t xml:space="preserve">– </w:t>
      </w:r>
      <w:r w:rsidRPr="00DF38B2">
        <w:t>on income management in December 2013 had been on NTER Income Management</w:t>
      </w:r>
      <w:r w:rsidR="00B505B3">
        <w:t xml:space="preserve"> in July 2010</w:t>
      </w:r>
      <w:r w:rsidRPr="00DF38B2">
        <w:t>.</w:t>
      </w:r>
      <w:r w:rsidR="00B505B3">
        <w:t xml:space="preserve"> This includes 55.8 per cent of those Indigenous people on compulsory income management and 86.0 per cent of those on voluntary.</w:t>
      </w:r>
    </w:p>
    <w:p w:rsidR="005E1FE0" w:rsidRPr="00DF38B2" w:rsidRDefault="005E1FE0" w:rsidP="006654AE">
      <w:pPr>
        <w:pStyle w:val="dot"/>
      </w:pPr>
      <w:r w:rsidRPr="00DF38B2">
        <w:t xml:space="preserve">Overall, </w:t>
      </w:r>
      <w:r w:rsidR="00966BA8" w:rsidRPr="00DF38B2">
        <w:t>6</w:t>
      </w:r>
      <w:r w:rsidR="00966BA8">
        <w:t xml:space="preserve">3.9 </w:t>
      </w:r>
      <w:r w:rsidR="00966BA8" w:rsidRPr="00DF38B2">
        <w:t>per</w:t>
      </w:r>
      <w:r w:rsidRPr="00DF38B2">
        <w:t xml:space="preserve"> cent of Indigenous </w:t>
      </w:r>
      <w:r w:rsidR="00301801">
        <w:t>i</w:t>
      </w:r>
      <w:r w:rsidRPr="00DF38B2">
        <w:t xml:space="preserve">ncome </w:t>
      </w:r>
      <w:r w:rsidR="00301801">
        <w:t>s</w:t>
      </w:r>
      <w:r w:rsidRPr="00DF38B2">
        <w:t>upport recipients are subject to income management and 11.</w:t>
      </w:r>
      <w:r w:rsidR="00B505B3">
        <w:t>7</w:t>
      </w:r>
      <w:r w:rsidRPr="00DF38B2">
        <w:t xml:space="preserve"> per cent of non-Indigenous </w:t>
      </w:r>
      <w:r w:rsidR="009D7612">
        <w:t>income support</w:t>
      </w:r>
      <w:r w:rsidRPr="00DF38B2">
        <w:t xml:space="preserve"> recipients were subject to income management. There are differences between geographic locations in the proportion of the </w:t>
      </w:r>
      <w:r w:rsidR="009D7612">
        <w:t>income support</w:t>
      </w:r>
      <w:r w:rsidRPr="00DF38B2">
        <w:t xml:space="preserve"> population that are subject to income management. </w:t>
      </w:r>
    </w:p>
    <w:p w:rsidR="005E1FE0" w:rsidRPr="00DF38B2" w:rsidRDefault="00C64F39" w:rsidP="006654AE">
      <w:pPr>
        <w:pStyle w:val="dash"/>
      </w:pPr>
      <w:r>
        <w:t>I</w:t>
      </w:r>
      <w:r w:rsidR="005E1FE0" w:rsidRPr="00DF38B2">
        <w:t>n December 2013</w:t>
      </w:r>
      <w:r>
        <w:t xml:space="preserve"> the proportion of Indigenous income support recipients who were income managed varied from</w:t>
      </w:r>
      <w:r w:rsidR="00CD0E26">
        <w:t>:</w:t>
      </w:r>
      <w:r w:rsidR="005E1FE0" w:rsidRPr="00DF38B2">
        <w:t xml:space="preserve"> 37.8 per cent in Greater Darwin</w:t>
      </w:r>
      <w:r>
        <w:t xml:space="preserve"> and</w:t>
      </w:r>
      <w:r w:rsidR="005E1FE0" w:rsidRPr="00DF38B2">
        <w:t xml:space="preserve"> 51.4 per cent in Alice Springs</w:t>
      </w:r>
      <w:r w:rsidR="00CD0E26">
        <w:t>;</w:t>
      </w:r>
      <w:r>
        <w:t xml:space="preserve"> to</w:t>
      </w:r>
      <w:r w:rsidR="005E1FE0" w:rsidRPr="00DF38B2">
        <w:t xml:space="preserve"> 73.6 per cent in the South-East Desert area</w:t>
      </w:r>
      <w:r w:rsidR="00CD0E26">
        <w:t>;</w:t>
      </w:r>
      <w:r w:rsidR="005E1FE0" w:rsidRPr="00DF38B2">
        <w:t xml:space="preserve"> and 74.5 per cent in the Mid-West Desert area. </w:t>
      </w:r>
    </w:p>
    <w:p w:rsidR="005E1FE0" w:rsidRPr="00DF38B2" w:rsidRDefault="00C64F39" w:rsidP="006654AE">
      <w:pPr>
        <w:pStyle w:val="dash"/>
      </w:pPr>
      <w:r>
        <w:t xml:space="preserve">At the same time the proportion of </w:t>
      </w:r>
      <w:r w:rsidR="00C74BD2">
        <w:t>non-</w:t>
      </w:r>
      <w:r>
        <w:t>Indigenous</w:t>
      </w:r>
      <w:r w:rsidR="00C74BD2">
        <w:t xml:space="preserve"> </w:t>
      </w:r>
      <w:r>
        <w:t>income support recipients subject to income management varied</w:t>
      </w:r>
      <w:r w:rsidR="00CD0E26">
        <w:t xml:space="preserve"> </w:t>
      </w:r>
      <w:r w:rsidR="00C74BD2">
        <w:t>from</w:t>
      </w:r>
      <w:r w:rsidR="00CD0E26">
        <w:t xml:space="preserve"> </w:t>
      </w:r>
      <w:r w:rsidR="005E1FE0" w:rsidRPr="00DF38B2">
        <w:t>10</w:t>
      </w:r>
      <w:r w:rsidR="00B505B3">
        <w:t>.2</w:t>
      </w:r>
      <w:r w:rsidR="005E1FE0" w:rsidRPr="00DF38B2">
        <w:t> per cent in Greater Darwin</w:t>
      </w:r>
      <w:r w:rsidR="00CD0E26">
        <w:t>;</w:t>
      </w:r>
      <w:r w:rsidR="005E1FE0" w:rsidRPr="00DF38B2">
        <w:t xml:space="preserve"> </w:t>
      </w:r>
      <w:r w:rsidR="00B505B3">
        <w:t>10.9 per cent in</w:t>
      </w:r>
      <w:r w:rsidR="00B505B3" w:rsidRPr="00DF38B2">
        <w:t xml:space="preserve"> </w:t>
      </w:r>
      <w:r w:rsidR="005E1FE0" w:rsidRPr="00DF38B2">
        <w:t>Katherine</w:t>
      </w:r>
      <w:r w:rsidR="00CD0E26">
        <w:t>;</w:t>
      </w:r>
      <w:r>
        <w:t xml:space="preserve"> and</w:t>
      </w:r>
      <w:r w:rsidR="005E1FE0" w:rsidRPr="00DF38B2">
        <w:t xml:space="preserve"> 11.2 per cent in Alice Springs</w:t>
      </w:r>
      <w:r w:rsidR="00CD0E26">
        <w:t>;</w:t>
      </w:r>
      <w:r>
        <w:t xml:space="preserve"> to</w:t>
      </w:r>
      <w:r w:rsidR="005E1FE0" w:rsidRPr="00DF38B2">
        <w:t xml:space="preserve"> 31.6 per cent in East Arnhem</w:t>
      </w:r>
      <w:r w:rsidR="00CD0E26">
        <w:t>; and</w:t>
      </w:r>
      <w:r w:rsidR="005E1FE0" w:rsidRPr="00DF38B2">
        <w:t xml:space="preserve"> 62.5 per cent in the Mid-West Desert.</w:t>
      </w:r>
    </w:p>
    <w:p w:rsidR="00B505B3" w:rsidRPr="00DF38B2" w:rsidRDefault="00B505B3" w:rsidP="006654AE">
      <w:pPr>
        <w:pStyle w:val="dot"/>
      </w:pPr>
      <w:r w:rsidRPr="00DF38B2">
        <w:t xml:space="preserve">Across the Northern Territory it is estimated that in December 2013 1.3 per cent of the non-Indigenous population aged 15 years and over </w:t>
      </w:r>
      <w:r w:rsidR="00CD0E26">
        <w:t>we</w:t>
      </w:r>
      <w:r w:rsidRPr="00DF38B2">
        <w:t>re subject to income management</w:t>
      </w:r>
      <w:r w:rsidR="00CD0E26">
        <w:t>.</w:t>
      </w:r>
      <w:r w:rsidRPr="00DF38B2">
        <w:t xml:space="preserve"> For Indigenous residents the equivalent proportion </w:t>
      </w:r>
      <w:r w:rsidR="00CD0E26">
        <w:t>was</w:t>
      </w:r>
      <w:r w:rsidRPr="00DF38B2">
        <w:t xml:space="preserve"> 34.0 per cent.</w:t>
      </w:r>
    </w:p>
    <w:p w:rsidR="005E1FE0" w:rsidRDefault="00B505B3" w:rsidP="006654AE">
      <w:pPr>
        <w:pStyle w:val="dot"/>
      </w:pPr>
      <w:r w:rsidRPr="00B505B3">
        <w:t xml:space="preserve">There has been some increase in the number of people who have engaged with </w:t>
      </w:r>
      <w:r w:rsidR="00E964B4">
        <w:t>Money Management Service</w:t>
      </w:r>
      <w:r w:rsidRPr="00B505B3">
        <w:t>s. However</w:t>
      </w:r>
      <w:r w:rsidR="00CD0E26">
        <w:t>,</w:t>
      </w:r>
      <w:r w:rsidRPr="00B505B3">
        <w:t xml:space="preserve"> numbers remain small</w:t>
      </w:r>
      <w:r w:rsidR="00CD0E26">
        <w:t>,</w:t>
      </w:r>
      <w:r w:rsidRPr="00B505B3">
        <w:t xml:space="preserve"> with 1,139 completions of approved money management courses and 31 matched savings </w:t>
      </w:r>
      <w:r w:rsidR="00D075EE">
        <w:t>payments</w:t>
      </w:r>
      <w:r w:rsidR="00D075EE" w:rsidRPr="00B505B3">
        <w:t xml:space="preserve"> </w:t>
      </w:r>
      <w:r w:rsidRPr="00B505B3">
        <w:t>being recorded for people in the Northern Territory since 2010</w:t>
      </w:r>
      <w:r w:rsidR="00445BB3">
        <w:t xml:space="preserve">. </w:t>
      </w:r>
      <w:r w:rsidRPr="00B505B3">
        <w:t xml:space="preserve">People who have used money management and financial counselling services </w:t>
      </w:r>
      <w:r w:rsidR="00CD0E26">
        <w:t>have been</w:t>
      </w:r>
      <w:r w:rsidRPr="00B505B3">
        <w:t xml:space="preserve"> generally positive about these</w:t>
      </w:r>
      <w:r w:rsidR="00CD0E26">
        <w:t>,</w:t>
      </w:r>
      <w:r w:rsidRPr="00B505B3">
        <w:t xml:space="preserve"> but there is a low level of awareness about these services in remote locations.</w:t>
      </w:r>
    </w:p>
    <w:p w:rsidR="00B505B3" w:rsidRDefault="00B505B3" w:rsidP="006654AE"/>
    <w:p w:rsidR="00B505B3" w:rsidRPr="00DF38B2" w:rsidRDefault="00B505B3" w:rsidP="006654AE">
      <w:pPr>
        <w:sectPr w:rsidR="00B505B3" w:rsidRPr="00DF38B2" w:rsidSect="00285084">
          <w:headerReference w:type="even" r:id="rId79"/>
          <w:headerReference w:type="default" r:id="rId80"/>
          <w:footerReference w:type="even" r:id="rId81"/>
          <w:footerReference w:type="default" r:id="rId82"/>
          <w:headerReference w:type="first" r:id="rId83"/>
          <w:footerReference w:type="first" r:id="rId84"/>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243" w:name="_Toc403739020"/>
      <w:r w:rsidRPr="00DF38B2">
        <w:lastRenderedPageBreak/>
        <w:t>Exemptions</w:t>
      </w:r>
      <w:bookmarkEnd w:id="243"/>
    </w:p>
    <w:p w:rsidR="005E1FE0" w:rsidRPr="00DF38B2" w:rsidRDefault="005E1FE0" w:rsidP="004F3A3D">
      <w:pPr>
        <w:spacing w:before="1134" w:after="210"/>
      </w:pPr>
      <w:r w:rsidRPr="00DF38B2">
        <w:t>A major distinguishing feature of the Compulsory Income Management stream of New Income Management</w:t>
      </w:r>
      <w:r w:rsidRPr="00DF38B2">
        <w:rPr>
          <w:rStyle w:val="FootnoteReference"/>
        </w:rPr>
        <w:footnoteReference w:id="73"/>
      </w:r>
      <w:r w:rsidRPr="00DF38B2">
        <w:t xml:space="preserve"> is </w:t>
      </w:r>
      <w:r w:rsidR="00C65383" w:rsidRPr="00DF38B2">
        <w:t xml:space="preserve">that people can gain </w:t>
      </w:r>
      <w:r w:rsidRPr="00DF38B2">
        <w:t>a</w:t>
      </w:r>
      <w:r w:rsidRPr="00FE502F">
        <w:t>ccess to an exemption from being income manage</w:t>
      </w:r>
      <w:r w:rsidR="009C1AFB">
        <w:t>d</w:t>
      </w:r>
      <w:r w:rsidRPr="00FE502F">
        <w:t xml:space="preserve"> if they are able to demonstrate ce</w:t>
      </w:r>
      <w:r w:rsidRPr="009655C3">
        <w:t>rtain behaviours. While the NTER</w:t>
      </w:r>
      <w:r w:rsidR="00CC7910">
        <w:t xml:space="preserve"> Income Management</w:t>
      </w:r>
      <w:r w:rsidRPr="009655C3">
        <w:t xml:space="preserve"> had scope for exemptions, these were limited to people who could show they did not have a strong connection with the Indigenous communities at which the program was targeted</w:t>
      </w:r>
      <w:r w:rsidR="00445BB3">
        <w:t xml:space="preserve">. </w:t>
      </w:r>
      <w:r w:rsidR="00C65383" w:rsidRPr="00DF38B2">
        <w:t xml:space="preserve">Exemptions do not apply to </w:t>
      </w:r>
      <w:r w:rsidR="001544DF">
        <w:t>Voluntary Income Management</w:t>
      </w:r>
      <w:r w:rsidR="00C65383" w:rsidRPr="00DF38B2">
        <w:t xml:space="preserve"> as people can choose to exit this program whenever they wish after the initial 13</w:t>
      </w:r>
      <w:r w:rsidR="00F94DDB">
        <w:t>-</w:t>
      </w:r>
      <w:r w:rsidR="00C65383" w:rsidRPr="00DF38B2">
        <w:t>week period</w:t>
      </w:r>
      <w:r w:rsidR="00F94DDB">
        <w:t>;</w:t>
      </w:r>
      <w:r w:rsidR="00C65383" w:rsidRPr="00DF38B2">
        <w:t xml:space="preserve"> as </w:t>
      </w:r>
      <w:r w:rsidRPr="00DF38B2">
        <w:t xml:space="preserve">the other </w:t>
      </w:r>
      <w:r w:rsidR="00C65383" w:rsidRPr="00DF38B2">
        <w:t xml:space="preserve">streams </w:t>
      </w:r>
      <w:r w:rsidRPr="00DF38B2">
        <w:t>(in particular Child Protection and Vulnerable) are narrowly targeted</w:t>
      </w:r>
      <w:r w:rsidR="00F94DDB">
        <w:t>,</w:t>
      </w:r>
      <w:r w:rsidR="00C65383" w:rsidRPr="00DF38B2">
        <w:t xml:space="preserve"> </w:t>
      </w:r>
      <w:r w:rsidRPr="00DF38B2">
        <w:t>usually based on individual assessment, exemptions do not apply per se, although individuals have access to appeal rights if they believe they have been inappropriately targeted</w:t>
      </w:r>
      <w:r w:rsidR="00445BB3">
        <w:t xml:space="preserve">. </w:t>
      </w:r>
      <w:r w:rsidRPr="00DF38B2">
        <w:t xml:space="preserve">Where exemptions are granted they are usually for </w:t>
      </w:r>
      <w:r w:rsidR="00F94DDB">
        <w:t>one</w:t>
      </w:r>
      <w:r w:rsidRPr="00DF38B2">
        <w:t xml:space="preserve"> year.</w:t>
      </w:r>
    </w:p>
    <w:p w:rsidR="005E1FE0" w:rsidRPr="00DF38B2" w:rsidRDefault="005E1FE0" w:rsidP="006654AE">
      <w:r w:rsidRPr="00DF38B2">
        <w:t>In addition to considering exemptions this chapter also provides some analysis of the use of appeal processes.</w:t>
      </w:r>
    </w:p>
    <w:p w:rsidR="005E1FE0" w:rsidRPr="00DF38B2" w:rsidRDefault="005E1FE0" w:rsidP="006654AE">
      <w:pPr>
        <w:pStyle w:val="Heading2"/>
        <w:spacing w:line="252" w:lineRule="auto"/>
      </w:pPr>
      <w:bookmarkStart w:id="244" w:name="_Toc403739021"/>
      <w:r w:rsidRPr="00DF38B2">
        <w:t>Purpose and background</w:t>
      </w:r>
      <w:bookmarkEnd w:id="244"/>
    </w:p>
    <w:p w:rsidR="005E1FE0" w:rsidRPr="00DF38B2" w:rsidRDefault="005E1FE0" w:rsidP="006654AE">
      <w:r w:rsidRPr="00DF38B2">
        <w:t xml:space="preserve">In announcing the introduction of New Income Management the </w:t>
      </w:r>
      <w:r w:rsidR="00F94DDB">
        <w:t>G</w:t>
      </w:r>
      <w:r w:rsidRPr="00DF38B2">
        <w:t>overnment stated its intention, as part of its policy objective to “tackle the intergenerational cycle of passive welfare”, to offer “evidence-based exemptions”</w:t>
      </w:r>
      <w:r w:rsidR="00B84AFE">
        <w:t xml:space="preserve"> </w:t>
      </w:r>
      <w:r w:rsidRPr="00DF38B2">
        <w:t>(Australian Government</w:t>
      </w:r>
      <w:r w:rsidR="00D7119A">
        <w:t>,</w:t>
      </w:r>
      <w:r w:rsidRPr="00DF38B2">
        <w:t xml:space="preserve"> 2009</w:t>
      </w:r>
      <w:r w:rsidR="00F94DDB">
        <w:t>,</w:t>
      </w:r>
      <w:r w:rsidRPr="00DF38B2">
        <w:t xml:space="preserve"> p</w:t>
      </w:r>
      <w:r w:rsidR="00F94DDB">
        <w:t xml:space="preserve">. </w:t>
      </w:r>
      <w:r w:rsidRPr="00DF38B2">
        <w:t>1)</w:t>
      </w:r>
      <w:r w:rsidR="00F94DDB">
        <w:t>.</w:t>
      </w:r>
    </w:p>
    <w:p w:rsidR="005E1FE0" w:rsidRPr="00DF38B2" w:rsidRDefault="005E1FE0" w:rsidP="006654AE">
      <w:pPr>
        <w:pStyle w:val="Heading3"/>
        <w:spacing w:line="252" w:lineRule="auto"/>
      </w:pPr>
      <w:bookmarkStart w:id="245" w:name="_Toc403739022"/>
      <w:r w:rsidRPr="00DF38B2">
        <w:t>The objective of exemptions</w:t>
      </w:r>
      <w:bookmarkEnd w:id="245"/>
    </w:p>
    <w:p w:rsidR="005E1FE0" w:rsidRPr="00DF38B2" w:rsidRDefault="005E1FE0" w:rsidP="006654AE">
      <w:r w:rsidRPr="00DF38B2">
        <w:t>The Guide to Social Security Law presents a set of core principles for the granting of exemptions. The two policy relevant principles are that:</w:t>
      </w:r>
    </w:p>
    <w:p w:rsidR="005E1FE0" w:rsidRPr="00DF38B2" w:rsidRDefault="005E1FE0" w:rsidP="006654AE">
      <w:pPr>
        <w:pStyle w:val="dot"/>
        <w:rPr>
          <w:rFonts w:eastAsia="Times New Roman"/>
        </w:rPr>
      </w:pPr>
      <w:r w:rsidRPr="00DF38B2">
        <w:rPr>
          <w:rFonts w:eastAsia="Times New Roman"/>
        </w:rPr>
        <w:t xml:space="preserve">It is intended that income management promote personal </w:t>
      </w:r>
      <w:r w:rsidRPr="00E964B4">
        <w:t>responsibility</w:t>
      </w:r>
      <w:r w:rsidRPr="00DF38B2">
        <w:rPr>
          <w:rFonts w:eastAsia="Times New Roman"/>
        </w:rPr>
        <w:t xml:space="preserve"> and positive social behaviour by providing pathways to evidence-based exemptions for people who have a demonstrated record of responsible parenting, or participation in employment or study. </w:t>
      </w:r>
    </w:p>
    <w:p w:rsidR="005E1FE0" w:rsidRPr="009655C3" w:rsidRDefault="005E1FE0" w:rsidP="006654AE">
      <w:pPr>
        <w:pStyle w:val="dot"/>
      </w:pPr>
      <w:r w:rsidRPr="00DF38B2">
        <w:rPr>
          <w:rFonts w:eastAsia="Times New Roman"/>
        </w:rPr>
        <w:t xml:space="preserve">Exemptions are available in cases where income management is not necessary because a person has met the </w:t>
      </w:r>
      <w:r w:rsidRPr="00E964B4">
        <w:t>broad</w:t>
      </w:r>
      <w:r w:rsidRPr="00DF38B2">
        <w:rPr>
          <w:rFonts w:eastAsia="Times New Roman"/>
        </w:rPr>
        <w:t xml:space="preserve"> outcomes that comprise the objectives of income management</w:t>
      </w:r>
      <w:r w:rsidR="00E964B4">
        <w:rPr>
          <w:rFonts w:eastAsia="Times New Roman"/>
        </w:rPr>
        <w:t xml:space="preserve">. </w:t>
      </w:r>
      <w:r w:rsidR="00C62FE2">
        <w:rPr>
          <w:rFonts w:eastAsia="Times New Roman"/>
        </w:rPr>
        <w:t>(DSS, 2014</w:t>
      </w:r>
      <w:r w:rsidR="00A75096">
        <w:rPr>
          <w:rFonts w:eastAsia="Times New Roman"/>
        </w:rPr>
        <w:t>e</w:t>
      </w:r>
      <w:r w:rsidR="00C62FE2">
        <w:rPr>
          <w:rFonts w:eastAsia="Times New Roman"/>
        </w:rPr>
        <w:t>)</w:t>
      </w:r>
      <w:r w:rsidR="00C62FE2">
        <w:rPr>
          <w:rStyle w:val="FootnoteReference"/>
          <w:rFonts w:eastAsia="Times New Roman"/>
        </w:rPr>
        <w:t xml:space="preserve"> </w:t>
      </w:r>
    </w:p>
    <w:p w:rsidR="005E1FE0" w:rsidRPr="00DF38B2" w:rsidRDefault="005E1FE0" w:rsidP="006654AE">
      <w:r w:rsidRPr="00DF38B2">
        <w:t xml:space="preserve">The detailed criteria and related material on the assessment of applications for an exemption have been provided in Section 2.4.2 in Chapter 2. </w:t>
      </w:r>
    </w:p>
    <w:p w:rsidR="005E1FE0" w:rsidRPr="00DF38B2" w:rsidRDefault="005E1FE0" w:rsidP="006654AE">
      <w:pPr>
        <w:pStyle w:val="Heading3"/>
        <w:spacing w:line="252" w:lineRule="auto"/>
      </w:pPr>
      <w:bookmarkStart w:id="246" w:name="_Toc403739023"/>
      <w:r w:rsidRPr="00DF38B2">
        <w:t>Background</w:t>
      </w:r>
      <w:bookmarkEnd w:id="246"/>
    </w:p>
    <w:p w:rsidR="005E1FE0" w:rsidRPr="00DF38B2" w:rsidRDefault="005E1FE0" w:rsidP="006654AE">
      <w:r w:rsidRPr="00DF38B2">
        <w:t xml:space="preserve">The first report from this evaluation has provided extensive analysis of the operation of exemptions, including the exemptions which applied under the NTER </w:t>
      </w:r>
      <w:r w:rsidR="00CC7910">
        <w:t>Income Management</w:t>
      </w:r>
      <w:r w:rsidR="00445BB3">
        <w:t xml:space="preserve">. </w:t>
      </w:r>
      <w:r w:rsidRPr="00DF38B2">
        <w:t>This report does not seek to repeat this material.</w:t>
      </w:r>
    </w:p>
    <w:p w:rsidR="005E1FE0" w:rsidRPr="00DF38B2" w:rsidRDefault="005E1FE0" w:rsidP="006654AE">
      <w:pPr>
        <w:tabs>
          <w:tab w:val="left" w:pos="4820"/>
        </w:tabs>
      </w:pPr>
      <w:r w:rsidRPr="00DF38B2">
        <w:lastRenderedPageBreak/>
        <w:t>One specific aspect of exemptions</w:t>
      </w:r>
      <w:r w:rsidR="00F92AF9">
        <w:t>,</w:t>
      </w:r>
      <w:r w:rsidRPr="00DF38B2">
        <w:t xml:space="preserve"> that of the operation of the financial vulnerability assessment</w:t>
      </w:r>
      <w:r w:rsidR="00F92AF9">
        <w:t xml:space="preserve"> –</w:t>
      </w:r>
      <w:r w:rsidRPr="00DF38B2">
        <w:t xml:space="preserve"> along with decisions relating to determinations under the vulnerable measure</w:t>
      </w:r>
      <w:r w:rsidR="00F92AF9">
        <w:t xml:space="preserve"> –</w:t>
      </w:r>
      <w:r w:rsidRPr="00DF38B2">
        <w:t xml:space="preserve"> was the subject of a review undertaken by the Commonwealth Ombudsman in 2012</w:t>
      </w:r>
      <w:r w:rsidR="00C65383" w:rsidRPr="00DF38B2">
        <w:t xml:space="preserve"> (</w:t>
      </w:r>
      <w:r w:rsidR="00DF38B2" w:rsidRPr="00DF38B2">
        <w:t>Commonwealth</w:t>
      </w:r>
      <w:r w:rsidR="00C65383" w:rsidRPr="00DF38B2">
        <w:t xml:space="preserve"> Ombudsman</w:t>
      </w:r>
      <w:r w:rsidR="00E964B4">
        <w:t>,</w:t>
      </w:r>
      <w:r w:rsidR="00C65383" w:rsidRPr="00DF38B2">
        <w:t xml:space="preserve"> 201</w:t>
      </w:r>
      <w:r w:rsidR="00842824">
        <w:t>2a</w:t>
      </w:r>
      <w:r w:rsidR="00C65383" w:rsidRPr="00DF38B2">
        <w:t>)</w:t>
      </w:r>
      <w:r w:rsidR="00445BB3">
        <w:t xml:space="preserve">. </w:t>
      </w:r>
      <w:r w:rsidRPr="00DF38B2">
        <w:t xml:space="preserve">This </w:t>
      </w:r>
      <w:r w:rsidR="00F92AF9">
        <w:t>constituted</w:t>
      </w:r>
      <w:r w:rsidRPr="00DF38B2">
        <w:t xml:space="preserve"> an extensive review of the processes implemented by Centrelink in administering these elements and the underlying DSS guidelines.</w:t>
      </w:r>
    </w:p>
    <w:p w:rsidR="005E1FE0" w:rsidRPr="00DF38B2" w:rsidRDefault="005E1FE0" w:rsidP="006654AE">
      <w:r w:rsidRPr="00DF38B2">
        <w:t xml:space="preserve">The </w:t>
      </w:r>
      <w:r w:rsidR="00E964B4">
        <w:t xml:space="preserve">Commonwealth </w:t>
      </w:r>
      <w:r w:rsidRPr="00DF38B2">
        <w:t>Ombudsman examined a sample of decisions and the processes the agencies used in determining financial vulnerability</w:t>
      </w:r>
      <w:r w:rsidR="00F92AF9">
        <w:t>,</w:t>
      </w:r>
      <w:r w:rsidRPr="00DF38B2">
        <w:t xml:space="preserve"> and made seven recommendations with respect to this aspect of the review</w:t>
      </w:r>
      <w:r w:rsidR="00445BB3">
        <w:t xml:space="preserve">. </w:t>
      </w:r>
      <w:r w:rsidRPr="00DF38B2">
        <w:t xml:space="preserve">These and the response by the departments are detailed in the </w:t>
      </w:r>
      <w:r w:rsidR="00E964B4">
        <w:t xml:space="preserve">Commonwealth </w:t>
      </w:r>
      <w:r w:rsidRPr="00DF38B2">
        <w:t>Ombudsman’s report. The responses included improved work flow and documentation, additional training for staff, revision of the Guide to Social Security Law</w:t>
      </w:r>
      <w:r w:rsidR="00F92AF9">
        <w:t>,</w:t>
      </w:r>
      <w:r w:rsidRPr="00DF38B2">
        <w:t xml:space="preserve"> and ensuring improved access to interpreter services.</w:t>
      </w:r>
    </w:p>
    <w:p w:rsidR="005E1FE0" w:rsidRPr="00DF38B2" w:rsidRDefault="005E1FE0" w:rsidP="006654AE">
      <w:pPr>
        <w:pStyle w:val="Heading2"/>
        <w:spacing w:line="252" w:lineRule="auto"/>
      </w:pPr>
      <w:bookmarkStart w:id="247" w:name="_Toc403739024"/>
      <w:r w:rsidRPr="00DF38B2">
        <w:t>Trends in exemptions</w:t>
      </w:r>
      <w:bookmarkEnd w:id="247"/>
    </w:p>
    <w:p w:rsidR="005E1FE0" w:rsidRPr="00DF38B2" w:rsidRDefault="005E1FE0" w:rsidP="006654AE">
      <w:r w:rsidRPr="00DF38B2">
        <w:t xml:space="preserve">This section is concerned with </w:t>
      </w:r>
      <w:r w:rsidR="00C65383" w:rsidRPr="00DF38B2">
        <w:t>variation in the</w:t>
      </w:r>
      <w:r w:rsidRPr="00DF38B2">
        <w:t xml:space="preserve"> level and rate of exemptions over time. Before presenting </w:t>
      </w:r>
      <w:r w:rsidR="00D20973" w:rsidRPr="00DF38B2">
        <w:t>this the</w:t>
      </w:r>
      <w:r w:rsidR="00C65383" w:rsidRPr="00DF38B2">
        <w:t xml:space="preserve"> definition of exemptions </w:t>
      </w:r>
      <w:r w:rsidR="00C70C8F">
        <w:t xml:space="preserve">in terms of scope </w:t>
      </w:r>
      <w:r w:rsidR="00C65383" w:rsidRPr="00DF38B2">
        <w:t xml:space="preserve">as used in this report needs to be </w:t>
      </w:r>
      <w:r w:rsidR="00C70C8F">
        <w:t>specified</w:t>
      </w:r>
      <w:r w:rsidR="00C65383" w:rsidRPr="00DF38B2">
        <w:t>.</w:t>
      </w:r>
      <w:r w:rsidR="00B84AFE">
        <w:t xml:space="preserve"> </w:t>
      </w:r>
      <w:r w:rsidR="00C65383" w:rsidRPr="00DF38B2">
        <w:t>W</w:t>
      </w:r>
      <w:r w:rsidRPr="00DF38B2">
        <w:t xml:space="preserve">hile this is </w:t>
      </w:r>
      <w:r w:rsidR="00C70C8F">
        <w:t xml:space="preserve">a </w:t>
      </w:r>
      <w:r w:rsidRPr="00DF38B2">
        <w:t>technical issue</w:t>
      </w:r>
      <w:r w:rsidR="00C70C8F">
        <w:t>,</w:t>
      </w:r>
      <w:r w:rsidRPr="00DF38B2">
        <w:t xml:space="preserve"> it is clarified here since the data we present may differ from that contained in official documents.</w:t>
      </w:r>
    </w:p>
    <w:p w:rsidR="005E1FE0" w:rsidRPr="00DF38B2" w:rsidRDefault="005E1FE0" w:rsidP="006654AE">
      <w:pPr>
        <w:pStyle w:val="Heading3"/>
        <w:spacing w:line="252" w:lineRule="auto"/>
      </w:pPr>
      <w:bookmarkStart w:id="248" w:name="_Toc403739025"/>
      <w:r w:rsidRPr="00DF38B2">
        <w:t>Scope of analysis</w:t>
      </w:r>
      <w:bookmarkEnd w:id="248"/>
    </w:p>
    <w:p w:rsidR="005E1FE0" w:rsidRPr="00DF38B2" w:rsidRDefault="005E1FE0" w:rsidP="006654AE">
      <w:r w:rsidRPr="00DF38B2">
        <w:t>There are effectively two types of exemptions which operate under New Income Management</w:t>
      </w:r>
      <w:r w:rsidR="00445BB3">
        <w:t xml:space="preserve">. </w:t>
      </w:r>
      <w:r w:rsidRPr="00DF38B2">
        <w:t>The first are automatic exemptions for full-time students and apprentices</w:t>
      </w:r>
      <w:r w:rsidR="00445BB3">
        <w:t xml:space="preserve">. </w:t>
      </w:r>
      <w:r w:rsidRPr="00DF38B2">
        <w:t>The second are those exemptions which are granted on the basis of individual application to Centrelink.</w:t>
      </w:r>
    </w:p>
    <w:p w:rsidR="005E1FE0" w:rsidRPr="00DF38B2" w:rsidRDefault="005E1FE0" w:rsidP="006654AE">
      <w:r w:rsidRPr="00DF38B2">
        <w:t xml:space="preserve">It is this second form of exemption </w:t>
      </w:r>
      <w:r w:rsidR="00C70C8F">
        <w:t>that</w:t>
      </w:r>
      <w:r w:rsidRPr="00DF38B2">
        <w:t xml:space="preserve"> is the focus of this chapter, as it was in the </w:t>
      </w:r>
      <w:r w:rsidR="00292F40">
        <w:t>F</w:t>
      </w:r>
      <w:r w:rsidRPr="00DF38B2">
        <w:t xml:space="preserve">irst </w:t>
      </w:r>
      <w:r w:rsidR="00292F40">
        <w:t>E</w:t>
      </w:r>
      <w:r w:rsidRPr="00DF38B2">
        <w:t xml:space="preserve">valuation </w:t>
      </w:r>
      <w:r w:rsidR="00292F40">
        <w:t>R</w:t>
      </w:r>
      <w:r w:rsidRPr="00DF38B2">
        <w:t>eport.</w:t>
      </w:r>
    </w:p>
    <w:p w:rsidR="005E1FE0" w:rsidRPr="00DF38B2" w:rsidRDefault="005E1FE0" w:rsidP="006654AE">
      <w:r w:rsidRPr="00DF38B2">
        <w:t>There are two reasons for this:</w:t>
      </w:r>
    </w:p>
    <w:p w:rsidR="005E1FE0" w:rsidRPr="00DF38B2" w:rsidRDefault="005E1FE0" w:rsidP="006654AE">
      <w:pPr>
        <w:pStyle w:val="dot"/>
        <w:spacing w:line="252" w:lineRule="auto"/>
      </w:pPr>
      <w:r w:rsidRPr="00DF38B2">
        <w:t xml:space="preserve">As the automatic exemptions operate in terms of a person being determined not to be subject to income management, the circumstances of these groups are the same as those </w:t>
      </w:r>
      <w:r w:rsidR="00C65383" w:rsidRPr="00DF38B2">
        <w:t xml:space="preserve">persons who are </w:t>
      </w:r>
      <w:r w:rsidRPr="00DF38B2">
        <w:t xml:space="preserve">on other forms of income support </w:t>
      </w:r>
      <w:r w:rsidR="00C70C8F">
        <w:t>that</w:t>
      </w:r>
      <w:r w:rsidRPr="00DF38B2">
        <w:t xml:space="preserve"> are out of scope of income management</w:t>
      </w:r>
      <w:r w:rsidR="00301801">
        <w:t>.</w:t>
      </w:r>
    </w:p>
    <w:p w:rsidR="005E1FE0" w:rsidRPr="00DF38B2" w:rsidRDefault="005E1FE0" w:rsidP="006654AE">
      <w:pPr>
        <w:pStyle w:val="dot"/>
        <w:spacing w:line="252" w:lineRule="auto"/>
      </w:pPr>
      <w:r w:rsidRPr="00DF38B2">
        <w:t>These exemptions effectively apply only to non-Indigenous people. Indigenous people who are undertaking the equivalent activities are eligible for the ABSTUDY program</w:t>
      </w:r>
      <w:r w:rsidR="00C70C8F">
        <w:t>,</w:t>
      </w:r>
      <w:r w:rsidRPr="00DF38B2">
        <w:t xml:space="preserve"> which is a specific income and education support program aimed at addressing Indigenous disadvantage in education and is outside of the scope of income management</w:t>
      </w:r>
      <w:r w:rsidR="00445BB3">
        <w:t xml:space="preserve">. </w:t>
      </w:r>
      <w:r w:rsidR="00C65383" w:rsidRPr="00DF38B2">
        <w:t xml:space="preserve">Inclusion of this group of exemptions would hence bias the </w:t>
      </w:r>
      <w:proofErr w:type="gramStart"/>
      <w:r w:rsidR="00C65383" w:rsidRPr="00DF38B2">
        <w:t>analysis</w:t>
      </w:r>
      <w:r w:rsidR="00C32D5A">
        <w:t>,</w:t>
      </w:r>
      <w:proofErr w:type="gramEnd"/>
      <w:r w:rsidR="00C65383" w:rsidRPr="00DF38B2">
        <w:t xml:space="preserve"> inappropriately inflate the number of exemptions </w:t>
      </w:r>
      <w:r w:rsidR="00301801">
        <w:t xml:space="preserve">being granted </w:t>
      </w:r>
      <w:r w:rsidR="00C65383" w:rsidRPr="00DF38B2">
        <w:t>to non-Indigenous people</w:t>
      </w:r>
      <w:r w:rsidR="00C32D5A">
        <w:t xml:space="preserve"> and result in the analysis being undertaken on two different population definitions depending upon Indigeneity</w:t>
      </w:r>
      <w:r w:rsidR="00C65383" w:rsidRPr="00DF38B2">
        <w:t>.</w:t>
      </w:r>
    </w:p>
    <w:p w:rsidR="005E1FE0" w:rsidRPr="00DF38B2" w:rsidRDefault="005E1FE0" w:rsidP="006654AE">
      <w:r w:rsidRPr="00DF38B2">
        <w:t>Reflecting this, the language of exemptions in the balance of this chapter simply refers to those with a non-automatic exemption</w:t>
      </w:r>
      <w:r w:rsidR="00445BB3">
        <w:t xml:space="preserve">. </w:t>
      </w:r>
      <w:r w:rsidRPr="00DF38B2">
        <w:t>Those exempted because they are a full-time student or apprentice have been identified as being ‘</w:t>
      </w:r>
      <w:r w:rsidR="00C70C8F" w:rsidRPr="00DF38B2">
        <w:t>out of scope’</w:t>
      </w:r>
      <w:r w:rsidRPr="00DF38B2">
        <w:t>.</w:t>
      </w:r>
    </w:p>
    <w:p w:rsidR="005E1FE0" w:rsidRPr="00DF38B2" w:rsidRDefault="005E1FE0" w:rsidP="006654AE">
      <w:r w:rsidRPr="00DF38B2">
        <w:t>A consequence of this is that the levels of exemptions presented here may be lower than those reported in some official statistics</w:t>
      </w:r>
      <w:r w:rsidR="00C70C8F">
        <w:t>,</w:t>
      </w:r>
      <w:r w:rsidRPr="00DF38B2">
        <w:t xml:space="preserve"> as these tend to include the </w:t>
      </w:r>
      <w:r w:rsidR="00C70C8F">
        <w:t>‘</w:t>
      </w:r>
      <w:r w:rsidRPr="00DF38B2">
        <w:t>out of scope</w:t>
      </w:r>
      <w:r w:rsidR="00C70C8F">
        <w:t>’</w:t>
      </w:r>
      <w:r w:rsidRPr="00DF38B2">
        <w:t xml:space="preserve"> group.</w:t>
      </w:r>
    </w:p>
    <w:p w:rsidR="005E1FE0" w:rsidRPr="00DF38B2" w:rsidRDefault="005E1FE0" w:rsidP="006654AE">
      <w:pPr>
        <w:pStyle w:val="Heading3"/>
        <w:spacing w:line="252" w:lineRule="auto"/>
      </w:pPr>
      <w:bookmarkStart w:id="249" w:name="_Toc403739026"/>
      <w:r w:rsidRPr="00DF38B2">
        <w:t>Trends in exemptions</w:t>
      </w:r>
      <w:bookmarkEnd w:id="249"/>
    </w:p>
    <w:p w:rsidR="005E1FE0" w:rsidRPr="00DF38B2" w:rsidRDefault="005E1FE0" w:rsidP="006654AE">
      <w:r w:rsidRPr="00DF38B2">
        <w:t xml:space="preserve">After an initial period associated with the </w:t>
      </w:r>
      <w:r w:rsidR="00D76AEA">
        <w:t>rollout</w:t>
      </w:r>
      <w:r w:rsidRPr="00DF38B2">
        <w:t xml:space="preserve"> of New Income Management, the number of people with an exemption from the program rose to around 1,600 people in August 2011. It has remained around this level since</w:t>
      </w:r>
      <w:r w:rsidR="00C70C8F">
        <w:t xml:space="preserve"> that time</w:t>
      </w:r>
      <w:r w:rsidRPr="00DF38B2">
        <w:t>.</w:t>
      </w:r>
    </w:p>
    <w:p w:rsidR="005E1FE0" w:rsidRPr="00DF38B2" w:rsidRDefault="005E1FE0" w:rsidP="006654AE">
      <w:r w:rsidRPr="00DF38B2">
        <w:t xml:space="preserve">The exemption rate (the number of people exempt as a proportion of the number of people who are on </w:t>
      </w:r>
      <w:r w:rsidR="00E964B4">
        <w:t>C</w:t>
      </w:r>
      <w:r w:rsidRPr="00DF38B2">
        <w:t xml:space="preserve">ompulsory </w:t>
      </w:r>
      <w:r w:rsidR="00E964B4">
        <w:t>I</w:t>
      </w:r>
      <w:r w:rsidRPr="00DF38B2">
        <w:t xml:space="preserve">ncome </w:t>
      </w:r>
      <w:r w:rsidR="00E964B4">
        <w:t>M</w:t>
      </w:r>
      <w:r w:rsidRPr="00DF38B2">
        <w:t>anagement – that is</w:t>
      </w:r>
      <w:r w:rsidR="00C70C8F">
        <w:t>,</w:t>
      </w:r>
      <w:r w:rsidRPr="00DF38B2">
        <w:t xml:space="preserve"> the Disengaged Youth and the Long Term Welfare Payment Recipient streams – plus the number with an exemption) has over the same period </w:t>
      </w:r>
      <w:r w:rsidR="00C70C8F" w:rsidRPr="00DF38B2">
        <w:t xml:space="preserve">initially </w:t>
      </w:r>
      <w:r w:rsidRPr="00DF38B2">
        <w:t>risen to a peak of 11.8 per cent and</w:t>
      </w:r>
      <w:r w:rsidR="00C70C8F">
        <w:t>,</w:t>
      </w:r>
      <w:r w:rsidRPr="00DF38B2">
        <w:t xml:space="preserve"> while fluctuating, has shown a slight decline over time</w:t>
      </w:r>
      <w:r w:rsidR="00445BB3">
        <w:t xml:space="preserve">. </w:t>
      </w:r>
      <w:r w:rsidRPr="00DF38B2">
        <w:t>The exemption rate reached a low of 9.8 per cent in mid</w:t>
      </w:r>
      <w:r w:rsidR="00C70C8F">
        <w:t>-</w:t>
      </w:r>
      <w:r w:rsidRPr="00DF38B2">
        <w:t>2013 before increasing towards the end of the year.</w:t>
      </w:r>
      <w:r w:rsidR="00C65383" w:rsidRPr="00DF38B2">
        <w:t xml:space="preserve"> This is shown in </w:t>
      </w:r>
      <w:r w:rsidR="00C65383" w:rsidRPr="00DF38B2">
        <w:fldChar w:fldCharType="begin"/>
      </w:r>
      <w:r w:rsidR="00C65383" w:rsidRPr="00DF38B2">
        <w:instrText xml:space="preserve"> REF _Ref392265375 \h </w:instrText>
      </w:r>
      <w:r w:rsidR="00C65383" w:rsidRPr="00DF38B2">
        <w:fldChar w:fldCharType="separate"/>
      </w:r>
      <w:r w:rsidR="00906D13" w:rsidRPr="00DF38B2">
        <w:t xml:space="preserve">Figure </w:t>
      </w:r>
      <w:r w:rsidR="00906D13">
        <w:rPr>
          <w:noProof/>
        </w:rPr>
        <w:t>5</w:t>
      </w:r>
      <w:r w:rsidR="00906D13" w:rsidRPr="00DF38B2">
        <w:noBreakHyphen/>
      </w:r>
      <w:r w:rsidR="00906D13">
        <w:rPr>
          <w:noProof/>
        </w:rPr>
        <w:t>1</w:t>
      </w:r>
      <w:r w:rsidR="00C65383" w:rsidRPr="00DF38B2">
        <w:fldChar w:fldCharType="end"/>
      </w:r>
      <w:r w:rsidR="00C65383" w:rsidRPr="00DF38B2">
        <w:t>.</w:t>
      </w:r>
    </w:p>
    <w:p w:rsidR="005E1FE0" w:rsidRPr="00DF38B2" w:rsidRDefault="005E1FE0" w:rsidP="006654AE">
      <w:r w:rsidRPr="00FE502F">
        <w:lastRenderedPageBreak/>
        <w:t>At the end of De</w:t>
      </w:r>
      <w:r w:rsidRPr="009655C3">
        <w:t>cember 2013 there were 1,601 people with a current exemption from income management</w:t>
      </w:r>
      <w:r w:rsidR="009D2F15">
        <w:t>. This represents and exemption rate of</w:t>
      </w:r>
      <w:r w:rsidRPr="009655C3">
        <w:t xml:space="preserve"> 10.2 per cent </w:t>
      </w:r>
      <w:r w:rsidR="009D2F15">
        <w:t xml:space="preserve">when taken as a proportion </w:t>
      </w:r>
      <w:r w:rsidRPr="009655C3">
        <w:t xml:space="preserve">of the sum of </w:t>
      </w:r>
      <w:r w:rsidR="009D2F15">
        <w:t>people with an exemption</w:t>
      </w:r>
      <w:r w:rsidR="009D2F15" w:rsidRPr="009655C3">
        <w:t xml:space="preserve"> </w:t>
      </w:r>
      <w:r w:rsidRPr="009655C3">
        <w:t xml:space="preserve">and the 14,048 people on the two compulsory streams from which an exemption can be gained. As </w:t>
      </w:r>
      <w:r w:rsidRPr="003F2A38">
        <w:t xml:space="preserve">illustrated in </w:t>
      </w:r>
      <w:r w:rsidR="0035357E">
        <w:fldChar w:fldCharType="begin"/>
      </w:r>
      <w:r w:rsidR="0035357E">
        <w:instrText xml:space="preserve"> REF _Ref392265375  \* MERGEFORMAT </w:instrText>
      </w:r>
      <w:r w:rsidR="0035357E">
        <w:fldChar w:fldCharType="separate"/>
      </w:r>
      <w:r w:rsidR="00906D13" w:rsidRPr="00DF38B2">
        <w:t xml:space="preserve">Figure </w:t>
      </w:r>
      <w:r w:rsidR="00906D13">
        <w:rPr>
          <w:noProof/>
        </w:rPr>
        <w:t>5</w:t>
      </w:r>
      <w:r w:rsidR="00906D13" w:rsidRPr="00DF38B2">
        <w:rPr>
          <w:noProof/>
        </w:rPr>
        <w:noBreakHyphen/>
      </w:r>
      <w:r w:rsidR="00906D13">
        <w:rPr>
          <w:noProof/>
        </w:rPr>
        <w:t>1</w:t>
      </w:r>
      <w:r w:rsidR="0035357E">
        <w:rPr>
          <w:noProof/>
        </w:rPr>
        <w:fldChar w:fldCharType="end"/>
      </w:r>
      <w:r w:rsidR="006C0292" w:rsidRPr="003F2A38">
        <w:t>,</w:t>
      </w:r>
      <w:r w:rsidRPr="003F2A38">
        <w:t xml:space="preserve"> among</w:t>
      </w:r>
      <w:r w:rsidRPr="009655C3">
        <w:t xml:space="preserve"> those wh</w:t>
      </w:r>
      <w:r w:rsidRPr="00DF38B2">
        <w:t xml:space="preserve">o have an exemption from </w:t>
      </w:r>
      <w:r w:rsidR="00F861CA">
        <w:t>C</w:t>
      </w:r>
      <w:r w:rsidRPr="00DF38B2">
        <w:t xml:space="preserve">ompulsory </w:t>
      </w:r>
      <w:r w:rsidR="00F861CA">
        <w:t>I</w:t>
      </w:r>
      <w:r w:rsidRPr="00DF38B2">
        <w:t xml:space="preserve">ncome </w:t>
      </w:r>
      <w:r w:rsidR="00F861CA">
        <w:t>M</w:t>
      </w:r>
      <w:r w:rsidRPr="00DF38B2">
        <w:t xml:space="preserve">anagement there is a very small group who have obtained an exemption but have then chosen to go onto Voluntary Income </w:t>
      </w:r>
      <w:proofErr w:type="gramStart"/>
      <w:r w:rsidRPr="00DF38B2">
        <w:t>Management.</w:t>
      </w:r>
      <w:proofErr w:type="gramEnd"/>
      <w:r w:rsidRPr="00DF38B2">
        <w:t xml:space="preserve"> This group</w:t>
      </w:r>
      <w:r w:rsidR="006C0292">
        <w:t xml:space="preserve"> –</w:t>
      </w:r>
      <w:r w:rsidRPr="00DF38B2">
        <w:t xml:space="preserve"> which is included in the exempted population</w:t>
      </w:r>
      <w:r w:rsidR="006C0292">
        <w:t xml:space="preserve"> –</w:t>
      </w:r>
      <w:r w:rsidRPr="00DF38B2">
        <w:t xml:space="preserve"> has fluctuated between 10 and 25 people over the period, with 21 in this situation at the end of 2013</w:t>
      </w:r>
      <w:r w:rsidR="00445BB3">
        <w:t xml:space="preserve">. </w:t>
      </w:r>
      <w:r w:rsidRPr="00DF38B2">
        <w:t xml:space="preserve">One potential reason for a person on </w:t>
      </w:r>
      <w:r w:rsidR="00F861CA">
        <w:t>C</w:t>
      </w:r>
      <w:r w:rsidRPr="00DF38B2">
        <w:t xml:space="preserve">ompulsory </w:t>
      </w:r>
      <w:r w:rsidR="00F861CA">
        <w:t>I</w:t>
      </w:r>
      <w:r w:rsidRPr="00DF38B2">
        <w:t xml:space="preserve">ncome </w:t>
      </w:r>
      <w:r w:rsidR="00F861CA">
        <w:t>M</w:t>
      </w:r>
      <w:r w:rsidRPr="00DF38B2">
        <w:t>anagement making this choice</w:t>
      </w:r>
      <w:r w:rsidR="006C0292">
        <w:t xml:space="preserve"> –</w:t>
      </w:r>
      <w:r w:rsidRPr="00DF38B2">
        <w:t xml:space="preserve"> of seeking an exemption from one form of income management and then moving back onto the program</w:t>
      </w:r>
      <w:r w:rsidR="006C0292">
        <w:t xml:space="preserve"> –</w:t>
      </w:r>
      <w:r w:rsidRPr="00DF38B2">
        <w:t xml:space="preserve"> is that it allows them to obtain the additional incentive payment made to people on the voluntary program.</w:t>
      </w:r>
    </w:p>
    <w:p w:rsidR="005E1FE0" w:rsidRPr="00DF38B2" w:rsidRDefault="005E1FE0" w:rsidP="006654AE">
      <w:pPr>
        <w:pStyle w:val="Caption"/>
      </w:pPr>
      <w:bookmarkStart w:id="250" w:name="_Ref392265375"/>
      <w:bookmarkStart w:id="251" w:name="_Toc40373952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250"/>
      <w:r w:rsidRPr="00DF38B2">
        <w:tab/>
        <w:t>Numbers exempt, out of scope exempt and exemption rate</w:t>
      </w:r>
      <w:r w:rsidR="00097266">
        <w:t>, NIM</w:t>
      </w:r>
      <w:r w:rsidR="006C0292">
        <w:t>,</w:t>
      </w:r>
      <w:r w:rsidR="00D86209">
        <w:t xml:space="preserve"> 2010 to 2013</w:t>
      </w:r>
      <w:bookmarkEnd w:id="251"/>
    </w:p>
    <w:p w:rsidR="005E1FE0" w:rsidRPr="00DF38B2" w:rsidRDefault="005E1FE0" w:rsidP="006654AE">
      <w:pPr>
        <w:pStyle w:val="graphicpaste"/>
      </w:pPr>
      <w:r w:rsidRPr="008E4D9D">
        <w:rPr>
          <w:noProof/>
        </w:rPr>
        <w:drawing>
          <wp:inline distT="0" distB="0" distL="0" distR="0" wp14:anchorId="6E28A15A" wp14:editId="27C2DF26">
            <wp:extent cx="5181600" cy="2743200"/>
            <wp:effectExtent l="0" t="0" r="0" b="0"/>
            <wp:docPr id="33" name="Picture 33" descr="Line chart with horizontal axis being time from December 2010 to December 2013. Four lines are plotted: The total number with an exemption, the number who were out-of-scope, the number with an exemption who were on voluntary income management, and on the secondary axis the exemption rate.&#10;The graph is discussed in detail in the text above and below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600" cy="2743200"/>
                    </a:xfrm>
                    <a:prstGeom prst="rect">
                      <a:avLst/>
                    </a:prstGeom>
                    <a:noFill/>
                    <a:ln>
                      <a:noFill/>
                    </a:ln>
                  </pic:spPr>
                </pic:pic>
              </a:graphicData>
            </a:graphic>
          </wp:inline>
        </w:drawing>
      </w:r>
    </w:p>
    <w:p w:rsidR="005E1FE0" w:rsidRDefault="005E1FE0" w:rsidP="006654AE">
      <w:pPr>
        <w:pStyle w:val="tablenotes"/>
      </w:pPr>
      <w:r w:rsidRPr="00DF38B2">
        <w:t>Source:</w:t>
      </w:r>
      <w:r w:rsidR="00B84AFE">
        <w:t xml:space="preserve"> </w:t>
      </w:r>
      <w:r w:rsidR="002532F6">
        <w:tab/>
      </w:r>
      <w:r w:rsidRPr="00DF38B2">
        <w:t>Derived from DHS Administrative data provided for the purposes of the evaluation.</w:t>
      </w:r>
    </w:p>
    <w:p w:rsidR="00A77FC9" w:rsidRPr="00DF38B2" w:rsidRDefault="00A77FC9" w:rsidP="006654AE">
      <w:pPr>
        <w:pStyle w:val="tablefootnoteslastline"/>
      </w:pPr>
    </w:p>
    <w:p w:rsidR="00E964B4" w:rsidRPr="00DF38B2" w:rsidRDefault="005E1FE0" w:rsidP="006654AE">
      <w:r w:rsidRPr="00DF38B2">
        <w:t xml:space="preserve">Also shown in </w:t>
      </w:r>
      <w:r w:rsidRPr="003D75FE">
        <w:fldChar w:fldCharType="begin"/>
      </w:r>
      <w:r w:rsidRPr="00DF38B2">
        <w:instrText xml:space="preserve"> REF _Ref392265375 \h </w:instrText>
      </w:r>
      <w:r w:rsidRPr="003D75FE">
        <w:fldChar w:fldCharType="separate"/>
      </w:r>
      <w:r w:rsidR="00906D13" w:rsidRPr="00DF38B2">
        <w:t xml:space="preserve">Figure </w:t>
      </w:r>
      <w:r w:rsidR="00906D13">
        <w:rPr>
          <w:noProof/>
        </w:rPr>
        <w:t>5</w:t>
      </w:r>
      <w:r w:rsidR="00906D13" w:rsidRPr="00DF38B2">
        <w:noBreakHyphen/>
      </w:r>
      <w:r w:rsidR="00906D13">
        <w:rPr>
          <w:noProof/>
        </w:rPr>
        <w:t>1</w:t>
      </w:r>
      <w:r w:rsidRPr="003D75FE">
        <w:fldChar w:fldCharType="end"/>
      </w:r>
      <w:r w:rsidRPr="00DF38B2">
        <w:t xml:space="preserve"> is the </w:t>
      </w:r>
      <w:r w:rsidR="006C0292">
        <w:t>‘</w:t>
      </w:r>
      <w:r w:rsidR="006C0292" w:rsidRPr="00DF38B2">
        <w:t>out of scope</w:t>
      </w:r>
      <w:r w:rsidR="006C0292">
        <w:t>’</w:t>
      </w:r>
      <w:r w:rsidRPr="00DF38B2">
        <w:t xml:space="preserve"> group</w:t>
      </w:r>
      <w:r w:rsidR="006C0292">
        <w:t>,</w:t>
      </w:r>
      <w:r w:rsidRPr="00DF38B2">
        <w:t xml:space="preserve"> who are automatically exempt by virtue of being full-time students or apprentices</w:t>
      </w:r>
      <w:r w:rsidR="00445BB3">
        <w:t xml:space="preserve">. </w:t>
      </w:r>
      <w:r w:rsidRPr="00DF38B2">
        <w:t xml:space="preserve">This group reached a peak of </w:t>
      </w:r>
      <w:r w:rsidR="00F2336A">
        <w:t>just over 680</w:t>
      </w:r>
      <w:r w:rsidRPr="00DF38B2">
        <w:t xml:space="preserve"> persons in late 2011</w:t>
      </w:r>
      <w:r w:rsidR="006C0292">
        <w:t>,</w:t>
      </w:r>
      <w:r w:rsidRPr="00DF38B2">
        <w:t xml:space="preserve"> but has since declined to just 346 in December 2013</w:t>
      </w:r>
      <w:r w:rsidR="00445BB3">
        <w:t xml:space="preserve">. </w:t>
      </w:r>
      <w:r w:rsidRPr="00DF38B2">
        <w:t>It is probable that a major reason for this decline w</w:t>
      </w:r>
      <w:r w:rsidR="006C0292">
        <w:t>as</w:t>
      </w:r>
      <w:r w:rsidRPr="00DF38B2">
        <w:t xml:space="preserve"> the </w:t>
      </w:r>
      <w:r w:rsidR="00E964B4">
        <w:t xml:space="preserve">income support </w:t>
      </w:r>
      <w:r w:rsidRPr="00DF38B2">
        <w:t>policy change in January 2012 which made Family Tax Benefit Part A the main payment for full-time secondary students aged 16 to 17 years, whereas previously they were eligible to receive Youth Allowance</w:t>
      </w:r>
      <w:r w:rsidR="00C65383" w:rsidRPr="00DF38B2">
        <w:t xml:space="preserve"> in their own right</w:t>
      </w:r>
      <w:r w:rsidRPr="00DF38B2">
        <w:t>.</w:t>
      </w:r>
    </w:p>
    <w:p w:rsidR="005E1FE0" w:rsidRPr="00DF38B2" w:rsidRDefault="005E1FE0" w:rsidP="006654AE">
      <w:pPr>
        <w:pStyle w:val="Caption"/>
      </w:pPr>
      <w:bookmarkStart w:id="252" w:name="_Ref392012309"/>
      <w:bookmarkStart w:id="253" w:name="_Toc40373952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252"/>
      <w:r w:rsidRPr="00DF38B2">
        <w:tab/>
        <w:t xml:space="preserve">Exemption rate by gender and Indigenous status, </w:t>
      </w:r>
      <w:r w:rsidR="00097266">
        <w:t xml:space="preserve">NIM, </w:t>
      </w:r>
      <w:r w:rsidRPr="00DF38B2">
        <w:t>December 2010 to December 2013</w:t>
      </w:r>
      <w:bookmarkEnd w:id="253"/>
      <w:r w:rsidRPr="00DF38B2">
        <w:t xml:space="preserve"> </w:t>
      </w:r>
    </w:p>
    <w:p w:rsidR="005E1FE0" w:rsidRPr="00DF38B2" w:rsidRDefault="005E1FE0" w:rsidP="006654AE">
      <w:pPr>
        <w:pStyle w:val="graphicpaste"/>
      </w:pPr>
      <w:r w:rsidRPr="008E4D9D">
        <w:rPr>
          <w:noProof/>
        </w:rPr>
        <w:drawing>
          <wp:inline distT="0" distB="0" distL="0" distR="0" wp14:anchorId="79F78C65" wp14:editId="28D1E57F">
            <wp:extent cx="4572000" cy="2743200"/>
            <wp:effectExtent l="0" t="0" r="0" b="0"/>
            <wp:docPr id="36" name="Picture 36" descr="Line chart with horizontal axis being time from December 2010 to December 2013. Four lines are plotted showing the exemption rates for: non-Indigenous males; non-Indigenous females; Indigenous males and Indigenous females. &#10;The chart is discussed in detail in the text above and below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DF38B2">
        <w:t>Source:</w:t>
      </w:r>
      <w:r w:rsidR="005D1CC5">
        <w:t xml:space="preserve"> </w:t>
      </w:r>
      <w:r w:rsidR="002532F6">
        <w:tab/>
      </w:r>
      <w:r w:rsidRPr="00DF38B2">
        <w:t>Derived from DHS Administrative data provided for the purposes of the evaluation.</w:t>
      </w:r>
    </w:p>
    <w:p w:rsidR="00E964B4" w:rsidRPr="00DF38B2" w:rsidRDefault="00E964B4" w:rsidP="006654AE">
      <w:r w:rsidRPr="00DF38B2">
        <w:t>The rate of exemption varies dramatically by both gender and Indigenous status</w:t>
      </w:r>
      <w:r>
        <w:t xml:space="preserve">. </w:t>
      </w:r>
      <w:r w:rsidRPr="00DF38B2">
        <w:t xml:space="preserve">This will be considered further in this chapter. </w:t>
      </w:r>
      <w:r w:rsidRPr="003D75FE">
        <w:fldChar w:fldCharType="begin"/>
      </w:r>
      <w:r w:rsidRPr="00DF38B2">
        <w:instrText xml:space="preserve"> REF _Ref392012309 \h </w:instrText>
      </w:r>
      <w:r w:rsidRPr="003D75FE">
        <w:fldChar w:fldCharType="separate"/>
      </w:r>
      <w:r w:rsidR="00906D13" w:rsidRPr="00DF38B2">
        <w:t xml:space="preserve">Figure </w:t>
      </w:r>
      <w:r w:rsidR="00906D13">
        <w:rPr>
          <w:noProof/>
        </w:rPr>
        <w:t>5</w:t>
      </w:r>
      <w:r w:rsidR="00906D13" w:rsidRPr="00DF38B2">
        <w:noBreakHyphen/>
      </w:r>
      <w:r w:rsidR="00906D13">
        <w:rPr>
          <w:noProof/>
        </w:rPr>
        <w:t>2</w:t>
      </w:r>
      <w:r w:rsidRPr="003D75FE">
        <w:fldChar w:fldCharType="end"/>
      </w:r>
      <w:r w:rsidRPr="00DF38B2">
        <w:t xml:space="preserve"> presents the trends over time in the exemption rate for the population</w:t>
      </w:r>
      <w:r>
        <w:t>,</w:t>
      </w:r>
      <w:r w:rsidRPr="00DF38B2">
        <w:t xml:space="preserve"> split by these two characteristics.</w:t>
      </w:r>
    </w:p>
    <w:p w:rsidR="00E964B4" w:rsidRPr="00DF38B2" w:rsidRDefault="00E964B4" w:rsidP="006654AE">
      <w:pPr>
        <w:pStyle w:val="dot"/>
        <w:spacing w:line="252" w:lineRule="auto"/>
      </w:pPr>
      <w:r w:rsidRPr="00DF38B2">
        <w:t xml:space="preserve">The exemption rate for non-Indigenous women has been around 50 per cent since its initial rise to this level with the </w:t>
      </w:r>
      <w:r>
        <w:t>rollout</w:t>
      </w:r>
      <w:r w:rsidRPr="00DF38B2">
        <w:t xml:space="preserve"> of </w:t>
      </w:r>
      <w:r w:rsidR="001C3AAB">
        <w:t xml:space="preserve">New Income </w:t>
      </w:r>
      <w:r w:rsidR="00B7352B">
        <w:t>Management</w:t>
      </w:r>
      <w:r w:rsidRPr="00DF38B2">
        <w:t xml:space="preserve"> in late 2010 and early 2011. In December 2013 it was </w:t>
      </w:r>
      <w:r>
        <w:t>51.4</w:t>
      </w:r>
      <w:r w:rsidRPr="00DF38B2">
        <w:t> per cent.</w:t>
      </w:r>
    </w:p>
    <w:p w:rsidR="00E964B4" w:rsidRPr="00DF38B2" w:rsidRDefault="00E964B4" w:rsidP="006654AE">
      <w:pPr>
        <w:pStyle w:val="dot"/>
        <w:spacing w:line="252" w:lineRule="auto"/>
      </w:pPr>
      <w:r w:rsidRPr="00DF38B2">
        <w:t>The exemption rate for non-Indigenous m</w:t>
      </w:r>
      <w:r>
        <w:t>en</w:t>
      </w:r>
      <w:r w:rsidRPr="00DF38B2">
        <w:t xml:space="preserve"> has for most of the period been the second highest of the four classifications considered here. It is</w:t>
      </w:r>
      <w:r>
        <w:t>,</w:t>
      </w:r>
      <w:r w:rsidRPr="00DF38B2">
        <w:t xml:space="preserve"> however</w:t>
      </w:r>
      <w:r>
        <w:t>,</w:t>
      </w:r>
      <w:r w:rsidRPr="00DF38B2">
        <w:t xml:space="preserve"> less than 20 per cent of the rate for non-Indigenous women and has been so since the transition from NTER I</w:t>
      </w:r>
      <w:r>
        <w:t xml:space="preserve">ncome </w:t>
      </w:r>
      <w:r w:rsidRPr="00DF38B2">
        <w:t>M</w:t>
      </w:r>
      <w:r>
        <w:t>anagement.</w:t>
      </w:r>
      <w:r w:rsidRPr="00DF38B2">
        <w:rPr>
          <w:rStyle w:val="FootnoteReference"/>
        </w:rPr>
        <w:footnoteReference w:id="74"/>
      </w:r>
      <w:r>
        <w:t xml:space="preserve"> </w:t>
      </w:r>
      <w:r w:rsidRPr="00DF38B2">
        <w:t>While th</w:t>
      </w:r>
      <w:r>
        <w:t>e</w:t>
      </w:r>
      <w:r w:rsidRPr="00DF38B2">
        <w:t xml:space="preserve"> exemption rate </w:t>
      </w:r>
      <w:r>
        <w:t xml:space="preserve">for non-Indigenous men </w:t>
      </w:r>
      <w:r w:rsidRPr="00DF38B2">
        <w:t>initially sat at around</w:t>
      </w:r>
      <w:r>
        <w:t xml:space="preserve"> 10</w:t>
      </w:r>
      <w:r w:rsidRPr="00DF38B2">
        <w:t> per cent, over time it has declined, and in December 2013 it was 7.</w:t>
      </w:r>
      <w:r>
        <w:t>8</w:t>
      </w:r>
      <w:r w:rsidRPr="00DF38B2">
        <w:t> per cent.</w:t>
      </w:r>
    </w:p>
    <w:p w:rsidR="00E964B4" w:rsidRPr="00DF38B2" w:rsidRDefault="00E964B4" w:rsidP="006654AE">
      <w:pPr>
        <w:pStyle w:val="dot"/>
        <w:spacing w:line="252" w:lineRule="auto"/>
      </w:pPr>
      <w:r w:rsidRPr="00DF38B2">
        <w:t>Indigenous women initially had an exemption rate of some five percent</w:t>
      </w:r>
      <w:r>
        <w:t>,</w:t>
      </w:r>
      <w:r w:rsidRPr="00DF38B2">
        <w:t xml:space="preserve"> with this increasing slowly to reach a peak of just </w:t>
      </w:r>
      <w:proofErr w:type="gramStart"/>
      <w:r w:rsidRPr="00DF38B2">
        <w:t>under</w:t>
      </w:r>
      <w:proofErr w:type="gramEnd"/>
      <w:r w:rsidRPr="00DF38B2">
        <w:t xml:space="preserve"> </w:t>
      </w:r>
      <w:r>
        <w:t>eight</w:t>
      </w:r>
      <w:r w:rsidRPr="00DF38B2">
        <w:t> per cent in late 2011. Since then it has fluctuated between 6.1 and 7.8 per cent with no discern</w:t>
      </w:r>
      <w:r>
        <w:t>i</w:t>
      </w:r>
      <w:r w:rsidRPr="00DF38B2">
        <w:t>ble pattern. In December 2013 at 7.</w:t>
      </w:r>
      <w:r>
        <w:t>6</w:t>
      </w:r>
      <w:r w:rsidRPr="00DF38B2">
        <w:t> per cent</w:t>
      </w:r>
      <w:r>
        <w:t>,</w:t>
      </w:r>
      <w:r w:rsidRPr="00DF38B2">
        <w:t xml:space="preserve"> it was </w:t>
      </w:r>
      <w:r>
        <w:t xml:space="preserve">just below the rate for </w:t>
      </w:r>
      <w:r w:rsidRPr="00DF38B2">
        <w:t>non-Indigenous males.</w:t>
      </w:r>
    </w:p>
    <w:p w:rsidR="00E964B4" w:rsidRPr="00DF38B2" w:rsidRDefault="00E964B4" w:rsidP="006654AE">
      <w:pPr>
        <w:pStyle w:val="dot"/>
        <w:spacing w:line="252" w:lineRule="auto"/>
      </w:pPr>
      <w:r w:rsidRPr="00DF38B2">
        <w:t>After the initial transition from the NTER</w:t>
      </w:r>
      <w:r>
        <w:t xml:space="preserve"> Income Management,</w:t>
      </w:r>
      <w:r w:rsidRPr="00DF38B2">
        <w:t xml:space="preserve"> the exemption rate for Indigenous men has been continuously at or below one per cent and for the final third of 2013 it has been below half a percent</w:t>
      </w:r>
      <w:r>
        <w:t>.</w:t>
      </w:r>
      <w:r w:rsidRPr="00DF38B2">
        <w:t xml:space="preserve"> </w:t>
      </w:r>
      <w:r>
        <w:t>In December 2013 it was</w:t>
      </w:r>
      <w:r w:rsidRPr="00DF38B2">
        <w:t xml:space="preserve"> 0.4 per cent.</w:t>
      </w:r>
    </w:p>
    <w:p w:rsidR="00E964B4" w:rsidRPr="00DF38B2" w:rsidRDefault="00E964B4" w:rsidP="006654AE">
      <w:pPr>
        <w:pStyle w:val="dot"/>
        <w:spacing w:line="252" w:lineRule="auto"/>
      </w:pPr>
      <w:r w:rsidRPr="00DF38B2">
        <w:t>In aggregate</w:t>
      </w:r>
      <w:r>
        <w:t>,</w:t>
      </w:r>
      <w:r w:rsidRPr="00DF38B2">
        <w:t xml:space="preserve"> the exemption rate for women was 15.2 per cent in December 2013 and 1.6 for men</w:t>
      </w:r>
      <w:r>
        <w:t>;</w:t>
      </w:r>
      <w:r w:rsidRPr="00DF38B2">
        <w:t xml:space="preserve"> for Indigenous people it was 4.9 per cent and for non-Indigenous 36.3 per cent.</w:t>
      </w:r>
    </w:p>
    <w:p w:rsidR="005E1FE0" w:rsidRPr="00DF38B2" w:rsidRDefault="005E1FE0" w:rsidP="006654AE">
      <w:r w:rsidRPr="00DF38B2">
        <w:t xml:space="preserve">The evaluation has only limited data on the actual numbers of exemption applications lodged and granted. This precludes detailed analysis of these aspects of the exemption process. It is nevertheless possible to identify when people were first </w:t>
      </w:r>
      <w:r w:rsidR="00C65383" w:rsidRPr="00DF38B2">
        <w:t xml:space="preserve">recorded </w:t>
      </w:r>
      <w:r w:rsidRPr="00DF38B2">
        <w:t>as having an exemption, or when they were first recorded as having an application for an exemption rejected or withdrawn</w:t>
      </w:r>
      <w:r w:rsidR="00445BB3">
        <w:t xml:space="preserve">. </w:t>
      </w:r>
      <w:r w:rsidRPr="003D75FE">
        <w:fldChar w:fldCharType="begin"/>
      </w:r>
      <w:r w:rsidRPr="00DF38B2">
        <w:instrText xml:space="preserve"> REF _Ref392014185 \h </w:instrText>
      </w:r>
      <w:r w:rsidRPr="003D75FE">
        <w:fldChar w:fldCharType="separate"/>
      </w:r>
      <w:r w:rsidR="00906D13" w:rsidRPr="00DF38B2">
        <w:t xml:space="preserve">Figure </w:t>
      </w:r>
      <w:r w:rsidR="00906D13">
        <w:rPr>
          <w:noProof/>
        </w:rPr>
        <w:t>5</w:t>
      </w:r>
      <w:r w:rsidR="00906D13" w:rsidRPr="00DF38B2">
        <w:noBreakHyphen/>
      </w:r>
      <w:r w:rsidR="00906D13">
        <w:rPr>
          <w:noProof/>
        </w:rPr>
        <w:t>3</w:t>
      </w:r>
      <w:r w:rsidRPr="003D75FE">
        <w:fldChar w:fldCharType="end"/>
      </w:r>
      <w:r w:rsidRPr="00DF38B2">
        <w:t xml:space="preserve"> plots the monthly levels of these first exemptions and of first rejection or withdrawal of an application for exemption. As the plot illustrates, these levels have fluctuated over time. Up until the third quarter of 2011 the level of successful and rejected exemptions was very high – reaching peaks of </w:t>
      </w:r>
      <w:r w:rsidR="004B4DCB">
        <w:t xml:space="preserve">over </w:t>
      </w:r>
      <w:r w:rsidRPr="00DF38B2">
        <w:t>200 a month, before showing some stability with around 75 approvals and 50 rejections per month until late 2013 when there was a rapid acceleration in the rate of rejections – up to a peak of 150 rejections in October 2013.</w:t>
      </w:r>
    </w:p>
    <w:p w:rsidR="005E1FE0" w:rsidRPr="00DF38B2" w:rsidRDefault="005E1FE0" w:rsidP="006654AE">
      <w:pPr>
        <w:pStyle w:val="Caption"/>
      </w:pPr>
      <w:bookmarkStart w:id="254" w:name="_Ref392014185"/>
      <w:bookmarkStart w:id="255" w:name="_Toc40373952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254"/>
      <w:r w:rsidRPr="00DF38B2">
        <w:tab/>
        <w:t xml:space="preserve">First exemption, rejection or withdrawal by month, </w:t>
      </w:r>
      <w:r w:rsidR="00097266">
        <w:t xml:space="preserve">NIM, </w:t>
      </w:r>
      <w:r w:rsidRPr="00DF38B2">
        <w:t>August 2010 to December 2013</w:t>
      </w:r>
      <w:bookmarkEnd w:id="255"/>
    </w:p>
    <w:p w:rsidR="005E1FE0" w:rsidRPr="00DF38B2" w:rsidRDefault="005E1FE0" w:rsidP="006654AE">
      <w:pPr>
        <w:pStyle w:val="graphicpaste"/>
      </w:pPr>
      <w:r w:rsidRPr="008E4D9D">
        <w:rPr>
          <w:noProof/>
        </w:rPr>
        <w:drawing>
          <wp:inline distT="0" distB="0" distL="0" distR="0" wp14:anchorId="175DF4B5" wp14:editId="0A8186BE">
            <wp:extent cx="4572000" cy="2743200"/>
            <wp:effectExtent l="0" t="0" r="0" b="0"/>
            <wp:docPr id="37" name="Picture 37" descr="This chart plots the number of first exemptions granted, and applications rejected or withdrawn by month with the horizontal axis running from August 2010 to December 2013. The main trends are described in the text above. In December 2013 there were 108 applications for exemption rejected, 42 granted and 7 with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keepLines w:val="0"/>
      </w:pPr>
      <w:r w:rsidRPr="00DF38B2">
        <w:t xml:space="preserve">Source: </w:t>
      </w:r>
      <w:r w:rsidR="002532F6">
        <w:tab/>
      </w:r>
      <w:r w:rsidRPr="00DF38B2">
        <w:t xml:space="preserve"> Derived from DHS Administrative data provided for the purposes of the evaluation.</w:t>
      </w:r>
    </w:p>
    <w:p w:rsidR="00A77FC9" w:rsidRPr="00DF38B2" w:rsidRDefault="00A77FC9" w:rsidP="006654AE">
      <w:pPr>
        <w:pStyle w:val="tablefootnoteslastline"/>
      </w:pPr>
    </w:p>
    <w:p w:rsidR="005E1FE0" w:rsidRPr="00DF38B2" w:rsidRDefault="005E1FE0" w:rsidP="006654AE">
      <w:pPr>
        <w:pStyle w:val="Heading3"/>
        <w:spacing w:line="252" w:lineRule="auto"/>
      </w:pPr>
      <w:bookmarkStart w:id="256" w:name="_Toc403739027"/>
      <w:r w:rsidRPr="00DF38B2">
        <w:t>Characteristics of the population with exemptions</w:t>
      </w:r>
      <w:bookmarkEnd w:id="256"/>
    </w:p>
    <w:p w:rsidR="005E1FE0" w:rsidRPr="00DF38B2" w:rsidRDefault="005E1FE0" w:rsidP="006654AE">
      <w:r w:rsidRPr="00DF38B2">
        <w:t>Of those with an exemption at the end of 2013</w:t>
      </w:r>
      <w:r w:rsidR="002A7F98">
        <w:t>,</w:t>
      </w:r>
      <w:r w:rsidRPr="00DF38B2">
        <w:t xml:space="preserve"> 97.4 per cent have been granted their exemption on the basis that the health and engagement activities of their children had been met, and 2.3 per cent had been granted an exemption because they were in regular paid employment.</w:t>
      </w:r>
    </w:p>
    <w:p w:rsidR="005E1FE0" w:rsidRPr="00DF38B2" w:rsidRDefault="005E1FE0" w:rsidP="006654AE">
      <w:pPr>
        <w:pStyle w:val="Caption"/>
      </w:pPr>
      <w:bookmarkStart w:id="257" w:name="_Ref392017249"/>
      <w:bookmarkStart w:id="258" w:name="_Toc40373952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257"/>
      <w:r w:rsidRPr="00DF38B2">
        <w:tab/>
        <w:t>Exemption rate by gender</w:t>
      </w:r>
      <w:r w:rsidR="00E964B4">
        <w:t>,</w:t>
      </w:r>
      <w:r w:rsidRPr="00DF38B2">
        <w:t xml:space="preserve"> broad region of birth</w:t>
      </w:r>
      <w:r w:rsidR="00E964B4">
        <w:t xml:space="preserve"> and Indigenous status</w:t>
      </w:r>
      <w:r w:rsidRPr="00DF38B2">
        <w:t xml:space="preserve">, </w:t>
      </w:r>
      <w:r w:rsidR="00097266">
        <w:t xml:space="preserve">NIM, </w:t>
      </w:r>
      <w:r w:rsidRPr="00DF38B2">
        <w:t>December 2013</w:t>
      </w:r>
      <w:bookmarkEnd w:id="258"/>
    </w:p>
    <w:p w:rsidR="005E1FE0" w:rsidRPr="00DF38B2" w:rsidRDefault="005E1FE0" w:rsidP="006654AE">
      <w:pPr>
        <w:pStyle w:val="graphicpaste"/>
      </w:pPr>
      <w:r w:rsidRPr="008E4D9D">
        <w:rPr>
          <w:noProof/>
        </w:rPr>
        <w:drawing>
          <wp:inline distT="0" distB="0" distL="0" distR="0" wp14:anchorId="261AE956" wp14:editId="71765890">
            <wp:extent cx="4572000" cy="2743200"/>
            <wp:effectExtent l="0" t="0" r="0" b="0"/>
            <wp:docPr id="39" name="Picture 39" descr="This bar chart shows the exemption rate for people cross-classified by gender and broad place of birth. There are eight bars in the chart  as follows: Female, Australian born - non-Indigenous 49.4 per cent; Female, Australian born -  Indigenous 7.6 per cent; Female, ESB 45.8 per cent; Female, NESB 61.2 per cent; Male, Australian born - non-Indigenous 7.4 per cent; Male, Australian born -  Indigenous 0.4 per cent; Male, ESB 7.7 per cent; and Male, NESB 9.3 per cent. The results are also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Note</w:t>
      </w:r>
      <w:r w:rsidR="00F30A93">
        <w:t>s</w:t>
      </w:r>
      <w:r w:rsidRPr="00DF38B2">
        <w:t>:</w:t>
      </w:r>
      <w:r w:rsidR="00B84AFE">
        <w:t xml:space="preserve"> </w:t>
      </w:r>
      <w:r w:rsidR="002532F6">
        <w:tab/>
      </w:r>
      <w:r w:rsidRPr="00DF38B2">
        <w:t>Excludes 16 people without details of country of birth</w:t>
      </w:r>
      <w:r w:rsidR="002532F6">
        <w:t>.</w:t>
      </w:r>
    </w:p>
    <w:p w:rsidR="00E964B4" w:rsidRPr="00DF38B2" w:rsidRDefault="00E964B4" w:rsidP="006654AE">
      <w:pPr>
        <w:pStyle w:val="tablenotes"/>
      </w:pPr>
      <w:r>
        <w:tab/>
      </w:r>
      <w:r>
        <w:tab/>
      </w:r>
      <w:proofErr w:type="gramStart"/>
      <w:r>
        <w:t xml:space="preserve">ESB/NESB as per </w:t>
      </w:r>
      <w:r>
        <w:fldChar w:fldCharType="begin"/>
      </w:r>
      <w:r>
        <w:instrText xml:space="preserve"> REF _Ref399598054 \h </w:instrText>
      </w:r>
      <w:r>
        <w:fldChar w:fldCharType="separate"/>
      </w:r>
      <w:r w:rsidR="00906D13" w:rsidRPr="009655C3">
        <w:t xml:space="preserve">Table </w:t>
      </w:r>
      <w:r w:rsidR="00906D13">
        <w:rPr>
          <w:noProof/>
        </w:rPr>
        <w:t>4</w:t>
      </w:r>
      <w:r w:rsidR="00906D13">
        <w:noBreakHyphen/>
      </w:r>
      <w:r w:rsidR="00906D13">
        <w:rPr>
          <w:noProof/>
        </w:rPr>
        <w:t>7</w:t>
      </w:r>
      <w:r>
        <w:fldChar w:fldCharType="end"/>
      </w:r>
      <w:r>
        <w:t>.</w:t>
      </w:r>
      <w:proofErr w:type="gramEnd"/>
    </w:p>
    <w:p w:rsidR="005E1FE0" w:rsidRDefault="005E1FE0" w:rsidP="006654AE">
      <w:pPr>
        <w:pStyle w:val="tablenotes"/>
      </w:pPr>
      <w:r w:rsidRPr="00DF38B2">
        <w:t xml:space="preserve">Source: </w:t>
      </w:r>
      <w:r w:rsidR="002532F6">
        <w:tab/>
      </w:r>
      <w:r w:rsidRPr="00DF38B2">
        <w:t>Derived from DHS Administrative data provided for the purposes of the evaluation.</w:t>
      </w:r>
    </w:p>
    <w:p w:rsidR="00A77FC9" w:rsidRPr="003928BD" w:rsidRDefault="00A77FC9" w:rsidP="006654AE">
      <w:pPr>
        <w:pStyle w:val="tablefootnoteslastline"/>
      </w:pPr>
    </w:p>
    <w:p w:rsidR="005E1FE0" w:rsidRPr="00DF38B2" w:rsidRDefault="005E1FE0" w:rsidP="006654AE">
      <w:r w:rsidRPr="00DF38B2">
        <w:t xml:space="preserve">The low exemption rates for Indigenous Australians and in particular </w:t>
      </w:r>
      <w:proofErr w:type="gramStart"/>
      <w:r w:rsidRPr="00DF38B2">
        <w:t>Indigenous</w:t>
      </w:r>
      <w:proofErr w:type="gramEnd"/>
      <w:r w:rsidRPr="00DF38B2">
        <w:t xml:space="preserve"> men have already been noted. </w:t>
      </w:r>
      <w:r w:rsidRPr="00DF38B2">
        <w:fldChar w:fldCharType="begin"/>
      </w:r>
      <w:r w:rsidRPr="00DF38B2">
        <w:instrText xml:space="preserve"> REF _Ref392017249 \h  \* MERGEFORMAT </w:instrText>
      </w:r>
      <w:r w:rsidRPr="00DF38B2">
        <w:fldChar w:fldCharType="separate"/>
      </w:r>
      <w:r w:rsidR="00906D13" w:rsidRPr="00DF38B2">
        <w:t xml:space="preserve">Figure </w:t>
      </w:r>
      <w:r w:rsidR="00906D13">
        <w:t>5</w:t>
      </w:r>
      <w:r w:rsidR="00906D13" w:rsidRPr="00DF38B2">
        <w:noBreakHyphen/>
      </w:r>
      <w:r w:rsidR="00906D13">
        <w:t>4</w:t>
      </w:r>
      <w:r w:rsidRPr="00DF38B2">
        <w:fldChar w:fldCharType="end"/>
      </w:r>
      <w:r w:rsidRPr="00DF38B2">
        <w:t xml:space="preserve"> expands upon this to include data for people born outside of Australia. </w:t>
      </w:r>
      <w:r w:rsidR="00C65383" w:rsidRPr="00FE502F">
        <w:t xml:space="preserve">As illustrated </w:t>
      </w:r>
      <w:r w:rsidR="003866EF">
        <w:t xml:space="preserve">the exemption rate </w:t>
      </w:r>
      <w:r w:rsidR="00C65383" w:rsidRPr="00FE502F">
        <w:t>f</w:t>
      </w:r>
      <w:r w:rsidRPr="009655C3">
        <w:t xml:space="preserve">or women </w:t>
      </w:r>
      <w:r w:rsidR="003866EF">
        <w:t>dominates. I</w:t>
      </w:r>
      <w:r w:rsidRPr="009655C3">
        <w:t>n December 2013</w:t>
      </w:r>
      <w:r w:rsidR="003866EF">
        <w:t xml:space="preserve"> i</w:t>
      </w:r>
      <w:r w:rsidR="00C32D5A">
        <w:t xml:space="preserve">t ranged between </w:t>
      </w:r>
      <w:r w:rsidRPr="00DF38B2">
        <w:t xml:space="preserve">61.2 per cent for </w:t>
      </w:r>
      <w:r w:rsidR="003866EF">
        <w:t>women</w:t>
      </w:r>
      <w:r w:rsidR="003866EF" w:rsidRPr="00DF38B2">
        <w:t xml:space="preserve"> </w:t>
      </w:r>
      <w:r w:rsidRPr="00DF38B2">
        <w:t>born in non-English speaking countries</w:t>
      </w:r>
      <w:r w:rsidR="00E255F2">
        <w:t>;</w:t>
      </w:r>
      <w:r w:rsidRPr="00DF38B2">
        <w:t xml:space="preserve"> 49.9 per cent for non-Indigenous Australian</w:t>
      </w:r>
      <w:r w:rsidR="00E255F2">
        <w:t>-</w:t>
      </w:r>
      <w:r w:rsidRPr="00DF38B2">
        <w:t>born women</w:t>
      </w:r>
      <w:r w:rsidR="00E255F2">
        <w:t>;</w:t>
      </w:r>
      <w:r w:rsidRPr="00DF38B2">
        <w:t xml:space="preserve"> 45.8 per cent </w:t>
      </w:r>
      <w:r w:rsidRPr="00DF38B2">
        <w:lastRenderedPageBreak/>
        <w:t>for women born in the major English speaking countries</w:t>
      </w:r>
      <w:r w:rsidR="00E255F2">
        <w:t>; and</w:t>
      </w:r>
      <w:r w:rsidRPr="00DF38B2">
        <w:t xml:space="preserve"> 7.6</w:t>
      </w:r>
      <w:r w:rsidRPr="00DF38B2">
        <w:rPr>
          <w:rStyle w:val="FootnoteReference"/>
        </w:rPr>
        <w:footnoteReference w:id="75"/>
      </w:r>
      <w:r w:rsidRPr="00DF38B2">
        <w:t> per cent for Indigenous women. For men the rates were uniformly much lower</w:t>
      </w:r>
      <w:r w:rsidR="00445BB3">
        <w:t xml:space="preserve">. </w:t>
      </w:r>
      <w:r w:rsidRPr="00DF38B2">
        <w:t>The highest exemption rate for men was 9.3 per cent for those born in non-English</w:t>
      </w:r>
      <w:r w:rsidR="00435CA3">
        <w:t xml:space="preserve"> </w:t>
      </w:r>
      <w:r w:rsidRPr="00DF38B2">
        <w:t>speaking countries and 7.7 per cent for those born in English</w:t>
      </w:r>
      <w:r w:rsidR="00E255F2">
        <w:t>-</w:t>
      </w:r>
      <w:r w:rsidRPr="00DF38B2">
        <w:t>speaking countries. This was followed by 7.4 per cent for non-Indigenous Australian born males and just 0.4 per cent for Indigenous males</w:t>
      </w:r>
      <w:r w:rsidR="00445BB3">
        <w:t xml:space="preserve">. </w:t>
      </w:r>
    </w:p>
    <w:p w:rsidR="005E1FE0" w:rsidRPr="00DF38B2" w:rsidRDefault="005E1FE0" w:rsidP="006654AE">
      <w:r w:rsidRPr="00DF38B2">
        <w:t xml:space="preserve">For most of these population subgroups the male exemption rates were around </w:t>
      </w:r>
      <w:r w:rsidR="00CC6215">
        <w:t>15</w:t>
      </w:r>
      <w:r w:rsidR="00CC6215" w:rsidRPr="00DF38B2">
        <w:t> </w:t>
      </w:r>
      <w:r w:rsidRPr="00DF38B2">
        <w:t>per cent of the female rates</w:t>
      </w:r>
      <w:r w:rsidR="00445BB3">
        <w:t xml:space="preserve">. </w:t>
      </w:r>
      <w:r w:rsidRPr="00DF38B2">
        <w:t xml:space="preserve">For Indigenous men this proportion fell to just </w:t>
      </w:r>
      <w:r w:rsidR="00E255F2">
        <w:t>five</w:t>
      </w:r>
      <w:r w:rsidRPr="00DF38B2">
        <w:t> per cent.</w:t>
      </w:r>
    </w:p>
    <w:p w:rsidR="005E1FE0" w:rsidRPr="00DF38B2" w:rsidRDefault="005E1FE0" w:rsidP="006654AE">
      <w:r w:rsidRPr="004B4DCB">
        <w:fldChar w:fldCharType="begin"/>
      </w:r>
      <w:r w:rsidRPr="00DF38B2">
        <w:instrText xml:space="preserve"> REF _Ref392017895 \h </w:instrText>
      </w:r>
      <w:r w:rsidRPr="004B4DCB">
        <w:fldChar w:fldCharType="separate"/>
      </w:r>
      <w:r w:rsidR="00906D13" w:rsidRPr="00DF38B2">
        <w:t xml:space="preserve">Table </w:t>
      </w:r>
      <w:r w:rsidR="00906D13">
        <w:rPr>
          <w:noProof/>
        </w:rPr>
        <w:t>5</w:t>
      </w:r>
      <w:r w:rsidR="00906D13">
        <w:noBreakHyphen/>
      </w:r>
      <w:r w:rsidR="00906D13">
        <w:rPr>
          <w:noProof/>
        </w:rPr>
        <w:t>1</w:t>
      </w:r>
      <w:r w:rsidRPr="004B4DCB">
        <w:fldChar w:fldCharType="end"/>
      </w:r>
      <w:r w:rsidRPr="00DF38B2">
        <w:t xml:space="preserve"> presents the exemption rates in December 2013 by </w:t>
      </w:r>
      <w:r w:rsidR="00E255F2">
        <w:t xml:space="preserve">reference to </w:t>
      </w:r>
      <w:r w:rsidRPr="00DF38B2">
        <w:t>a wide range of demographic and other characteristics. As shown in the table</w:t>
      </w:r>
      <w:r w:rsidR="00E255F2">
        <w:t>,</w:t>
      </w:r>
      <w:r w:rsidRPr="00DF38B2">
        <w:t xml:space="preserve"> the rate of obtaining an exemption not only varies on the basis of these characteristics, but </w:t>
      </w:r>
      <w:r w:rsidR="00E255F2" w:rsidRPr="00DF38B2">
        <w:t xml:space="preserve">depending on the characteristic </w:t>
      </w:r>
      <w:r w:rsidRPr="00DF38B2">
        <w:t xml:space="preserve">it can </w:t>
      </w:r>
      <w:r w:rsidR="00E255F2">
        <w:t xml:space="preserve">also </w:t>
      </w:r>
      <w:r w:rsidRPr="00DF38B2">
        <w:t>vary differently for men and women and for Indigenous and non-Indigenous people</w:t>
      </w:r>
      <w:r w:rsidR="00445BB3">
        <w:t xml:space="preserve">. </w:t>
      </w:r>
      <w:r w:rsidRPr="00DF38B2">
        <w:t>Working through the table:</w:t>
      </w:r>
    </w:p>
    <w:p w:rsidR="005E1FE0" w:rsidRPr="00DF38B2" w:rsidRDefault="005E1FE0" w:rsidP="006654AE">
      <w:pPr>
        <w:pStyle w:val="dot"/>
        <w:spacing w:line="252" w:lineRule="auto"/>
      </w:pPr>
      <w:r w:rsidRPr="00DF38B2">
        <w:t xml:space="preserve">By age </w:t>
      </w:r>
      <w:r w:rsidR="004B4DCB">
        <w:t xml:space="preserve">group </w:t>
      </w:r>
      <w:r w:rsidRPr="00DF38B2">
        <w:t>the highest exemption rates for men were recorded for those aged 35 to 44 years. While this was the case for both non-Indigenous and Indigenous men, the rates achieved for these groups in this age group were quite different. For non-Indigenous men it was 16.7 per cent and for Indigenous men 0.7 per cent</w:t>
      </w:r>
      <w:r w:rsidR="00445BB3">
        <w:t xml:space="preserve">. </w:t>
      </w:r>
      <w:r w:rsidRPr="00DF38B2">
        <w:t xml:space="preserve">The exemption rates for men aged </w:t>
      </w:r>
      <w:proofErr w:type="gramStart"/>
      <w:r w:rsidRPr="00DF38B2">
        <w:t>under</w:t>
      </w:r>
      <w:proofErr w:type="gramEnd"/>
      <w:r w:rsidRPr="00DF38B2">
        <w:t xml:space="preserve"> 25 years were very low for both Indigenous and non-Indigenous people. For women the highest exemption rates occurred at an earlier age</w:t>
      </w:r>
      <w:r w:rsidR="00445BB3">
        <w:t xml:space="preserve">. </w:t>
      </w:r>
      <w:r w:rsidRPr="00DF38B2">
        <w:t>For non-Indigenous women it was the 25 to 34</w:t>
      </w:r>
      <w:r w:rsidR="00E964B4">
        <w:t xml:space="preserve"> </w:t>
      </w:r>
      <w:r w:rsidRPr="00DF38B2">
        <w:t xml:space="preserve">year age group which had the highest exemption rate of </w:t>
      </w:r>
      <w:r w:rsidR="00DF38B2" w:rsidRPr="00DF38B2">
        <w:t>60.2 per</w:t>
      </w:r>
      <w:r w:rsidRPr="00DF38B2">
        <w:t xml:space="preserve"> cent. The peak exemption rate for Indigenous women was recorded for a slightly younger </w:t>
      </w:r>
      <w:proofErr w:type="gramStart"/>
      <w:r w:rsidRPr="00DF38B2">
        <w:t>group,</w:t>
      </w:r>
      <w:proofErr w:type="gramEnd"/>
      <w:r w:rsidRPr="00DF38B2">
        <w:t xml:space="preserve"> those aged 20 to 24 years, and was 10.6 per cent.</w:t>
      </w:r>
    </w:p>
    <w:p w:rsidR="005E1FE0" w:rsidRPr="00DF38B2" w:rsidRDefault="005E1FE0" w:rsidP="006654AE">
      <w:pPr>
        <w:pStyle w:val="dot"/>
        <w:spacing w:line="252" w:lineRule="auto"/>
      </w:pPr>
      <w:r w:rsidRPr="00DF38B2">
        <w:t>The locations with the highest exemption rates were those with mainly urban populations</w:t>
      </w:r>
      <w:r w:rsidR="00BA44C3">
        <w:t>:</w:t>
      </w:r>
      <w:r w:rsidRPr="00DF38B2">
        <w:t xml:space="preserve"> Darwin and Alice Springs</w:t>
      </w:r>
      <w:r w:rsidR="00445BB3">
        <w:t xml:space="preserve">. </w:t>
      </w:r>
      <w:r w:rsidRPr="00DF38B2">
        <w:t>The variation in exemption rates was particularly marked for the Indigenous population. In Darwin 26.3 per cent of Indigenous women gained an exemption, and in Alice Springs 14.8 per cent. In other locations the rate was between 2.6 per cent and 6.1 per cent</w:t>
      </w:r>
      <w:r w:rsidR="00445BB3">
        <w:t xml:space="preserve">. </w:t>
      </w:r>
      <w:r w:rsidRPr="00DF38B2">
        <w:t>Although there was a similar pattern for Indigenous men, the highest exemption rate they achieved was 2.0 per cent in Darwin</w:t>
      </w:r>
      <w:r w:rsidR="00A1421A">
        <w:t xml:space="preserve">. </w:t>
      </w:r>
      <w:r w:rsidRPr="00DF38B2">
        <w:t xml:space="preserve">The variation in the non-Indigenous rate was much less, although again the two more urban locations had the highest rates. It should be noted that in four out of the </w:t>
      </w:r>
      <w:r w:rsidR="00DE40C3">
        <w:t>eight</w:t>
      </w:r>
      <w:r w:rsidRPr="00DF38B2">
        <w:t xml:space="preserve"> regions there were fewer than 50 non-Indigenous people who were potentially in scope of </w:t>
      </w:r>
      <w:r w:rsidR="00F861CA">
        <w:t>C</w:t>
      </w:r>
      <w:r w:rsidRPr="00DF38B2">
        <w:t xml:space="preserve">ompulsory </w:t>
      </w:r>
      <w:r w:rsidR="00F861CA">
        <w:t>I</w:t>
      </w:r>
      <w:r w:rsidRPr="00DF38B2">
        <w:t xml:space="preserve">ncome </w:t>
      </w:r>
      <w:r w:rsidR="00F861CA">
        <w:t>M</w:t>
      </w:r>
      <w:r w:rsidR="00F861CA" w:rsidRPr="00DF38B2">
        <w:t>anagement</w:t>
      </w:r>
      <w:r w:rsidRPr="00DF38B2">
        <w:t>.</w:t>
      </w:r>
    </w:p>
    <w:p w:rsidR="005E1FE0" w:rsidRPr="00DF38B2" w:rsidRDefault="005E1FE0" w:rsidP="006654AE">
      <w:pPr>
        <w:pStyle w:val="dot"/>
        <w:spacing w:line="252" w:lineRule="auto"/>
      </w:pPr>
      <w:r w:rsidRPr="00DF38B2">
        <w:t>Reflecting the predominance of exemptions being granted for having met child</w:t>
      </w:r>
      <w:r w:rsidR="00DE40C3">
        <w:t>-</w:t>
      </w:r>
      <w:r w:rsidRPr="00DF38B2">
        <w:t xml:space="preserve">related outcomes, the highest exemption rates were recorded by those on Parenting Payment. Those on Parenting Payment Single had higher rates of exemptions than those on the partnered payment. There was also an appreciable group of non-Indigenous women on Newstart who had obtained an exemption. </w:t>
      </w:r>
      <w:r w:rsidR="00DE40C3">
        <w:t>However, t</w:t>
      </w:r>
      <w:r w:rsidRPr="00DF38B2">
        <w:t>he exemption rate of this group at 28.5 per cent was half of the rate for non-Indigenous women on the parenting payments. Again</w:t>
      </w:r>
      <w:r w:rsidR="002A14F3">
        <w:t>,</w:t>
      </w:r>
      <w:r w:rsidRPr="00DF38B2">
        <w:t xml:space="preserve"> here the difference in exemption rates for Indigenous and non-Indigenous people was large. For women in receipt of Parenting Payment Single the rates were 17.7 per cent </w:t>
      </w:r>
      <w:r w:rsidR="00C65383" w:rsidRPr="00DF38B2">
        <w:t>for Indigenous women</w:t>
      </w:r>
      <w:r w:rsidR="002A14F3">
        <w:t>,</w:t>
      </w:r>
      <w:r w:rsidR="00C65383" w:rsidRPr="00DF38B2">
        <w:t xml:space="preserve"> </w:t>
      </w:r>
      <w:r w:rsidRPr="00DF38B2">
        <w:t>compared with 69.0 per cent</w:t>
      </w:r>
      <w:r w:rsidR="00C65383" w:rsidRPr="00DF38B2">
        <w:t xml:space="preserve"> for non-Indigenous women</w:t>
      </w:r>
      <w:r w:rsidRPr="00DF38B2">
        <w:t xml:space="preserve">, and on the partnered rates 8.4 per cent compared with 56.7 per cent. Although the table shows a high rate for those on </w:t>
      </w:r>
      <w:r w:rsidR="00C32D5A">
        <w:t>‘</w:t>
      </w:r>
      <w:r w:rsidRPr="00DF38B2">
        <w:t>other payments</w:t>
      </w:r>
      <w:r w:rsidR="00C32D5A">
        <w:t>’</w:t>
      </w:r>
      <w:r w:rsidRPr="00DF38B2">
        <w:t>, the population on these payments was very small.</w:t>
      </w:r>
    </w:p>
    <w:p w:rsidR="005E1FE0" w:rsidRPr="00DF38B2" w:rsidRDefault="005E1FE0" w:rsidP="006654AE">
      <w:pPr>
        <w:pStyle w:val="dot"/>
        <w:spacing w:line="252" w:lineRule="auto"/>
      </w:pPr>
      <w:r w:rsidRPr="00DF38B2">
        <w:t>As would be expected from the preceding data</w:t>
      </w:r>
      <w:r w:rsidR="002A14F3">
        <w:t>,</w:t>
      </w:r>
      <w:r w:rsidRPr="00DF38B2">
        <w:t xml:space="preserve"> there are clear differences by family type</w:t>
      </w:r>
      <w:r w:rsidR="00445BB3">
        <w:t xml:space="preserve">. </w:t>
      </w:r>
      <w:r w:rsidRPr="00DF38B2">
        <w:t xml:space="preserve">The highest exemption rates by this classification were achieved by lone parents – with this being most marked by those whose youngest child was aged </w:t>
      </w:r>
      <w:r w:rsidR="002A14F3">
        <w:t>less than</w:t>
      </w:r>
      <w:r w:rsidRPr="00DF38B2">
        <w:t xml:space="preserve"> </w:t>
      </w:r>
      <w:r w:rsidR="002A14F3">
        <w:t>five</w:t>
      </w:r>
      <w:r w:rsidRPr="00DF38B2">
        <w:t xml:space="preserve"> years. This was an issue discussed in the First Evaluation Report and is likely to be associated with the fact that it is easier to meet the criteria relating to young children </w:t>
      </w:r>
      <w:r w:rsidR="002A14F3">
        <w:t>–</w:t>
      </w:r>
      <w:r w:rsidRPr="00DF38B2">
        <w:t xml:space="preserve"> health checks and participation in activities </w:t>
      </w:r>
      <w:r w:rsidR="002A14F3">
        <w:t>–</w:t>
      </w:r>
      <w:r w:rsidRPr="00DF38B2">
        <w:t xml:space="preserve"> than it is to achieve the required level of school attendance by older children. The pattern is particularly apparent amongst the Indigenous population. The exemption rate for Indigenous women who are lone parents was 20.2 per cent for those with a child under the age of five, and less than half of this</w:t>
      </w:r>
      <w:r w:rsidR="002A14F3">
        <w:t xml:space="preserve"> –</w:t>
      </w:r>
      <w:r w:rsidRPr="00DF38B2">
        <w:t xml:space="preserve"> 8.6 per cent </w:t>
      </w:r>
      <w:r w:rsidR="002A14F3">
        <w:t xml:space="preserve">– </w:t>
      </w:r>
      <w:r w:rsidRPr="00DF38B2">
        <w:t>for those whose youngest child was over five years</w:t>
      </w:r>
      <w:r w:rsidR="00445BB3">
        <w:t xml:space="preserve">. </w:t>
      </w:r>
      <w:r w:rsidRPr="00DF38B2">
        <w:t>The exemption rates for those in couple</w:t>
      </w:r>
      <w:r w:rsidR="002A14F3">
        <w:t>-</w:t>
      </w:r>
      <w:r w:rsidRPr="00DF38B2">
        <w:t xml:space="preserve">only families and for lone persons were uniformly low – between 1.5 per cent and </w:t>
      </w:r>
      <w:r w:rsidR="004B4DCB">
        <w:t>4.8</w:t>
      </w:r>
      <w:r w:rsidRPr="00DF38B2">
        <w:t> per cent for non-Indigenous and 0.0 per cent and 0.6 per cent for people who identify as being Indigenous.</w:t>
      </w:r>
    </w:p>
    <w:p w:rsidR="005E1FE0" w:rsidRPr="00DF38B2" w:rsidRDefault="005E1FE0" w:rsidP="006654AE">
      <w:pPr>
        <w:pStyle w:val="dot"/>
        <w:spacing w:line="252" w:lineRule="auto"/>
      </w:pPr>
      <w:r w:rsidRPr="00DF38B2">
        <w:lastRenderedPageBreak/>
        <w:t xml:space="preserve">While there was not as much differentiation in the rates of exemption by number of children </w:t>
      </w:r>
      <w:r w:rsidR="002A14F3">
        <w:t xml:space="preserve">– </w:t>
      </w:r>
      <w:r w:rsidRPr="00DF38B2">
        <w:t>other than a very low exemption rate for those without children</w:t>
      </w:r>
      <w:r w:rsidR="002A14F3">
        <w:t xml:space="preserve"> –</w:t>
      </w:r>
      <w:r w:rsidRPr="00DF38B2">
        <w:t xml:space="preserve"> there is some indication that the exemption rate falls for those families with more than three children.</w:t>
      </w:r>
    </w:p>
    <w:p w:rsidR="005E1FE0" w:rsidRPr="00DF38B2" w:rsidRDefault="005E1FE0" w:rsidP="006654AE">
      <w:pPr>
        <w:pStyle w:val="undot"/>
      </w:pPr>
      <w:r w:rsidRPr="00DF38B2">
        <w:t xml:space="preserve">In aggregate the exemption rate for people with </w:t>
      </w:r>
      <w:r w:rsidR="003C4726">
        <w:t xml:space="preserve">dependent </w:t>
      </w:r>
      <w:r w:rsidRPr="00DF38B2">
        <w:t>children was 17.1 per cent</w:t>
      </w:r>
      <w:r w:rsidR="002A14F3">
        <w:t>;</w:t>
      </w:r>
      <w:r w:rsidRPr="00DF38B2">
        <w:t xml:space="preserve"> for those without it was 0.6 per cent. Women with children had an exemption rate of 21.0 per cent, compared with 0.9 per cent for those without. For men the rates were 3.7 per cent and 0.4 per cent.</w:t>
      </w:r>
    </w:p>
    <w:p w:rsidR="005E1FE0" w:rsidRPr="00DF38B2" w:rsidRDefault="005E1FE0" w:rsidP="006654AE">
      <w:pPr>
        <w:pStyle w:val="dot"/>
        <w:spacing w:line="252" w:lineRule="auto"/>
      </w:pPr>
      <w:r w:rsidRPr="00DF38B2">
        <w:t xml:space="preserve">The final classification in the table presents the exemption rates by the age of the youngest child. Reflecting what has already been seen in the classification by family type, there is a broad pattern of decline in the rate of exemption with increases in the age of the youngest child. In addition to the very strong and persistent gap in the rates for Indigenous and non-Indigenous people there were some differences in the pattern at particular ages. While non-Indigenous people had a higher exemption rate if their youngest child was aged </w:t>
      </w:r>
      <w:r w:rsidR="002A14F3">
        <w:t xml:space="preserve">two to four </w:t>
      </w:r>
      <w:r w:rsidRPr="00DF38B2">
        <w:t xml:space="preserve">years, rather than aged under </w:t>
      </w:r>
      <w:r w:rsidR="002A14F3">
        <w:t>two</w:t>
      </w:r>
      <w:r w:rsidRPr="00DF38B2">
        <w:t xml:space="preserve"> years, for the Indigenous population it was highest, at 12.0 per cent for those with the youngest children, and declined with each successive age group until it was just 2.0 per cent for those whose youngest child was aged 15 years and over.</w:t>
      </w:r>
    </w:p>
    <w:p w:rsidR="005E1FE0" w:rsidRPr="00DF38B2" w:rsidRDefault="005E1FE0" w:rsidP="006654AE">
      <w:pPr>
        <w:pStyle w:val="Heading4"/>
      </w:pPr>
      <w:r w:rsidRPr="00DF38B2">
        <w:t>Summary</w:t>
      </w:r>
    </w:p>
    <w:p w:rsidR="005E1FE0" w:rsidRPr="00DF38B2" w:rsidRDefault="005E1FE0" w:rsidP="006654AE">
      <w:r w:rsidRPr="00DF38B2">
        <w:t>Exemption rates vary considerably for different groups</w:t>
      </w:r>
      <w:r w:rsidR="00445BB3">
        <w:t xml:space="preserve">. </w:t>
      </w:r>
      <w:r w:rsidRPr="00DF38B2">
        <w:t>They are highest amongst non-Indigenous people with children, including those born in non-English speaking countries</w:t>
      </w:r>
      <w:r w:rsidR="00445BB3">
        <w:t xml:space="preserve">. </w:t>
      </w:r>
      <w:r w:rsidRPr="00DF38B2">
        <w:t>In contrast they are very low for those without children</w:t>
      </w:r>
      <w:r w:rsidR="00445BB3">
        <w:t xml:space="preserve">. </w:t>
      </w:r>
      <w:r w:rsidRPr="00DF38B2">
        <w:t>The exemption rate for males is much lower than that for women.</w:t>
      </w:r>
    </w:p>
    <w:p w:rsidR="005E1FE0" w:rsidRPr="00DF38B2" w:rsidRDefault="005E1FE0" w:rsidP="006654AE">
      <w:r w:rsidRPr="00DF38B2">
        <w:t>Across all demographic characteristics the exemption rate for Indigenous people is very substantially below those of other groups.</w:t>
      </w:r>
    </w:p>
    <w:p w:rsidR="005E1FE0" w:rsidRPr="00DF38B2" w:rsidRDefault="005E1FE0" w:rsidP="006654AE">
      <w:pPr>
        <w:pStyle w:val="Caption"/>
      </w:pPr>
      <w:bookmarkStart w:id="259" w:name="_Ref392017895"/>
      <w:bookmarkStart w:id="260" w:name="_Toc403739425"/>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1</w:t>
        </w:r>
      </w:fldSimple>
      <w:bookmarkEnd w:id="259"/>
      <w:r w:rsidRPr="00DF38B2">
        <w:tab/>
        <w:t xml:space="preserve">Exemption rates by selected characteristics by Indigenous identification and gender, </w:t>
      </w:r>
      <w:r w:rsidR="00097266">
        <w:t xml:space="preserve">NIM, </w:t>
      </w:r>
      <w:r w:rsidRPr="00DF38B2">
        <w:t>December 2013</w:t>
      </w:r>
      <w:bookmarkEnd w:id="260"/>
    </w:p>
    <w:tbl>
      <w:tblPr>
        <w:tblW w:w="10449" w:type="dxa"/>
        <w:tblInd w:w="-715" w:type="dxa"/>
        <w:tblLook w:val="04A0" w:firstRow="1" w:lastRow="0" w:firstColumn="1" w:lastColumn="0" w:noHBand="0" w:noVBand="1"/>
        <w:tblDescription w:val="This is a large table which shows characteristics of the people with exemptions. It is discussed extensively in the text.&#10;It contains in the rows multiple classifications – by age, location, income support type, family type number of children and age of youngest child.&#10;There are 8 data columns.  The first 6 provide exemption rates – the first three are for non-Indigenous persons, by male, female and persons, with the second three being for these groups of Indigenous persons. The final two columns provide a population count of denominator for the rates – that is the total persons who are on Compulsory Income Management or with an exemption from this. This first column is for non-Indigenous people and the second for Indigenous people.&#10;"/>
      </w:tblPr>
      <w:tblGrid>
        <w:gridCol w:w="2028"/>
        <w:gridCol w:w="914"/>
        <w:gridCol w:w="39"/>
        <w:gridCol w:w="875"/>
        <w:gridCol w:w="55"/>
        <w:gridCol w:w="284"/>
        <w:gridCol w:w="575"/>
        <w:gridCol w:w="310"/>
        <w:gridCol w:w="122"/>
        <w:gridCol w:w="810"/>
        <w:gridCol w:w="212"/>
        <w:gridCol w:w="720"/>
        <w:gridCol w:w="932"/>
        <w:gridCol w:w="277"/>
        <w:gridCol w:w="1148"/>
        <w:gridCol w:w="1148"/>
      </w:tblGrid>
      <w:tr w:rsidR="00156BBE" w:rsidRPr="00156BBE" w:rsidTr="00156BBE">
        <w:trPr>
          <w:trHeight w:val="20"/>
          <w:tblHeader/>
        </w:trPr>
        <w:tc>
          <w:tcPr>
            <w:tcW w:w="2028"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156BBE">
            <w:pPr>
              <w:pStyle w:val="tabletextleft"/>
              <w:ind w:left="-1086"/>
              <w:rPr>
                <w:rFonts w:eastAsia="Times New Roman"/>
                <w:sz w:val="16"/>
                <w:szCs w:val="16"/>
              </w:rPr>
            </w:pPr>
            <w:r w:rsidRPr="00156BBE">
              <w:rPr>
                <w:rFonts w:eastAsia="Times New Roman"/>
                <w:sz w:val="16"/>
                <w:szCs w:val="16"/>
              </w:rPr>
              <w:t xml:space="preserve"> </w:t>
            </w:r>
          </w:p>
        </w:tc>
        <w:tc>
          <w:tcPr>
            <w:tcW w:w="914"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Male</w:t>
            </w:r>
          </w:p>
        </w:tc>
        <w:tc>
          <w:tcPr>
            <w:tcW w:w="914"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Female</w:t>
            </w:r>
          </w:p>
        </w:tc>
        <w:tc>
          <w:tcPr>
            <w:tcW w:w="914" w:type="dxa"/>
            <w:gridSpan w:val="3"/>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Total</w:t>
            </w:r>
          </w:p>
        </w:tc>
        <w:tc>
          <w:tcPr>
            <w:tcW w:w="310"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p>
        </w:tc>
        <w:tc>
          <w:tcPr>
            <w:tcW w:w="932"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156BBE">
            <w:pPr>
              <w:pStyle w:val="tabletextright"/>
              <w:rPr>
                <w:rFonts w:eastAsia="Times New Roman"/>
                <w:sz w:val="16"/>
                <w:szCs w:val="16"/>
              </w:rPr>
            </w:pPr>
            <w:r w:rsidRPr="00156BBE">
              <w:rPr>
                <w:rFonts w:eastAsia="Times New Roman"/>
                <w:sz w:val="16"/>
                <w:szCs w:val="16"/>
              </w:rPr>
              <w:t>Exemption rate Indigenous Male</w:t>
            </w:r>
          </w:p>
        </w:tc>
        <w:tc>
          <w:tcPr>
            <w:tcW w:w="932"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D615D9">
            <w:pPr>
              <w:pStyle w:val="tabletextright"/>
              <w:rPr>
                <w:rFonts w:eastAsia="Times New Roman"/>
                <w:sz w:val="16"/>
                <w:szCs w:val="16"/>
              </w:rPr>
            </w:pPr>
            <w:r w:rsidRPr="00156BBE">
              <w:rPr>
                <w:rFonts w:eastAsia="Times New Roman"/>
                <w:sz w:val="16"/>
                <w:szCs w:val="16"/>
              </w:rPr>
              <w:t>Exemption rate Non-Indigenous Female</w:t>
            </w:r>
          </w:p>
        </w:tc>
        <w:tc>
          <w:tcPr>
            <w:tcW w:w="932"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D615D9">
            <w:pPr>
              <w:pStyle w:val="tabletextright"/>
              <w:rPr>
                <w:rFonts w:eastAsia="Times New Roman"/>
                <w:sz w:val="16"/>
                <w:szCs w:val="16"/>
              </w:rPr>
            </w:pPr>
            <w:r w:rsidRPr="00156BBE">
              <w:rPr>
                <w:rFonts w:eastAsia="Times New Roman"/>
                <w:sz w:val="16"/>
                <w:szCs w:val="16"/>
              </w:rPr>
              <w:t>Exemption rate Non-Indigenous Total</w:t>
            </w:r>
          </w:p>
        </w:tc>
        <w:tc>
          <w:tcPr>
            <w:tcW w:w="277"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p>
        </w:tc>
        <w:tc>
          <w:tcPr>
            <w:tcW w:w="1148" w:type="dxa"/>
            <w:tcBorders>
              <w:top w:val="single" w:sz="4" w:space="0" w:color="auto"/>
              <w:left w:val="nil"/>
              <w:bottom w:val="single" w:sz="4" w:space="0" w:color="auto"/>
              <w:right w:val="nil"/>
            </w:tcBorders>
            <w:shd w:val="clear" w:color="auto" w:fill="auto"/>
            <w:noWrap/>
            <w:vAlign w:val="bottom"/>
            <w:hideMark/>
          </w:tcPr>
          <w:p w:rsidR="00156BBE" w:rsidRDefault="00156BBE" w:rsidP="006654AE">
            <w:pPr>
              <w:pStyle w:val="tabletextright"/>
              <w:rPr>
                <w:rFonts w:eastAsia="Times New Roman"/>
                <w:sz w:val="16"/>
                <w:szCs w:val="16"/>
              </w:rPr>
            </w:pPr>
            <w:r>
              <w:rPr>
                <w:rFonts w:eastAsia="Times New Roman"/>
                <w:sz w:val="16"/>
                <w:szCs w:val="16"/>
              </w:rPr>
              <w:t>Population (</w:t>
            </w:r>
            <w:proofErr w:type="spellStart"/>
            <w:r>
              <w:rPr>
                <w:rFonts w:eastAsia="Times New Roman"/>
                <w:sz w:val="16"/>
                <w:szCs w:val="16"/>
              </w:rPr>
              <w:t>CIM+Exempt</w:t>
            </w:r>
            <w:proofErr w:type="spellEnd"/>
            <w:r>
              <w:rPr>
                <w:rFonts w:eastAsia="Times New Roman"/>
                <w:sz w:val="16"/>
                <w:szCs w:val="16"/>
              </w:rPr>
              <w:t>)</w:t>
            </w:r>
          </w:p>
          <w:p w:rsidR="00156BBE" w:rsidRPr="00156BBE" w:rsidRDefault="00156BBE" w:rsidP="006654AE">
            <w:pPr>
              <w:pStyle w:val="tabletextright"/>
              <w:rPr>
                <w:rFonts w:eastAsia="Times New Roman"/>
                <w:sz w:val="16"/>
                <w:szCs w:val="16"/>
              </w:rPr>
            </w:pPr>
            <w:r w:rsidRPr="00156BBE">
              <w:rPr>
                <w:rFonts w:eastAsia="Times New Roman"/>
                <w:sz w:val="16"/>
                <w:szCs w:val="16"/>
              </w:rPr>
              <w:t>Non-Indigenous</w:t>
            </w:r>
          </w:p>
        </w:tc>
        <w:tc>
          <w:tcPr>
            <w:tcW w:w="1148" w:type="dxa"/>
            <w:tcBorders>
              <w:top w:val="single" w:sz="4" w:space="0" w:color="auto"/>
              <w:left w:val="nil"/>
              <w:bottom w:val="single" w:sz="4" w:space="0" w:color="auto"/>
              <w:right w:val="nil"/>
            </w:tcBorders>
            <w:shd w:val="clear" w:color="auto" w:fill="auto"/>
            <w:noWrap/>
            <w:vAlign w:val="bottom"/>
            <w:hideMark/>
          </w:tcPr>
          <w:p w:rsidR="00156BBE" w:rsidRDefault="00156BBE" w:rsidP="006654AE">
            <w:pPr>
              <w:pStyle w:val="tabletextright"/>
              <w:rPr>
                <w:rFonts w:eastAsia="Times New Roman"/>
                <w:sz w:val="16"/>
                <w:szCs w:val="16"/>
              </w:rPr>
            </w:pPr>
            <w:r>
              <w:rPr>
                <w:rFonts w:eastAsia="Times New Roman"/>
                <w:sz w:val="16"/>
                <w:szCs w:val="16"/>
              </w:rPr>
              <w:t>Population (</w:t>
            </w:r>
            <w:proofErr w:type="spellStart"/>
            <w:r>
              <w:rPr>
                <w:rFonts w:eastAsia="Times New Roman"/>
                <w:sz w:val="16"/>
                <w:szCs w:val="16"/>
              </w:rPr>
              <w:t>CIM+Exempt</w:t>
            </w:r>
            <w:proofErr w:type="spellEnd"/>
            <w:r>
              <w:rPr>
                <w:rFonts w:eastAsia="Times New Roman"/>
                <w:sz w:val="16"/>
                <w:szCs w:val="16"/>
              </w:rPr>
              <w:t>)</w:t>
            </w:r>
          </w:p>
          <w:p w:rsidR="00156BBE" w:rsidRPr="00156BBE" w:rsidRDefault="00156BBE" w:rsidP="006654AE">
            <w:pPr>
              <w:pStyle w:val="tabletextright"/>
              <w:rPr>
                <w:rFonts w:eastAsia="Times New Roman"/>
                <w:sz w:val="16"/>
                <w:szCs w:val="16"/>
              </w:rPr>
            </w:pPr>
            <w:r w:rsidRPr="00156BBE">
              <w:rPr>
                <w:rFonts w:eastAsia="Times New Roman"/>
                <w:sz w:val="16"/>
                <w:szCs w:val="16"/>
              </w:rPr>
              <w:t>Indigenous</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Age</w:t>
            </w:r>
            <w:r w:rsidR="004B4DCB" w:rsidRPr="00156BBE">
              <w:rPr>
                <w:rFonts w:eastAsia="Times New Roman"/>
                <w:sz w:val="16"/>
                <w:szCs w:val="16"/>
              </w:rPr>
              <w:t xml:space="preserve"> Group (years)</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Under 20</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31.4</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20</w:t>
            </w:r>
            <w:r w:rsidR="002A14F3" w:rsidRPr="00156BBE">
              <w:rPr>
                <w:rFonts w:eastAsia="Times New Roman"/>
                <w:sz w:val="16"/>
                <w:szCs w:val="16"/>
              </w:rPr>
              <w:t>–</w:t>
            </w:r>
            <w:r w:rsidRPr="00156BBE">
              <w:rPr>
                <w:rFonts w:eastAsia="Times New Roman"/>
                <w:sz w:val="16"/>
                <w:szCs w:val="16"/>
              </w:rPr>
              <w:t>24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470</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2,723</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25</w:t>
            </w:r>
            <w:r w:rsidR="002A14F3" w:rsidRPr="00156BBE">
              <w:rPr>
                <w:rFonts w:eastAsia="Times New Roman"/>
                <w:sz w:val="16"/>
                <w:szCs w:val="16"/>
              </w:rPr>
              <w:t>–</w:t>
            </w:r>
            <w:r w:rsidRPr="00156BBE">
              <w:rPr>
                <w:rFonts w:eastAsia="Times New Roman"/>
                <w:sz w:val="16"/>
                <w:szCs w:val="16"/>
              </w:rPr>
              <w:t>34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46.3</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748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4,632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35</w:t>
            </w:r>
            <w:r w:rsidR="002A14F3" w:rsidRPr="00156BBE">
              <w:rPr>
                <w:rFonts w:eastAsia="Times New Roman"/>
                <w:sz w:val="16"/>
                <w:szCs w:val="16"/>
              </w:rPr>
              <w:t>–</w:t>
            </w:r>
            <w:r w:rsidRPr="00156BBE">
              <w:rPr>
                <w:rFonts w:eastAsia="Times New Roman"/>
                <w:sz w:val="16"/>
                <w:szCs w:val="16"/>
              </w:rPr>
              <w:t>44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2,881</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45</w:t>
            </w:r>
            <w:r w:rsidR="002A14F3" w:rsidRPr="00156BBE">
              <w:rPr>
                <w:rFonts w:eastAsia="Times New Roman"/>
                <w:sz w:val="16"/>
                <w:szCs w:val="16"/>
              </w:rPr>
              <w:t>–</w:t>
            </w:r>
            <w:r w:rsidRPr="00156BBE">
              <w:rPr>
                <w:rFonts w:eastAsia="Times New Roman"/>
                <w:sz w:val="16"/>
                <w:szCs w:val="16"/>
              </w:rPr>
              <w:t>64</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7.7</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38.2</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22.5</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661</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1,727</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Region</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Alice Springs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33.1</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Barkly inc</w:t>
            </w:r>
            <w:r w:rsidR="002A14F3" w:rsidRPr="00156BBE">
              <w:rPr>
                <w:rFonts w:eastAsia="Times New Roman"/>
                <w:sz w:val="16"/>
                <w:szCs w:val="16"/>
              </w:rPr>
              <w:t>l.</w:t>
            </w:r>
            <w:r w:rsidRPr="00156BBE">
              <w:rPr>
                <w:rFonts w:eastAsia="Times New Roman"/>
                <w:sz w:val="16"/>
                <w:szCs w:val="16"/>
              </w:rPr>
              <w:t xml:space="preserve"> T</w:t>
            </w:r>
            <w:r w:rsidR="00E964B4" w:rsidRPr="00156BBE">
              <w:rPr>
                <w:rFonts w:eastAsia="Times New Roman"/>
                <w:sz w:val="16"/>
                <w:szCs w:val="16"/>
              </w:rPr>
              <w:t xml:space="preserve">ennant </w:t>
            </w:r>
            <w:r w:rsidRPr="00156BBE">
              <w:rPr>
                <w:rFonts w:eastAsia="Times New Roman"/>
                <w:sz w:val="16"/>
                <w:szCs w:val="16"/>
              </w:rPr>
              <w:t>C</w:t>
            </w:r>
            <w:r w:rsidR="00E964B4" w:rsidRPr="00156BBE">
              <w:rPr>
                <w:rFonts w:eastAsia="Times New Roman"/>
                <w:sz w:val="16"/>
                <w:szCs w:val="16"/>
              </w:rPr>
              <w:t>reek</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1,016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East Arnhem</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13.3</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2,079</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Greater Darwin</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55.3</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26.3</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1,941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1,384</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Katherine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2,266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Mid</w:t>
            </w:r>
            <w:r w:rsidR="002A14F3" w:rsidRPr="00156BBE">
              <w:rPr>
                <w:rFonts w:eastAsia="Times New Roman"/>
                <w:sz w:val="16"/>
                <w:szCs w:val="16"/>
              </w:rPr>
              <w:t>-</w:t>
            </w:r>
            <w:r w:rsidRPr="00156BBE">
              <w:rPr>
                <w:rFonts w:eastAsia="Times New Roman"/>
                <w:sz w:val="16"/>
                <w:szCs w:val="16"/>
              </w:rPr>
              <w:t>West Desert</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1,425</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S</w:t>
            </w:r>
            <w:r w:rsidR="00E964B4" w:rsidRPr="00156BBE">
              <w:rPr>
                <w:rFonts w:eastAsia="Times New Roman"/>
                <w:sz w:val="16"/>
                <w:szCs w:val="16"/>
              </w:rPr>
              <w:t xml:space="preserve">outh </w:t>
            </w:r>
            <w:r w:rsidRPr="00156BBE">
              <w:rPr>
                <w:rFonts w:eastAsia="Times New Roman"/>
                <w:sz w:val="16"/>
                <w:szCs w:val="16"/>
              </w:rPr>
              <w:t>E</w:t>
            </w:r>
            <w:r w:rsidR="00E964B4" w:rsidRPr="00156BBE">
              <w:rPr>
                <w:rFonts w:eastAsia="Times New Roman"/>
                <w:sz w:val="16"/>
                <w:szCs w:val="16"/>
              </w:rPr>
              <w:t>ast</w:t>
            </w:r>
            <w:r w:rsidRPr="00156BBE">
              <w:rPr>
                <w:rFonts w:eastAsia="Times New Roman"/>
                <w:sz w:val="16"/>
                <w:szCs w:val="16"/>
              </w:rPr>
              <w:t xml:space="preserve"> Desert</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2.3</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1,268</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Top &amp; W</w:t>
            </w:r>
            <w:r w:rsidR="00E964B4" w:rsidRPr="00156BBE">
              <w:rPr>
                <w:rFonts w:eastAsia="Times New Roman"/>
                <w:sz w:val="16"/>
                <w:szCs w:val="16"/>
              </w:rPr>
              <w:t>est</w:t>
            </w:r>
            <w:r w:rsidRPr="00156BBE">
              <w:rPr>
                <w:rFonts w:eastAsia="Times New Roman"/>
                <w:sz w:val="16"/>
                <w:szCs w:val="16"/>
              </w:rPr>
              <w:t xml:space="preserve"> Arnhem</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30.6</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16.8</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4.2</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143</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2,646</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Income Support Type</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N</w:t>
            </w:r>
            <w:r w:rsidR="004B4DCB" w:rsidRPr="00156BBE">
              <w:rPr>
                <w:rFonts w:eastAsia="Times New Roman"/>
                <w:sz w:val="16"/>
                <w:szCs w:val="16"/>
              </w:rPr>
              <w:t>ewstart Allowance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1,301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7,421</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P</w:t>
            </w:r>
            <w:r w:rsidR="004B4DCB" w:rsidRPr="00156BBE">
              <w:rPr>
                <w:rFonts w:eastAsia="Times New Roman"/>
                <w:sz w:val="16"/>
                <w:szCs w:val="16"/>
              </w:rPr>
              <w:t>arenting Pay. Partnered</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38.1</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8.4</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2,140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4B4DCB" w:rsidP="006654AE">
            <w:pPr>
              <w:pStyle w:val="tabletextleft"/>
              <w:rPr>
                <w:rFonts w:eastAsia="Times New Roman"/>
                <w:sz w:val="16"/>
                <w:szCs w:val="16"/>
              </w:rPr>
            </w:pPr>
            <w:r w:rsidRPr="00156BBE">
              <w:rPr>
                <w:rFonts w:eastAsia="Times New Roman"/>
                <w:sz w:val="16"/>
                <w:szCs w:val="16"/>
              </w:rPr>
              <w:t>Parenting Pay. Single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15.5</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935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2,137</w:t>
            </w:r>
          </w:p>
        </w:tc>
      </w:tr>
      <w:tr w:rsidR="00156BBE" w:rsidRPr="00156BBE" w:rsidTr="00156BBE">
        <w:trPr>
          <w:trHeight w:val="20"/>
        </w:trPr>
        <w:tc>
          <w:tcPr>
            <w:tcW w:w="2028" w:type="dxa"/>
            <w:tcBorders>
              <w:top w:val="nil"/>
              <w:left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Y</w:t>
            </w:r>
            <w:r w:rsidR="004B4DCB" w:rsidRPr="00156BBE">
              <w:rPr>
                <w:rFonts w:eastAsia="Times New Roman"/>
                <w:sz w:val="16"/>
                <w:szCs w:val="16"/>
              </w:rPr>
              <w:t xml:space="preserve">outh Allowance </w:t>
            </w:r>
          </w:p>
        </w:tc>
        <w:tc>
          <w:tcPr>
            <w:tcW w:w="914"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0.9</w:t>
            </w:r>
          </w:p>
        </w:tc>
        <w:tc>
          <w:tcPr>
            <w:tcW w:w="914"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c>
          <w:tcPr>
            <w:tcW w:w="914" w:type="dxa"/>
            <w:gridSpan w:val="3"/>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w:t>
            </w:r>
          </w:p>
        </w:tc>
        <w:tc>
          <w:tcPr>
            <w:tcW w:w="310"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187</w:t>
            </w:r>
          </w:p>
        </w:tc>
        <w:tc>
          <w:tcPr>
            <w:tcW w:w="1148"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1,289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Oth</w:t>
            </w:r>
            <w:r w:rsidR="004B4DCB" w:rsidRPr="00156BBE">
              <w:rPr>
                <w:rFonts w:eastAsia="Times New Roman"/>
                <w:sz w:val="16"/>
                <w:szCs w:val="16"/>
              </w:rPr>
              <w:t>er</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100.0</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81.8</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83.3</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81.8</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75.0</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Family Type</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Cple</w:t>
            </w:r>
            <w:proofErr w:type="spellEnd"/>
            <w:r w:rsidRPr="00156BBE">
              <w:rPr>
                <w:rFonts w:eastAsia="Times New Roman"/>
                <w:sz w:val="16"/>
                <w:szCs w:val="16"/>
              </w:rPr>
              <w:t xml:space="preserve"> y</w:t>
            </w:r>
            <w:r w:rsidR="004B4DCB" w:rsidRPr="00156BBE">
              <w:rPr>
                <w:rFonts w:eastAsia="Times New Roman"/>
                <w:sz w:val="16"/>
                <w:szCs w:val="16"/>
              </w:rPr>
              <w:t>oungest</w:t>
            </w:r>
            <w:r w:rsidR="00E964B4" w:rsidRPr="00156BBE">
              <w:rPr>
                <w:rFonts w:eastAsia="Times New Roman"/>
                <w:sz w:val="16"/>
                <w:szCs w:val="16"/>
              </w:rPr>
              <w:t xml:space="preserve"> </w:t>
            </w:r>
            <w:proofErr w:type="spellStart"/>
            <w:r w:rsidR="00E964B4" w:rsidRPr="00156BBE">
              <w:rPr>
                <w:rFonts w:eastAsia="Times New Roman"/>
                <w:sz w:val="16"/>
                <w:szCs w:val="16"/>
              </w:rPr>
              <w:t>chld</w:t>
            </w:r>
            <w:proofErr w:type="spellEnd"/>
            <w:r w:rsidRPr="00156BBE">
              <w:rPr>
                <w:rFonts w:eastAsia="Times New Roman"/>
                <w:sz w:val="16"/>
                <w:szCs w:val="16"/>
              </w:rPr>
              <w:t xml:space="preserve"> &lt;</w:t>
            </w:r>
            <w:r w:rsidR="00E964B4" w:rsidRPr="00156BBE">
              <w:rPr>
                <w:rFonts w:eastAsia="Times New Roman"/>
                <w:sz w:val="16"/>
                <w:szCs w:val="16"/>
              </w:rPr>
              <w:t xml:space="preserve">5 </w:t>
            </w:r>
            <w:proofErr w:type="spellStart"/>
            <w:r w:rsidR="00E964B4" w:rsidRPr="00156BBE">
              <w:rPr>
                <w:rFonts w:eastAsia="Times New Roman"/>
                <w:sz w:val="16"/>
                <w:szCs w:val="16"/>
              </w:rPr>
              <w:t>yrs</w:t>
            </w:r>
            <w:proofErr w:type="spellEnd"/>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3,093</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Cple</w:t>
            </w:r>
            <w:proofErr w:type="spellEnd"/>
            <w:r w:rsidRPr="00156BBE">
              <w:rPr>
                <w:rFonts w:eastAsia="Times New Roman"/>
                <w:sz w:val="16"/>
                <w:szCs w:val="16"/>
              </w:rPr>
              <w:t xml:space="preserve"> </w:t>
            </w:r>
            <w:r w:rsidR="004B4DCB" w:rsidRPr="00156BBE">
              <w:rPr>
                <w:rFonts w:eastAsia="Times New Roman"/>
                <w:sz w:val="16"/>
                <w:szCs w:val="16"/>
              </w:rPr>
              <w:t xml:space="preserve">youngest </w:t>
            </w:r>
            <w:proofErr w:type="spellStart"/>
            <w:r w:rsidR="00E964B4" w:rsidRPr="00156BBE">
              <w:rPr>
                <w:rFonts w:eastAsia="Times New Roman"/>
                <w:sz w:val="16"/>
                <w:szCs w:val="16"/>
              </w:rPr>
              <w:t>chld</w:t>
            </w:r>
            <w:proofErr w:type="spellEnd"/>
            <w:r w:rsidR="00E964B4" w:rsidRPr="00156BBE">
              <w:rPr>
                <w:rFonts w:eastAsia="Times New Roman"/>
                <w:sz w:val="16"/>
                <w:szCs w:val="16"/>
              </w:rPr>
              <w:t xml:space="preserve"> </w:t>
            </w:r>
            <w:r w:rsidR="004B4DCB" w:rsidRPr="00156BBE">
              <w:rPr>
                <w:rFonts w:eastAsia="Times New Roman"/>
                <w:sz w:val="16"/>
                <w:szCs w:val="16"/>
              </w:rPr>
              <w:t xml:space="preserve">5 </w:t>
            </w:r>
            <w:proofErr w:type="spellStart"/>
            <w:r w:rsidR="004B4DCB" w:rsidRPr="00156BBE">
              <w:rPr>
                <w:rFonts w:eastAsia="Times New Roman"/>
                <w:sz w:val="16"/>
                <w:szCs w:val="16"/>
              </w:rPr>
              <w:t>yrs</w:t>
            </w:r>
            <w:proofErr w:type="spellEnd"/>
            <w:r w:rsidR="004B4DCB" w:rsidRPr="00156BBE">
              <w:rPr>
                <w:rFonts w:eastAsia="Times New Roman"/>
                <w:sz w:val="16"/>
                <w:szCs w:val="16"/>
              </w:rPr>
              <w:t xml:space="preserve"> +</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57.9</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44.2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1,656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C</w:t>
            </w:r>
            <w:r w:rsidR="004B4DCB" w:rsidRPr="00156BBE">
              <w:rPr>
                <w:rFonts w:eastAsia="Times New Roman"/>
                <w:sz w:val="16"/>
                <w:szCs w:val="16"/>
              </w:rPr>
              <w:t>ou</w:t>
            </w:r>
            <w:r w:rsidRPr="00156BBE">
              <w:rPr>
                <w:rFonts w:eastAsia="Times New Roman"/>
                <w:sz w:val="16"/>
                <w:szCs w:val="16"/>
              </w:rPr>
              <w:t>ple only</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1,597</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Sngl</w:t>
            </w:r>
            <w:proofErr w:type="spellEnd"/>
            <w:r w:rsidRPr="00156BBE">
              <w:rPr>
                <w:rFonts w:eastAsia="Times New Roman"/>
                <w:sz w:val="16"/>
                <w:szCs w:val="16"/>
              </w:rPr>
              <w:t xml:space="preserve"> </w:t>
            </w:r>
            <w:r w:rsidR="004B4DCB" w:rsidRPr="00156BBE">
              <w:rPr>
                <w:rFonts w:eastAsia="Times New Roman"/>
                <w:sz w:val="16"/>
                <w:szCs w:val="16"/>
              </w:rPr>
              <w:t xml:space="preserve">parent youngest </w:t>
            </w:r>
            <w:r w:rsidRPr="00156BBE">
              <w:rPr>
                <w:rFonts w:eastAsia="Times New Roman"/>
                <w:sz w:val="16"/>
                <w:szCs w:val="16"/>
              </w:rPr>
              <w:t>&lt;5</w:t>
            </w:r>
            <w:r w:rsidR="00E964B4" w:rsidRPr="00156BBE">
              <w:rPr>
                <w:rFonts w:eastAsia="Times New Roman"/>
                <w:sz w:val="16"/>
                <w:szCs w:val="16"/>
              </w:rPr>
              <w:t>yrs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64.3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69.1</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662</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1,576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Sngl</w:t>
            </w:r>
            <w:proofErr w:type="spellEnd"/>
            <w:r w:rsidRPr="00156BBE">
              <w:rPr>
                <w:rFonts w:eastAsia="Times New Roman"/>
                <w:sz w:val="16"/>
                <w:szCs w:val="16"/>
              </w:rPr>
              <w:t xml:space="preserve"> </w:t>
            </w:r>
            <w:r w:rsidR="004B4DCB" w:rsidRPr="00156BBE">
              <w:rPr>
                <w:rFonts w:eastAsia="Times New Roman"/>
                <w:sz w:val="16"/>
                <w:szCs w:val="16"/>
              </w:rPr>
              <w:t xml:space="preserve">parent </w:t>
            </w:r>
            <w:proofErr w:type="spellStart"/>
            <w:r w:rsidR="004B4DCB" w:rsidRPr="00156BBE">
              <w:rPr>
                <w:rFonts w:eastAsia="Times New Roman"/>
                <w:sz w:val="16"/>
                <w:szCs w:val="16"/>
              </w:rPr>
              <w:t>yng</w:t>
            </w:r>
            <w:r w:rsidR="00E964B4" w:rsidRPr="00156BBE">
              <w:rPr>
                <w:rFonts w:eastAsia="Times New Roman"/>
                <w:sz w:val="16"/>
                <w:szCs w:val="16"/>
              </w:rPr>
              <w:t>est</w:t>
            </w:r>
            <w:proofErr w:type="spellEnd"/>
            <w:r w:rsidR="004B4DCB" w:rsidRPr="00156BBE">
              <w:rPr>
                <w:rFonts w:eastAsia="Times New Roman"/>
                <w:sz w:val="16"/>
                <w:szCs w:val="16"/>
              </w:rPr>
              <w:t xml:space="preserve"> 5 </w:t>
            </w:r>
            <w:proofErr w:type="spellStart"/>
            <w:r w:rsidR="004B4DCB" w:rsidRPr="00156BBE">
              <w:rPr>
                <w:rFonts w:eastAsia="Times New Roman"/>
                <w:sz w:val="16"/>
                <w:szCs w:val="16"/>
              </w:rPr>
              <w:t>yrs</w:t>
            </w:r>
            <w:proofErr w:type="spellEnd"/>
            <w:r w:rsidR="004B4DCB" w:rsidRPr="00156BBE">
              <w:rPr>
                <w:rFonts w:eastAsia="Times New Roman"/>
                <w:sz w:val="16"/>
                <w:szCs w:val="16"/>
              </w:rPr>
              <w:t xml:space="preserve"> +</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55.4</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63.7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8.9</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522</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1,329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Single</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4.8</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0.6</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1,013</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3,742</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Number of children</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0</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1,133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5,396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64.5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3,178</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2,220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3</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33.3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63.5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0.6</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1,316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100</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590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5</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7.1</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E964B4" w:rsidP="006654AE">
            <w:pPr>
              <w:pStyle w:val="tabletextleft"/>
              <w:rPr>
                <w:rFonts w:eastAsia="Times New Roman"/>
                <w:sz w:val="16"/>
                <w:szCs w:val="16"/>
              </w:rPr>
            </w:pPr>
            <w:r w:rsidRPr="00156BBE">
              <w:rPr>
                <w:rFonts w:eastAsia="Times New Roman"/>
                <w:sz w:val="16"/>
                <w:szCs w:val="16"/>
              </w:rPr>
              <w:t>6 or more</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35.0</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30.8</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12.2</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9.5</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95</w:t>
            </w:r>
          </w:p>
        </w:tc>
      </w:tr>
      <w:tr w:rsidR="00156BBE" w:rsidRPr="00156BBE" w:rsidTr="00156BBE">
        <w:trPr>
          <w:gridAfter w:val="5"/>
          <w:wAfter w:w="4225" w:type="dxa"/>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jc w:val="left"/>
              <w:rPr>
                <w:rFonts w:eastAsia="Times New Roman"/>
                <w:sz w:val="16"/>
                <w:szCs w:val="16"/>
              </w:rPr>
            </w:pPr>
            <w:r w:rsidRPr="00156BBE">
              <w:rPr>
                <w:rFonts w:eastAsia="Times New Roman"/>
                <w:sz w:val="16"/>
                <w:szCs w:val="16"/>
              </w:rPr>
              <w:t>Age of youngest child</w:t>
            </w:r>
            <w:r w:rsidR="00B84AFE" w:rsidRPr="00156BBE">
              <w:rPr>
                <w:rFonts w:eastAsia="Times New Roman"/>
                <w:sz w:val="16"/>
                <w:szCs w:val="16"/>
              </w:rPr>
              <w:t xml:space="preserve"> </w:t>
            </w:r>
            <w:r w:rsidRPr="00156BBE">
              <w:rPr>
                <w:rFonts w:eastAsia="Times New Roman"/>
                <w:sz w:val="16"/>
                <w:szCs w:val="16"/>
              </w:rPr>
              <w:t>(persons with a child only)</w:t>
            </w:r>
          </w:p>
        </w:tc>
        <w:tc>
          <w:tcPr>
            <w:tcW w:w="953"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0"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8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007"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02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Under 2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16.0</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2,128</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w:t>
            </w:r>
            <w:r w:rsidR="002A14F3" w:rsidRPr="00156BBE">
              <w:rPr>
                <w:rFonts w:eastAsia="Times New Roman"/>
                <w:sz w:val="16"/>
                <w:szCs w:val="16"/>
              </w:rPr>
              <w:t>–</w:t>
            </w:r>
            <w:r w:rsidRPr="00156BBE">
              <w:rPr>
                <w:rFonts w:eastAsia="Times New Roman"/>
                <w:sz w:val="16"/>
                <w:szCs w:val="16"/>
              </w:rPr>
              <w:t>4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2,502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5</w:t>
            </w:r>
            <w:r w:rsidR="002A14F3" w:rsidRPr="00156BBE">
              <w:rPr>
                <w:rFonts w:eastAsia="Times New Roman"/>
                <w:sz w:val="16"/>
                <w:szCs w:val="16"/>
              </w:rPr>
              <w:t>–</w:t>
            </w:r>
            <w:r w:rsidRPr="00156BBE">
              <w:rPr>
                <w:rFonts w:eastAsia="Times New Roman"/>
                <w:sz w:val="16"/>
                <w:szCs w:val="16"/>
              </w:rPr>
              <w:t>9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1,892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10</w:t>
            </w:r>
            <w:r w:rsidR="002A14F3" w:rsidRPr="00156BBE">
              <w:rPr>
                <w:rFonts w:eastAsia="Times New Roman"/>
                <w:sz w:val="16"/>
                <w:szCs w:val="16"/>
              </w:rPr>
              <w:t>–</w:t>
            </w:r>
            <w:r w:rsidRPr="00156BBE">
              <w:rPr>
                <w:rFonts w:eastAsia="Times New Roman"/>
                <w:sz w:val="16"/>
                <w:szCs w:val="16"/>
              </w:rPr>
              <w:t>14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59.2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919</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15 years and over</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46.9</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153</w:t>
            </w:r>
          </w:p>
        </w:tc>
      </w:tr>
      <w:tr w:rsidR="00156BBE" w:rsidRPr="00156BBE" w:rsidTr="00156BBE">
        <w:trPr>
          <w:trHeight w:val="20"/>
        </w:trPr>
        <w:tc>
          <w:tcPr>
            <w:tcW w:w="202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Total</w:t>
            </w:r>
          </w:p>
        </w:tc>
        <w:tc>
          <w:tcPr>
            <w:tcW w:w="914"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7.8</w:t>
            </w:r>
          </w:p>
        </w:tc>
        <w:tc>
          <w:tcPr>
            <w:tcW w:w="914"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51.4</w:t>
            </w:r>
          </w:p>
        </w:tc>
        <w:tc>
          <w:tcPr>
            <w:tcW w:w="914" w:type="dxa"/>
            <w:gridSpan w:val="3"/>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36.3</w:t>
            </w:r>
          </w:p>
        </w:tc>
        <w:tc>
          <w:tcPr>
            <w:tcW w:w="310"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p>
        </w:tc>
        <w:tc>
          <w:tcPr>
            <w:tcW w:w="932"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0.4</w:t>
            </w:r>
          </w:p>
        </w:tc>
        <w:tc>
          <w:tcPr>
            <w:tcW w:w="932"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7.6</w:t>
            </w:r>
          </w:p>
        </w:tc>
        <w:tc>
          <w:tcPr>
            <w:tcW w:w="932"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4.9</w:t>
            </w:r>
          </w:p>
        </w:tc>
        <w:tc>
          <w:tcPr>
            <w:tcW w:w="277"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p>
        </w:tc>
        <w:tc>
          <w:tcPr>
            <w:tcW w:w="114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2,650</w:t>
            </w:r>
          </w:p>
        </w:tc>
        <w:tc>
          <w:tcPr>
            <w:tcW w:w="114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12,999</w:t>
            </w:r>
          </w:p>
        </w:tc>
      </w:tr>
    </w:tbl>
    <w:p w:rsidR="00F30A93" w:rsidRDefault="00F30A93" w:rsidP="006654AE">
      <w:pPr>
        <w:pStyle w:val="tablenotes"/>
      </w:pPr>
    </w:p>
    <w:p w:rsidR="005E1FE0" w:rsidRDefault="005E1FE0" w:rsidP="006654AE">
      <w:pPr>
        <w:pStyle w:val="tablenotes"/>
      </w:pPr>
      <w:r w:rsidRPr="00DF38B2">
        <w:t>Source:</w:t>
      </w:r>
      <w:r w:rsidRPr="00DF38B2">
        <w:tab/>
        <w:t xml:space="preserve"> Derived from DHS Administrative data provided for the purposes of the evaluation.</w:t>
      </w:r>
    </w:p>
    <w:p w:rsidR="005E1FE0" w:rsidRPr="00DF38B2" w:rsidRDefault="005E1FE0" w:rsidP="006654AE">
      <w:pPr>
        <w:pStyle w:val="Heading2"/>
        <w:spacing w:line="252" w:lineRule="auto"/>
      </w:pPr>
      <w:bookmarkStart w:id="261" w:name="_Toc403739028"/>
      <w:r w:rsidRPr="00DF38B2">
        <w:t>The dynamics of exemptions</w:t>
      </w:r>
      <w:bookmarkEnd w:id="261"/>
    </w:p>
    <w:p w:rsidR="005E1FE0" w:rsidRPr="00DF38B2" w:rsidRDefault="005E1FE0" w:rsidP="006654AE">
      <w:r w:rsidRPr="00DF38B2">
        <w:t>Behind the static data on the number of people with an exemption, or subject to income management at any one time</w:t>
      </w:r>
      <w:r w:rsidR="00C65383" w:rsidRPr="00DF38B2">
        <w:t>,</w:t>
      </w:r>
      <w:r w:rsidRPr="00DF38B2">
        <w:t xml:space="preserve"> there are many different pathways</w:t>
      </w:r>
      <w:r w:rsidR="00445BB3">
        <w:t xml:space="preserve">. </w:t>
      </w:r>
      <w:r w:rsidRPr="00DF38B2">
        <w:t xml:space="preserve">This section considers some of these, in particular, the ways in which people experience income management prior to </w:t>
      </w:r>
      <w:r w:rsidR="003866EF">
        <w:t xml:space="preserve">obtaining an </w:t>
      </w:r>
      <w:r w:rsidRPr="00DF38B2">
        <w:t xml:space="preserve">exemption and the experience of people after having had an exemption. </w:t>
      </w:r>
    </w:p>
    <w:p w:rsidR="005E1FE0" w:rsidRPr="00DF38B2" w:rsidRDefault="005E1FE0" w:rsidP="006654AE">
      <w:pPr>
        <w:pStyle w:val="Heading3"/>
        <w:spacing w:line="252" w:lineRule="auto"/>
      </w:pPr>
      <w:bookmarkStart w:id="262" w:name="_Toc403739029"/>
      <w:r w:rsidRPr="00DF38B2">
        <w:t xml:space="preserve">Experience on </w:t>
      </w:r>
      <w:r w:rsidR="00407AEF">
        <w:t>income management</w:t>
      </w:r>
      <w:r w:rsidRPr="00DF38B2">
        <w:t xml:space="preserve"> prior to first exemption</w:t>
      </w:r>
      <w:bookmarkEnd w:id="262"/>
    </w:p>
    <w:p w:rsidR="005E1FE0" w:rsidRPr="00DF38B2" w:rsidRDefault="005E1FE0" w:rsidP="006654AE">
      <w:r w:rsidRPr="00DF38B2">
        <w:t xml:space="preserve">Most people who obtain an exemption from income management have little if any actual experience of being income managed. This is illustrated in </w:t>
      </w:r>
      <w:r w:rsidRPr="00DF38B2">
        <w:fldChar w:fldCharType="begin"/>
      </w:r>
      <w:r w:rsidRPr="00DF38B2">
        <w:instrText xml:space="preserve"> REF _Ref392057071 \h </w:instrText>
      </w:r>
      <w:r w:rsidRPr="00DF38B2">
        <w:fldChar w:fldCharType="separate"/>
      </w:r>
      <w:r w:rsidR="00906D13" w:rsidRPr="00FE502F">
        <w:t xml:space="preserve">Figure </w:t>
      </w:r>
      <w:r w:rsidR="00906D13">
        <w:rPr>
          <w:noProof/>
        </w:rPr>
        <w:t>5</w:t>
      </w:r>
      <w:r w:rsidR="00906D13" w:rsidRPr="00DF38B2">
        <w:noBreakHyphen/>
      </w:r>
      <w:r w:rsidR="00906D13">
        <w:rPr>
          <w:noProof/>
        </w:rPr>
        <w:t>5</w:t>
      </w:r>
      <w:r w:rsidRPr="00DF38B2">
        <w:fldChar w:fldCharType="end"/>
      </w:r>
      <w:r w:rsidRPr="00DF38B2">
        <w:t>.</w:t>
      </w:r>
    </w:p>
    <w:p w:rsidR="005E1FE0" w:rsidRPr="00DF38B2" w:rsidRDefault="005E1FE0" w:rsidP="006654AE">
      <w:pPr>
        <w:pStyle w:val="Caption"/>
      </w:pPr>
      <w:bookmarkStart w:id="263" w:name="_Ref392057071"/>
      <w:bookmarkStart w:id="264" w:name="_Toc403739530"/>
      <w:r w:rsidRPr="00FE502F">
        <w:lastRenderedPageBreak/>
        <w:t xml:space="preserve">Figure </w:t>
      </w:r>
      <w:fldSimple w:instr=" STYLEREF 1 \s ">
        <w:r w:rsidR="00906D13">
          <w:rPr>
            <w:noProof/>
          </w:rPr>
          <w:t>5</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263"/>
      <w:r w:rsidRPr="00DF38B2">
        <w:tab/>
        <w:t xml:space="preserve">Time on income management prior to obtaining an exemption, all persons who have obtained an exemption from </w:t>
      </w:r>
      <w:r w:rsidR="00F30A93">
        <w:t>income management in the Northern Territory</w:t>
      </w:r>
      <w:r w:rsidR="00D86209">
        <w:t>, population with an exemption in December 2013</w:t>
      </w:r>
      <w:bookmarkEnd w:id="264"/>
    </w:p>
    <w:p w:rsidR="005E1FE0" w:rsidRPr="00DF38B2" w:rsidRDefault="00343627" w:rsidP="006654AE">
      <w:pPr>
        <w:spacing w:after="0" w:line="240" w:lineRule="auto"/>
        <w:jc w:val="center"/>
      </w:pPr>
      <w:r w:rsidRPr="00343627">
        <w:t xml:space="preserve"> </w:t>
      </w:r>
      <w:r w:rsidRPr="00343627">
        <w:rPr>
          <w:noProof/>
        </w:rPr>
        <w:drawing>
          <wp:inline distT="0" distB="0" distL="0" distR="0" wp14:anchorId="05BAD37C" wp14:editId="6B4FFAFC">
            <wp:extent cx="4572000" cy="2743200"/>
            <wp:effectExtent l="0" t="0" r="0" b="0"/>
            <wp:docPr id="149" name="Picture 149" descr="This is a bar chart which shows the distribution of time on income management prior to an exemption by Indigenous status and gender.  The main findings from the chart are detail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FE502F">
        <w:t xml:space="preserve">Source: </w:t>
      </w:r>
      <w:r w:rsidR="002532F6">
        <w:tab/>
      </w:r>
      <w:r w:rsidRPr="00FE502F">
        <w:t>Derived from DHS Administrative data provided</w:t>
      </w:r>
      <w:r w:rsidRPr="009655C3">
        <w:t xml:space="preserve"> for the purposes of the evaluation.</w:t>
      </w:r>
    </w:p>
    <w:p w:rsidR="00837B4F" w:rsidRPr="009655C3" w:rsidRDefault="00837B4F" w:rsidP="006654AE">
      <w:pPr>
        <w:pStyle w:val="tablefootnoteslastline"/>
      </w:pPr>
    </w:p>
    <w:p w:rsidR="005E1FE0" w:rsidRPr="00DF38B2" w:rsidRDefault="005E1FE0" w:rsidP="006654AE">
      <w:r w:rsidRPr="00DF38B2">
        <w:t xml:space="preserve">This experience is again one which has very marked differences between Indigenous Australians and others. </w:t>
      </w:r>
      <w:r w:rsidR="00DB178D">
        <w:t>O</w:t>
      </w:r>
      <w:r w:rsidRPr="00DF38B2">
        <w:t>f non-Indigenous women</w:t>
      </w:r>
      <w:r w:rsidR="00DB178D" w:rsidRPr="00DB178D">
        <w:t xml:space="preserve"> </w:t>
      </w:r>
      <w:r w:rsidR="00DB178D" w:rsidRPr="00DF38B2">
        <w:t>who obtain an exemption</w:t>
      </w:r>
      <w:r w:rsidR="00DB178D">
        <w:t>,</w:t>
      </w:r>
      <w:r w:rsidRPr="00DF38B2">
        <w:t xml:space="preserve"> </w:t>
      </w:r>
      <w:r w:rsidR="00DB178D" w:rsidRPr="00DF38B2">
        <w:t xml:space="preserve">57.9 per cent </w:t>
      </w:r>
      <w:r w:rsidRPr="00DF38B2">
        <w:t>do not have any experience of being income managed. That is</w:t>
      </w:r>
      <w:r w:rsidR="00DB178D">
        <w:t>,</w:t>
      </w:r>
      <w:r w:rsidRPr="00DF38B2">
        <w:t xml:space="preserve"> they gain their exemption prior to actually being subject to the measure. When account is taken of the group who </w:t>
      </w:r>
      <w:r w:rsidR="00DB178D" w:rsidRPr="00DF38B2">
        <w:t xml:space="preserve">at an earlier point in time </w:t>
      </w:r>
      <w:r w:rsidRPr="00DF38B2">
        <w:t>had an experience of income management, but were not on income management immediately before the exemption was granted</w:t>
      </w:r>
      <w:r w:rsidR="00C65383" w:rsidRPr="00DF38B2">
        <w:t>,</w:t>
      </w:r>
      <w:r w:rsidRPr="00DF38B2">
        <w:t xml:space="preserve"> or were on income management for less than a month prior to gaining an exemption, this proportion </w:t>
      </w:r>
      <w:proofErr w:type="gramStart"/>
      <w:r w:rsidRPr="00DF38B2">
        <w:t>rises</w:t>
      </w:r>
      <w:proofErr w:type="gramEnd"/>
      <w:r w:rsidRPr="00DF38B2">
        <w:t xml:space="preserve"> to over three</w:t>
      </w:r>
      <w:r w:rsidR="00F861CA">
        <w:t>-</w:t>
      </w:r>
      <w:r w:rsidRPr="00DF38B2">
        <w:t>quarters. The situation is similar for non-Indigenous men, although these men were somewhat more likely to have had an earlier experience of income management, but again</w:t>
      </w:r>
      <w:r w:rsidR="00DB178D">
        <w:t>,</w:t>
      </w:r>
      <w:r w:rsidRPr="00DF38B2">
        <w:t xml:space="preserve"> over three-quarters of all of those who have an exemption fall into these three categories.</w:t>
      </w:r>
    </w:p>
    <w:p w:rsidR="005E1FE0" w:rsidRPr="00DF38B2" w:rsidRDefault="005E1FE0" w:rsidP="006654AE">
      <w:r w:rsidRPr="00DF38B2">
        <w:t xml:space="preserve">These direct pathways are also significant amongst the relatively small group of Indigenous people gaining exemptions, but </w:t>
      </w:r>
      <w:r w:rsidR="00DB178D">
        <w:t>are</w:t>
      </w:r>
      <w:r w:rsidRPr="00DF38B2">
        <w:t xml:space="preserve"> at lower levels</w:t>
      </w:r>
      <w:r w:rsidR="00445BB3">
        <w:t xml:space="preserve">. </w:t>
      </w:r>
      <w:r w:rsidRPr="00DF38B2">
        <w:t>Just a quarter of those who do obtain an exemption move directly to their exemption with no time on income management. This increases to just over 40 per cent obtaining an exemption after less than a month on income management in the current spell</w:t>
      </w:r>
      <w:r w:rsidR="00DB178D">
        <w:t>,</w:t>
      </w:r>
      <w:r w:rsidRPr="00DF38B2">
        <w:t xml:space="preserve"> compared with the three</w:t>
      </w:r>
      <w:r w:rsidR="00DB178D">
        <w:t>-</w:t>
      </w:r>
      <w:r w:rsidRPr="00DF38B2">
        <w:t>quarters for non-Indigenous people gaining quick exemptions</w:t>
      </w:r>
      <w:r w:rsidR="00445BB3">
        <w:t xml:space="preserve">. </w:t>
      </w:r>
      <w:r w:rsidRPr="00DF38B2">
        <w:t>Among Indigenous people the proportion obtaining exemptions with this limited engagement is a little higher for men (54.2 per cent) compared with women (41.1 per cent)</w:t>
      </w:r>
      <w:r w:rsidR="00445BB3">
        <w:t xml:space="preserve">. </w:t>
      </w:r>
      <w:r w:rsidRPr="00DF38B2">
        <w:t>However</w:t>
      </w:r>
      <w:r w:rsidR="00DB178D">
        <w:t>,</w:t>
      </w:r>
      <w:r w:rsidRPr="00DF38B2">
        <w:t xml:space="preserve"> this figure needs to be seen in the context of the actual exemption rates for Indigenous men which, as indicated above, were just 0.4 per cent at the end of December 2013.</w:t>
      </w:r>
    </w:p>
    <w:p w:rsidR="005E1FE0" w:rsidRPr="00DF38B2" w:rsidRDefault="005E1FE0" w:rsidP="006654AE">
      <w:r w:rsidRPr="00DF38B2">
        <w:t xml:space="preserve">At the other end of the distribution </w:t>
      </w:r>
      <w:r w:rsidR="00C65383" w:rsidRPr="00DF38B2">
        <w:t>of prior income</w:t>
      </w:r>
      <w:r w:rsidR="00DB178D">
        <w:t>-</w:t>
      </w:r>
      <w:r w:rsidR="00C65383" w:rsidRPr="00DF38B2">
        <w:t>management experience</w:t>
      </w:r>
      <w:r w:rsidR="00DB178D">
        <w:t>,</w:t>
      </w:r>
      <w:r w:rsidR="00C65383" w:rsidRPr="00DF38B2">
        <w:t xml:space="preserve"> </w:t>
      </w:r>
      <w:r w:rsidRPr="00DF38B2">
        <w:t xml:space="preserve">just over seven per cent of non-Indigenous </w:t>
      </w:r>
      <w:r w:rsidR="00DB178D">
        <w:t xml:space="preserve">people with </w:t>
      </w:r>
      <w:r w:rsidRPr="00DF38B2">
        <w:t>exempt</w:t>
      </w:r>
      <w:r w:rsidR="00DB178D">
        <w:t>ion</w:t>
      </w:r>
      <w:r w:rsidRPr="00DF38B2">
        <w:t xml:space="preserve">s have more than </w:t>
      </w:r>
      <w:r w:rsidR="004B4DCB">
        <w:t>one</w:t>
      </w:r>
      <w:r w:rsidR="004B4DCB" w:rsidRPr="00DF38B2">
        <w:t xml:space="preserve"> </w:t>
      </w:r>
      <w:r w:rsidRPr="00DF38B2">
        <w:t>years’ experience on income management prior to obtaining an exemption. In contrast</w:t>
      </w:r>
      <w:r w:rsidR="00DB178D">
        <w:t>,</w:t>
      </w:r>
      <w:r w:rsidRPr="00DF38B2">
        <w:t xml:space="preserve"> 31.5 per cent of Indigenous people do, with this being much higher for women than for men.</w:t>
      </w:r>
    </w:p>
    <w:p w:rsidR="005E1FE0" w:rsidRPr="00DF38B2" w:rsidRDefault="005E1FE0" w:rsidP="006654AE">
      <w:r w:rsidRPr="00DF38B2">
        <w:t xml:space="preserve">From </w:t>
      </w:r>
      <w:r w:rsidR="00115F4A">
        <w:t>these data</w:t>
      </w:r>
      <w:r w:rsidRPr="00DF38B2">
        <w:t xml:space="preserve"> it is clear that in a large part exemptions are operating as a means of non-application of income management to a group who can already meet the exemption guidelines when placed on the program, rather than acting as an incentive to change behaviour.</w:t>
      </w:r>
    </w:p>
    <w:p w:rsidR="005E1FE0" w:rsidRPr="00DF38B2" w:rsidRDefault="005E1FE0" w:rsidP="006654AE">
      <w:pPr>
        <w:pStyle w:val="Heading3"/>
        <w:spacing w:line="252" w:lineRule="auto"/>
      </w:pPr>
      <w:bookmarkStart w:id="265" w:name="_Toc403739030"/>
      <w:r w:rsidRPr="00DF38B2">
        <w:t>Transitions</w:t>
      </w:r>
      <w:bookmarkEnd w:id="265"/>
    </w:p>
    <w:p w:rsidR="005E1FE0" w:rsidRPr="00DF38B2" w:rsidRDefault="005E1FE0" w:rsidP="006654AE">
      <w:r w:rsidRPr="00DF38B2">
        <w:t>Only half the non-Indigenous population with an exemption in December 2012 were recorded as still being exempt in December 2013</w:t>
      </w:r>
      <w:r w:rsidR="00445BB3">
        <w:t xml:space="preserve">. </w:t>
      </w:r>
      <w:r w:rsidRPr="00DF38B2">
        <w:t xml:space="preserve">There were many reasons for this. Just over a quarter of those who were no longer exempt were recorded as being on FTB or in receipt of Assistance for Isolated Children (AIC), suggesting that they or their partners </w:t>
      </w:r>
      <w:r w:rsidR="00C65383" w:rsidRPr="00DF38B2">
        <w:t xml:space="preserve">now </w:t>
      </w:r>
      <w:r w:rsidRPr="00DF38B2">
        <w:t xml:space="preserve">have a higher income and hence were no longer eligible for income support. Just over </w:t>
      </w:r>
      <w:r w:rsidR="00CC6215">
        <w:t>20</w:t>
      </w:r>
      <w:r w:rsidR="00CC6215" w:rsidRPr="00DF38B2">
        <w:t> </w:t>
      </w:r>
      <w:r w:rsidRPr="00DF38B2">
        <w:t>per cent were recorded on income support payments not subject to income management in the Northern Territory</w:t>
      </w:r>
      <w:r w:rsidR="00066B6E">
        <w:t>, with</w:t>
      </w:r>
      <w:r w:rsidRPr="00DF38B2">
        <w:t xml:space="preserve"> the same percentage on income support payments in other </w:t>
      </w:r>
      <w:r w:rsidRPr="00DF38B2">
        <w:lastRenderedPageBreak/>
        <w:t>states. A smaller proportion</w:t>
      </w:r>
      <w:r w:rsidR="004B4DCB">
        <w:t xml:space="preserve"> (17.5 per cent)</w:t>
      </w:r>
      <w:r w:rsidRPr="00DF38B2">
        <w:t xml:space="preserve"> w</w:t>
      </w:r>
      <w:r w:rsidR="00066B6E">
        <w:t>as</w:t>
      </w:r>
      <w:r w:rsidRPr="00DF38B2">
        <w:t xml:space="preserve"> back on compulsory income management</w:t>
      </w:r>
      <w:r w:rsidR="00066B6E">
        <w:t>,</w:t>
      </w:r>
      <w:r w:rsidRPr="00DF38B2">
        <w:t xml:space="preserve"> and </w:t>
      </w:r>
      <w:r w:rsidR="00066B6E">
        <w:t>six</w:t>
      </w:r>
      <w:r w:rsidRPr="00DF38B2">
        <w:t> per cent had no record in the Centrelink system</w:t>
      </w:r>
      <w:r w:rsidR="00445BB3">
        <w:t xml:space="preserve">. </w:t>
      </w:r>
      <w:r w:rsidRPr="00DF38B2">
        <w:t xml:space="preserve">For Indigenous </w:t>
      </w:r>
      <w:r w:rsidR="00066B6E">
        <w:t xml:space="preserve">people with </w:t>
      </w:r>
      <w:r w:rsidRPr="00DF38B2">
        <w:t>exempt</w:t>
      </w:r>
      <w:r w:rsidR="00066B6E">
        <w:t>ion</w:t>
      </w:r>
      <w:r w:rsidRPr="00DF38B2">
        <w:t>s in December 2012, some 40 per cent were still exempt</w:t>
      </w:r>
      <w:r w:rsidR="00C32D5A">
        <w:t xml:space="preserve"> in December 2013</w:t>
      </w:r>
      <w:r w:rsidR="00066B6E">
        <w:t>,</w:t>
      </w:r>
      <w:r w:rsidRPr="00DF38B2">
        <w:t xml:space="preserve"> while over 30 per cent were back on compulsory income management. This level of reversion appears to suggest that many </w:t>
      </w:r>
      <w:r w:rsidR="00066B6E">
        <w:t>in</w:t>
      </w:r>
      <w:r w:rsidRPr="00DF38B2">
        <w:t xml:space="preserve"> this group have considerable problems in obtaining an extension of their exemption status.</w:t>
      </w:r>
    </w:p>
    <w:p w:rsidR="005E1FE0" w:rsidRPr="00DF38B2" w:rsidRDefault="005E1FE0" w:rsidP="006654AE">
      <w:pPr>
        <w:pStyle w:val="Caption"/>
      </w:pPr>
      <w:bookmarkStart w:id="266" w:name="_Toc403739426"/>
      <w:r w:rsidRPr="00DF38B2">
        <w:t xml:space="preserve">Table </w:t>
      </w:r>
      <w:fldSimple w:instr=" STYLEREF 1 \s ">
        <w:r w:rsidR="00906D13">
          <w:rPr>
            <w:noProof/>
          </w:rPr>
          <w:t>5</w:t>
        </w:r>
      </w:fldSimple>
      <w:r w:rsidR="00D40B64">
        <w:noBreakHyphen/>
      </w:r>
      <w:fldSimple w:instr=" SEQ Table \* ARABIC \s 1 ">
        <w:r w:rsidR="00906D13">
          <w:rPr>
            <w:noProof/>
          </w:rPr>
          <w:t>2</w:t>
        </w:r>
      </w:fldSimple>
      <w:r w:rsidRPr="00DF38B2">
        <w:tab/>
        <w:t>Persons with an exemption</w:t>
      </w:r>
      <w:r w:rsidR="00097266">
        <w:t xml:space="preserve"> from income management in the Northern Territory</w:t>
      </w:r>
      <w:r w:rsidRPr="00DF38B2">
        <w:t>, one year transitions, December 2012 and December 2013</w:t>
      </w:r>
      <w:bookmarkEnd w:id="266"/>
    </w:p>
    <w:tbl>
      <w:tblPr>
        <w:tblW w:w="8573" w:type="dxa"/>
        <w:tblInd w:w="136" w:type="dxa"/>
        <w:tblLook w:val="04A0" w:firstRow="1" w:lastRow="0" w:firstColumn="1" w:lastColumn="0" w:noHBand="0" w:noVBand="1"/>
        <w:tblDescription w:val="This table presents some transition experiences of people – essentially their characteristics at two points of time.  The first two columns present the status in December 2013 of people who had an exemption in December 2012 with the first column being for non-Indigenous persons, and the second for Indigenous persons. The next two columns are again for these two groups – but presents the December 2012 status of those with an exemption in December 2013. In all cases the columns present the proportions of the population,&#10;The rows provide for 11 different status for people at the other time period these are: Exempt; Exempt VIM; CIM; Targeted CIM; VIM; Interstate IM; NT Income Support;NT FTB/Other; Interstate Income Support; Interstate FTB/Other; No record, along with total (which is 100.0 per cent) and then a total population count.&#10;"/>
      </w:tblPr>
      <w:tblGrid>
        <w:gridCol w:w="2154"/>
        <w:gridCol w:w="1418"/>
        <w:gridCol w:w="1417"/>
        <w:gridCol w:w="236"/>
        <w:gridCol w:w="1506"/>
        <w:gridCol w:w="1842"/>
      </w:tblGrid>
      <w:tr w:rsidR="005E1FE0" w:rsidRPr="00DF38B2" w:rsidTr="009A06B6">
        <w:trPr>
          <w:trHeight w:val="288"/>
          <w:tblHeader/>
        </w:trPr>
        <w:tc>
          <w:tcPr>
            <w:tcW w:w="215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18"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2012 exempt, status in Dec 2013</w:t>
            </w:r>
          </w:p>
          <w:p w:rsidR="005E1FE0" w:rsidRPr="009A06B6" w:rsidRDefault="005E1FE0" w:rsidP="006654AE">
            <w:pPr>
              <w:pStyle w:val="tabletextright"/>
              <w:rPr>
                <w:rFonts w:eastAsia="Times New Roman"/>
              </w:rPr>
            </w:pPr>
            <w:r w:rsidRPr="009A06B6">
              <w:rPr>
                <w:rFonts w:eastAsia="Times New Roman"/>
              </w:rPr>
              <w:t>Non-Indigenous</w:t>
            </w:r>
            <w:r w:rsidR="00D615D9" w:rsidRPr="009A06B6">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2012 exempt, status in Dec 2013</w:t>
            </w:r>
          </w:p>
          <w:p w:rsidR="00D615D9" w:rsidRPr="009A06B6" w:rsidRDefault="005E1FE0" w:rsidP="006654AE">
            <w:pPr>
              <w:pStyle w:val="tabletextright"/>
              <w:rPr>
                <w:rFonts w:eastAsia="Times New Roman"/>
              </w:rPr>
            </w:pPr>
            <w:r w:rsidRPr="009A06B6">
              <w:rPr>
                <w:rFonts w:eastAsia="Times New Roman"/>
              </w:rPr>
              <w:t>Indigenous</w:t>
            </w:r>
            <w:r w:rsidR="00D615D9" w:rsidRPr="009A06B6">
              <w:rPr>
                <w:rFonts w:eastAsia="Times New Roman"/>
              </w:rPr>
              <w:t xml:space="preserve"> </w:t>
            </w:r>
          </w:p>
          <w:p w:rsidR="005E1FE0" w:rsidRPr="009A06B6" w:rsidRDefault="00D615D9" w:rsidP="006654AE">
            <w:pPr>
              <w:pStyle w:val="tabletextright"/>
              <w:rPr>
                <w:rFonts w:eastAsia="Times New Roman"/>
              </w:rPr>
            </w:pPr>
            <w:r w:rsidRPr="009A06B6">
              <w:rPr>
                <w:rFonts w:eastAsia="Times New Roman"/>
              </w:rPr>
              <w:t>(%)</w:t>
            </w:r>
          </w:p>
        </w:tc>
        <w:tc>
          <w:tcPr>
            <w:tcW w:w="236" w:type="dxa"/>
            <w:tcBorders>
              <w:top w:val="single" w:sz="4" w:space="0" w:color="auto"/>
              <w:left w:val="nil"/>
              <w:bottom w:val="single" w:sz="4" w:space="0" w:color="auto"/>
              <w:right w:val="nil"/>
            </w:tcBorders>
            <w:shd w:val="clear" w:color="auto" w:fill="auto"/>
          </w:tcPr>
          <w:p w:rsidR="005E1FE0" w:rsidRPr="009A06B6" w:rsidRDefault="005E1FE0" w:rsidP="006654AE">
            <w:pPr>
              <w:pStyle w:val="tabletextright"/>
              <w:rPr>
                <w:rFonts w:eastAsia="Times New Roman"/>
              </w:rPr>
            </w:pPr>
          </w:p>
        </w:tc>
        <w:tc>
          <w:tcPr>
            <w:tcW w:w="1506"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2013 exempt, status in Dec 2012</w:t>
            </w:r>
          </w:p>
          <w:p w:rsidR="005E1FE0" w:rsidRPr="009A06B6" w:rsidRDefault="005E1FE0" w:rsidP="006654AE">
            <w:pPr>
              <w:pStyle w:val="tabletextright"/>
              <w:rPr>
                <w:rFonts w:eastAsia="Times New Roman"/>
              </w:rPr>
            </w:pPr>
            <w:r w:rsidRPr="009A06B6">
              <w:rPr>
                <w:rFonts w:eastAsia="Times New Roman"/>
              </w:rPr>
              <w:t>Non-Indigenous</w:t>
            </w:r>
            <w:r w:rsidR="00D615D9" w:rsidRPr="009A06B6">
              <w:rPr>
                <w:rFonts w:eastAsia="Times New Roman"/>
              </w:rPr>
              <w:t xml:space="preserve"> (%)</w:t>
            </w:r>
          </w:p>
        </w:tc>
        <w:tc>
          <w:tcPr>
            <w:tcW w:w="1842"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2013 exempt, status in Dec 2012</w:t>
            </w:r>
          </w:p>
          <w:p w:rsidR="00D615D9" w:rsidRPr="009A06B6" w:rsidRDefault="005E1FE0" w:rsidP="006654AE">
            <w:pPr>
              <w:pStyle w:val="tabletextright"/>
              <w:rPr>
                <w:rFonts w:eastAsia="Times New Roman"/>
              </w:rPr>
            </w:pPr>
            <w:r w:rsidRPr="009A06B6">
              <w:rPr>
                <w:rFonts w:eastAsia="Times New Roman"/>
              </w:rPr>
              <w:t>Indigenous</w:t>
            </w:r>
            <w:r w:rsidR="00D615D9" w:rsidRPr="009A06B6">
              <w:rPr>
                <w:rFonts w:eastAsia="Times New Roman"/>
              </w:rPr>
              <w:t xml:space="preserve"> </w:t>
            </w:r>
          </w:p>
          <w:p w:rsidR="005E1FE0" w:rsidRPr="00DF38B2" w:rsidRDefault="00D615D9" w:rsidP="006654AE">
            <w:pPr>
              <w:pStyle w:val="tabletextright"/>
              <w:rPr>
                <w:rFonts w:eastAsia="Times New Roman"/>
              </w:rPr>
            </w:pPr>
            <w:r w:rsidRPr="009A06B6">
              <w:rPr>
                <w:rFonts w:eastAsia="Times New Roman"/>
              </w:rPr>
              <w:t>(%)</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Exempt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50.8</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54.0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Exempt VIM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CIM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9.8</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38.3</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Targeted CIM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VIM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NT Income Support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9.9</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19.5</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10.9</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NT FTB/Other</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Income Support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10.4</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FTB/Other</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No record</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5.9</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Total</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9A06B6">
        <w:tc>
          <w:tcPr>
            <w:tcW w:w="2154"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50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84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5E1FE0" w:rsidRPr="00DF38B2" w:rsidTr="009A06B6">
        <w:tc>
          <w:tcPr>
            <w:tcW w:w="2154" w:type="dxa"/>
            <w:tcBorders>
              <w:top w:val="nil"/>
              <w:left w:val="nil"/>
              <w:bottom w:val="single" w:sz="4" w:space="0" w:color="auto"/>
              <w:right w:val="nil"/>
            </w:tcBorders>
            <w:shd w:val="clear" w:color="auto" w:fill="auto"/>
            <w:noWrap/>
            <w:vAlign w:val="center"/>
            <w:hideMark/>
          </w:tcPr>
          <w:p w:rsidR="005E1FE0" w:rsidRPr="00DF38B2" w:rsidRDefault="005E1FE0" w:rsidP="00D615D9">
            <w:pPr>
              <w:pStyle w:val="tabletextleft"/>
              <w:rPr>
                <w:rFonts w:eastAsia="Times New Roman"/>
              </w:rPr>
            </w:pPr>
            <w:r w:rsidRPr="00DF38B2">
              <w:rPr>
                <w:rFonts w:eastAsia="Times New Roman"/>
              </w:rPr>
              <w:t>Population (</w:t>
            </w:r>
            <w:r w:rsidR="00D615D9">
              <w:rPr>
                <w:rFonts w:eastAsia="Times New Roman"/>
              </w:rPr>
              <w:t>n</w:t>
            </w:r>
            <w:r w:rsidRPr="00DF38B2">
              <w:rPr>
                <w:rFonts w:eastAsia="Times New Roman"/>
              </w:rPr>
              <w:t>)</w:t>
            </w:r>
          </w:p>
        </w:tc>
        <w:tc>
          <w:tcPr>
            <w:tcW w:w="14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1,011</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649</w:t>
            </w:r>
          </w:p>
        </w:tc>
        <w:tc>
          <w:tcPr>
            <w:tcW w:w="23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951</w:t>
            </w:r>
          </w:p>
        </w:tc>
        <w:tc>
          <w:tcPr>
            <w:tcW w:w="184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650</w:t>
            </w:r>
          </w:p>
        </w:tc>
      </w:tr>
    </w:tbl>
    <w:p w:rsidR="005E1FE0" w:rsidRPr="00DF38B2" w:rsidRDefault="005E1FE0" w:rsidP="006654AE">
      <w:pPr>
        <w:pStyle w:val="tablenotes"/>
        <w:ind w:left="1437" w:hanging="870"/>
      </w:pPr>
      <w:r w:rsidRPr="00DF38B2">
        <w:t xml:space="preserve">Note: </w:t>
      </w:r>
      <w:r w:rsidR="002532F6">
        <w:tab/>
      </w:r>
      <w:r w:rsidRPr="00DF38B2">
        <w:t>This includes persons with an exemption who were on V</w:t>
      </w:r>
      <w:r w:rsidR="00343627">
        <w:t xml:space="preserve">oluntary </w:t>
      </w:r>
      <w:r w:rsidRPr="00DF38B2">
        <w:t>I</w:t>
      </w:r>
      <w:r w:rsidR="00343627">
        <w:t xml:space="preserve">ncome </w:t>
      </w:r>
      <w:r w:rsidRPr="00DF38B2">
        <w:t>M</w:t>
      </w:r>
      <w:r w:rsidR="00343627">
        <w:t>anagement</w:t>
      </w:r>
      <w:r w:rsidRPr="00DF38B2">
        <w:t>. Of those with this status in December 2013</w:t>
      </w:r>
      <w:r w:rsidR="00066B6E">
        <w:t>,</w:t>
      </w:r>
      <w:r w:rsidRPr="00DF38B2">
        <w:t xml:space="preserve"> 76.9 per cent were on C</w:t>
      </w:r>
      <w:r w:rsidR="00343627">
        <w:t xml:space="preserve">ompulsory </w:t>
      </w:r>
      <w:r w:rsidRPr="00DF38B2">
        <w:t>I</w:t>
      </w:r>
      <w:r w:rsidR="00343627">
        <w:t xml:space="preserve">ncome </w:t>
      </w:r>
      <w:r w:rsidRPr="00DF38B2">
        <w:t>M</w:t>
      </w:r>
      <w:r w:rsidR="00343627">
        <w:t>anagement</w:t>
      </w:r>
      <w:r w:rsidRPr="00DF38B2">
        <w:t xml:space="preserve"> in December 2014.</w:t>
      </w:r>
    </w:p>
    <w:p w:rsidR="005E1FE0" w:rsidRDefault="005E1FE0" w:rsidP="006654AE">
      <w:pPr>
        <w:pStyle w:val="tablenotes"/>
      </w:pPr>
      <w:r w:rsidRPr="00DF38B2">
        <w:t>Source:</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The pattern of transitions into an exempt status in December 2013, shown in the second two columns of the table, is in many ways the interaction between these transition</w:t>
      </w:r>
      <w:r w:rsidR="00066B6E">
        <w:t>-</w:t>
      </w:r>
      <w:r w:rsidRPr="00DF38B2">
        <w:t>off patterns and the data on the previous prior income management experience considered earlier. For the Indigenous population 39.5 per cent of those exempt in December 2013 had been exempt a year earlier, with 38.3 per cent having been on compulsory income management. 10.9 per cent had been on income support in the Northern Territory but not subject to income management (most probably because they had not yet met the trigger time period on payment)</w:t>
      </w:r>
      <w:r w:rsidR="00A1421A">
        <w:t xml:space="preserve">. </w:t>
      </w:r>
      <w:r w:rsidRPr="00DF38B2">
        <w:t xml:space="preserve">For non-Indigenous </w:t>
      </w:r>
      <w:r w:rsidR="00066B6E">
        <w:t xml:space="preserve">persons </w:t>
      </w:r>
      <w:r w:rsidRPr="00DF38B2">
        <w:t>the proportion who maintain an exempt status from a year earlier is higher at 54.</w:t>
      </w:r>
      <w:r w:rsidR="009D2F15">
        <w:t>0</w:t>
      </w:r>
      <w:r w:rsidRPr="00DF38B2">
        <w:t> per cent</w:t>
      </w:r>
      <w:r w:rsidR="00066B6E">
        <w:t>,</w:t>
      </w:r>
      <w:r w:rsidRPr="00DF38B2">
        <w:t xml:space="preserve"> and the relativity between flows from being on income support only (19.5 per cent in the</w:t>
      </w:r>
      <w:r w:rsidR="00DD3886">
        <w:t xml:space="preserve"> Northern Territory </w:t>
      </w:r>
      <w:r w:rsidRPr="00DF38B2">
        <w:t>and 8.1 per cent interstate) and having been on income support with income management (9.8 per cent ) is reversed.</w:t>
      </w:r>
    </w:p>
    <w:p w:rsidR="005E1FE0" w:rsidRPr="00DF38B2" w:rsidRDefault="005E1FE0" w:rsidP="006654AE">
      <w:r w:rsidRPr="00DF38B2">
        <w:t>Thus</w:t>
      </w:r>
      <w:r w:rsidR="00066B6E">
        <w:t>,</w:t>
      </w:r>
      <w:r w:rsidRPr="00DF38B2">
        <w:t xml:space="preserve"> gaining an exemption is not necessarily a one</w:t>
      </w:r>
      <w:r w:rsidR="00066B6E">
        <w:t>-</w:t>
      </w:r>
      <w:r w:rsidRPr="00DF38B2">
        <w:t xml:space="preserve">way exit from income management. A considerable segment, in particular of Indigenous people, exits exemptions by returning to compulsory income management. </w:t>
      </w:r>
    </w:p>
    <w:p w:rsidR="005E1FE0" w:rsidRPr="00DF38B2" w:rsidRDefault="005E1FE0" w:rsidP="006654AE">
      <w:pPr>
        <w:pStyle w:val="Heading4"/>
      </w:pPr>
      <w:r w:rsidRPr="00DF38B2">
        <w:t>Summary of dynamics</w:t>
      </w:r>
    </w:p>
    <w:p w:rsidR="005E1FE0" w:rsidRPr="00DF38B2" w:rsidRDefault="005E1FE0" w:rsidP="006654AE">
      <w:r w:rsidRPr="00DF38B2">
        <w:t>There are many paths both onto and off income management</w:t>
      </w:r>
      <w:r w:rsidR="00C65383" w:rsidRPr="00DF38B2">
        <w:t xml:space="preserve"> and exemptions from the program</w:t>
      </w:r>
      <w:r w:rsidRPr="00DF38B2">
        <w:t>. For non-Indigenous women in particular</w:t>
      </w:r>
      <w:r w:rsidR="00066B6E">
        <w:t>,</w:t>
      </w:r>
      <w:r w:rsidRPr="00DF38B2">
        <w:t xml:space="preserve"> most exemptions do not involve the person ever having been on income management. In contrast</w:t>
      </w:r>
      <w:r w:rsidR="00066B6E">
        <w:t>,</w:t>
      </w:r>
      <w:r w:rsidRPr="00DF38B2">
        <w:t xml:space="preserve"> a significant proportion of Indigenous people spend a substantial </w:t>
      </w:r>
      <w:r w:rsidR="00066B6E">
        <w:t xml:space="preserve">amount of </w:t>
      </w:r>
      <w:r w:rsidRPr="00DF38B2">
        <w:t>time on income management before obtaining an exemption</w:t>
      </w:r>
      <w:r w:rsidR="00A1421A">
        <w:t xml:space="preserve">. </w:t>
      </w:r>
    </w:p>
    <w:p w:rsidR="005E1FE0" w:rsidRPr="00DF38B2" w:rsidRDefault="005E1FE0" w:rsidP="006654AE">
      <w:r w:rsidRPr="00DF38B2">
        <w:t>Exemptions are not always a one</w:t>
      </w:r>
      <w:r w:rsidR="00066B6E">
        <w:t>-</w:t>
      </w:r>
      <w:r w:rsidRPr="00DF38B2">
        <w:t>way move off income management</w:t>
      </w:r>
      <w:r w:rsidR="00066B6E">
        <w:t>;</w:t>
      </w:r>
      <w:r w:rsidRPr="00DF38B2">
        <w:t xml:space="preserve"> rather</w:t>
      </w:r>
      <w:r w:rsidR="00066B6E">
        <w:t>,</w:t>
      </w:r>
      <w:r w:rsidRPr="00DF38B2">
        <w:t xml:space="preserve"> a substantial group, in particular of Indigenous people, fail to maintain an exempt status over time.</w:t>
      </w:r>
    </w:p>
    <w:p w:rsidR="005E1FE0" w:rsidRPr="00DF38B2" w:rsidRDefault="005E1FE0" w:rsidP="006654AE">
      <w:pPr>
        <w:pStyle w:val="Heading2"/>
        <w:spacing w:line="252" w:lineRule="auto"/>
      </w:pPr>
      <w:bookmarkStart w:id="267" w:name="_Toc403739031"/>
      <w:r w:rsidRPr="00DF38B2">
        <w:t>Analysis of the incidence of exemptions</w:t>
      </w:r>
      <w:bookmarkEnd w:id="267"/>
    </w:p>
    <w:p w:rsidR="005E1FE0" w:rsidRPr="009655C3" w:rsidRDefault="005E1FE0" w:rsidP="006654AE">
      <w:r w:rsidRPr="00DF38B2">
        <w:t xml:space="preserve">The extent to which the rate of exemptions varies with a wide range of characteristics has been discussed above. </w:t>
      </w:r>
      <w:r w:rsidR="00066B6E">
        <w:t>H</w:t>
      </w:r>
      <w:r w:rsidR="00066B6E" w:rsidRPr="00DF38B2">
        <w:t>owever</w:t>
      </w:r>
      <w:r w:rsidR="00066B6E">
        <w:t>, t</w:t>
      </w:r>
      <w:r w:rsidRPr="00DF38B2">
        <w:t xml:space="preserve">his type of </w:t>
      </w:r>
      <w:r w:rsidR="00C65383" w:rsidRPr="00DF38B2">
        <w:t xml:space="preserve">descriptive </w:t>
      </w:r>
      <w:r w:rsidRPr="00DF38B2">
        <w:t>analysis is limited</w:t>
      </w:r>
      <w:r w:rsidR="00066B6E">
        <w:t>,</w:t>
      </w:r>
      <w:r w:rsidRPr="00DF38B2">
        <w:t xml:space="preserve"> as individuals have a wide range of </w:t>
      </w:r>
      <w:r w:rsidRPr="00DF38B2">
        <w:lastRenderedPageBreak/>
        <w:t>characteristics</w:t>
      </w:r>
      <w:r w:rsidR="00BC3672">
        <w:t>,</w:t>
      </w:r>
      <w:r w:rsidRPr="00DF38B2">
        <w:t xml:space="preserve"> and tables such as those presented earlier can reflect the interaction of these, making it difficult to ascertain the </w:t>
      </w:r>
      <w:r w:rsidR="00184119">
        <w:t xml:space="preserve">particular </w:t>
      </w:r>
      <w:r w:rsidRPr="00DF38B2">
        <w:t>influence of specific characteristics</w:t>
      </w:r>
      <w:r w:rsidR="00A1421A">
        <w:t xml:space="preserve">. </w:t>
      </w:r>
      <w:r w:rsidRPr="00DF38B2">
        <w:t>The following analysis therefore uses regression techniques to identify the factors associated with obtaining an exemption</w:t>
      </w:r>
      <w:r w:rsidR="00A1421A">
        <w:t xml:space="preserve">. </w:t>
      </w:r>
      <w:r w:rsidRPr="00DF38B2">
        <w:t xml:space="preserve">For this a </w:t>
      </w:r>
      <w:proofErr w:type="spellStart"/>
      <w:r w:rsidRPr="00DF38B2">
        <w:t>probit</w:t>
      </w:r>
      <w:proofErr w:type="spellEnd"/>
      <w:r w:rsidRPr="00DF38B2">
        <w:t xml:space="preserve"> regression technique is used</w:t>
      </w:r>
      <w:r w:rsidR="00BC3672">
        <w:t>.</w:t>
      </w:r>
      <w:r w:rsidRPr="00DF38B2">
        <w:rPr>
          <w:rStyle w:val="FootnoteReference"/>
        </w:rPr>
        <w:footnoteReference w:id="76"/>
      </w:r>
      <w:r w:rsidR="00A1421A">
        <w:t xml:space="preserve"> </w:t>
      </w:r>
      <w:r w:rsidRPr="00DF38B2">
        <w:t>For ease of interpretation</w:t>
      </w:r>
      <w:r w:rsidR="00BC3672">
        <w:t>,</w:t>
      </w:r>
      <w:r w:rsidRPr="00DF38B2">
        <w:t xml:space="preserve"> along with the parameter values</w:t>
      </w:r>
      <w:r w:rsidR="00F861CA">
        <w:t>,</w:t>
      </w:r>
      <w:r w:rsidRPr="00DF38B2">
        <w:t xml:space="preserve"> the marginal effect of the parameter is given</w:t>
      </w:r>
      <w:r w:rsidR="00343627">
        <w:t xml:space="preserve"> (</w:t>
      </w:r>
      <w:r w:rsidR="00343627">
        <w:fldChar w:fldCharType="begin"/>
      </w:r>
      <w:r w:rsidR="00343627">
        <w:instrText xml:space="preserve"> REF _Ref392097050 \h </w:instrText>
      </w:r>
      <w:r w:rsidR="00343627">
        <w:fldChar w:fldCharType="separate"/>
      </w:r>
      <w:r w:rsidR="00906D13" w:rsidRPr="00DF38B2">
        <w:t xml:space="preserve">Table </w:t>
      </w:r>
      <w:r w:rsidR="00906D13">
        <w:rPr>
          <w:noProof/>
        </w:rPr>
        <w:t>5</w:t>
      </w:r>
      <w:r w:rsidR="00906D13">
        <w:noBreakHyphen/>
      </w:r>
      <w:r w:rsidR="00906D13">
        <w:rPr>
          <w:noProof/>
        </w:rPr>
        <w:t>3</w:t>
      </w:r>
      <w:r w:rsidR="00343627">
        <w:fldChar w:fldCharType="end"/>
      </w:r>
      <w:r w:rsidR="00343627">
        <w:t>)</w:t>
      </w:r>
      <w:r w:rsidR="009D2F15">
        <w:t>. For</w:t>
      </w:r>
      <w:r w:rsidRPr="00DF38B2">
        <w:t xml:space="preserve"> the categor</w:t>
      </w:r>
      <w:r w:rsidRPr="00FE502F">
        <w:t>ical variables this is the probability of a person with the characteristic</w:t>
      </w:r>
      <w:r w:rsidR="009D2F15">
        <w:t xml:space="preserve"> and o</w:t>
      </w:r>
      <w:r w:rsidRPr="009655C3">
        <w:t>ther characteristics evaluated at the mean</w:t>
      </w:r>
      <w:r w:rsidR="009D2F15">
        <w:t>. F</w:t>
      </w:r>
      <w:r w:rsidRPr="009655C3">
        <w:t xml:space="preserve">or continuous variables the </w:t>
      </w:r>
      <w:r w:rsidR="009D2F15">
        <w:t xml:space="preserve">marginal effect is the </w:t>
      </w:r>
      <w:r w:rsidRPr="009655C3">
        <w:t xml:space="preserve">probability </w:t>
      </w:r>
      <w:r w:rsidR="009D2F15">
        <w:t xml:space="preserve">that is </w:t>
      </w:r>
      <w:r w:rsidRPr="009655C3">
        <w:t>associated with a single</w:t>
      </w:r>
      <w:r w:rsidR="00BC3672">
        <w:t>-</w:t>
      </w:r>
      <w:r w:rsidRPr="009655C3">
        <w:t>unit change in the variable</w:t>
      </w:r>
      <w:r w:rsidR="00A1421A">
        <w:t xml:space="preserve">. </w:t>
      </w:r>
    </w:p>
    <w:p w:rsidR="005E1FE0" w:rsidRDefault="00343627" w:rsidP="006654AE">
      <w:r>
        <w:t>T</w:t>
      </w:r>
      <w:r w:rsidR="005E1FE0" w:rsidRPr="00DF38B2">
        <w:t xml:space="preserve">wo separate models have been </w:t>
      </w:r>
      <w:r>
        <w:t>estimated</w:t>
      </w:r>
      <w:r w:rsidR="005E1FE0" w:rsidRPr="00DF38B2">
        <w:t xml:space="preserve">, one for people with </w:t>
      </w:r>
      <w:r>
        <w:t xml:space="preserve">dependent </w:t>
      </w:r>
      <w:r w:rsidR="005E1FE0" w:rsidRPr="00DF38B2">
        <w:t>children and one for those without</w:t>
      </w:r>
      <w:r w:rsidR="00A1421A">
        <w:t xml:space="preserve">. </w:t>
      </w:r>
      <w:r w:rsidR="005E1FE0" w:rsidRPr="00DF38B2">
        <w:t>This is done for two reasons</w:t>
      </w:r>
      <w:r w:rsidR="00A1421A">
        <w:t xml:space="preserve">. </w:t>
      </w:r>
      <w:r w:rsidR="005E1FE0" w:rsidRPr="00FE502F">
        <w:t>The first is that the policies under which exemptions are granted have differential grounds for those with and without children. Secondly</w:t>
      </w:r>
      <w:r w:rsidR="00BC3672">
        <w:t>,</w:t>
      </w:r>
      <w:r w:rsidR="005E1FE0" w:rsidRPr="00FE502F">
        <w:t xml:space="preserve"> the use </w:t>
      </w:r>
      <w:r w:rsidR="005E1FE0" w:rsidRPr="009655C3">
        <w:t xml:space="preserve">of different models allows for a larger set of variables to be included in the model for </w:t>
      </w:r>
      <w:r w:rsidR="00C65383" w:rsidRPr="00DF38B2">
        <w:t>those with children</w:t>
      </w:r>
      <w:r w:rsidR="005E1FE0" w:rsidRPr="00DF38B2">
        <w:t>.</w:t>
      </w:r>
    </w:p>
    <w:p w:rsidR="00622798" w:rsidRPr="00DF38B2" w:rsidRDefault="00622798" w:rsidP="006654AE">
      <w:r w:rsidRPr="00622798">
        <w:t>While the variables included in the model</w:t>
      </w:r>
      <w:r>
        <w:t>s</w:t>
      </w:r>
      <w:r w:rsidRPr="00622798">
        <w:t xml:space="preserve"> identify some of the factors which may be associated with differences in outcomes, a range of other characteristics for which data is not available may also play a role. Where such omitted variables exist, to the extent they have a relationship with variables actually included in the model, they may create a bias in the analysis. For example in the case of education, if levels of education vary systematically with the SES of a location, and education has an impact on applying for and being successful with an application for exemption, then this may be reflected in the estimated parameter value of the SES of the location. This needs to be borne in mind in interpreting results from this analysis</w:t>
      </w:r>
      <w:r>
        <w:t>.</w:t>
      </w:r>
    </w:p>
    <w:p w:rsidR="005E1FE0" w:rsidRPr="00DF38B2" w:rsidRDefault="00435CA3" w:rsidP="006654AE">
      <w:r>
        <w:t>In c</w:t>
      </w:r>
      <w:r w:rsidR="005E1FE0" w:rsidRPr="00DF38B2">
        <w:t>onsidering the first model</w:t>
      </w:r>
      <w:r>
        <w:t>:</w:t>
      </w:r>
      <w:r w:rsidR="005E1FE0" w:rsidRPr="00DF38B2">
        <w:t xml:space="preserve"> for people with children, the model has a pseudo R-square of 0.364, suggesting that the model fit is reasonable and that it provides some insight into the factors associated with the exemption rate</w:t>
      </w:r>
      <w:r w:rsidR="00A1421A">
        <w:t xml:space="preserve">. </w:t>
      </w:r>
      <w:r w:rsidR="005E1FE0" w:rsidRPr="00DF38B2">
        <w:t>Within the model, gender, partner status, age of youngest child</w:t>
      </w:r>
      <w:r>
        <w:t>,</w:t>
      </w:r>
      <w:r w:rsidR="005E1FE0" w:rsidRPr="00DF38B2">
        <w:t xml:space="preserve"> and the ABS Socio-Economic Index for Areas (SEIFA) are all significant at the 0.01 level or higher</w:t>
      </w:r>
      <w:r w:rsidR="00A1421A">
        <w:t xml:space="preserve">. </w:t>
      </w:r>
      <w:r w:rsidR="005E1FE0" w:rsidRPr="00DF38B2">
        <w:t xml:space="preserve">The parameter for </w:t>
      </w:r>
      <w:r w:rsidR="00343627">
        <w:t>r</w:t>
      </w:r>
      <w:r w:rsidR="005E1FE0" w:rsidRPr="00DF38B2">
        <w:t xml:space="preserve">egion of birth/Indigeneity indicates that the probability </w:t>
      </w:r>
      <w:r w:rsidR="00C65383" w:rsidRPr="00DF38B2">
        <w:t xml:space="preserve">of </w:t>
      </w:r>
      <w:r>
        <w:t xml:space="preserve">obtaining </w:t>
      </w:r>
      <w:r w:rsidR="00C65383" w:rsidRPr="00DF38B2">
        <w:t xml:space="preserve">an exemption </w:t>
      </w:r>
      <w:r w:rsidR="005E1FE0" w:rsidRPr="00DF38B2">
        <w:t>for being Indigenous and being born in a non-English</w:t>
      </w:r>
      <w:r>
        <w:t xml:space="preserve"> </w:t>
      </w:r>
      <w:r w:rsidR="005E1FE0" w:rsidRPr="00DF38B2">
        <w:t>speaking country are significantly different</w:t>
      </w:r>
      <w:r>
        <w:t xml:space="preserve"> –</w:t>
      </w:r>
      <w:r w:rsidR="005E1FE0" w:rsidRPr="00DF38B2">
        <w:t xml:space="preserve"> again at the 0.01 level</w:t>
      </w:r>
      <w:r>
        <w:t xml:space="preserve"> –</w:t>
      </w:r>
      <w:r w:rsidR="005E1FE0" w:rsidRPr="00DF38B2">
        <w:t xml:space="preserve"> to that of non-Indigenous people born in Australia, but being born in an English</w:t>
      </w:r>
      <w:r>
        <w:t>-</w:t>
      </w:r>
      <w:r w:rsidR="005E1FE0" w:rsidRPr="00DF38B2">
        <w:t>speaking country is not. The other variables included in the model</w:t>
      </w:r>
      <w:r>
        <w:t xml:space="preserve"> –</w:t>
      </w:r>
      <w:r w:rsidR="005E1FE0" w:rsidRPr="00DF38B2">
        <w:t xml:space="preserve"> age, the number of children</w:t>
      </w:r>
      <w:r>
        <w:t>,</w:t>
      </w:r>
      <w:r w:rsidR="005E1FE0" w:rsidRPr="00DF38B2">
        <w:t xml:space="preserve"> and the duration people have spent on income support since July 2010</w:t>
      </w:r>
      <w:r>
        <w:t xml:space="preserve"> –</w:t>
      </w:r>
      <w:r w:rsidR="005E1FE0" w:rsidRPr="00DF38B2">
        <w:t xml:space="preserve"> are not</w:t>
      </w:r>
      <w:r w:rsidR="00C65383" w:rsidRPr="00DF38B2">
        <w:t xml:space="preserve"> statistically significant</w:t>
      </w:r>
      <w:r w:rsidR="005E1FE0" w:rsidRPr="00DF38B2">
        <w:t>.</w:t>
      </w:r>
    </w:p>
    <w:p w:rsidR="005E1FE0" w:rsidRPr="00DF38B2" w:rsidRDefault="005E1FE0" w:rsidP="006654AE">
      <w:r w:rsidRPr="00DF38B2">
        <w:t>Turning to the values of the marginal effects, it can be seen that the probability of obtaining an exemption for a male with children (0.0766) is just half that of a female with children (0.1847) – controlling for all of the other variables included in the model. That is, if a man and woman otherwise had the same characteristics in terms of location, age, duration on income support</w:t>
      </w:r>
      <w:r w:rsidR="00435CA3">
        <w:t>,</w:t>
      </w:r>
      <w:r w:rsidRPr="00DF38B2">
        <w:t xml:space="preserve"> etc</w:t>
      </w:r>
      <w:r w:rsidR="00435CA3">
        <w:t>etera</w:t>
      </w:r>
      <w:r w:rsidRPr="00DF38B2">
        <w:t>, the probability of the woman obtaining an exemption would be 18.5 per cent – and a man 7.7 per cent.</w:t>
      </w:r>
    </w:p>
    <w:p w:rsidR="005E1FE0" w:rsidRPr="00DF38B2" w:rsidRDefault="005E1FE0" w:rsidP="006654AE">
      <w:r w:rsidRPr="00DF38B2">
        <w:t xml:space="preserve">Consistent with the data seen earlier, lone parents have a higher probability of obtaining an exemption (0.1878) than partnered people with children (0.1386). One possible reason for this is that effectively a couple has to share the </w:t>
      </w:r>
      <w:r w:rsidR="00C65383" w:rsidRPr="00DF38B2">
        <w:t xml:space="preserve">option </w:t>
      </w:r>
      <w:r w:rsidRPr="00DF38B2">
        <w:t>for an exemption based upon the care of children between two partners. This is because only one of them can claim an exemption for children engaging in appropriate activities, whereas a single parent does not need to make this distribution with a partner. The highest probability of exemption by the combined indicator of Indigenous status and region of birth is for those persons born in non-English</w:t>
      </w:r>
      <w:r w:rsidR="00435CA3">
        <w:t xml:space="preserve"> </w:t>
      </w:r>
      <w:r w:rsidRPr="00DF38B2">
        <w:t>speaking countries (0.4539)</w:t>
      </w:r>
      <w:r w:rsidR="00435CA3">
        <w:t>;</w:t>
      </w:r>
      <w:r w:rsidRPr="00DF38B2">
        <w:t xml:space="preserve"> for Australian</w:t>
      </w:r>
      <w:r w:rsidR="00435CA3">
        <w:t>-</w:t>
      </w:r>
      <w:r w:rsidRPr="00DF38B2">
        <w:t xml:space="preserve">born non-Indigenous </w:t>
      </w:r>
      <w:r w:rsidR="00435CA3">
        <w:t xml:space="preserve">people </w:t>
      </w:r>
      <w:r w:rsidRPr="00DF38B2">
        <w:t>it is 0.3360</w:t>
      </w:r>
      <w:r w:rsidR="00435CA3">
        <w:t>;</w:t>
      </w:r>
      <w:r w:rsidRPr="00DF38B2">
        <w:t xml:space="preserve"> and for Indigenous Australians </w:t>
      </w:r>
      <w:r w:rsidR="00435CA3">
        <w:t xml:space="preserve">it </w:t>
      </w:r>
      <w:r w:rsidRPr="00DF38B2">
        <w:t>less than one</w:t>
      </w:r>
      <w:r w:rsidR="00435CA3">
        <w:t>-</w:t>
      </w:r>
      <w:r w:rsidRPr="00DF38B2">
        <w:t>third of this (0.1082). While the marginal effect for those born in English</w:t>
      </w:r>
      <w:r w:rsidR="00435CA3">
        <w:t>-</w:t>
      </w:r>
      <w:r w:rsidRPr="00DF38B2">
        <w:t>speaking countries is close to that of non-English</w:t>
      </w:r>
      <w:r w:rsidR="00435CA3">
        <w:t xml:space="preserve"> </w:t>
      </w:r>
      <w:r w:rsidRPr="00DF38B2">
        <w:t>speaking countries, this result was not statistically significant</w:t>
      </w:r>
      <w:r w:rsidR="00435CA3">
        <w:t>,</w:t>
      </w:r>
      <w:r w:rsidRPr="00DF38B2">
        <w:t xml:space="preserve"> suggesting that the data had a high degree of variability. The marginal effect identified for the age of youngest children suggests that the probability of an exemption falls by around one percentage point for each additional year of age of the</w:t>
      </w:r>
      <w:r w:rsidR="00F861CA">
        <w:t xml:space="preserve"> youngest</w:t>
      </w:r>
      <w:r w:rsidRPr="00DF38B2">
        <w:t xml:space="preserve"> child</w:t>
      </w:r>
      <w:r w:rsidR="00A1421A">
        <w:t xml:space="preserve">. </w:t>
      </w:r>
      <w:r w:rsidRPr="00DF38B2">
        <w:t xml:space="preserve">That is, a person with a </w:t>
      </w:r>
      <w:r w:rsidR="00F861CA">
        <w:t xml:space="preserve">youngest </w:t>
      </w:r>
      <w:r w:rsidRPr="00DF38B2">
        <w:t xml:space="preserve">child aged </w:t>
      </w:r>
      <w:r w:rsidR="00180B4C">
        <w:t>ten</w:t>
      </w:r>
      <w:r w:rsidRPr="00DF38B2">
        <w:t xml:space="preserve"> has a </w:t>
      </w:r>
      <w:r w:rsidR="00180B4C">
        <w:t>ten-</w:t>
      </w:r>
      <w:r w:rsidR="00C65383" w:rsidRPr="00DF38B2">
        <w:t>percentage point</w:t>
      </w:r>
      <w:r w:rsidRPr="00DF38B2">
        <w:t xml:space="preserve"> lower probability of gaining an exemption compared to one whose child is under one year of age. The marginal value associated with the SEIFA of the location indicates that a person in the most disadvantaged locations has a 0.2115 lower probability of </w:t>
      </w:r>
      <w:r w:rsidR="00180B4C">
        <w:t>securing</w:t>
      </w:r>
      <w:r w:rsidRPr="00DF38B2">
        <w:t xml:space="preserve"> an exemption than a person in the most advantaged locations.</w:t>
      </w:r>
    </w:p>
    <w:p w:rsidR="005E1FE0" w:rsidRPr="00DF38B2" w:rsidRDefault="005E1FE0" w:rsidP="006654AE">
      <w:pPr>
        <w:pStyle w:val="Caption"/>
      </w:pPr>
      <w:bookmarkStart w:id="268" w:name="_Ref392097050"/>
      <w:bookmarkStart w:id="269" w:name="_Toc403739427"/>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3</w:t>
        </w:r>
      </w:fldSimple>
      <w:bookmarkEnd w:id="268"/>
      <w:r w:rsidRPr="00DF38B2">
        <w:tab/>
        <w:t>Exemptions, regression analysis of factors associated with obtaining an exemption, persons subject to</w:t>
      </w:r>
      <w:r w:rsidR="00343627">
        <w:t>,</w:t>
      </w:r>
      <w:r w:rsidRPr="00DF38B2">
        <w:t xml:space="preserve"> or with exemptions from</w:t>
      </w:r>
      <w:r w:rsidR="00343627">
        <w:t>,</w:t>
      </w:r>
      <w:r w:rsidRPr="00DF38B2">
        <w:t xml:space="preserve"> </w:t>
      </w:r>
      <w:r w:rsidR="00343627">
        <w:t>C</w:t>
      </w:r>
      <w:r w:rsidRPr="00DF38B2">
        <w:t xml:space="preserve">ompulsory </w:t>
      </w:r>
      <w:r w:rsidR="00343627">
        <w:t>I</w:t>
      </w:r>
      <w:r w:rsidRPr="00DF38B2">
        <w:t xml:space="preserve">ncome </w:t>
      </w:r>
      <w:r w:rsidR="00343627">
        <w:t>M</w:t>
      </w:r>
      <w:r w:rsidRPr="00DF38B2">
        <w:t>anagement in</w:t>
      </w:r>
      <w:r w:rsidR="00F30A93">
        <w:t xml:space="preserve"> the Northern Territory,</w:t>
      </w:r>
      <w:r w:rsidRPr="00DF38B2">
        <w:t xml:space="preserve"> December 2013</w:t>
      </w:r>
      <w:bookmarkEnd w:id="269"/>
    </w:p>
    <w:tbl>
      <w:tblPr>
        <w:tblW w:w="7900" w:type="dxa"/>
        <w:tblInd w:w="534" w:type="dxa"/>
        <w:tblLook w:val="04A0" w:firstRow="1" w:lastRow="0" w:firstColumn="1" w:lastColumn="0" w:noHBand="0" w:noVBand="1"/>
        <w:tblDescription w:val="This table is a complex table presenting detailed regression results.  These results are discussed in considerable detail in the text.  The rows of data in the table present some of the model characteristics and then the reports on the independent variables in the models.  Two models are presented – with this data being in columns. In addition to some columns being blank for the purposes of layout some columns display a number of asterisks indicating statistical significance of the figure in the preceding column. The first model is for people with dependent children and the second is for those without children.  "/>
      </w:tblPr>
      <w:tblGrid>
        <w:gridCol w:w="2835"/>
        <w:gridCol w:w="992"/>
        <w:gridCol w:w="485"/>
        <w:gridCol w:w="1018"/>
        <w:gridCol w:w="236"/>
        <w:gridCol w:w="831"/>
        <w:gridCol w:w="485"/>
        <w:gridCol w:w="1018"/>
      </w:tblGrid>
      <w:tr w:rsidR="001F1187" w:rsidRPr="00DF38B2" w:rsidTr="001F1187">
        <w:trPr>
          <w:trHeight w:val="20"/>
        </w:trPr>
        <w:tc>
          <w:tcPr>
            <w:tcW w:w="283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7" w:type="dxa"/>
            <w:gridSpan w:val="2"/>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 dependent children </w:t>
            </w:r>
            <w:r w:rsidR="005E1FE0" w:rsidRPr="00DF38B2">
              <w:rPr>
                <w:rFonts w:eastAsia="Times New Roman"/>
              </w:rPr>
              <w:t>Parameter</w:t>
            </w:r>
          </w:p>
        </w:tc>
        <w:tc>
          <w:tcPr>
            <w:tcW w:w="1018" w:type="dxa"/>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 dependent children </w:t>
            </w:r>
            <w:r w:rsidR="005E1FE0" w:rsidRPr="00DF38B2">
              <w:rPr>
                <w:rFonts w:eastAsia="Times New Roman"/>
              </w:rPr>
              <w:t>Marginal effect</w:t>
            </w:r>
          </w:p>
        </w:tc>
        <w:tc>
          <w:tcPr>
            <w:tcW w:w="236" w:type="dxa"/>
            <w:tcBorders>
              <w:top w:val="single" w:sz="4" w:space="0" w:color="auto"/>
              <w:left w:val="nil"/>
              <w:bottom w:val="nil"/>
              <w:right w:val="nil"/>
            </w:tcBorders>
            <w:shd w:val="clear" w:color="auto" w:fill="auto"/>
          </w:tcPr>
          <w:p w:rsidR="005E1FE0" w:rsidRPr="00DF38B2" w:rsidRDefault="005E1FE0" w:rsidP="006654AE">
            <w:pPr>
              <w:pStyle w:val="tabletextleft"/>
              <w:jc w:val="right"/>
              <w:rPr>
                <w:rFonts w:eastAsia="Times New Roman"/>
              </w:rPr>
            </w:pPr>
          </w:p>
        </w:tc>
        <w:tc>
          <w:tcPr>
            <w:tcW w:w="1316" w:type="dxa"/>
            <w:gridSpan w:val="2"/>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Without dependent children </w:t>
            </w:r>
            <w:r w:rsidR="005E1FE0" w:rsidRPr="00DF38B2">
              <w:rPr>
                <w:rFonts w:eastAsia="Times New Roman"/>
              </w:rPr>
              <w:t>Parameter</w:t>
            </w:r>
          </w:p>
        </w:tc>
        <w:tc>
          <w:tcPr>
            <w:tcW w:w="1018" w:type="dxa"/>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Without dependent children </w:t>
            </w:r>
            <w:r w:rsidR="005E1FE0" w:rsidRPr="00DF38B2">
              <w:rPr>
                <w:rFonts w:eastAsia="Times New Roman"/>
              </w:rPr>
              <w:t>Marginal effect</w:t>
            </w:r>
          </w:p>
        </w:tc>
      </w:tr>
      <w:tr w:rsidR="001F1187" w:rsidRPr="00DF38B2" w:rsidTr="001F1187">
        <w:trPr>
          <w:trHeight w:val="20"/>
        </w:trPr>
        <w:tc>
          <w:tcPr>
            <w:tcW w:w="283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Gender</w:t>
            </w:r>
          </w:p>
        </w:tc>
        <w:tc>
          <w:tcPr>
            <w:tcW w:w="99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1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1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Female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0.1847</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0.0112</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Male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-0.8115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0.0766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-0.5452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0.0031</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Partner Status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Not-Partnered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0.1878</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0.0063</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Partnered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-0.3039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0.1386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-0.1170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0.0048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Aust. Non-Indigenous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0.3360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0.0138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0.1082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-0.5919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0.0031</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ESB</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0.2841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0.4216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-0.3853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0.0054</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NESB</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0.3876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0.4539</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-0.3757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0.0055</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-0.0202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-0.0003</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number</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-0.0784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-0.0124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number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-0.0087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age youngest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-0.0694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-0.0110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age youngest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0.0001</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Time on income support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-0.0429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-0.0006</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Time on income support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0.1414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0.0225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0.3428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0.0048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SEIFA</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Constant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-2.5524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-3.9433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Population mean</w:t>
            </w:r>
          </w:p>
        </w:tc>
        <w:tc>
          <w:tcPr>
            <w:tcW w:w="99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0.1698</w:t>
            </w:r>
          </w:p>
        </w:tc>
        <w:tc>
          <w:tcPr>
            <w:tcW w:w="23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0.0060</w:t>
            </w:r>
          </w:p>
        </w:tc>
      </w:tr>
    </w:tbl>
    <w:p w:rsidR="00F30A93" w:rsidRDefault="00F30A93" w:rsidP="006654AE">
      <w:pPr>
        <w:pStyle w:val="tablenotes"/>
        <w:ind w:left="1437" w:hanging="870"/>
        <w:jc w:val="left"/>
      </w:pPr>
    </w:p>
    <w:p w:rsidR="001F1187" w:rsidRDefault="005E1FE0" w:rsidP="006654AE">
      <w:pPr>
        <w:pStyle w:val="tablenotes"/>
        <w:ind w:left="1437" w:hanging="870"/>
        <w:jc w:val="left"/>
      </w:pPr>
      <w:r w:rsidRPr="00DF38B2">
        <w:t>Notes:</w:t>
      </w:r>
      <w:r w:rsidRPr="00DF38B2">
        <w:tab/>
      </w:r>
      <w:r w:rsidR="001F1187">
        <w:t>People with dependent children – Observations=9,097, R-squared 0.3643.</w:t>
      </w:r>
    </w:p>
    <w:p w:rsidR="001F1187" w:rsidRDefault="001F1187" w:rsidP="006654AE">
      <w:pPr>
        <w:pStyle w:val="tablenotes"/>
        <w:ind w:left="1437" w:hanging="870"/>
        <w:jc w:val="left"/>
      </w:pPr>
      <w:r>
        <w:tab/>
      </w:r>
      <w:r>
        <w:tab/>
        <w:t>People without dependent children – Observations=6,523, R-squared 0.2093</w:t>
      </w:r>
    </w:p>
    <w:p w:rsidR="005E1FE0" w:rsidRPr="00DF38B2" w:rsidRDefault="00343627" w:rsidP="001F1187">
      <w:pPr>
        <w:pStyle w:val="tablenotes"/>
        <w:ind w:left="1437"/>
        <w:jc w:val="left"/>
      </w:pPr>
      <w:r>
        <w:t xml:space="preserve">Population </w:t>
      </w:r>
      <w:r w:rsidR="005E1FE0" w:rsidRPr="00DF38B2">
        <w:t xml:space="preserve">excludes </w:t>
      </w:r>
      <w:r>
        <w:t>persons with</w:t>
      </w:r>
      <w:r w:rsidR="005E1FE0" w:rsidRPr="00DF38B2">
        <w:t xml:space="preserve"> automatic exemptions</w:t>
      </w:r>
      <w:r w:rsidR="00A1421A">
        <w:t xml:space="preserve">. </w:t>
      </w:r>
      <w:r>
        <w:br/>
      </w:r>
      <w:r w:rsidR="005E1FE0" w:rsidRPr="00DF38B2">
        <w:t>*</w:t>
      </w:r>
      <w:r w:rsidR="00180B4C">
        <w:t xml:space="preserve"> </w:t>
      </w:r>
      <w:proofErr w:type="gramStart"/>
      <w:r>
        <w:t>statistically</w:t>
      </w:r>
      <w:proofErr w:type="gramEnd"/>
      <w:r>
        <w:t xml:space="preserve"> </w:t>
      </w:r>
      <w:r w:rsidR="00180B4C">
        <w:t>s</w:t>
      </w:r>
      <w:r w:rsidR="005E1FE0" w:rsidRPr="00DF38B2">
        <w:t>ignificant at p&lt;0.10, ** significant at p&lt;0.05, *** significant at p&lt;</w:t>
      </w:r>
      <w:r w:rsidR="00A246F0">
        <w:t>0</w:t>
      </w:r>
      <w:r w:rsidR="005E1FE0" w:rsidRPr="00DF38B2">
        <w:t>.01</w:t>
      </w:r>
    </w:p>
    <w:p w:rsidR="005E1FE0" w:rsidRDefault="005E1FE0" w:rsidP="006654AE">
      <w:pPr>
        <w:pStyle w:val="tablenotes"/>
        <w:keepNext w:val="0"/>
      </w:pPr>
      <w:r w:rsidRPr="00DF38B2">
        <w:t>Source:</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The second model concerns people without children</w:t>
      </w:r>
      <w:r w:rsidR="00A1421A">
        <w:t xml:space="preserve">. </w:t>
      </w:r>
      <w:r w:rsidRPr="00DF38B2">
        <w:t xml:space="preserve">The fit of this model is less </w:t>
      </w:r>
      <w:r w:rsidR="00180B4C">
        <w:t xml:space="preserve">precise than the earlier model, </w:t>
      </w:r>
      <w:r w:rsidRPr="00DF38B2">
        <w:t>with the pseudo R-square = 0.2093</w:t>
      </w:r>
      <w:r w:rsidR="00A1421A">
        <w:t xml:space="preserve">. </w:t>
      </w:r>
      <w:r w:rsidRPr="00DF38B2">
        <w:t>This lower fit essentially indicates that there are factors not included in the model which explain more of the differences in the rate of exemptions</w:t>
      </w:r>
      <w:r w:rsidR="00A1421A">
        <w:t xml:space="preserve">. </w:t>
      </w:r>
      <w:r w:rsidRPr="00DF38B2">
        <w:t>Nevertheless</w:t>
      </w:r>
      <w:r w:rsidR="00180B4C">
        <w:t>,</w:t>
      </w:r>
      <w:r w:rsidRPr="00DF38B2">
        <w:t xml:space="preserve"> the model is valuable in providing </w:t>
      </w:r>
      <w:r w:rsidR="00180B4C">
        <w:t>relatively</w:t>
      </w:r>
      <w:r w:rsidRPr="00DF38B2">
        <w:t xml:space="preserve"> robust estimates for some of the variables included in the model</w:t>
      </w:r>
      <w:r w:rsidR="00A1421A">
        <w:t xml:space="preserve">. </w:t>
      </w:r>
      <w:r w:rsidRPr="00DF38B2">
        <w:t>The first is gender</w:t>
      </w:r>
      <w:r w:rsidR="00A1421A">
        <w:t xml:space="preserve">. </w:t>
      </w:r>
      <w:r w:rsidRPr="00DF38B2">
        <w:t>A male without children has an estimated marginal probability of an exemption of just 0.0031 compared with 0.0112 for a woman. This result indicates that the probability of a male without children is less than one</w:t>
      </w:r>
      <w:r w:rsidR="00180B4C">
        <w:t>-</w:t>
      </w:r>
      <w:r w:rsidRPr="00DF38B2">
        <w:t>third of that of a woman, but also that, regardless of gender, the probability of gaining an exemption amongst people with no children is very small. Turning to Indigeneity and region of birth, the only significant difference is between being an Indigenous Australian and being a non-Indigenous Australian-born</w:t>
      </w:r>
      <w:r w:rsidR="00180B4C">
        <w:t xml:space="preserve"> individual</w:t>
      </w:r>
      <w:r w:rsidR="00A1421A">
        <w:t xml:space="preserve">. </w:t>
      </w:r>
      <w:r w:rsidRPr="00DF38B2">
        <w:t>While the probability of gaining an exemption for a non-Indigenous person without children is 0.0138, for an Indigenous person it is one</w:t>
      </w:r>
      <w:r w:rsidR="00180B4C">
        <w:t>-</w:t>
      </w:r>
      <w:r w:rsidRPr="00DF38B2">
        <w:t>fifth of this</w:t>
      </w:r>
      <w:r w:rsidR="00180B4C">
        <w:t>:</w:t>
      </w:r>
      <w:r w:rsidRPr="00DF38B2">
        <w:t xml:space="preserve"> 0.0031</w:t>
      </w:r>
      <w:r w:rsidR="00A1421A">
        <w:t xml:space="preserve">. </w:t>
      </w:r>
      <w:r w:rsidRPr="00DF38B2">
        <w:t>The only other significant difference is recorded for the SEIFA of the location in which the person lives</w:t>
      </w:r>
      <w:r w:rsidR="00A1421A">
        <w:t xml:space="preserve">. </w:t>
      </w:r>
      <w:r w:rsidRPr="00DF38B2">
        <w:t>Again</w:t>
      </w:r>
      <w:r w:rsidR="00180B4C">
        <w:t>,</w:t>
      </w:r>
      <w:r w:rsidRPr="00DF38B2">
        <w:t xml:space="preserve"> while the marginal effects are low, a person without children in the most advantaged locations has a 0.0180 probability of gaining an exemption – almost double the 0.010 </w:t>
      </w:r>
      <w:r w:rsidR="00F861CA">
        <w:t>identified for</w:t>
      </w:r>
      <w:r w:rsidRPr="00DF38B2">
        <w:t xml:space="preserve"> a person </w:t>
      </w:r>
      <w:r w:rsidR="00F57911">
        <w:t xml:space="preserve">with the same characteristics </w:t>
      </w:r>
      <w:r w:rsidRPr="00DF38B2">
        <w:t>in the most disadvantaged area.</w:t>
      </w:r>
    </w:p>
    <w:p w:rsidR="005E1FE0" w:rsidRPr="00DF38B2" w:rsidRDefault="005E1FE0" w:rsidP="006654AE">
      <w:r w:rsidRPr="00DF38B2">
        <w:t xml:space="preserve">Obtaining an exemption </w:t>
      </w:r>
      <w:r w:rsidR="00C65383" w:rsidRPr="00DF38B2">
        <w:t xml:space="preserve">can be seen as </w:t>
      </w:r>
      <w:r w:rsidRPr="00DF38B2">
        <w:t>a two</w:t>
      </w:r>
      <w:r w:rsidR="00180B4C">
        <w:t>-</w:t>
      </w:r>
      <w:r w:rsidRPr="00DF38B2">
        <w:t>stage process</w:t>
      </w:r>
      <w:r w:rsidR="00C65383" w:rsidRPr="00DF38B2">
        <w:t>. Th</w:t>
      </w:r>
      <w:r w:rsidRPr="00DF38B2">
        <w:t>e first involves the person making an application</w:t>
      </w:r>
      <w:r w:rsidR="00C65383" w:rsidRPr="00DF38B2">
        <w:t xml:space="preserve"> </w:t>
      </w:r>
      <w:r w:rsidR="00180B4C">
        <w:t xml:space="preserve">– </w:t>
      </w:r>
      <w:r w:rsidR="00C65383" w:rsidRPr="00DF38B2">
        <w:t xml:space="preserve">encompassing the person taking a </w:t>
      </w:r>
      <w:r w:rsidRPr="00DF38B2">
        <w:t xml:space="preserve">decision to seek an exemption, including their understanding of their right to do so, </w:t>
      </w:r>
      <w:r w:rsidR="00C65383" w:rsidRPr="00DF38B2">
        <w:t xml:space="preserve">and having </w:t>
      </w:r>
      <w:r w:rsidRPr="00DF38B2">
        <w:t>the skills to prepare it, and capacity to collect and present supporting material</w:t>
      </w:r>
      <w:r w:rsidR="00180B4C">
        <w:t xml:space="preserve"> –</w:t>
      </w:r>
      <w:r w:rsidRPr="00DF38B2">
        <w:t xml:space="preserve"> and the second is whether or not the application will be assessed positively or rejected</w:t>
      </w:r>
      <w:r w:rsidR="00A1421A">
        <w:t xml:space="preserve">. </w:t>
      </w:r>
      <w:r w:rsidRPr="00DF38B2">
        <w:t xml:space="preserve">As was undertaken in the </w:t>
      </w:r>
      <w:r w:rsidR="00292F40">
        <w:t>F</w:t>
      </w:r>
      <w:r w:rsidRPr="00DF38B2">
        <w:t xml:space="preserve">irst </w:t>
      </w:r>
      <w:r w:rsidR="00292F40">
        <w:t>E</w:t>
      </w:r>
      <w:r w:rsidRPr="00DF38B2">
        <w:t xml:space="preserve">valuation </w:t>
      </w:r>
      <w:r w:rsidR="00292F40">
        <w:t>R</w:t>
      </w:r>
      <w:r w:rsidRPr="00DF38B2">
        <w:t>eport</w:t>
      </w:r>
      <w:r w:rsidR="00180B4C">
        <w:t>,</w:t>
      </w:r>
      <w:r w:rsidRPr="00DF38B2">
        <w:t xml:space="preserve"> both of these stages can be modelled. </w:t>
      </w:r>
    </w:p>
    <w:p w:rsidR="005E1FE0" w:rsidRPr="009655C3" w:rsidRDefault="005E1FE0" w:rsidP="006654AE">
      <w:r w:rsidRPr="00DF38B2">
        <w:lastRenderedPageBreak/>
        <w:t xml:space="preserve">For this report, given the relatively good fit of the above models, while we have repeated this modelling strategy, we are not presenting these models in detail but rather focus on the comparative parameter values for Indigenous and non-Indigenous Australians. </w:t>
      </w:r>
      <w:r w:rsidRPr="00FE502F">
        <w:fldChar w:fldCharType="begin"/>
      </w:r>
      <w:r w:rsidRPr="00DF38B2">
        <w:instrText xml:space="preserve"> REF _Ref392108350 \h </w:instrText>
      </w:r>
      <w:r w:rsidRPr="00FE502F">
        <w:fldChar w:fldCharType="separate"/>
      </w:r>
      <w:r w:rsidR="00906D13" w:rsidRPr="009655C3">
        <w:t xml:space="preserve">Table </w:t>
      </w:r>
      <w:r w:rsidR="00906D13">
        <w:rPr>
          <w:noProof/>
        </w:rPr>
        <w:t>5</w:t>
      </w:r>
      <w:r w:rsidR="00906D13">
        <w:noBreakHyphen/>
      </w:r>
      <w:r w:rsidR="00906D13">
        <w:rPr>
          <w:noProof/>
        </w:rPr>
        <w:t>4</w:t>
      </w:r>
      <w:r w:rsidRPr="00FE502F">
        <w:fldChar w:fldCharType="end"/>
      </w:r>
      <w:r w:rsidRPr="00DF38B2">
        <w:t xml:space="preserve"> presents the marginal probabilities of making an application</w:t>
      </w:r>
      <w:r w:rsidR="00180B4C">
        <w:t>,</w:t>
      </w:r>
      <w:r w:rsidRPr="00DF38B2">
        <w:t xml:space="preserve"> and then </w:t>
      </w:r>
      <w:r w:rsidR="00180B4C">
        <w:t xml:space="preserve">the probabilities </w:t>
      </w:r>
      <w:r w:rsidRPr="00DF38B2">
        <w:t xml:space="preserve">for those who had made such an </w:t>
      </w:r>
      <w:proofErr w:type="gramStart"/>
      <w:r w:rsidRPr="00DF38B2">
        <w:t>application,</w:t>
      </w:r>
      <w:proofErr w:type="gramEnd"/>
      <w:r w:rsidRPr="00DF38B2">
        <w:t xml:space="preserve"> </w:t>
      </w:r>
      <w:r w:rsidR="00180B4C">
        <w:t xml:space="preserve">and </w:t>
      </w:r>
      <w:r w:rsidRPr="00DF38B2">
        <w:t>the success of this for these two groups – both wi</w:t>
      </w:r>
      <w:r w:rsidRPr="00FE502F">
        <w:t>th and without children. The coefficients for these two groups were signific</w:t>
      </w:r>
      <w:r w:rsidRPr="009655C3">
        <w:t>ant in both models.</w:t>
      </w:r>
    </w:p>
    <w:p w:rsidR="005E1FE0" w:rsidRPr="00DF38B2" w:rsidRDefault="005E1FE0" w:rsidP="006654AE">
      <w:pPr>
        <w:pStyle w:val="Caption"/>
      </w:pPr>
      <w:bookmarkStart w:id="270" w:name="_Ref392108350"/>
      <w:bookmarkStart w:id="271" w:name="_Toc403739428"/>
      <w:r w:rsidRPr="009655C3">
        <w:t xml:space="preserve">Table </w:t>
      </w:r>
      <w:fldSimple w:instr=" STYLEREF 1 \s ">
        <w:r w:rsidR="00906D13">
          <w:rPr>
            <w:noProof/>
          </w:rPr>
          <w:t>5</w:t>
        </w:r>
      </w:fldSimple>
      <w:r w:rsidR="00D40B64">
        <w:noBreakHyphen/>
      </w:r>
      <w:fldSimple w:instr=" SEQ Table \* ARABIC \s 1 ">
        <w:r w:rsidR="00906D13">
          <w:rPr>
            <w:noProof/>
          </w:rPr>
          <w:t>4</w:t>
        </w:r>
      </w:fldSimple>
      <w:bookmarkEnd w:id="270"/>
      <w:r w:rsidRPr="00DF38B2">
        <w:tab/>
        <w:t>Two</w:t>
      </w:r>
      <w:r w:rsidR="00180B4C">
        <w:t>-</w:t>
      </w:r>
      <w:r w:rsidRPr="00DF38B2">
        <w:t>stage hurdle regression model of whether an application is made and the success of this, marginal probability for Indigenous and non-Indigenous Australian</w:t>
      </w:r>
      <w:r w:rsidR="008545E6">
        <w:t>-</w:t>
      </w:r>
      <w:r w:rsidRPr="00DF38B2">
        <w:t xml:space="preserve">born population, by presence of children, persons subject to, or with exemptions from, </w:t>
      </w:r>
      <w:r w:rsidR="00343627">
        <w:t>C</w:t>
      </w:r>
      <w:r w:rsidRPr="00DF38B2">
        <w:t xml:space="preserve">ompulsory </w:t>
      </w:r>
      <w:r w:rsidR="00343627">
        <w:t>I</w:t>
      </w:r>
      <w:r w:rsidRPr="00DF38B2">
        <w:t xml:space="preserve">ncome </w:t>
      </w:r>
      <w:r w:rsidR="00343627">
        <w:t>M</w:t>
      </w:r>
      <w:r w:rsidRPr="00DF38B2">
        <w:t>anagement in</w:t>
      </w:r>
      <w:r w:rsidR="00F30A93">
        <w:t xml:space="preserve"> the Northern Territory,</w:t>
      </w:r>
      <w:r w:rsidRPr="00DF38B2">
        <w:t xml:space="preserve"> December 2013</w:t>
      </w:r>
      <w:bookmarkEnd w:id="271"/>
    </w:p>
    <w:tbl>
      <w:tblPr>
        <w:tblW w:w="6909" w:type="dxa"/>
        <w:jc w:val="center"/>
        <w:tblInd w:w="-616" w:type="dxa"/>
        <w:tblLook w:val="04A0" w:firstRow="1" w:lastRow="0" w:firstColumn="1" w:lastColumn="0" w:noHBand="0" w:noVBand="1"/>
        <w:tblDescription w:val="This table indicates that a Non-Indigenous person with dependent children has a 55.0 per cent probability of making an application for an exemption and a 65.9 per cent chance of this application being successful. For an Indigenous person with a dependent child the proportions are 33.4 per cent and 34.3 per cent, for a non-Indigenous person without dependent children 4.2 per cent and 41.7 per cent and an Indigenous person without children 2.9 per cent and 11.3 per cent."/>
      </w:tblPr>
      <w:tblGrid>
        <w:gridCol w:w="2360"/>
        <w:gridCol w:w="1462"/>
        <w:gridCol w:w="1451"/>
        <w:gridCol w:w="1636"/>
      </w:tblGrid>
      <w:tr w:rsidR="005E1FE0" w:rsidRPr="00DF38B2" w:rsidTr="009A06B6">
        <w:trPr>
          <w:trHeight w:val="20"/>
          <w:tblHeader/>
          <w:jc w:val="center"/>
        </w:trPr>
        <w:tc>
          <w:tcPr>
            <w:tcW w:w="2360"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Presence of children</w:t>
            </w:r>
          </w:p>
        </w:tc>
        <w:tc>
          <w:tcPr>
            <w:tcW w:w="1462"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Indigenous status</w:t>
            </w:r>
          </w:p>
        </w:tc>
        <w:tc>
          <w:tcPr>
            <w:tcW w:w="145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right"/>
              <w:rPr>
                <w:rFonts w:eastAsia="Times New Roman"/>
              </w:rPr>
            </w:pPr>
            <w:r w:rsidRPr="009A06B6">
              <w:rPr>
                <w:rFonts w:eastAsia="Times New Roman"/>
              </w:rPr>
              <w:t>Probability of m</w:t>
            </w:r>
            <w:r w:rsidR="005E1FE0" w:rsidRPr="009A06B6">
              <w:rPr>
                <w:rFonts w:eastAsia="Times New Roman"/>
              </w:rPr>
              <w:t>aking an application</w:t>
            </w:r>
            <w:r w:rsidRPr="009A06B6">
              <w:rPr>
                <w:rFonts w:eastAsia="Times New Roman"/>
              </w:rPr>
              <w:t xml:space="preserve"> (%)</w:t>
            </w:r>
            <w:r w:rsidR="005E1FE0" w:rsidRPr="009A06B6">
              <w:rPr>
                <w:rFonts w:eastAsia="Times New Roman"/>
              </w:rPr>
              <w:t xml:space="preserve"> </w:t>
            </w:r>
          </w:p>
        </w:tc>
        <w:tc>
          <w:tcPr>
            <w:tcW w:w="1636" w:type="dxa"/>
            <w:tcBorders>
              <w:top w:val="single" w:sz="4" w:space="0" w:color="auto"/>
              <w:left w:val="nil"/>
              <w:bottom w:val="single" w:sz="4" w:space="0" w:color="auto"/>
              <w:right w:val="nil"/>
            </w:tcBorders>
            <w:shd w:val="clear" w:color="auto" w:fill="auto"/>
            <w:noWrap/>
            <w:hideMark/>
          </w:tcPr>
          <w:p w:rsidR="005E1FE0" w:rsidRPr="00DF38B2" w:rsidRDefault="00D615D9" w:rsidP="00D615D9">
            <w:pPr>
              <w:pStyle w:val="tabletextleft"/>
              <w:jc w:val="right"/>
              <w:rPr>
                <w:rFonts w:eastAsia="Times New Roman"/>
              </w:rPr>
            </w:pPr>
            <w:r w:rsidRPr="009A06B6">
              <w:rPr>
                <w:rFonts w:eastAsia="Times New Roman"/>
              </w:rPr>
              <w:t>Probability of a</w:t>
            </w:r>
            <w:r w:rsidR="005E1FE0" w:rsidRPr="009A06B6">
              <w:rPr>
                <w:rFonts w:eastAsia="Times New Roman"/>
              </w:rPr>
              <w:t xml:space="preserve">pplication </w:t>
            </w:r>
            <w:r w:rsidRPr="009A06B6">
              <w:rPr>
                <w:rFonts w:eastAsia="Times New Roman"/>
              </w:rPr>
              <w:t xml:space="preserve">being </w:t>
            </w:r>
            <w:r w:rsidR="005E1FE0" w:rsidRPr="009A06B6">
              <w:rPr>
                <w:rFonts w:eastAsia="Times New Roman"/>
              </w:rPr>
              <w:t>successful</w:t>
            </w:r>
            <w:r w:rsidRPr="009A06B6">
              <w:rPr>
                <w:rFonts w:eastAsia="Times New Roman"/>
              </w:rPr>
              <w:t xml:space="preserve"> (%)</w:t>
            </w:r>
          </w:p>
        </w:tc>
      </w:tr>
      <w:tr w:rsidR="00343627" w:rsidRPr="00DF38B2" w:rsidTr="009A06B6">
        <w:trPr>
          <w:trHeight w:val="20"/>
          <w:jc w:val="center"/>
        </w:trPr>
        <w:tc>
          <w:tcPr>
            <w:tcW w:w="2360" w:type="dxa"/>
            <w:vMerge w:val="restart"/>
            <w:tcBorders>
              <w:top w:val="nil"/>
              <w:left w:val="nil"/>
              <w:right w:val="nil"/>
            </w:tcBorders>
            <w:shd w:val="clear" w:color="auto" w:fill="auto"/>
            <w:noWrap/>
            <w:hideMark/>
          </w:tcPr>
          <w:p w:rsidR="00343627" w:rsidRPr="00DF38B2" w:rsidRDefault="00343627" w:rsidP="006654AE">
            <w:pPr>
              <w:pStyle w:val="tabletextleft"/>
              <w:jc w:val="left"/>
              <w:rPr>
                <w:rFonts w:eastAsia="Times New Roman"/>
              </w:rPr>
            </w:pPr>
            <w:r w:rsidRPr="00DF38B2">
              <w:rPr>
                <w:rFonts w:eastAsia="Times New Roman"/>
              </w:rPr>
              <w:t xml:space="preserve">With </w:t>
            </w:r>
            <w:r>
              <w:rPr>
                <w:rFonts w:eastAsia="Times New Roman"/>
              </w:rPr>
              <w:t xml:space="preserve">dependent </w:t>
            </w:r>
            <w:r w:rsidRPr="00DF38B2">
              <w:rPr>
                <w:rFonts w:eastAsia="Times New Roman"/>
              </w:rPr>
              <w:t>children</w:t>
            </w:r>
          </w:p>
        </w:tc>
        <w:tc>
          <w:tcPr>
            <w:tcW w:w="1462" w:type="dxa"/>
            <w:tcBorders>
              <w:top w:val="nil"/>
              <w:left w:val="nil"/>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Non-Indigenous</w:t>
            </w:r>
          </w:p>
        </w:tc>
        <w:tc>
          <w:tcPr>
            <w:tcW w:w="1451" w:type="dxa"/>
            <w:tcBorders>
              <w:top w:val="nil"/>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55.</w:t>
            </w:r>
            <w:r>
              <w:rPr>
                <w:rFonts w:eastAsia="Times New Roman"/>
              </w:rPr>
              <w:t>0</w:t>
            </w:r>
          </w:p>
        </w:tc>
        <w:tc>
          <w:tcPr>
            <w:tcW w:w="1636" w:type="dxa"/>
            <w:tcBorders>
              <w:top w:val="nil"/>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65.9</w:t>
            </w:r>
          </w:p>
        </w:tc>
      </w:tr>
      <w:tr w:rsidR="00343627" w:rsidRPr="00DF38B2" w:rsidTr="009A06B6">
        <w:trPr>
          <w:trHeight w:val="20"/>
          <w:jc w:val="center"/>
        </w:trPr>
        <w:tc>
          <w:tcPr>
            <w:tcW w:w="2360" w:type="dxa"/>
            <w:vMerge/>
            <w:tcBorders>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p>
        </w:tc>
        <w:tc>
          <w:tcPr>
            <w:tcW w:w="1462"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Indigenous</w:t>
            </w:r>
          </w:p>
        </w:tc>
        <w:tc>
          <w:tcPr>
            <w:tcW w:w="1451"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33.4</w:t>
            </w:r>
          </w:p>
        </w:tc>
        <w:tc>
          <w:tcPr>
            <w:tcW w:w="1636"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34.3</w:t>
            </w:r>
          </w:p>
        </w:tc>
      </w:tr>
      <w:tr w:rsidR="00343627" w:rsidRPr="00DF38B2" w:rsidTr="009A06B6">
        <w:trPr>
          <w:trHeight w:val="20"/>
          <w:jc w:val="center"/>
        </w:trPr>
        <w:tc>
          <w:tcPr>
            <w:tcW w:w="2360" w:type="dxa"/>
            <w:vMerge w:val="restart"/>
            <w:tcBorders>
              <w:top w:val="single" w:sz="4" w:space="0" w:color="auto"/>
              <w:left w:val="nil"/>
              <w:right w:val="nil"/>
            </w:tcBorders>
            <w:shd w:val="clear" w:color="auto" w:fill="auto"/>
            <w:noWrap/>
            <w:hideMark/>
          </w:tcPr>
          <w:p w:rsidR="00343627" w:rsidRPr="00DF38B2" w:rsidRDefault="00343627" w:rsidP="006654AE">
            <w:pPr>
              <w:pStyle w:val="tabletextleft"/>
              <w:jc w:val="left"/>
              <w:rPr>
                <w:rFonts w:eastAsia="Times New Roman"/>
              </w:rPr>
            </w:pPr>
            <w:r w:rsidRPr="00DF38B2">
              <w:rPr>
                <w:rFonts w:eastAsia="Times New Roman"/>
              </w:rPr>
              <w:t xml:space="preserve">Without </w:t>
            </w:r>
            <w:r>
              <w:rPr>
                <w:rFonts w:eastAsia="Times New Roman"/>
              </w:rPr>
              <w:t xml:space="preserve">dependent </w:t>
            </w:r>
            <w:r w:rsidRPr="00DF38B2">
              <w:rPr>
                <w:rFonts w:eastAsia="Times New Roman"/>
              </w:rPr>
              <w:t xml:space="preserve">children </w:t>
            </w:r>
          </w:p>
        </w:tc>
        <w:tc>
          <w:tcPr>
            <w:tcW w:w="1462"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Non-Indigenous</w:t>
            </w:r>
          </w:p>
        </w:tc>
        <w:tc>
          <w:tcPr>
            <w:tcW w:w="1451"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4.2</w:t>
            </w:r>
          </w:p>
        </w:tc>
        <w:tc>
          <w:tcPr>
            <w:tcW w:w="1636"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41.7</w:t>
            </w:r>
          </w:p>
        </w:tc>
      </w:tr>
      <w:tr w:rsidR="00343627" w:rsidRPr="00DF38B2" w:rsidTr="009A06B6">
        <w:trPr>
          <w:trHeight w:val="20"/>
          <w:jc w:val="center"/>
        </w:trPr>
        <w:tc>
          <w:tcPr>
            <w:tcW w:w="2360" w:type="dxa"/>
            <w:vMerge/>
            <w:tcBorders>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p>
        </w:tc>
        <w:tc>
          <w:tcPr>
            <w:tcW w:w="1462"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Indigenous</w:t>
            </w:r>
          </w:p>
        </w:tc>
        <w:tc>
          <w:tcPr>
            <w:tcW w:w="1451"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2.9</w:t>
            </w:r>
          </w:p>
        </w:tc>
        <w:tc>
          <w:tcPr>
            <w:tcW w:w="1636"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11.3</w:t>
            </w:r>
          </w:p>
        </w:tc>
      </w:tr>
    </w:tbl>
    <w:p w:rsidR="00F30A93" w:rsidRDefault="00F30A93" w:rsidP="006654AE">
      <w:pPr>
        <w:pStyle w:val="tablenotes"/>
      </w:pPr>
    </w:p>
    <w:p w:rsidR="005E1FE0" w:rsidRPr="00DF38B2" w:rsidRDefault="005E1FE0" w:rsidP="006654AE">
      <w:pPr>
        <w:pStyle w:val="tablenotes"/>
      </w:pPr>
      <w:r w:rsidRPr="00DF38B2">
        <w:t>Note:</w:t>
      </w:r>
      <w:r w:rsidR="00B84AFE">
        <w:t xml:space="preserve"> </w:t>
      </w:r>
      <w:r w:rsidR="00BF56C6">
        <w:tab/>
      </w:r>
      <w:r w:rsidRPr="00DF38B2">
        <w:t>Derived from two</w:t>
      </w:r>
      <w:r w:rsidR="008545E6">
        <w:t>-</w:t>
      </w:r>
      <w:r w:rsidRPr="00DF38B2">
        <w:t xml:space="preserve">stage </w:t>
      </w:r>
      <w:proofErr w:type="spellStart"/>
      <w:r w:rsidRPr="00DF38B2">
        <w:t>probit</w:t>
      </w:r>
      <w:proofErr w:type="spellEnd"/>
      <w:r w:rsidRPr="00DF38B2">
        <w:t xml:space="preserve"> model, using the same </w:t>
      </w:r>
      <w:r w:rsidR="00343627">
        <w:t>explanatory</w:t>
      </w:r>
      <w:r w:rsidRPr="00DF38B2">
        <w:t xml:space="preserve"> variables </w:t>
      </w:r>
      <w:r w:rsidR="00343627">
        <w:t>included</w:t>
      </w:r>
      <w:r w:rsidRPr="00DF38B2">
        <w:t xml:space="preserve"> in </w:t>
      </w:r>
      <w:r w:rsidRPr="003D75FE">
        <w:fldChar w:fldCharType="begin"/>
      </w:r>
      <w:r w:rsidRPr="00DF38B2">
        <w:instrText xml:space="preserve"> REF _Ref392097050 \h </w:instrText>
      </w:r>
      <w:r w:rsidRPr="003D75FE">
        <w:fldChar w:fldCharType="separate"/>
      </w:r>
      <w:r w:rsidR="00906D13" w:rsidRPr="00DF38B2">
        <w:t xml:space="preserve">Table </w:t>
      </w:r>
      <w:r w:rsidR="00906D13">
        <w:rPr>
          <w:noProof/>
        </w:rPr>
        <w:t>5</w:t>
      </w:r>
      <w:r w:rsidR="00906D13">
        <w:noBreakHyphen/>
      </w:r>
      <w:r w:rsidR="00906D13">
        <w:rPr>
          <w:noProof/>
        </w:rPr>
        <w:t>3</w:t>
      </w:r>
      <w:r w:rsidRPr="003D75FE">
        <w:fldChar w:fldCharType="end"/>
      </w:r>
      <w:r w:rsidR="00BF56C6">
        <w:t>.</w:t>
      </w:r>
    </w:p>
    <w:p w:rsidR="005E1FE0" w:rsidRDefault="005E1FE0" w:rsidP="006654AE">
      <w:pPr>
        <w:pStyle w:val="tablenotes"/>
        <w:keepNext w:val="0"/>
      </w:pPr>
      <w:r w:rsidRPr="00DF38B2">
        <w:t xml:space="preserve">Source: </w:t>
      </w:r>
      <w:r w:rsidR="00BF56C6">
        <w:tab/>
      </w:r>
      <w:r w:rsidRPr="00DF38B2">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 xml:space="preserve">As shown, for this population of people potentially subject to income management </w:t>
      </w:r>
      <w:r w:rsidR="008545E6">
        <w:t xml:space="preserve">– </w:t>
      </w:r>
      <w:r w:rsidRPr="00DF38B2">
        <w:t>that is</w:t>
      </w:r>
      <w:r w:rsidR="008545E6">
        <w:t>,</w:t>
      </w:r>
      <w:r w:rsidRPr="00DF38B2">
        <w:t xml:space="preserve"> either on income management or with an exemption</w:t>
      </w:r>
      <w:r w:rsidR="008545E6">
        <w:t xml:space="preserve"> –</w:t>
      </w:r>
      <w:r w:rsidRPr="00DF38B2">
        <w:t xml:space="preserve"> who have children, the probability of making an application, and then of such an application being successful, </w:t>
      </w:r>
      <w:r w:rsidR="008545E6">
        <w:t>is</w:t>
      </w:r>
      <w:r w:rsidRPr="00DF38B2">
        <w:t xml:space="preserve"> considerably higher for non-Indigenous people. While a third of Indigenous people make an application, more than half of the non-Indigenous Australian-born population do so</w:t>
      </w:r>
      <w:r w:rsidR="00A1421A">
        <w:t xml:space="preserve">. </w:t>
      </w:r>
      <w:r w:rsidRPr="00DF38B2">
        <w:t>The success rate of these applications for Australian-born non-Indigenous people is almost double that of the Indigenous population</w:t>
      </w:r>
      <w:r w:rsidR="00A1421A">
        <w:t xml:space="preserve">. </w:t>
      </w:r>
      <w:r w:rsidRPr="00DF38B2">
        <w:t>A similar set of results, albeit with much lower probabilities, is observed for the population without children. This second model, however, shows a much lower relative success rate of application for Indigenous Australians</w:t>
      </w:r>
      <w:r w:rsidR="00C65383" w:rsidRPr="00DF38B2">
        <w:t>.</w:t>
      </w:r>
      <w:r w:rsidR="00B84AFE">
        <w:t xml:space="preserve"> </w:t>
      </w:r>
      <w:r w:rsidR="00C65383" w:rsidRPr="00DF38B2">
        <w:t>T</w:t>
      </w:r>
      <w:r w:rsidRPr="00DF38B2">
        <w:t xml:space="preserve">he success rate </w:t>
      </w:r>
      <w:r w:rsidR="00C65383" w:rsidRPr="00DF38B2">
        <w:t>associated with being non-Indigenous of 41.7 per cent</w:t>
      </w:r>
      <w:r w:rsidRPr="00DF38B2">
        <w:t xml:space="preserve"> is almost </w:t>
      </w:r>
      <w:r w:rsidR="008D7AB7">
        <w:t>four</w:t>
      </w:r>
      <w:r w:rsidRPr="00DF38B2">
        <w:t xml:space="preserve"> times that of </w:t>
      </w:r>
      <w:r w:rsidR="00C65383" w:rsidRPr="00DF38B2">
        <w:t>being Indigenous</w:t>
      </w:r>
      <w:r w:rsidR="008D7AB7">
        <w:t>, at</w:t>
      </w:r>
      <w:r w:rsidR="00C65383" w:rsidRPr="00DF38B2">
        <w:t xml:space="preserve"> 11.3 per cent</w:t>
      </w:r>
      <w:r w:rsidRPr="00DF38B2">
        <w:t>.</w:t>
      </w:r>
    </w:p>
    <w:p w:rsidR="005E1FE0" w:rsidRPr="00DF38B2" w:rsidRDefault="005E1FE0" w:rsidP="006654AE">
      <w:r w:rsidRPr="00DF38B2">
        <w:t xml:space="preserve">The first report also presented this type of analysis for the population with children split by those who were living in areas which were prescribed areas under the </w:t>
      </w:r>
      <w:r w:rsidR="00832E2A">
        <w:t>NTER</w:t>
      </w:r>
      <w:r w:rsidR="00A1421A">
        <w:t xml:space="preserve">. </w:t>
      </w:r>
      <w:r w:rsidRPr="00DF38B2">
        <w:t>This reported that while 76.5 per cent of the non-Indigenous population in non-NTER locations</w:t>
      </w:r>
      <w:r w:rsidR="00C65383" w:rsidRPr="00DF38B2">
        <w:t xml:space="preserve"> had</w:t>
      </w:r>
      <w:r w:rsidRPr="00DF38B2">
        <w:t xml:space="preserve"> made an application, with 75.5 per cent of these being successful, that for the Indigenous population living in the prescribed areas only 21.9 per cent had made an application</w:t>
      </w:r>
      <w:r w:rsidR="00A34CB7">
        <w:t>,</w:t>
      </w:r>
      <w:r w:rsidRPr="00DF38B2">
        <w:t xml:space="preserve"> with a success rate of just 28.7 per cent</w:t>
      </w:r>
      <w:r w:rsidR="00A1421A">
        <w:t xml:space="preserve">. </w:t>
      </w:r>
      <w:r w:rsidRPr="00DF38B2">
        <w:t>Due to concerns about the coding of these locations in some later records</w:t>
      </w:r>
      <w:r w:rsidR="003866EF">
        <w:t>,</w:t>
      </w:r>
      <w:r w:rsidRPr="00DF38B2">
        <w:t xml:space="preserve"> we have not replicated this exact analysis, but rather have presented, in </w:t>
      </w:r>
      <w:r w:rsidRPr="00FE502F">
        <w:fldChar w:fldCharType="begin"/>
      </w:r>
      <w:r w:rsidRPr="00DF38B2">
        <w:instrText xml:space="preserve"> REF _Ref392109359 \h </w:instrText>
      </w:r>
      <w:r w:rsidRPr="00FE502F">
        <w:fldChar w:fldCharType="separate"/>
      </w:r>
      <w:r w:rsidR="00906D13" w:rsidRPr="00DF38B2">
        <w:t xml:space="preserve">Table </w:t>
      </w:r>
      <w:r w:rsidR="00906D13">
        <w:rPr>
          <w:noProof/>
        </w:rPr>
        <w:t>5</w:t>
      </w:r>
      <w:r w:rsidR="00906D13">
        <w:noBreakHyphen/>
      </w:r>
      <w:r w:rsidR="00906D13">
        <w:rPr>
          <w:noProof/>
        </w:rPr>
        <w:t>5</w:t>
      </w:r>
      <w:r w:rsidRPr="00FE502F">
        <w:fldChar w:fldCharType="end"/>
      </w:r>
      <w:r w:rsidRPr="00DF38B2">
        <w:t>, similar results comparing the Darwin and Alice Springs regions (as have been previously defined in this report) relative to other locations as the spatial parameter.</w:t>
      </w:r>
    </w:p>
    <w:p w:rsidR="005E1FE0" w:rsidRPr="00DF38B2" w:rsidRDefault="005E1FE0" w:rsidP="006654AE">
      <w:r w:rsidRPr="00FE502F">
        <w:t>Non-Indigenous Australian-born people with children in the broadly defined Darwin and Alice Springs regions have an applica</w:t>
      </w:r>
      <w:r w:rsidRPr="009655C3">
        <w:t>tion rate for exemption of 74.</w:t>
      </w:r>
      <w:r w:rsidR="009D2F15">
        <w:t>3</w:t>
      </w:r>
      <w:r w:rsidRPr="009655C3">
        <w:t> per cent</w:t>
      </w:r>
      <w:r w:rsidR="00A34CB7">
        <w:t>,</w:t>
      </w:r>
      <w:r w:rsidRPr="009655C3">
        <w:t xml:space="preserve"> with 80.2 per cent of these applications being successful</w:t>
      </w:r>
      <w:r w:rsidR="00A1421A">
        <w:t xml:space="preserve">. </w:t>
      </w:r>
      <w:r w:rsidRPr="009655C3">
        <w:t>In contrast</w:t>
      </w:r>
      <w:r w:rsidR="00A34CB7">
        <w:t>,</w:t>
      </w:r>
      <w:r w:rsidRPr="009655C3">
        <w:t xml:space="preserve"> in the other regions of the</w:t>
      </w:r>
      <w:r w:rsidR="00DD3886">
        <w:t xml:space="preserve"> Northern Territory </w:t>
      </w:r>
      <w:r w:rsidRPr="009655C3">
        <w:t>25.3 per cent of Indigenous people made an application – with a success rate of just 18.4 per ce</w:t>
      </w:r>
      <w:r w:rsidRPr="00DF38B2">
        <w:t>nt</w:t>
      </w:r>
      <w:r w:rsidR="00A1421A">
        <w:t xml:space="preserve">. </w:t>
      </w:r>
      <w:r w:rsidRPr="00DF38B2">
        <w:t xml:space="preserve">These results, while not having exactly the same </w:t>
      </w:r>
      <w:r w:rsidR="00F57911">
        <w:t xml:space="preserve">geographic </w:t>
      </w:r>
      <w:r w:rsidRPr="00DF38B2">
        <w:t>scope as that presented in the first report, suggest that very little has changed over the two</w:t>
      </w:r>
      <w:r w:rsidR="00435CA3">
        <w:t>-</w:t>
      </w:r>
      <w:r w:rsidRPr="00DF38B2">
        <w:t>year period.</w:t>
      </w:r>
    </w:p>
    <w:p w:rsidR="005E1FE0" w:rsidRPr="00DF38B2" w:rsidRDefault="005E1FE0" w:rsidP="006654AE">
      <w:pPr>
        <w:pStyle w:val="Caption"/>
      </w:pPr>
      <w:bookmarkStart w:id="272" w:name="_Ref392109359"/>
      <w:bookmarkStart w:id="273" w:name="_Toc403739429"/>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5</w:t>
        </w:r>
      </w:fldSimple>
      <w:bookmarkEnd w:id="272"/>
      <w:r w:rsidRPr="00DF38B2">
        <w:t xml:space="preserve"> </w:t>
      </w:r>
      <w:r w:rsidR="00B235E1">
        <w:tab/>
      </w:r>
      <w:r w:rsidRPr="00DF38B2">
        <w:t>Two</w:t>
      </w:r>
      <w:r w:rsidR="00A34CB7">
        <w:t>-</w:t>
      </w:r>
      <w:r w:rsidRPr="00DF38B2">
        <w:t>stage hurdle regression model of whether an application is made and the success of this, marginal probability for Indigenous and non-Indigenous Australian</w:t>
      </w:r>
      <w:r w:rsidR="00A34CB7">
        <w:t>-</w:t>
      </w:r>
      <w:r w:rsidRPr="00DF38B2">
        <w:t xml:space="preserve">born population with children, by broad region, persons subject to, or with exemptions from, </w:t>
      </w:r>
      <w:r w:rsidR="00097266">
        <w:t>C</w:t>
      </w:r>
      <w:r w:rsidRPr="00DF38B2">
        <w:t xml:space="preserve">ompulsory </w:t>
      </w:r>
      <w:r w:rsidR="00097266">
        <w:t>I</w:t>
      </w:r>
      <w:r w:rsidRPr="00DF38B2">
        <w:t xml:space="preserve">ncome </w:t>
      </w:r>
      <w:r w:rsidR="00097266">
        <w:t>M</w:t>
      </w:r>
      <w:r w:rsidRPr="00DF38B2">
        <w:t xml:space="preserve">anagement in </w:t>
      </w:r>
      <w:r w:rsidR="00F30A93">
        <w:t xml:space="preserve">the Northern Territory, </w:t>
      </w:r>
      <w:r w:rsidRPr="00DF38B2">
        <w:t>December 2013</w:t>
      </w:r>
      <w:bookmarkEnd w:id="273"/>
    </w:p>
    <w:tbl>
      <w:tblPr>
        <w:tblW w:w="7117" w:type="dxa"/>
        <w:jc w:val="center"/>
        <w:tblLook w:val="04A0" w:firstRow="1" w:lastRow="0" w:firstColumn="1" w:lastColumn="0" w:noHBand="0" w:noVBand="1"/>
        <w:tblDescription w:val="This table indicates that a non-Indigenous person in Darwin and Alice Springs has a 74.3 per cent probability of making and application for an exemption and an 80.2 per cent chance of this being successful. For an Indigenous person in these locations the proportions are 54.3 per cent and 51.3 per cent. For a non-Indigenous person living elsewhere the proportions are 48.2 per cent and 58.4 per cent and for an Indigenous person 25.3 per cent and 18.4 per cent."/>
      </w:tblPr>
      <w:tblGrid>
        <w:gridCol w:w="2071"/>
        <w:gridCol w:w="1701"/>
        <w:gridCol w:w="1743"/>
        <w:gridCol w:w="1602"/>
      </w:tblGrid>
      <w:tr w:rsidR="005E1FE0" w:rsidRPr="00DF38B2" w:rsidTr="009A06B6">
        <w:trPr>
          <w:trHeight w:val="20"/>
          <w:tblHeader/>
          <w:jc w:val="center"/>
        </w:trPr>
        <w:tc>
          <w:tcPr>
            <w:tcW w:w="207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Region</w:t>
            </w:r>
          </w:p>
        </w:tc>
        <w:tc>
          <w:tcPr>
            <w:tcW w:w="170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Indigenous status</w:t>
            </w:r>
          </w:p>
        </w:tc>
        <w:tc>
          <w:tcPr>
            <w:tcW w:w="1743"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right"/>
              <w:rPr>
                <w:rFonts w:eastAsia="Times New Roman"/>
              </w:rPr>
            </w:pPr>
            <w:r w:rsidRPr="009A06B6">
              <w:rPr>
                <w:rFonts w:eastAsia="Times New Roman"/>
              </w:rPr>
              <w:t>Probability of m</w:t>
            </w:r>
            <w:r w:rsidR="005E1FE0" w:rsidRPr="009A06B6">
              <w:rPr>
                <w:rFonts w:eastAsia="Times New Roman"/>
              </w:rPr>
              <w:t xml:space="preserve">aking an application </w:t>
            </w:r>
            <w:r w:rsidRPr="009A06B6">
              <w:rPr>
                <w:rFonts w:eastAsia="Times New Roman"/>
              </w:rPr>
              <w:t>(%)</w:t>
            </w:r>
          </w:p>
        </w:tc>
        <w:tc>
          <w:tcPr>
            <w:tcW w:w="1602" w:type="dxa"/>
            <w:tcBorders>
              <w:top w:val="single" w:sz="4" w:space="0" w:color="auto"/>
              <w:left w:val="nil"/>
              <w:bottom w:val="single" w:sz="4" w:space="0" w:color="auto"/>
              <w:right w:val="nil"/>
            </w:tcBorders>
            <w:shd w:val="clear" w:color="auto" w:fill="auto"/>
            <w:noWrap/>
            <w:hideMark/>
          </w:tcPr>
          <w:p w:rsidR="005E1FE0" w:rsidRPr="00DF38B2" w:rsidRDefault="00D615D9" w:rsidP="00D615D9">
            <w:pPr>
              <w:pStyle w:val="tabletextleft"/>
              <w:jc w:val="right"/>
              <w:rPr>
                <w:rFonts w:eastAsia="Times New Roman"/>
              </w:rPr>
            </w:pPr>
            <w:r w:rsidRPr="009A06B6">
              <w:rPr>
                <w:rFonts w:eastAsia="Times New Roman"/>
              </w:rPr>
              <w:t>Probability of a</w:t>
            </w:r>
            <w:r w:rsidR="005E1FE0" w:rsidRPr="009A06B6">
              <w:rPr>
                <w:rFonts w:eastAsia="Times New Roman"/>
              </w:rPr>
              <w:t xml:space="preserve">pplication </w:t>
            </w:r>
            <w:r w:rsidRPr="009A06B6">
              <w:rPr>
                <w:rFonts w:eastAsia="Times New Roman"/>
              </w:rPr>
              <w:t xml:space="preserve">being </w:t>
            </w:r>
            <w:r w:rsidR="005E1FE0" w:rsidRPr="009A06B6">
              <w:rPr>
                <w:rFonts w:eastAsia="Times New Roman"/>
              </w:rPr>
              <w:t>successful</w:t>
            </w:r>
            <w:r w:rsidRPr="009A06B6">
              <w:rPr>
                <w:rFonts w:eastAsia="Times New Roman"/>
              </w:rPr>
              <w:t xml:space="preserve"> (%)</w:t>
            </w:r>
          </w:p>
        </w:tc>
      </w:tr>
      <w:tr w:rsidR="005E1FE0" w:rsidRPr="00DF38B2" w:rsidTr="009A06B6">
        <w:trPr>
          <w:trHeight w:val="20"/>
          <w:jc w:val="center"/>
        </w:trPr>
        <w:tc>
          <w:tcPr>
            <w:tcW w:w="2071" w:type="dxa"/>
            <w:vMerge w:val="restart"/>
            <w:tcBorders>
              <w:top w:val="nil"/>
              <w:left w:val="nil"/>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Darwin &amp; Alice Springs</w:t>
            </w:r>
          </w:p>
        </w:tc>
        <w:tc>
          <w:tcPr>
            <w:tcW w:w="170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Non-Indigenous</w:t>
            </w:r>
          </w:p>
        </w:tc>
        <w:tc>
          <w:tcPr>
            <w:tcW w:w="17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74.3</w:t>
            </w:r>
          </w:p>
        </w:tc>
        <w:tc>
          <w:tcPr>
            <w:tcW w:w="160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80.2</w:t>
            </w:r>
          </w:p>
        </w:tc>
      </w:tr>
      <w:tr w:rsidR="005E1FE0" w:rsidRPr="00DF38B2" w:rsidTr="009A06B6">
        <w:trPr>
          <w:trHeight w:val="20"/>
          <w:jc w:val="center"/>
        </w:trPr>
        <w:tc>
          <w:tcPr>
            <w:tcW w:w="2071" w:type="dxa"/>
            <w:vMerge/>
            <w:tcBorders>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70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Indigenous</w:t>
            </w:r>
          </w:p>
        </w:tc>
        <w:tc>
          <w:tcPr>
            <w:tcW w:w="17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54.3</w:t>
            </w:r>
          </w:p>
        </w:tc>
        <w:tc>
          <w:tcPr>
            <w:tcW w:w="160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51.3</w:t>
            </w:r>
          </w:p>
        </w:tc>
      </w:tr>
      <w:tr w:rsidR="005E1FE0" w:rsidRPr="00DF38B2" w:rsidTr="009A06B6">
        <w:trPr>
          <w:trHeight w:val="20"/>
          <w:jc w:val="center"/>
        </w:trPr>
        <w:tc>
          <w:tcPr>
            <w:tcW w:w="2071" w:type="dxa"/>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Balance</w:t>
            </w:r>
          </w:p>
        </w:tc>
        <w:tc>
          <w:tcPr>
            <w:tcW w:w="1701"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Non-Indigenous</w:t>
            </w:r>
          </w:p>
        </w:tc>
        <w:tc>
          <w:tcPr>
            <w:tcW w:w="174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48.2</w:t>
            </w:r>
          </w:p>
        </w:tc>
        <w:tc>
          <w:tcPr>
            <w:tcW w:w="1602"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58.4</w:t>
            </w:r>
          </w:p>
        </w:tc>
      </w:tr>
      <w:tr w:rsidR="005E1FE0" w:rsidRPr="00DF38B2" w:rsidTr="009A06B6">
        <w:trPr>
          <w:trHeight w:val="20"/>
          <w:jc w:val="center"/>
        </w:trPr>
        <w:tc>
          <w:tcPr>
            <w:tcW w:w="207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70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Indigenous</w:t>
            </w:r>
          </w:p>
        </w:tc>
        <w:tc>
          <w:tcPr>
            <w:tcW w:w="17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25.3</w:t>
            </w:r>
          </w:p>
        </w:tc>
        <w:tc>
          <w:tcPr>
            <w:tcW w:w="160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18.4</w:t>
            </w:r>
          </w:p>
        </w:tc>
      </w:tr>
    </w:tbl>
    <w:p w:rsidR="00F30A93" w:rsidRDefault="00F30A93" w:rsidP="006654AE">
      <w:pPr>
        <w:pStyle w:val="tablenotes"/>
      </w:pPr>
    </w:p>
    <w:p w:rsidR="005E1FE0" w:rsidRPr="00DF38B2" w:rsidRDefault="005E1FE0" w:rsidP="006654AE">
      <w:pPr>
        <w:pStyle w:val="tablenotes"/>
      </w:pPr>
      <w:r w:rsidRPr="00DF38B2">
        <w:t>Note:</w:t>
      </w:r>
      <w:r w:rsidR="00B84AFE">
        <w:t xml:space="preserve"> </w:t>
      </w:r>
      <w:r w:rsidR="00BF56C6">
        <w:tab/>
      </w:r>
      <w:r w:rsidRPr="00DF38B2">
        <w:t>Derived from two</w:t>
      </w:r>
      <w:r w:rsidR="00A34CB7">
        <w:t>-</w:t>
      </w:r>
      <w:r w:rsidRPr="00DF38B2">
        <w:t xml:space="preserve">stage </w:t>
      </w:r>
      <w:proofErr w:type="spellStart"/>
      <w:r w:rsidRPr="00DF38B2">
        <w:t>probit</w:t>
      </w:r>
      <w:proofErr w:type="spellEnd"/>
      <w:r w:rsidRPr="00DF38B2">
        <w:t xml:space="preserve"> model, using</w:t>
      </w:r>
      <w:r w:rsidR="00343627">
        <w:t xml:space="preserve"> </w:t>
      </w:r>
      <w:r w:rsidR="00A8053C">
        <w:t xml:space="preserve">the </w:t>
      </w:r>
      <w:r w:rsidR="00A8053C" w:rsidRPr="00DF38B2">
        <w:t>same</w:t>
      </w:r>
      <w:r w:rsidR="00343627" w:rsidRPr="00343627">
        <w:t xml:space="preserve"> explanatory variables included </w:t>
      </w:r>
      <w:r w:rsidRPr="00DF38B2">
        <w:t xml:space="preserve">in Table 5 3. </w:t>
      </w:r>
    </w:p>
    <w:p w:rsidR="005E1FE0" w:rsidRDefault="005E1FE0" w:rsidP="006654AE">
      <w:pPr>
        <w:pStyle w:val="tablenotes"/>
        <w:keepNext w:val="0"/>
      </w:pPr>
      <w:r w:rsidRPr="00DF38B2">
        <w:t xml:space="preserve">Source: </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8525AF">
      <w:pPr>
        <w:pStyle w:val="h4l3"/>
      </w:pPr>
      <w:r w:rsidRPr="00DF38B2">
        <w:t xml:space="preserve">Summary </w:t>
      </w:r>
    </w:p>
    <w:p w:rsidR="005E1FE0" w:rsidRPr="00DF38B2" w:rsidRDefault="005E1FE0" w:rsidP="006654AE">
      <w:r w:rsidRPr="00DF38B2">
        <w:t>Statistical modelling confirms the earlier descriptive analysis of exemptions from New Income Management and shows:</w:t>
      </w:r>
    </w:p>
    <w:p w:rsidR="005E1FE0" w:rsidRPr="00DF38B2" w:rsidRDefault="005E1FE0" w:rsidP="006654AE">
      <w:pPr>
        <w:pStyle w:val="dot"/>
        <w:spacing w:line="252" w:lineRule="auto"/>
      </w:pPr>
      <w:r w:rsidRPr="00DF38B2">
        <w:t>Very limited access to exemptions by people without children.</w:t>
      </w:r>
    </w:p>
    <w:p w:rsidR="005E1FE0" w:rsidRPr="00DF38B2" w:rsidRDefault="005E1FE0" w:rsidP="006654AE">
      <w:pPr>
        <w:pStyle w:val="dot"/>
        <w:spacing w:line="252" w:lineRule="auto"/>
      </w:pPr>
      <w:r w:rsidRPr="00DF38B2">
        <w:t>Lower rates of exemption for men when compared to women.</w:t>
      </w:r>
    </w:p>
    <w:p w:rsidR="005E1FE0" w:rsidRPr="00DF38B2" w:rsidRDefault="005E1FE0" w:rsidP="006654AE">
      <w:pPr>
        <w:pStyle w:val="dot"/>
        <w:spacing w:line="252" w:lineRule="auto"/>
      </w:pPr>
      <w:r w:rsidRPr="00DF38B2">
        <w:t>Relatively high exemption rates for persons born in non-English</w:t>
      </w:r>
      <w:r w:rsidR="00435CA3">
        <w:t xml:space="preserve"> </w:t>
      </w:r>
      <w:r w:rsidRPr="00DF38B2">
        <w:t>speaking countries who have children.</w:t>
      </w:r>
    </w:p>
    <w:p w:rsidR="005E1FE0" w:rsidRPr="00DF38B2" w:rsidRDefault="005E1FE0" w:rsidP="006654AE">
      <w:pPr>
        <w:pStyle w:val="dot"/>
        <w:spacing w:line="252" w:lineRule="auto"/>
      </w:pPr>
      <w:r w:rsidRPr="00DF38B2">
        <w:t>Low exemption rates for Indigenous Australians – with these being reflected in both low application rates and low success for those applications which are made</w:t>
      </w:r>
      <w:r w:rsidR="00A1421A">
        <w:t xml:space="preserve">. </w:t>
      </w:r>
      <w:r w:rsidRPr="00DF38B2">
        <w:t>These exemption rates are considerably lower outside of the main urban areas and the data suggests there has been no closure of the very large gaps we reported on in our first report.</w:t>
      </w:r>
    </w:p>
    <w:p w:rsidR="005E1FE0" w:rsidRPr="00DF38B2" w:rsidRDefault="005E1FE0" w:rsidP="006654AE">
      <w:pPr>
        <w:pStyle w:val="Heading2"/>
        <w:spacing w:line="252" w:lineRule="auto"/>
      </w:pPr>
      <w:bookmarkStart w:id="274" w:name="_Toc403739032"/>
      <w:r w:rsidRPr="00DF38B2">
        <w:t>The views and experience of people with exemptions</w:t>
      </w:r>
      <w:bookmarkEnd w:id="274"/>
    </w:p>
    <w:p w:rsidR="005E1FE0" w:rsidRPr="00DF38B2" w:rsidRDefault="005E1FE0" w:rsidP="006654AE">
      <w:r w:rsidRPr="00DF38B2">
        <w:t>The LSNIM – the longitudinal survey used for the evaluation, forms the basis of analysis in Chapter 8</w:t>
      </w:r>
      <w:r w:rsidR="00A1421A">
        <w:t xml:space="preserve">. </w:t>
      </w:r>
      <w:r w:rsidRPr="00DF38B2">
        <w:t>It is</w:t>
      </w:r>
      <w:r w:rsidR="00A34CB7">
        <w:t>,</w:t>
      </w:r>
      <w:r w:rsidRPr="00DF38B2">
        <w:t xml:space="preserve"> however</w:t>
      </w:r>
      <w:r w:rsidR="00A34CB7">
        <w:t>,</w:t>
      </w:r>
      <w:r w:rsidRPr="00DF38B2">
        <w:t xml:space="preserve"> useful at this point to report on some of the specific data collected in the survey relating to exemptions</w:t>
      </w:r>
      <w:r w:rsidR="00A1421A">
        <w:t xml:space="preserve">. </w:t>
      </w:r>
      <w:r w:rsidRPr="00DF38B2">
        <w:t>This section reports findings on those with an exemption, and in the following section on those who have been unsuccessful in obtaining an exemption, or are currently in the process of seeking one. As detailed in later discussion</w:t>
      </w:r>
      <w:r w:rsidR="009E256C">
        <w:t>,</w:t>
      </w:r>
      <w:r w:rsidRPr="00DF38B2">
        <w:t xml:space="preserve"> the survey was not designed as a random population sample</w:t>
      </w:r>
      <w:r w:rsidR="009E256C">
        <w:t>,</w:t>
      </w:r>
      <w:r w:rsidRPr="00DF38B2">
        <w:t xml:space="preserve"> but rather sought to ensure a wide scope of coverage, including experiences in diverse communities, and contained a significant oversampling of non-Indigenous participants</w:t>
      </w:r>
      <w:r w:rsidR="00A1421A">
        <w:t xml:space="preserve">. </w:t>
      </w:r>
      <w:r w:rsidRPr="00DF38B2">
        <w:t>It collected both quantitative and qualitative responses from participants</w:t>
      </w:r>
      <w:r w:rsidR="009E256C">
        <w:t>.</w:t>
      </w:r>
      <w:r w:rsidRPr="00DF38B2">
        <w:rPr>
          <w:rStyle w:val="FootnoteReference"/>
        </w:rPr>
        <w:footnoteReference w:id="77"/>
      </w:r>
      <w:r w:rsidRPr="00DF38B2">
        <w:t xml:space="preserve"> </w:t>
      </w:r>
    </w:p>
    <w:p w:rsidR="005E1FE0" w:rsidRPr="00FE502F" w:rsidRDefault="005E1FE0" w:rsidP="006654AE">
      <w:pPr>
        <w:pStyle w:val="Heading3"/>
        <w:spacing w:line="252" w:lineRule="auto"/>
      </w:pPr>
      <w:bookmarkStart w:id="275" w:name="_Toc403739033"/>
      <w:r w:rsidRPr="00FE502F">
        <w:t>Motivation for seeking an exemption</w:t>
      </w:r>
      <w:bookmarkEnd w:id="275"/>
    </w:p>
    <w:p w:rsidR="005E1FE0" w:rsidRPr="00DF38B2" w:rsidRDefault="005E1FE0" w:rsidP="006654AE">
      <w:r w:rsidRPr="009655C3">
        <w:t xml:space="preserve">The overwhelming motivation that people report in the LSNIM for seeking an exemption was a belief that they had the </w:t>
      </w:r>
      <w:r w:rsidR="00343627" w:rsidRPr="009655C3">
        <w:t>ability to</w:t>
      </w:r>
      <w:r w:rsidR="009E256C" w:rsidRPr="009655C3">
        <w:t xml:space="preserve"> </w:t>
      </w:r>
      <w:r w:rsidRPr="009655C3">
        <w:t xml:space="preserve">manage their money </w:t>
      </w:r>
      <w:r w:rsidR="009E256C" w:rsidRPr="009655C3">
        <w:t xml:space="preserve">effectively </w:t>
      </w:r>
      <w:r w:rsidRPr="009655C3">
        <w:t xml:space="preserve">before the introduction of income management. The distribution of both the main and all reasons for seeking an exemption is illustrated in </w:t>
      </w:r>
      <w:r w:rsidRPr="00DF38B2">
        <w:fldChar w:fldCharType="begin"/>
      </w:r>
      <w:r w:rsidRPr="00DF38B2">
        <w:instrText xml:space="preserve"> REF _Ref392142711 \h </w:instrText>
      </w:r>
      <w:r w:rsidRPr="00DF38B2">
        <w:fldChar w:fldCharType="separate"/>
      </w:r>
      <w:r w:rsidR="00906D13" w:rsidRPr="00FE502F">
        <w:t xml:space="preserve">Figure </w:t>
      </w:r>
      <w:r w:rsidR="00906D13">
        <w:rPr>
          <w:noProof/>
        </w:rPr>
        <w:t>5</w:t>
      </w:r>
      <w:r w:rsidR="00906D13" w:rsidRPr="00DF38B2">
        <w:noBreakHyphen/>
      </w:r>
      <w:r w:rsidR="00906D13">
        <w:rPr>
          <w:noProof/>
        </w:rPr>
        <w:t>6</w:t>
      </w:r>
      <w:r w:rsidRPr="00DF38B2">
        <w:fldChar w:fldCharType="end"/>
      </w:r>
      <w:r w:rsidRPr="00DF38B2">
        <w:t>.</w:t>
      </w:r>
    </w:p>
    <w:p w:rsidR="005E1FE0" w:rsidRPr="00DF38B2" w:rsidRDefault="005E1FE0" w:rsidP="006654AE">
      <w:pPr>
        <w:pStyle w:val="Caption"/>
      </w:pPr>
      <w:bookmarkStart w:id="276" w:name="_Ref392142711"/>
      <w:bookmarkStart w:id="277" w:name="_Toc403739531"/>
      <w:r w:rsidRPr="00FE502F">
        <w:lastRenderedPageBreak/>
        <w:t xml:space="preserve">Figure </w:t>
      </w:r>
      <w:fldSimple w:instr=" STYLEREF 1 \s ">
        <w:r w:rsidR="00906D13">
          <w:rPr>
            <w:noProof/>
          </w:rPr>
          <w:t>5</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276"/>
      <w:r w:rsidRPr="00DF38B2">
        <w:tab/>
      </w:r>
      <w:r w:rsidR="001140D3">
        <w:t>P</w:t>
      </w:r>
      <w:r w:rsidRPr="00DF38B2">
        <w:t>eople with an exemption from income management, main and any reason why they sought an exemption</w:t>
      </w:r>
      <w:r w:rsidR="00343627">
        <w:t xml:space="preserve">, </w:t>
      </w:r>
      <w:r w:rsidR="00343627" w:rsidRPr="00D86209">
        <w:t>LSNIM, Wave 2, 2013</w:t>
      </w:r>
      <w:bookmarkEnd w:id="277"/>
    </w:p>
    <w:p w:rsidR="005E1FE0" w:rsidRPr="00DF38B2" w:rsidRDefault="005E1FE0" w:rsidP="006654AE">
      <w:pPr>
        <w:pStyle w:val="graphicpaste"/>
      </w:pPr>
      <w:r w:rsidRPr="008E4D9D">
        <w:rPr>
          <w:noProof/>
        </w:rPr>
        <w:drawing>
          <wp:inline distT="0" distB="0" distL="0" distR="0" wp14:anchorId="101EC7D3" wp14:editId="07E4AD17">
            <wp:extent cx="4572000" cy="2743200"/>
            <wp:effectExtent l="0" t="0" r="0" b="0"/>
            <wp:docPr id="41" name="Picture 41" descr="This shows the incidence of particular reasons being given as to why people have sought an exemption, the data is provided for both main and any reason.  The data is discussed in the text, including the major reasons given by people, and of the incidence of responses to specific questions concerning potential capacity building as a result of income management, with major proportions being c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9E256C" w:rsidP="006654AE">
      <w:r>
        <w:t xml:space="preserve">As </w:t>
      </w:r>
      <w:fldSimple w:instr=" REF _Ref392142711 ">
        <w:r w:rsidR="00906D13" w:rsidRPr="00FE502F">
          <w:t xml:space="preserve">Figure </w:t>
        </w:r>
        <w:r w:rsidR="00906D13">
          <w:rPr>
            <w:noProof/>
          </w:rPr>
          <w:t>5</w:t>
        </w:r>
        <w:r w:rsidR="00906D13" w:rsidRPr="00DF38B2">
          <w:noBreakHyphen/>
        </w:r>
        <w:r w:rsidR="00906D13">
          <w:rPr>
            <w:noProof/>
          </w:rPr>
          <w:t>6</w:t>
        </w:r>
      </w:fldSimple>
      <w:r>
        <w:t xml:space="preserve"> shows, </w:t>
      </w:r>
      <w:r w:rsidR="00F57911">
        <w:t>61.5</w:t>
      </w:r>
      <w:r w:rsidR="005E1FE0" w:rsidRPr="00DF38B2">
        <w:t xml:space="preserve"> per cent of respondents gave the response “I was able to manage my money quite ok before income management” as their main reason for having sought an exemption, with </w:t>
      </w:r>
      <w:r w:rsidR="00F57911">
        <w:t>86.2</w:t>
      </w:r>
      <w:r w:rsidR="005E1FE0" w:rsidRPr="00DF38B2">
        <w:t> per cent citing it as one of the reasons</w:t>
      </w:r>
      <w:r w:rsidR="00A1421A">
        <w:t xml:space="preserve">. </w:t>
      </w:r>
      <w:r w:rsidR="005E1FE0" w:rsidRPr="00DF38B2">
        <w:t>The next major response was that “I wanted control of my own money”, with 13.</w:t>
      </w:r>
      <w:r w:rsidR="00F57911">
        <w:t>8</w:t>
      </w:r>
      <w:r w:rsidR="00F57911" w:rsidRPr="00DF38B2">
        <w:t> </w:t>
      </w:r>
      <w:r w:rsidR="005E1FE0" w:rsidRPr="00DF38B2">
        <w:t>per cent giving this as their main reason and 6</w:t>
      </w:r>
      <w:r w:rsidR="00F57911">
        <w:t>6</w:t>
      </w:r>
      <w:r w:rsidR="005E1FE0" w:rsidRPr="00DF38B2">
        <w:t xml:space="preserve">.2 per cent </w:t>
      </w:r>
      <w:r>
        <w:t xml:space="preserve">providing it </w:t>
      </w:r>
      <w:r w:rsidR="005E1FE0" w:rsidRPr="00DF38B2">
        <w:t xml:space="preserve">as one of the reasons. The </w:t>
      </w:r>
      <w:r w:rsidR="00384AE0" w:rsidRPr="00DF38B2">
        <w:t>third</w:t>
      </w:r>
      <w:r>
        <w:t>-</w:t>
      </w:r>
      <w:r w:rsidR="005E1FE0" w:rsidRPr="00DF38B2">
        <w:t xml:space="preserve">ranked main reason was that income management was a </w:t>
      </w:r>
      <w:r>
        <w:t>“</w:t>
      </w:r>
      <w:r w:rsidR="005E1FE0" w:rsidRPr="00DF38B2">
        <w:t>hassle</w:t>
      </w:r>
      <w:r>
        <w:t>”</w:t>
      </w:r>
      <w:r w:rsidR="005E1FE0" w:rsidRPr="00DF38B2">
        <w:t>, although this was provided by only 6.</w:t>
      </w:r>
      <w:r w:rsidR="00F57911">
        <w:t>2</w:t>
      </w:r>
      <w:r w:rsidR="005E1FE0" w:rsidRPr="00DF38B2">
        <w:t> per cent as the main reason and by 20</w:t>
      </w:r>
      <w:r w:rsidR="00F57911">
        <w:t>.0</w:t>
      </w:r>
      <w:r w:rsidR="005E1FE0" w:rsidRPr="00DF38B2">
        <w:t xml:space="preserve"> per cent as any reason. Three other reasons, with few giving them as a main reason, were frequently given as </w:t>
      </w:r>
      <w:r>
        <w:t>“</w:t>
      </w:r>
      <w:r w:rsidR="005E1FE0" w:rsidRPr="00DF38B2">
        <w:t>other</w:t>
      </w:r>
      <w:r>
        <w:t>”</w:t>
      </w:r>
      <w:r w:rsidR="005E1FE0" w:rsidRPr="00DF38B2">
        <w:t xml:space="preserve"> reasons. These were</w:t>
      </w:r>
      <w:r>
        <w:t>:</w:t>
      </w:r>
      <w:r w:rsidR="005E1FE0" w:rsidRPr="00DF38B2">
        <w:t xml:space="preserve"> wanting the freedom to choose what people spent their money on (</w:t>
      </w:r>
      <w:r w:rsidR="00F57911">
        <w:t>44.6</w:t>
      </w:r>
      <w:r w:rsidR="005E1FE0" w:rsidRPr="00DF38B2">
        <w:t xml:space="preserve"> per cent); wanting their rights back; and because their children already attended school regularly or had their health checks (both at </w:t>
      </w:r>
      <w:r w:rsidR="00F57911">
        <w:t>40.0</w:t>
      </w:r>
      <w:r w:rsidR="005E1FE0" w:rsidRPr="00DF38B2">
        <w:t> per cent).</w:t>
      </w:r>
    </w:p>
    <w:p w:rsidR="005E1FE0" w:rsidRPr="00DF38B2" w:rsidRDefault="005E1FE0" w:rsidP="006654AE">
      <w:r w:rsidRPr="00DF38B2">
        <w:t xml:space="preserve">The </w:t>
      </w:r>
      <w:r w:rsidR="00343627">
        <w:t>LSNIM</w:t>
      </w:r>
      <w:r w:rsidRPr="00DF38B2">
        <w:t xml:space="preserve"> also included some questions which may reflect either ‘bad motivations’ for seeking an exemption or reflected situations where </w:t>
      </w:r>
      <w:r w:rsidR="00384AE0" w:rsidRPr="00DF38B2">
        <w:t xml:space="preserve">a person’s </w:t>
      </w:r>
      <w:r w:rsidRPr="00DF38B2">
        <w:t>behaviour had changed because of income management and they were now capable of managing</w:t>
      </w:r>
      <w:r w:rsidR="00A1421A">
        <w:t xml:space="preserve">. </w:t>
      </w:r>
      <w:r w:rsidRPr="00DF38B2">
        <w:t>With respect to the first, just 1.5 per cent of respondents indicated that their main, or indeed any, reason for seeking an exemption was because their family told them to. Even this response is possibly open to two interpretations. The first is that the person was under undue pressure from people seeking to exploit them, the second is that of the family supporting them in making an application for exemption</w:t>
      </w:r>
      <w:r w:rsidR="00A1421A">
        <w:t xml:space="preserve">. </w:t>
      </w:r>
      <w:r w:rsidRPr="00DF38B2">
        <w:t xml:space="preserve">Four response categories attempted to get at the second set of reasons – that of </w:t>
      </w:r>
      <w:r w:rsidR="00384AE0" w:rsidRPr="00DF38B2">
        <w:t>being better</w:t>
      </w:r>
      <w:r w:rsidR="009E256C">
        <w:t>-</w:t>
      </w:r>
      <w:r w:rsidR="00384AE0" w:rsidRPr="00DF38B2">
        <w:t xml:space="preserve">equipped to manage money without income management </w:t>
      </w:r>
      <w:r w:rsidRPr="00DF38B2">
        <w:t>because of the</w:t>
      </w:r>
      <w:r w:rsidR="00384AE0" w:rsidRPr="00DF38B2">
        <w:t>ir</w:t>
      </w:r>
      <w:r w:rsidRPr="00DF38B2">
        <w:t xml:space="preserve"> experience of being income managed. These took the </w:t>
      </w:r>
      <w:r w:rsidR="009E256C">
        <w:t xml:space="preserve">following </w:t>
      </w:r>
      <w:r w:rsidRPr="00DF38B2">
        <w:t>form</w:t>
      </w:r>
      <w:r w:rsidR="009E256C">
        <w:t>:</w:t>
      </w:r>
      <w:r w:rsidRPr="00DF38B2">
        <w:t xml:space="preserve"> “After being on </w:t>
      </w:r>
      <w:r w:rsidR="005E4CAC">
        <w:t>income management</w:t>
      </w:r>
      <w:r w:rsidRPr="00DF38B2">
        <w:t>: I felt more confident in managing my money/I got rid of my debts/I saved money/my children now attend school and have their health checks”</w:t>
      </w:r>
      <w:r w:rsidR="00A1421A">
        <w:t xml:space="preserve">. </w:t>
      </w:r>
      <w:r w:rsidRPr="00DF38B2">
        <w:t>Only two of these questions had any response</w:t>
      </w:r>
      <w:r w:rsidR="009E256C">
        <w:t>,</w:t>
      </w:r>
      <w:r w:rsidRPr="00DF38B2">
        <w:t xml:space="preserve"> with 1.5</w:t>
      </w:r>
      <w:r w:rsidR="00384AE0" w:rsidRPr="00DF38B2">
        <w:t xml:space="preserve"> per cent of respondents </w:t>
      </w:r>
      <w:r w:rsidRPr="00DF38B2">
        <w:t xml:space="preserve">giving the </w:t>
      </w:r>
      <w:r w:rsidR="00B26705">
        <w:t>“</w:t>
      </w:r>
      <w:r w:rsidRPr="00DF38B2">
        <w:t>children now attending school</w:t>
      </w:r>
      <w:r w:rsidR="00B26705">
        <w:t>”</w:t>
      </w:r>
      <w:r w:rsidRPr="00DF38B2">
        <w:t xml:space="preserve"> response as their main reason, and the same proportion agreeing with the response on saving as </w:t>
      </w:r>
      <w:r w:rsidR="00B26705">
        <w:t>“</w:t>
      </w:r>
      <w:r w:rsidRPr="00DF38B2">
        <w:t>another reason</w:t>
      </w:r>
      <w:r w:rsidR="00B26705">
        <w:t>”</w:t>
      </w:r>
      <w:r w:rsidR="00A1421A">
        <w:t xml:space="preserve">. </w:t>
      </w:r>
    </w:p>
    <w:p w:rsidR="005E1FE0" w:rsidRPr="00DF38B2" w:rsidRDefault="005E1FE0" w:rsidP="006654AE">
      <w:r w:rsidRPr="00DF38B2">
        <w:t>Overall</w:t>
      </w:r>
      <w:r w:rsidR="00B26705">
        <w:t>,</w:t>
      </w:r>
      <w:r w:rsidRPr="00DF38B2">
        <w:t xml:space="preserve"> there were few differences in the pattern of responses given by Indigenous and non-Indigenous survey respondents.</w:t>
      </w:r>
    </w:p>
    <w:p w:rsidR="005E1FE0" w:rsidRPr="00DF38B2" w:rsidRDefault="005E1FE0" w:rsidP="006654AE">
      <w:r w:rsidRPr="00DF38B2">
        <w:t>On average, respondents who gained an exemption considered that the process of doing so was easier rather than harder, although a significant group indicated that they did not find it that way. The composition of responses was: 14.8 per cent saying they agreed strongly with the statement that it was easy, 41.0 per cent agreeing, 8.2 per cent being neutral, 24.</w:t>
      </w:r>
      <w:r w:rsidR="00F57911">
        <w:t>6</w:t>
      </w:r>
      <w:r w:rsidRPr="00DF38B2">
        <w:t xml:space="preserve"> disagreeing</w:t>
      </w:r>
      <w:r w:rsidR="00B26705">
        <w:t>,</w:t>
      </w:r>
      <w:r w:rsidRPr="00DF38B2">
        <w:t xml:space="preserve"> and 11.5 per cent strongly disagreeing</w:t>
      </w:r>
      <w:r w:rsidR="00A1421A">
        <w:t xml:space="preserve">. </w:t>
      </w:r>
      <w:r w:rsidRPr="00DF38B2">
        <w:t>Participants generally felt that Centrelink had been supportive in the exemption process (76.2 per cent)</w:t>
      </w:r>
      <w:r w:rsidR="00A1421A">
        <w:t xml:space="preserve">. </w:t>
      </w:r>
    </w:p>
    <w:p w:rsidR="005E1FE0" w:rsidRPr="00DF38B2" w:rsidRDefault="005E1FE0" w:rsidP="006654AE">
      <w:r w:rsidRPr="00DF38B2">
        <w:t>Despite these positive responses, many found the process of obtaining an exemption shaming and humiliating, with 42.5 per cent of non-Indigenous and 55.0 per cent of Indigenous survey respondents saying that they agreed, or agreed strongly, with this statement</w:t>
      </w:r>
      <w:r w:rsidR="00A1421A">
        <w:t xml:space="preserve">. </w:t>
      </w:r>
      <w:r w:rsidRPr="00DF38B2">
        <w:t xml:space="preserve">In the case of non-Indigenous participants, </w:t>
      </w:r>
      <w:r w:rsidR="00384AE0" w:rsidRPr="00DF38B2">
        <w:lastRenderedPageBreak/>
        <w:t>fewer than half</w:t>
      </w:r>
      <w:r w:rsidR="00B26705">
        <w:t xml:space="preserve"> –</w:t>
      </w:r>
      <w:r w:rsidR="00384AE0" w:rsidRPr="00DF38B2">
        <w:t xml:space="preserve"> </w:t>
      </w:r>
      <w:r w:rsidRPr="00DF38B2">
        <w:t>45.0 per cent</w:t>
      </w:r>
      <w:r w:rsidR="00B26705">
        <w:t xml:space="preserve"> –</w:t>
      </w:r>
      <w:r w:rsidRPr="00DF38B2">
        <w:t xml:space="preserve"> said they did not find it shaming, while 40.0 per cent of Indigenous respondents gave this response.</w:t>
      </w:r>
    </w:p>
    <w:p w:rsidR="005E1FE0" w:rsidRPr="009655C3" w:rsidRDefault="005E1FE0" w:rsidP="006654AE">
      <w:r w:rsidRPr="00DF38B2">
        <w:t xml:space="preserve">Some of the views expressed by respondents are shown in </w:t>
      </w:r>
      <w:r w:rsidRPr="00DF38B2">
        <w:fldChar w:fldCharType="begin"/>
      </w:r>
      <w:r w:rsidRPr="00DF38B2">
        <w:instrText xml:space="preserve"> REF _Ref392680786 \h </w:instrText>
      </w:r>
      <w:r w:rsidRPr="00DF38B2">
        <w:fldChar w:fldCharType="separate"/>
      </w:r>
      <w:r w:rsidR="00906D13" w:rsidRPr="009655C3">
        <w:t xml:space="preserve">Table </w:t>
      </w:r>
      <w:r w:rsidR="00906D13">
        <w:rPr>
          <w:noProof/>
        </w:rPr>
        <w:t>5</w:t>
      </w:r>
      <w:r w:rsidR="00906D13">
        <w:noBreakHyphen/>
      </w:r>
      <w:r w:rsidR="00906D13">
        <w:rPr>
          <w:noProof/>
        </w:rPr>
        <w:t>6</w:t>
      </w:r>
      <w:r w:rsidRPr="00DF38B2">
        <w:fldChar w:fldCharType="end"/>
      </w:r>
      <w:r w:rsidRPr="00DF38B2">
        <w:t>. Reflecting the above findings</w:t>
      </w:r>
      <w:r w:rsidR="00B26705">
        <w:t>,</w:t>
      </w:r>
      <w:r w:rsidRPr="00DF38B2">
        <w:t xml:space="preserve"> these views are diverse. Some people were very positive</w:t>
      </w:r>
      <w:r w:rsidR="00B26705">
        <w:t>,</w:t>
      </w:r>
      <w:r w:rsidRPr="00DF38B2">
        <w:t xml:space="preserve"> with several reporting that they saw the process as being one which wa</w:t>
      </w:r>
      <w:r w:rsidRPr="00FE502F">
        <w:t xml:space="preserve">s important, and indeed potentially desirable, even if in some cases it was </w:t>
      </w:r>
      <w:r w:rsidRPr="009655C3">
        <w:t>not necessarily pleasant</w:t>
      </w:r>
      <w:r w:rsidR="00A1421A">
        <w:t xml:space="preserve">. </w:t>
      </w:r>
      <w:r w:rsidRPr="009655C3">
        <w:t xml:space="preserve">Others saw it as being unnecessary, overly complicated and humiliating. </w:t>
      </w:r>
    </w:p>
    <w:p w:rsidR="005E1FE0" w:rsidRPr="00DF38B2" w:rsidRDefault="005E1FE0" w:rsidP="006654AE">
      <w:pPr>
        <w:pStyle w:val="Caption"/>
      </w:pPr>
      <w:bookmarkStart w:id="278" w:name="_Ref392680786"/>
      <w:bookmarkStart w:id="279" w:name="_Toc403739430"/>
      <w:r w:rsidRPr="009655C3">
        <w:t xml:space="preserve">Table </w:t>
      </w:r>
      <w:fldSimple w:instr=" STYLEREF 1 \s ">
        <w:r w:rsidR="00906D13">
          <w:rPr>
            <w:noProof/>
          </w:rPr>
          <w:t>5</w:t>
        </w:r>
      </w:fldSimple>
      <w:r w:rsidR="00D40B64">
        <w:noBreakHyphen/>
      </w:r>
      <w:fldSimple w:instr=" SEQ Table \* ARABIC \s 1 ">
        <w:r w:rsidR="00906D13">
          <w:rPr>
            <w:noProof/>
          </w:rPr>
          <w:t>6</w:t>
        </w:r>
      </w:fldSimple>
      <w:bookmarkEnd w:id="278"/>
      <w:r w:rsidRPr="00DF38B2">
        <w:tab/>
        <w:t>Views on the process of obtaining an exemption</w:t>
      </w:r>
      <w:r w:rsidR="00343627">
        <w:t>, LSNIM Wave 2, 2013</w:t>
      </w:r>
      <w:bookmarkEnd w:id="279"/>
    </w:p>
    <w:tbl>
      <w:tblPr>
        <w:tblW w:w="88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804"/>
      </w:tblGrid>
      <w:tr w:rsidR="005E1FE0" w:rsidRPr="00DF38B2" w:rsidTr="007542C5">
        <w:trPr>
          <w:cantSplit/>
          <w:trHeight w:val="20"/>
          <w:tblHeader/>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Just had to take in my son’s needle records so it was pretty easy.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Extremely humiliating.</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easy.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Just that Centrelink can be a bit useless and not giving me the complete information. The first appointment I had with Centrelink they told me I had to bring in a doctor’s certificate and then the second time I spoke with someone from Centrelink I was told something else.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 can take </w:t>
            </w:r>
            <w:r w:rsidR="00B26705">
              <w:rPr>
                <w:rFonts w:eastAsia="Times New Roman"/>
                <w:noProof w:val="0"/>
              </w:rPr>
              <w:t>three</w:t>
            </w:r>
            <w:r w:rsidRPr="00F57911">
              <w:rPr>
                <w:rFonts w:eastAsia="Times New Roman"/>
                <w:noProof w:val="0"/>
              </w:rPr>
              <w:t xml:space="preserve"> days to sort out, the </w:t>
            </w:r>
            <w:proofErr w:type="gramStart"/>
            <w:r w:rsidRPr="00F57911">
              <w:rPr>
                <w:rFonts w:eastAsia="Times New Roman"/>
                <w:noProof w:val="0"/>
              </w:rPr>
              <w:t>staff are</w:t>
            </w:r>
            <w:proofErr w:type="gramEnd"/>
            <w:r w:rsidRPr="00F57911">
              <w:rPr>
                <w:rFonts w:eastAsia="Times New Roman"/>
                <w:noProof w:val="0"/>
              </w:rPr>
              <w:t xml:space="preserve"> so busy and they take a long time, they want to help but are just so busy.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It's really annoying.</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Long and very drawn out, that said the lady that did the interview was good</w:t>
            </w:r>
            <w:r w:rsidR="00B26705">
              <w:rPr>
                <w:rFonts w:eastAsia="Times New Roman"/>
                <w:noProof w:val="0"/>
              </w:rPr>
              <w:t>-</w:t>
            </w:r>
            <w:r w:rsidRPr="00F57911">
              <w:rPr>
                <w:rFonts w:eastAsia="Times New Roman"/>
                <w:noProof w:val="0"/>
              </w:rPr>
              <w:t>humoured and apologetic, said this happens all the time and she gets people like me all the time who are more than capable, the process was way too long, far harder than is needed.</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 was really easy and I do agree with why they would be </w:t>
            </w:r>
            <w:proofErr w:type="gramStart"/>
            <w:r w:rsidRPr="00F57911">
              <w:rPr>
                <w:rFonts w:eastAsia="Times New Roman"/>
                <w:noProof w:val="0"/>
              </w:rPr>
              <w:t>so</w:t>
            </w:r>
            <w:proofErr w:type="gramEnd"/>
            <w:r w:rsidRPr="00F57911">
              <w:rPr>
                <w:rFonts w:eastAsia="Times New Roman"/>
                <w:noProof w:val="0"/>
              </w:rPr>
              <w:t xml:space="preserve"> nosey as to what you are spending your money on. I mean its tax payers</w:t>
            </w:r>
            <w:r w:rsidR="00B26705">
              <w:rPr>
                <w:rFonts w:eastAsia="Times New Roman"/>
                <w:noProof w:val="0"/>
              </w:rPr>
              <w:t>’</w:t>
            </w:r>
            <w:r w:rsidRPr="00F57911">
              <w:rPr>
                <w:rFonts w:eastAsia="Times New Roman"/>
                <w:noProof w:val="0"/>
              </w:rPr>
              <w:t xml:space="preserve"> money not yours.</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hard, I don't see why exemption from money management had anything to do with truancy, I had no idea that would have any effect on my payments, getting the records from the school can be hard, and making deadlines is difficult as it is according to school management.</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found it degrading and very offensive.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straight</w:t>
            </w:r>
            <w:r w:rsidR="00B26705">
              <w:rPr>
                <w:rFonts w:eastAsia="Times New Roman"/>
                <w:noProof w:val="0"/>
              </w:rPr>
              <w:t>-</w:t>
            </w:r>
            <w:r w:rsidRPr="00F57911">
              <w:rPr>
                <w:rFonts w:eastAsia="Times New Roman"/>
                <w:noProof w:val="0"/>
              </w:rPr>
              <w:t>forward</w:t>
            </w:r>
            <w:r w:rsidR="00B26705">
              <w:rPr>
                <w:rFonts w:eastAsia="Times New Roman"/>
                <w:noProof w:val="0"/>
              </w:rPr>
              <w:t>,</w:t>
            </w:r>
            <w:r w:rsidRPr="00F57911">
              <w:rPr>
                <w:rFonts w:eastAsia="Times New Roman"/>
                <w:noProof w:val="0"/>
              </w:rPr>
              <w:t xml:space="preserve"> not a hassle to understand why you have to go through it. A good process.</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It's not a pleasant experience but I understand the reason why it's there. It was an easy process and the </w:t>
            </w:r>
            <w:proofErr w:type="gramStart"/>
            <w:r w:rsidRPr="00F57911">
              <w:rPr>
                <w:rFonts w:eastAsia="Times New Roman"/>
                <w:noProof w:val="0"/>
              </w:rPr>
              <w:t>staff were</w:t>
            </w:r>
            <w:proofErr w:type="gramEnd"/>
            <w:r w:rsidRPr="00F57911">
              <w:rPr>
                <w:rFonts w:eastAsia="Times New Roman"/>
                <w:noProof w:val="0"/>
              </w:rPr>
              <w:t xml:space="preserve"> good.</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questions that they ask as to whether you are entitled to an exemption are good because as much as everyone says they can manage their money they can't.</w:t>
            </w:r>
          </w:p>
        </w:tc>
      </w:tr>
    </w:tbl>
    <w:p w:rsidR="005E1FE0" w:rsidRDefault="005E1FE0" w:rsidP="006654AE">
      <w:pPr>
        <w:pStyle w:val="tablenotes"/>
        <w:keepNext w:val="0"/>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A number of the respondents, while being asked specifically about the operation of the exemption process, made more general comments about income management and the income management process</w:t>
      </w:r>
      <w:r w:rsidR="00A1421A">
        <w:t xml:space="preserve">. </w:t>
      </w:r>
      <w:r w:rsidRPr="00DF38B2">
        <w:t>Again</w:t>
      </w:r>
      <w:r w:rsidR="00B26705">
        <w:t>,</w:t>
      </w:r>
      <w:r w:rsidRPr="00DF38B2">
        <w:t xml:space="preserve"> there were a wide variety of views about the program, and the conceptualisation of having the exemption process. </w:t>
      </w:r>
    </w:p>
    <w:p w:rsidR="005E1FE0" w:rsidRPr="00DF38B2" w:rsidRDefault="005E1FE0" w:rsidP="006654AE">
      <w:pPr>
        <w:pStyle w:val="Caption"/>
      </w:pPr>
      <w:bookmarkStart w:id="280" w:name="_Toc403739431"/>
      <w:r w:rsidRPr="00DF38B2">
        <w:t xml:space="preserve">Table </w:t>
      </w:r>
      <w:fldSimple w:instr=" STYLEREF 1 \s ">
        <w:r w:rsidR="00906D13">
          <w:rPr>
            <w:noProof/>
          </w:rPr>
          <w:t>5</w:t>
        </w:r>
      </w:fldSimple>
      <w:r w:rsidR="00D40B64">
        <w:noBreakHyphen/>
      </w:r>
      <w:fldSimple w:instr=" SEQ Table \* ARABIC \s 1 ">
        <w:r w:rsidR="00906D13">
          <w:rPr>
            <w:noProof/>
          </w:rPr>
          <w:t>7</w:t>
        </w:r>
      </w:fldSimple>
      <w:r w:rsidRPr="00DF38B2">
        <w:t xml:space="preserve"> </w:t>
      </w:r>
      <w:r w:rsidRPr="00DF38B2">
        <w:tab/>
        <w:t>More general views on exemptions</w:t>
      </w:r>
      <w:r w:rsidR="00343627" w:rsidRPr="00343627">
        <w:t>, LSNIM Wave 2, 2013</w:t>
      </w:r>
      <w:bookmarkEnd w:id="280"/>
    </w:p>
    <w:tbl>
      <w:tblPr>
        <w:tblW w:w="8804"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804"/>
      </w:tblGrid>
      <w:tr w:rsidR="005E1FE0" w:rsidRPr="00DF38B2" w:rsidTr="007542C5">
        <w:trPr>
          <w:cantSplit/>
          <w:trHeight w:val="20"/>
          <w:tblHeader/>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do think it is a good idea to have the card and then have to go through the process to prove you don't need to be on it. That way people have to prove they are doing right by their kids. Means the kids are safe.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are tarnishing everyone with the same brush</w:t>
            </w:r>
            <w:r w:rsidR="00B26705">
              <w:rPr>
                <w:rFonts w:eastAsia="Times New Roman"/>
                <w:noProof w:val="0"/>
              </w:rPr>
              <w:t>;</w:t>
            </w:r>
            <w:r w:rsidRPr="00F57911">
              <w:rPr>
                <w:rFonts w:eastAsia="Times New Roman"/>
                <w:noProof w:val="0"/>
              </w:rPr>
              <w:t xml:space="preserve"> I would welcome Centrelink to come into my home and see my lifestyle, I don't drink, smoke, or gamble</w:t>
            </w:r>
            <w:r w:rsidR="00B26705">
              <w:rPr>
                <w:rFonts w:eastAsia="Times New Roman"/>
                <w:noProof w:val="0"/>
              </w:rPr>
              <w:t>:</w:t>
            </w:r>
            <w:r w:rsidRPr="00F57911">
              <w:rPr>
                <w:rFonts w:eastAsia="Times New Roman"/>
                <w:noProof w:val="0"/>
              </w:rPr>
              <w:t xml:space="preserve"> audit me, I'm happy for them to come.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was automatically put on when I arrived in Darwin. First woman spoke to at Centrelink was very rude and told me that I couldn't manage my money and I actually teach budgeting and finance …</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just know personally that I would not like to have to pull out the BasicsCard in public.</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really needs to be looked at and be changed. You should have a choice whether or not to be on. It is stressful.</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This diversity of views was also apparent when</w:t>
      </w:r>
      <w:r w:rsidR="00384AE0" w:rsidRPr="00DF38B2">
        <w:t>,</w:t>
      </w:r>
      <w:r w:rsidRPr="00DF38B2">
        <w:t xml:space="preserve"> at the end of the questions about the exemption process and their motivations</w:t>
      </w:r>
      <w:r w:rsidR="00384AE0" w:rsidRPr="00DF38B2">
        <w:t>,</w:t>
      </w:r>
      <w:r w:rsidRPr="00DF38B2">
        <w:t xml:space="preserve"> those respondents who had actually spent time on income management were asked whether they agreed or disagreed with the statement that “Income management was good for me” (This question was asked of a more limited population because in the survey, as in the case of exemptions more generally, many respondents had moved directly to an exemption without ever being on income management</w:t>
      </w:r>
      <w:r w:rsidR="00343627">
        <w:t>).</w:t>
      </w:r>
      <w:r w:rsidRPr="00DF38B2">
        <w:rPr>
          <w:rStyle w:val="FootnoteReference"/>
        </w:rPr>
        <w:footnoteReference w:id="78"/>
      </w:r>
      <w:r w:rsidRPr="00DF38B2">
        <w:t>)</w:t>
      </w:r>
      <w:r w:rsidR="00B84AFE">
        <w:t xml:space="preserve"> </w:t>
      </w:r>
      <w:r w:rsidRPr="00DF38B2">
        <w:t xml:space="preserve">As shown in </w:t>
      </w:r>
      <w:r w:rsidRPr="00DF38B2">
        <w:fldChar w:fldCharType="begin"/>
      </w:r>
      <w:r w:rsidRPr="00DF38B2">
        <w:instrText xml:space="preserve"> REF _Ref392145117 \h </w:instrText>
      </w:r>
      <w:r w:rsidRPr="00DF38B2">
        <w:fldChar w:fldCharType="separate"/>
      </w:r>
      <w:r w:rsidR="00906D13" w:rsidRPr="00FE502F">
        <w:t xml:space="preserve">Figure </w:t>
      </w:r>
      <w:r w:rsidR="00906D13">
        <w:rPr>
          <w:noProof/>
        </w:rPr>
        <w:t>5</w:t>
      </w:r>
      <w:r w:rsidR="00906D13" w:rsidRPr="00DF38B2">
        <w:noBreakHyphen/>
      </w:r>
      <w:r w:rsidR="00906D13">
        <w:rPr>
          <w:noProof/>
        </w:rPr>
        <w:t>7</w:t>
      </w:r>
      <w:r w:rsidRPr="00DF38B2">
        <w:fldChar w:fldCharType="end"/>
      </w:r>
      <w:r w:rsidR="00B26705">
        <w:t>,</w:t>
      </w:r>
      <w:r w:rsidR="00B84AFE">
        <w:t xml:space="preserve"> </w:t>
      </w:r>
      <w:r w:rsidRPr="00DF38B2">
        <w:t>the views of the population w</w:t>
      </w:r>
      <w:r w:rsidR="00B26705">
        <w:t>ere</w:t>
      </w:r>
      <w:r w:rsidRPr="00DF38B2">
        <w:t xml:space="preserve"> virtually split down the middle in their response on this.</w:t>
      </w:r>
    </w:p>
    <w:p w:rsidR="005E1FE0" w:rsidRPr="00DF38B2" w:rsidRDefault="005E1FE0" w:rsidP="006654AE">
      <w:pPr>
        <w:pStyle w:val="Caption"/>
      </w:pPr>
      <w:bookmarkStart w:id="281" w:name="_Ref392145117"/>
      <w:bookmarkStart w:id="282" w:name="_Toc403739532"/>
      <w:r w:rsidRPr="00FE502F">
        <w:lastRenderedPageBreak/>
        <w:t xml:space="preserve">Figure </w:t>
      </w:r>
      <w:fldSimple w:instr=" STYLEREF 1 \s ">
        <w:r w:rsidR="00906D13">
          <w:rPr>
            <w:noProof/>
          </w:rPr>
          <w:t>5</w:t>
        </w:r>
      </w:fldSimple>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7</w:t>
      </w:r>
      <w:r w:rsidR="00040708" w:rsidRPr="00F57911">
        <w:fldChar w:fldCharType="end"/>
      </w:r>
      <w:bookmarkEnd w:id="281"/>
      <w:r w:rsidRPr="00DF38B2">
        <w:tab/>
      </w:r>
      <w:r w:rsidR="001140D3">
        <w:t>P</w:t>
      </w:r>
      <w:r w:rsidRPr="00DF38B2">
        <w:t>eople with an exemption from income management who had been on income management response to ‘</w:t>
      </w:r>
      <w:r w:rsidR="005E4CAC">
        <w:t>income management</w:t>
      </w:r>
      <w:r w:rsidRPr="00DF38B2">
        <w:t xml:space="preserve"> was good for me’</w:t>
      </w:r>
      <w:r w:rsidR="00343627">
        <w:t>,</w:t>
      </w:r>
      <w:r w:rsidR="00343627" w:rsidRPr="00343627">
        <w:t xml:space="preserve"> </w:t>
      </w:r>
      <w:r w:rsidR="00343627">
        <w:t>LSNIM, Wave </w:t>
      </w:r>
      <w:r w:rsidR="00343627" w:rsidRPr="00343627">
        <w:t>2, 2013</w:t>
      </w:r>
      <w:bookmarkEnd w:id="282"/>
    </w:p>
    <w:p w:rsidR="005E1FE0" w:rsidRPr="00DF38B2" w:rsidRDefault="005E1FE0" w:rsidP="006654AE">
      <w:pPr>
        <w:pStyle w:val="graphicpaste"/>
      </w:pPr>
      <w:r w:rsidRPr="008E4D9D">
        <w:rPr>
          <w:noProof/>
        </w:rPr>
        <w:drawing>
          <wp:inline distT="0" distB="0" distL="0" distR="0" wp14:anchorId="5D75CD31" wp14:editId="0B4DBAAE">
            <wp:extent cx="4183380" cy="2324100"/>
            <wp:effectExtent l="0" t="0" r="7620" b="0"/>
            <wp:docPr id="42" name="Picture 42" descr="This is a bar chart showing the responses for the population with exemptions. The data is: Agree strongly 16.7 per cent; Agree 29.2 per cent; Neither agree or disagree 8.3 per cent;  Disagree 37.5 per cent; and Disagree strongly 8.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83380" cy="23241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The survey also asked the group who had been on income management their assessment of the impact of income management on aspects of managing their lives</w:t>
      </w:r>
      <w:r w:rsidR="00A1421A">
        <w:t xml:space="preserve">. </w:t>
      </w:r>
      <w:r w:rsidRPr="00DF38B2">
        <w:t xml:space="preserve">Essentially this question, rather than seeking an overall opinion, sought to identify what specific impacts the program had. </w:t>
      </w:r>
    </w:p>
    <w:p w:rsidR="005E1FE0" w:rsidRPr="00DF38B2" w:rsidRDefault="005E1FE0" w:rsidP="006654AE">
      <w:pPr>
        <w:pStyle w:val="Caption"/>
      </w:pPr>
      <w:bookmarkStart w:id="283" w:name="_Ref392146368"/>
      <w:bookmarkStart w:id="284" w:name="_Toc403739432"/>
      <w:r w:rsidRPr="00DF38B2">
        <w:t xml:space="preserve">Table </w:t>
      </w:r>
      <w:fldSimple w:instr=" STYLEREF 1 \s ">
        <w:r w:rsidR="00906D13">
          <w:rPr>
            <w:noProof/>
          </w:rPr>
          <w:t>5</w:t>
        </w:r>
      </w:fldSimple>
      <w:r w:rsidR="00D40B64">
        <w:noBreakHyphen/>
      </w:r>
      <w:fldSimple w:instr=" SEQ Table \* ARABIC \s 1 ">
        <w:r w:rsidR="00906D13">
          <w:rPr>
            <w:noProof/>
          </w:rPr>
          <w:t>8</w:t>
        </w:r>
      </w:fldSimple>
      <w:bookmarkEnd w:id="283"/>
      <w:r w:rsidRPr="00DF38B2">
        <w:tab/>
      </w:r>
      <w:r w:rsidR="001140D3">
        <w:t>P</w:t>
      </w:r>
      <w:r w:rsidRPr="00DF38B2">
        <w:t>eople with an exemption from income management who had been on income management whether income management made it easier or harder</w:t>
      </w:r>
      <w:r w:rsidR="00343627">
        <w:t>,</w:t>
      </w:r>
      <w:r w:rsidR="00343627" w:rsidRPr="00343627">
        <w:t xml:space="preserve"> </w:t>
      </w:r>
      <w:r w:rsidR="00343627" w:rsidRPr="00D86209">
        <w:t>LSNIM, Wave 2, 2013</w:t>
      </w:r>
      <w:bookmarkEnd w:id="284"/>
    </w:p>
    <w:tbl>
      <w:tblPr>
        <w:tblW w:w="8512" w:type="dxa"/>
        <w:jc w:val="center"/>
        <w:tblLook w:val="04A0" w:firstRow="1" w:lastRow="0" w:firstColumn="1" w:lastColumn="0" w:noHBand="0" w:noVBand="1"/>
        <w:tblDescription w:val="This table presents responses to questions on whether it is easier or harder to do certain things.  The items which are listed in rows are: Manage money; Save money; have enough money for food; Pay bills on time; Know how much money you have; Look after children and Meet family obligations.&#10;The columns provide the per centage distribution of responses to each question across a 5 point scale: Much easier; Easier; Same; Harder; and Much harder. The final column is a total of 100 per cent for each line.&#10;"/>
      </w:tblPr>
      <w:tblGrid>
        <w:gridCol w:w="2850"/>
        <w:gridCol w:w="1181"/>
        <w:gridCol w:w="850"/>
        <w:gridCol w:w="851"/>
        <w:gridCol w:w="850"/>
        <w:gridCol w:w="1221"/>
        <w:gridCol w:w="709"/>
      </w:tblGrid>
      <w:tr w:rsidR="005E1FE0" w:rsidRPr="00DF38B2" w:rsidTr="009A06B6">
        <w:trPr>
          <w:trHeight w:val="20"/>
          <w:tblHeader/>
          <w:jc w:val="center"/>
        </w:trPr>
        <w:tc>
          <w:tcPr>
            <w:tcW w:w="2850" w:type="dxa"/>
            <w:tcBorders>
              <w:top w:val="single" w:sz="4" w:space="0" w:color="auto"/>
              <w:left w:val="nil"/>
              <w:bottom w:val="single" w:sz="4" w:space="0" w:color="auto"/>
              <w:right w:val="nil"/>
            </w:tcBorders>
            <w:shd w:val="clear" w:color="auto" w:fill="auto"/>
            <w:noWrap/>
            <w:hideMark/>
          </w:tcPr>
          <w:p w:rsidR="005E1FE0" w:rsidRPr="00DF38B2" w:rsidRDefault="009A06B6" w:rsidP="009A06B6">
            <w:pPr>
              <w:pStyle w:val="tabletextleft"/>
              <w:jc w:val="left"/>
              <w:rPr>
                <w:rFonts w:eastAsia="Times New Roman"/>
              </w:rPr>
            </w:pPr>
            <w:r>
              <w:rPr>
                <w:rFonts w:eastAsia="Times New Roman"/>
              </w:rPr>
              <w:t>Whether income management makes it easier to:</w:t>
            </w:r>
          </w:p>
        </w:tc>
        <w:tc>
          <w:tcPr>
            <w:tcW w:w="118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Much easier</w:t>
            </w:r>
            <w:r w:rsidR="00D615D9" w:rsidRPr="009A06B6">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Easier</w:t>
            </w:r>
            <w:r w:rsidR="00D615D9" w:rsidRPr="009A06B6">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Same</w:t>
            </w:r>
            <w:r w:rsidR="00D615D9" w:rsidRPr="009A06B6">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Harder</w:t>
            </w:r>
            <w:r w:rsidR="00D615D9" w:rsidRPr="009A06B6">
              <w:rPr>
                <w:rFonts w:eastAsia="Times New Roman"/>
              </w:rPr>
              <w:t xml:space="preserve"> (%)</w:t>
            </w:r>
          </w:p>
        </w:tc>
        <w:tc>
          <w:tcPr>
            <w:tcW w:w="122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Much harder</w:t>
            </w:r>
            <w:r w:rsidR="00D615D9" w:rsidRPr="009A06B6">
              <w:rPr>
                <w:rFonts w:eastAsia="Times New Roman"/>
              </w:rPr>
              <w:t xml:space="preserve"> (%)</w:t>
            </w:r>
          </w:p>
        </w:tc>
        <w:tc>
          <w:tcPr>
            <w:tcW w:w="709" w:type="dxa"/>
            <w:tcBorders>
              <w:top w:val="single" w:sz="4" w:space="0" w:color="auto"/>
              <w:left w:val="nil"/>
              <w:bottom w:val="single" w:sz="4" w:space="0" w:color="auto"/>
              <w:right w:val="nil"/>
            </w:tcBorders>
          </w:tcPr>
          <w:p w:rsidR="005E1FE0" w:rsidRPr="00DF38B2" w:rsidRDefault="005E1FE0" w:rsidP="006654AE">
            <w:pPr>
              <w:pStyle w:val="tabletextright"/>
              <w:rPr>
                <w:rFonts w:eastAsia="Times New Roman"/>
              </w:rPr>
            </w:pPr>
            <w:r w:rsidRPr="009A06B6">
              <w:rPr>
                <w:rFonts w:eastAsia="Times New Roman"/>
              </w:rPr>
              <w:t xml:space="preserve">Total </w:t>
            </w:r>
            <w:r w:rsidR="00D615D9" w:rsidRPr="009A06B6">
              <w:rPr>
                <w:rFonts w:eastAsia="Times New Roman"/>
              </w:rPr>
              <w:t>(%)</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Manage money</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Save money</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Enough for food</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Pay bills on time</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22.7</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36.4</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27.3</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Know how much money you have</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Look after children</w:t>
            </w:r>
          </w:p>
        </w:tc>
        <w:tc>
          <w:tcPr>
            <w:tcW w:w="11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85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60.0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12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709" w:type="dxa"/>
            <w:tcBorders>
              <w:top w:val="nil"/>
              <w:left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Meet family obligations</w:t>
            </w:r>
          </w:p>
        </w:tc>
        <w:tc>
          <w:tcPr>
            <w:tcW w:w="11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22.7</w:t>
            </w:r>
          </w:p>
        </w:tc>
        <w:tc>
          <w:tcPr>
            <w:tcW w:w="85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50.0</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18.2</w:t>
            </w:r>
          </w:p>
        </w:tc>
        <w:tc>
          <w:tcPr>
            <w:tcW w:w="12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709" w:type="dxa"/>
            <w:tcBorders>
              <w:top w:val="nil"/>
              <w:left w:val="nil"/>
              <w:bottom w:val="single" w:sz="4" w:space="0" w:color="auto"/>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F30A93" w:rsidRDefault="00F30A93" w:rsidP="006654AE">
      <w:pPr>
        <w:pStyle w:val="tablenotes"/>
      </w:pPr>
    </w:p>
    <w:p w:rsidR="005E1FE0" w:rsidRDefault="005E1FE0" w:rsidP="006654AE">
      <w:pPr>
        <w:pStyle w:val="tablenotes"/>
      </w:pPr>
      <w:r w:rsidRPr="00DF38B2">
        <w:t>Source:</w:t>
      </w:r>
      <w:r w:rsidR="00BF56C6">
        <w:tab/>
      </w:r>
      <w:r w:rsidRPr="00DF38B2">
        <w:t xml:space="preserve"> LSNIM Wave 2</w:t>
      </w:r>
      <w:r w:rsidR="00BF56C6">
        <w:t>.</w:t>
      </w:r>
    </w:p>
    <w:p w:rsidR="00837B4F" w:rsidRPr="00DF38B2" w:rsidRDefault="00837B4F" w:rsidP="006654AE">
      <w:pPr>
        <w:pStyle w:val="tablefootnoteslastline"/>
      </w:pPr>
    </w:p>
    <w:p w:rsidR="005E1FE0" w:rsidRPr="00DF38B2" w:rsidRDefault="005E1FE0" w:rsidP="006654AE">
      <w:r w:rsidRPr="00DF38B2">
        <w:t xml:space="preserve">These results, as shown in </w:t>
      </w:r>
      <w:r w:rsidRPr="00DF38B2">
        <w:fldChar w:fldCharType="begin"/>
      </w:r>
      <w:r w:rsidRPr="00DF38B2">
        <w:instrText xml:space="preserve"> REF _Ref392146368 \h  \* MERGEFORMAT </w:instrText>
      </w:r>
      <w:r w:rsidRPr="00DF38B2">
        <w:fldChar w:fldCharType="separate"/>
      </w:r>
      <w:r w:rsidR="00906D13" w:rsidRPr="00DF38B2">
        <w:t xml:space="preserve">Table </w:t>
      </w:r>
      <w:r w:rsidR="00906D13">
        <w:t>5</w:t>
      </w:r>
      <w:r w:rsidR="00906D13">
        <w:noBreakHyphen/>
        <w:t>8</w:t>
      </w:r>
      <w:r w:rsidRPr="00DF38B2">
        <w:fldChar w:fldCharType="end"/>
      </w:r>
      <w:r w:rsidRPr="00DF38B2">
        <w:t xml:space="preserve">, are in many ways dominated by neutral responses. In each set of responses there </w:t>
      </w:r>
      <w:proofErr w:type="gramStart"/>
      <w:r w:rsidRPr="00DF38B2">
        <w:t>is</w:t>
      </w:r>
      <w:proofErr w:type="gramEnd"/>
      <w:r w:rsidRPr="00DF38B2">
        <w:t xml:space="preserve"> a high proportion, and at times a majority, of people responding that it made no difference. The </w:t>
      </w:r>
      <w:proofErr w:type="gramStart"/>
      <w:r w:rsidRPr="00DF38B2">
        <w:t>balance of respondents tend</w:t>
      </w:r>
      <w:proofErr w:type="gramEnd"/>
      <w:r w:rsidRPr="00FE502F">
        <w:t xml:space="preserve"> to be clustered, in roughly equal numbers, saying it had made it either eas</w:t>
      </w:r>
      <w:r w:rsidRPr="009655C3">
        <w:t>ier or harder</w:t>
      </w:r>
      <w:r w:rsidR="00A1421A">
        <w:t xml:space="preserve">. </w:t>
      </w:r>
      <w:r w:rsidRPr="009655C3">
        <w:t>The table is distinguished by a lack of extreme results. That is</w:t>
      </w:r>
      <w:r w:rsidR="001140D3">
        <w:t>,</w:t>
      </w:r>
      <w:r w:rsidRPr="009655C3">
        <w:t xml:space="preserve"> very few people responded that income management had made things </w:t>
      </w:r>
      <w:r w:rsidR="001140D3">
        <w:t>“</w:t>
      </w:r>
      <w:r w:rsidRPr="009655C3">
        <w:t>much easie</w:t>
      </w:r>
      <w:r w:rsidR="001140D3">
        <w:t>r”</w:t>
      </w:r>
      <w:r w:rsidRPr="009655C3">
        <w:t xml:space="preserve">, or </w:t>
      </w:r>
      <w:r w:rsidR="001140D3">
        <w:t>“</w:t>
      </w:r>
      <w:r w:rsidRPr="009655C3">
        <w:t>much harder</w:t>
      </w:r>
      <w:r w:rsidR="001140D3">
        <w:t>”</w:t>
      </w:r>
      <w:r w:rsidR="00A1421A">
        <w:t xml:space="preserve">. </w:t>
      </w:r>
      <w:r w:rsidRPr="009655C3">
        <w:t>As such</w:t>
      </w:r>
      <w:r w:rsidR="001140D3">
        <w:t>,</w:t>
      </w:r>
      <w:r w:rsidRPr="009655C3">
        <w:t xml:space="preserve"> for this group of people that have gained an exempt</w:t>
      </w:r>
      <w:r w:rsidRPr="00DF38B2">
        <w:t xml:space="preserve">ion </w:t>
      </w:r>
      <w:r w:rsidR="001140D3" w:rsidRPr="009655C3">
        <w:t>it would appear</w:t>
      </w:r>
      <w:r w:rsidR="001140D3">
        <w:t xml:space="preserve"> that</w:t>
      </w:r>
      <w:r w:rsidR="001140D3" w:rsidRPr="009655C3">
        <w:t xml:space="preserve"> </w:t>
      </w:r>
      <w:r w:rsidRPr="00DF38B2">
        <w:t>the program had only a mild impact, with no evidence of population</w:t>
      </w:r>
      <w:r w:rsidR="001140D3">
        <w:t>-</w:t>
      </w:r>
      <w:r w:rsidRPr="00DF38B2">
        <w:t>wide change in one direction or the other.</w:t>
      </w:r>
    </w:p>
    <w:p w:rsidR="005E1FE0" w:rsidRPr="00DF38B2" w:rsidRDefault="005E1FE0" w:rsidP="006654AE">
      <w:pPr>
        <w:pStyle w:val="Heading4"/>
      </w:pPr>
      <w:r w:rsidRPr="00DF38B2">
        <w:t>Summary – the views and experiences of people who have obtained an exemption</w:t>
      </w:r>
    </w:p>
    <w:p w:rsidR="005E1FE0" w:rsidRPr="00DF38B2" w:rsidRDefault="005E1FE0" w:rsidP="006654AE">
      <w:r w:rsidRPr="00DF38B2">
        <w:t xml:space="preserve">People with an exemption from income management </w:t>
      </w:r>
      <w:r w:rsidR="00384AE0" w:rsidRPr="00DF38B2">
        <w:t xml:space="preserve">have </w:t>
      </w:r>
      <w:r w:rsidRPr="00DF38B2">
        <w:t xml:space="preserve">largely </w:t>
      </w:r>
      <w:r w:rsidR="001140D3">
        <w:t xml:space="preserve">been </w:t>
      </w:r>
      <w:r w:rsidRPr="00DF38B2">
        <w:t xml:space="preserve">motivated </w:t>
      </w:r>
      <w:r w:rsidR="00384AE0" w:rsidRPr="00DF38B2">
        <w:t xml:space="preserve">to seek an exemption </w:t>
      </w:r>
      <w:r w:rsidRPr="00DF38B2">
        <w:t>by a belief that they were managing their finances adequately before the introduction of income management</w:t>
      </w:r>
      <w:r w:rsidR="001140D3">
        <w:t>;</w:t>
      </w:r>
      <w:r w:rsidRPr="00DF38B2">
        <w:t xml:space="preserve"> and while the program did not, on balance for most, have </w:t>
      </w:r>
      <w:r w:rsidR="001140D3" w:rsidRPr="00DF38B2">
        <w:t xml:space="preserve">either </w:t>
      </w:r>
      <w:r w:rsidR="001140D3">
        <w:t xml:space="preserve">a </w:t>
      </w:r>
      <w:r w:rsidR="00184119">
        <w:t xml:space="preserve">strong </w:t>
      </w:r>
      <w:r w:rsidR="001140D3" w:rsidRPr="00DF38B2">
        <w:t>positive or negative</w:t>
      </w:r>
      <w:r w:rsidRPr="00DF38B2">
        <w:t xml:space="preserve"> impact on their capacity to manage their day</w:t>
      </w:r>
      <w:r w:rsidR="001140D3">
        <w:t>-</w:t>
      </w:r>
      <w:r w:rsidRPr="00DF38B2">
        <w:t>to</w:t>
      </w:r>
      <w:r w:rsidR="001140D3">
        <w:t>-</w:t>
      </w:r>
      <w:r w:rsidRPr="00DF38B2">
        <w:t xml:space="preserve">day lives, they had a desire for control and freedom to choose. </w:t>
      </w:r>
    </w:p>
    <w:p w:rsidR="005E1FE0" w:rsidRPr="00DF38B2" w:rsidRDefault="005E1FE0" w:rsidP="006654AE">
      <w:r w:rsidRPr="00DF38B2">
        <w:t>While some problems were experienced in the exemption process, most felt it was relatively easy – but a very substantial proportion of people indicated a sense of shame and humiliation as a consequence of being subject to it.</w:t>
      </w:r>
    </w:p>
    <w:p w:rsidR="005E1FE0" w:rsidRPr="00DF38B2" w:rsidRDefault="005E1FE0" w:rsidP="006654AE">
      <w:r w:rsidRPr="00DF38B2">
        <w:lastRenderedPageBreak/>
        <w:t>There was a near</w:t>
      </w:r>
      <w:r w:rsidR="001140D3">
        <w:t>-</w:t>
      </w:r>
      <w:r w:rsidRPr="00DF38B2">
        <w:t>total absence of positive responses indicating that income management itself had helped provide people with the skills, capacity and motivation to better manage their lives and hence become eligible for an exemption.</w:t>
      </w:r>
    </w:p>
    <w:p w:rsidR="005E1FE0" w:rsidRPr="00DF38B2" w:rsidRDefault="005E1FE0" w:rsidP="006654AE">
      <w:pPr>
        <w:pStyle w:val="Heading2"/>
        <w:spacing w:line="252" w:lineRule="auto"/>
      </w:pPr>
      <w:bookmarkStart w:id="285" w:name="_Toc403739034"/>
      <w:r w:rsidRPr="00DF38B2">
        <w:t>The experience of seeking an exemption</w:t>
      </w:r>
      <w:bookmarkEnd w:id="285"/>
    </w:p>
    <w:p w:rsidR="005E1FE0" w:rsidRPr="00DF38B2" w:rsidRDefault="005E1FE0" w:rsidP="006654AE">
      <w:r w:rsidRPr="00DF38B2">
        <w:t>Another set of similar questions were asked in the LSNIM of those persons who had “tried to leave” income management</w:t>
      </w:r>
      <w:r w:rsidR="00A1421A">
        <w:t xml:space="preserve">. </w:t>
      </w:r>
      <w:r w:rsidRPr="00DF38B2">
        <w:t xml:space="preserve">While not all </w:t>
      </w:r>
      <w:r w:rsidR="001140D3">
        <w:t>in</w:t>
      </w:r>
      <w:r w:rsidRPr="00DF38B2">
        <w:t xml:space="preserve"> this group appear to have made a formal application for an exemption</w:t>
      </w:r>
      <w:r w:rsidR="001140D3">
        <w:t>,</w:t>
      </w:r>
      <w:r w:rsidRPr="00DF38B2">
        <w:t xml:space="preserve"> a substantial </w:t>
      </w:r>
      <w:r w:rsidR="001140D3">
        <w:t>number</w:t>
      </w:r>
      <w:r w:rsidRPr="00DF38B2">
        <w:t xml:space="preserve"> </w:t>
      </w:r>
      <w:r w:rsidR="001140D3">
        <w:t xml:space="preserve">of people </w:t>
      </w:r>
      <w:r w:rsidRPr="00DF38B2">
        <w:t>have</w:t>
      </w:r>
      <w:r w:rsidR="00A1421A">
        <w:t xml:space="preserve">. </w:t>
      </w:r>
      <w:r w:rsidRPr="00DF38B2">
        <w:t>The reason for th</w:t>
      </w:r>
      <w:r w:rsidR="001140D3">
        <w:t>e</w:t>
      </w:r>
      <w:r w:rsidRPr="00DF38B2">
        <w:t xml:space="preserve"> more general casting of this question was that from the first wave of the survey it was apparent that the formal processes and language of the program are very poorly understood by many</w:t>
      </w:r>
      <w:r w:rsidR="001140D3">
        <w:t>,</w:t>
      </w:r>
      <w:r w:rsidRPr="00DF38B2">
        <w:t xml:space="preserve"> and a question couched in technical terms of having formally applied for an exemption would not have elicited a response from many</w:t>
      </w:r>
      <w:r w:rsidR="00A1421A">
        <w:t xml:space="preserve">. </w:t>
      </w:r>
      <w:r w:rsidRPr="00DF38B2">
        <w:t>Some 147 respondents participated in this section of the survey, 61.2 per cent of whom identified as being Indigenous Australians and 60.5 per cent of whom were women.</w:t>
      </w:r>
    </w:p>
    <w:p w:rsidR="005E1FE0" w:rsidRPr="00DF38B2" w:rsidRDefault="005E1FE0" w:rsidP="006654AE">
      <w:r w:rsidRPr="00DF38B2">
        <w:t>Although not as marked as in the case of people who achieved an exemption, people seeking to exit income management</w:t>
      </w:r>
      <w:r w:rsidR="00B84AFE">
        <w:t xml:space="preserve"> </w:t>
      </w:r>
      <w:r w:rsidRPr="00DF38B2">
        <w:t>provided a similar pattern of responses to the questions on their reason for seeking to get off the program</w:t>
      </w:r>
      <w:r w:rsidR="00A1421A">
        <w:t xml:space="preserve">. </w:t>
      </w:r>
      <w:r w:rsidRPr="00DF38B2">
        <w:t xml:space="preserve">This is shown in </w:t>
      </w:r>
      <w:r w:rsidRPr="003D75FE">
        <w:fldChar w:fldCharType="begin"/>
      </w:r>
      <w:r w:rsidRPr="00DF38B2">
        <w:instrText xml:space="preserve"> REF _Ref392149148 \h </w:instrText>
      </w:r>
      <w:r w:rsidRPr="003D75FE">
        <w:fldChar w:fldCharType="separate"/>
      </w:r>
      <w:r w:rsidR="00906D13" w:rsidRPr="00DF38B2">
        <w:t xml:space="preserve">Figure </w:t>
      </w:r>
      <w:r w:rsidR="00906D13">
        <w:rPr>
          <w:noProof/>
        </w:rPr>
        <w:t>5</w:t>
      </w:r>
      <w:r w:rsidR="00906D13" w:rsidRPr="00DF38B2">
        <w:noBreakHyphen/>
      </w:r>
      <w:r w:rsidR="00906D13">
        <w:rPr>
          <w:noProof/>
        </w:rPr>
        <w:t>8</w:t>
      </w:r>
      <w:r w:rsidRPr="003D75FE">
        <w:fldChar w:fldCharType="end"/>
      </w:r>
      <w:r w:rsidRPr="00DF38B2">
        <w:t>.</w:t>
      </w:r>
    </w:p>
    <w:p w:rsidR="005E1FE0" w:rsidRPr="00DF38B2" w:rsidRDefault="005E1FE0" w:rsidP="006654AE">
      <w:pPr>
        <w:pStyle w:val="Caption"/>
      </w:pPr>
      <w:bookmarkStart w:id="286" w:name="_Ref392149148"/>
      <w:bookmarkStart w:id="287" w:name="_Toc40373953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286"/>
      <w:r w:rsidRPr="00F157EE">
        <w:t xml:space="preserve"> </w:t>
      </w:r>
      <w:r w:rsidRPr="00F157EE">
        <w:tab/>
        <w:t>Persons who had tried to leave income management, main and other reasons for seeking to exit</w:t>
      </w:r>
      <w:r w:rsidR="00343627">
        <w:t xml:space="preserve">, </w:t>
      </w:r>
      <w:r w:rsidR="00343627" w:rsidRPr="00D86209">
        <w:t>LSNIM, Wave 2, 2013</w:t>
      </w:r>
      <w:bookmarkEnd w:id="287"/>
    </w:p>
    <w:p w:rsidR="005E1FE0" w:rsidRPr="00F157EE" w:rsidRDefault="005E1FE0" w:rsidP="006654AE">
      <w:pPr>
        <w:pStyle w:val="graphicpaste"/>
      </w:pPr>
      <w:r w:rsidRPr="003928BD">
        <w:rPr>
          <w:noProof/>
        </w:rPr>
        <w:drawing>
          <wp:inline distT="0" distB="0" distL="0" distR="0" wp14:anchorId="5F9AB3F5" wp14:editId="4CF6A57B">
            <wp:extent cx="4572000" cy="2743200"/>
            <wp:effectExtent l="0" t="0" r="0" b="0"/>
            <wp:docPr id="43" name="Picture 43" descr="This bar chart shows the incidence of the reasons given as to why people have sought to exit income management. The data is provided for both main and any reason.  The data is discussed in the text above and below, including the main proportions illustrated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DA618C" w:rsidP="006654AE">
      <w:r>
        <w:t xml:space="preserve">Almost one third, </w:t>
      </w:r>
      <w:r w:rsidR="005E1FE0" w:rsidRPr="00DF38B2">
        <w:t>31.</w:t>
      </w:r>
      <w:r w:rsidR="00F57911">
        <w:t>3</w:t>
      </w:r>
      <w:r w:rsidR="005E1FE0" w:rsidRPr="00DF38B2">
        <w:t> per cent</w:t>
      </w:r>
      <w:r>
        <w:t>,</w:t>
      </w:r>
      <w:r w:rsidR="005E1FE0" w:rsidRPr="00DF38B2">
        <w:t xml:space="preserve"> gave as their main reason, and </w:t>
      </w:r>
      <w:r>
        <w:t xml:space="preserve">almost two thirds, </w:t>
      </w:r>
      <w:r w:rsidR="005E1FE0" w:rsidRPr="00DF38B2">
        <w:t>65.1 per cent</w:t>
      </w:r>
      <w:r>
        <w:t>,</w:t>
      </w:r>
      <w:r w:rsidR="005E1FE0" w:rsidRPr="00DF38B2">
        <w:t xml:space="preserve"> as any reason, a belief that they were able to manage their money prior to income management. This was followed by 22.5 per cent saying their main reason was a desire to regain control over their money, 15.7 per cent who wanted their rights back and 8.2 who expressed their motivation in terms of freedom to choose what they spent their money on. Across the population five reasons were cited by a majority of respondents as being one of the reasons for seeking an exemption. These, in addition to the already noted belief that they were able to manage their money adequately before income management, were: wanting control back, wanting rights back, wanting the freedom to choose, or quite simply, that they did not believe they needed income management.</w:t>
      </w:r>
    </w:p>
    <w:p w:rsidR="005E1FE0" w:rsidRPr="00DF38B2" w:rsidRDefault="00DA618C" w:rsidP="006654AE">
      <w:r>
        <w:t>Consistent with the question of</w:t>
      </w:r>
      <w:r w:rsidR="005E1FE0" w:rsidRPr="00DF38B2">
        <w:t xml:space="preserve"> those </w:t>
      </w:r>
      <w:r w:rsidR="00384AE0" w:rsidRPr="00DF38B2">
        <w:t xml:space="preserve">who had gained an </w:t>
      </w:r>
      <w:r w:rsidR="005E1FE0" w:rsidRPr="00DF38B2">
        <w:t xml:space="preserve">exemption a number of questions about motivations were couched in terms of changes which had been brought about by income management. Only one of these was cited as the main reason by any respondents – this was increased confidence – but this response was given by just 0.7 per cent of those in the survey. As seen in the </w:t>
      </w:r>
      <w:r>
        <w:t>figure</w:t>
      </w:r>
      <w:r w:rsidRPr="00DF38B2">
        <w:t xml:space="preserve"> </w:t>
      </w:r>
      <w:r w:rsidR="005E1FE0" w:rsidRPr="00DF38B2">
        <w:t xml:space="preserve">the responses to the other questions were all below 10 per cent even as ‘any’ reasons and in general were below five percent. </w:t>
      </w:r>
    </w:p>
    <w:p w:rsidR="005E1FE0" w:rsidRPr="00DF38B2" w:rsidRDefault="005E1FE0" w:rsidP="006654AE">
      <w:r w:rsidRPr="00DF38B2">
        <w:lastRenderedPageBreak/>
        <w:t>While some people who had made applications to get off income management and had this rejected had a clear understanding of the reasons why they had been unable to obtain an exemption, many did not</w:t>
      </w:r>
      <w:r w:rsidR="00A1421A">
        <w:t xml:space="preserve">. </w:t>
      </w:r>
      <w:r w:rsidRPr="003D75FE">
        <w:fldChar w:fldCharType="begin"/>
      </w:r>
      <w:r w:rsidRPr="00DF38B2">
        <w:instrText xml:space="preserve"> REF _Ref392149976 \h </w:instrText>
      </w:r>
      <w:r w:rsidRPr="003D75FE">
        <w:fldChar w:fldCharType="separate"/>
      </w:r>
      <w:r w:rsidR="00906D13" w:rsidRPr="00DF38B2">
        <w:t xml:space="preserve">Figure </w:t>
      </w:r>
      <w:r w:rsidR="00906D13">
        <w:rPr>
          <w:noProof/>
        </w:rPr>
        <w:t>5</w:t>
      </w:r>
      <w:r w:rsidR="00906D13" w:rsidRPr="00DF38B2">
        <w:noBreakHyphen/>
      </w:r>
      <w:r w:rsidR="00906D13">
        <w:rPr>
          <w:noProof/>
        </w:rPr>
        <w:t>9</w:t>
      </w:r>
      <w:r w:rsidRPr="003D75FE">
        <w:fldChar w:fldCharType="end"/>
      </w:r>
      <w:r w:rsidRPr="00DF38B2">
        <w:t xml:space="preserve"> illustrates the responses from people to the question of why their application was refused. </w:t>
      </w:r>
    </w:p>
    <w:p w:rsidR="005E1FE0" w:rsidRPr="00DF38B2" w:rsidRDefault="005E1FE0" w:rsidP="006654AE">
      <w:pPr>
        <w:pStyle w:val="Caption"/>
      </w:pPr>
      <w:bookmarkStart w:id="288" w:name="_Ref392149976"/>
      <w:bookmarkStart w:id="289" w:name="_Toc403739534"/>
      <w:r w:rsidRPr="00DF38B2">
        <w:t xml:space="preserve">Figure </w:t>
      </w:r>
      <w:r w:rsidR="00040708" w:rsidRPr="00F57911">
        <w:fldChar w:fldCharType="begin"/>
      </w:r>
      <w:r w:rsidR="00040708" w:rsidRPr="00DF38B2">
        <w:instrText xml:space="preserve"> STYLEREF 1 \s </w:instrText>
      </w:r>
      <w:r w:rsidR="00040708" w:rsidRPr="00F57911">
        <w:fldChar w:fldCharType="separate"/>
      </w:r>
      <w:r w:rsidR="00906D13">
        <w:rPr>
          <w:noProof/>
        </w:rPr>
        <w:t>5</w:t>
      </w:r>
      <w:r w:rsidR="00040708" w:rsidRPr="00F57911">
        <w:fldChar w:fldCharType="end"/>
      </w:r>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9</w:t>
      </w:r>
      <w:r w:rsidR="00040708" w:rsidRPr="00F57911">
        <w:fldChar w:fldCharType="end"/>
      </w:r>
      <w:bookmarkEnd w:id="288"/>
      <w:r w:rsidRPr="00F57911">
        <w:t xml:space="preserve"> </w:t>
      </w:r>
      <w:r w:rsidR="00B235E1">
        <w:tab/>
      </w:r>
      <w:r w:rsidRPr="00F57911">
        <w:t>Persons who had tried to leave income management, understanding of reasons why their application was refused</w:t>
      </w:r>
      <w:r w:rsidR="00343627">
        <w:t xml:space="preserve">, </w:t>
      </w:r>
      <w:r w:rsidR="00343627" w:rsidRPr="00D86209">
        <w:t>LSNIM, Wave 2, 2013</w:t>
      </w:r>
      <w:bookmarkEnd w:id="289"/>
    </w:p>
    <w:p w:rsidR="005E1FE0" w:rsidRPr="00DF38B2" w:rsidRDefault="005E1FE0" w:rsidP="006654AE">
      <w:pPr>
        <w:pStyle w:val="graphicpaste"/>
      </w:pPr>
      <w:r w:rsidRPr="008E4D9D">
        <w:rPr>
          <w:noProof/>
        </w:rPr>
        <w:drawing>
          <wp:inline distT="0" distB="0" distL="0" distR="0" wp14:anchorId="2D37339B" wp14:editId="39C38592">
            <wp:extent cx="4572000" cy="2743200"/>
            <wp:effectExtent l="0" t="0" r="0" b="0"/>
            <wp:docPr id="44" name="Picture 44" descr="This is a bar chart showing responses separately for Indigenous and non-Indigenous respondents to questions about the reason why their application was rejected. The key figures and discussion is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 xml:space="preserve">Interestingly, as illustrated in the </w:t>
      </w:r>
      <w:r w:rsidR="00D95B12">
        <w:t>figure</w:t>
      </w:r>
      <w:r w:rsidRPr="00DF38B2">
        <w:t xml:space="preserve">, there appears to be a higher level of comprehension of the </w:t>
      </w:r>
      <w:r w:rsidR="00184119">
        <w:t xml:space="preserve">specific </w:t>
      </w:r>
      <w:r w:rsidRPr="00DF38B2">
        <w:t>reasons for rejection among the Indigenous respondents</w:t>
      </w:r>
      <w:r w:rsidR="006370EB">
        <w:t>,</w:t>
      </w:r>
      <w:r w:rsidRPr="00DF38B2">
        <w:t xml:space="preserve"> with 30.6 per cent of this group saying the rejection was because their children were not attending school regularly, 11.1 per cent because their children did not have their health or immunisation records up to date</w:t>
      </w:r>
      <w:r w:rsidR="006370EB">
        <w:t>,</w:t>
      </w:r>
      <w:r w:rsidRPr="00DF38B2">
        <w:t xml:space="preserve"> and 22.0 per cent because they failed to meet the requirements for working or study. In contrast</w:t>
      </w:r>
      <w:r w:rsidR="006370EB">
        <w:t>,</w:t>
      </w:r>
      <w:r w:rsidRPr="00DF38B2">
        <w:t xml:space="preserve"> 58.3 per cent of the non-Indigenous respondents gave reasons which are grouped as simply being told that they were not eligible or that they should stay on the program</w:t>
      </w:r>
      <w:r w:rsidR="00A1421A">
        <w:t xml:space="preserve">. </w:t>
      </w:r>
    </w:p>
    <w:p w:rsidR="005E1FE0" w:rsidRPr="00DF38B2" w:rsidRDefault="00A8053C" w:rsidP="006654AE">
      <w:r w:rsidRPr="00DF38B2">
        <w:t>The</w:t>
      </w:r>
      <w:r>
        <w:t xml:space="preserve"> LSNIM</w:t>
      </w:r>
      <w:r w:rsidR="005E1FE0" w:rsidRPr="00DF38B2">
        <w:t xml:space="preserve"> did not ask specific quantitative questions </w:t>
      </w:r>
      <w:r w:rsidR="003866EF">
        <w:t xml:space="preserve">for this population </w:t>
      </w:r>
      <w:r w:rsidR="005E1FE0" w:rsidRPr="00DF38B2">
        <w:t>about the exemption process, but rather asked people “Can you tell us what happened when you were trying to get an exemption?” This elicited a large number of responses</w:t>
      </w:r>
      <w:r w:rsidR="006370EB">
        <w:t>,</w:t>
      </w:r>
      <w:r w:rsidR="005E1FE0" w:rsidRPr="00DF38B2">
        <w:t xml:space="preserve"> a selection of which </w:t>
      </w:r>
      <w:r w:rsidR="006370EB">
        <w:t>is</w:t>
      </w:r>
      <w:r w:rsidR="005E1FE0" w:rsidRPr="00DF38B2">
        <w:t xml:space="preserve"> detailed below. These responses have been grouped into five themes; the first is about the process, the second is </w:t>
      </w:r>
      <w:r w:rsidR="003866EF">
        <w:t>people’s</w:t>
      </w:r>
      <w:r w:rsidR="003866EF" w:rsidRPr="00DF38B2">
        <w:t xml:space="preserve"> </w:t>
      </w:r>
      <w:r w:rsidR="005E1FE0" w:rsidRPr="00DF38B2">
        <w:t>understanding of the reasons for being rejected, third are some specific comments on the employment criteria, the fourth contains some responses which would suggest that many people have a poor understanding of the criteria</w:t>
      </w:r>
      <w:r w:rsidR="006370EB">
        <w:t>,</w:t>
      </w:r>
      <w:r w:rsidR="005E1FE0" w:rsidRPr="00DF38B2">
        <w:t xml:space="preserve"> and finally a small number of responses suggest that a group of people on the program have very little knowledge of the processes available to them.</w:t>
      </w:r>
    </w:p>
    <w:p w:rsidR="005E1FE0" w:rsidRPr="00DF38B2" w:rsidRDefault="005E1FE0" w:rsidP="006654AE">
      <w:r w:rsidRPr="00DF38B2">
        <w:t>A very clear theme in views around the experience of trying to obtain an exemption</w:t>
      </w:r>
      <w:r w:rsidR="00ED25D4">
        <w:t xml:space="preserve"> (</w:t>
      </w:r>
      <w:r w:rsidRPr="00DF38B2">
        <w:t xml:space="preserve">see </w:t>
      </w:r>
      <w:r w:rsidRPr="00FE502F">
        <w:fldChar w:fldCharType="begin"/>
      </w:r>
      <w:r w:rsidRPr="00DF38B2">
        <w:instrText xml:space="preserve"> REF _Ref392151336 \h </w:instrText>
      </w:r>
      <w:r w:rsidRPr="00FE502F">
        <w:fldChar w:fldCharType="separate"/>
      </w:r>
      <w:r w:rsidR="00906D13" w:rsidRPr="00DF38B2">
        <w:t xml:space="preserve">Table </w:t>
      </w:r>
      <w:r w:rsidR="00906D13">
        <w:rPr>
          <w:noProof/>
        </w:rPr>
        <w:t>5</w:t>
      </w:r>
      <w:r w:rsidR="00906D13">
        <w:noBreakHyphen/>
      </w:r>
      <w:r w:rsidR="00906D13">
        <w:rPr>
          <w:noProof/>
        </w:rPr>
        <w:t>9</w:t>
      </w:r>
      <w:r w:rsidRPr="00FE502F">
        <w:fldChar w:fldCharType="end"/>
      </w:r>
      <w:r w:rsidR="00ED25D4">
        <w:t>)</w:t>
      </w:r>
      <w:r w:rsidRPr="00DF38B2">
        <w:t xml:space="preserve"> concerned the amount of paperwork people were required to complete and records they had to obtain. In some cases this resulted in people simply walking</w:t>
      </w:r>
      <w:r w:rsidRPr="00FE502F">
        <w:t xml:space="preserve"> away from the process</w:t>
      </w:r>
      <w:r w:rsidR="00A1421A">
        <w:t xml:space="preserve">. </w:t>
      </w:r>
      <w:r w:rsidRPr="00FE502F">
        <w:t xml:space="preserve">This problem was often compounded by the fact that </w:t>
      </w:r>
      <w:r w:rsidRPr="009655C3">
        <w:t>English was not the</w:t>
      </w:r>
      <w:r w:rsidR="00ED25D4">
        <w:t>ir</w:t>
      </w:r>
      <w:r w:rsidRPr="009655C3">
        <w:t xml:space="preserve"> first </w:t>
      </w:r>
      <w:r w:rsidR="00ED25D4">
        <w:t xml:space="preserve">spoken </w:t>
      </w:r>
      <w:r w:rsidRPr="009655C3">
        <w:t>language</w:t>
      </w:r>
      <w:r w:rsidR="00A1421A">
        <w:t xml:space="preserve">. </w:t>
      </w:r>
      <w:r w:rsidRPr="009655C3">
        <w:t>In other qualitative data collection this type of experience has been further explored</w:t>
      </w:r>
      <w:r w:rsidR="00A1421A">
        <w:t xml:space="preserve">. </w:t>
      </w:r>
      <w:r w:rsidRPr="009655C3">
        <w:t xml:space="preserve">A particular issue raised by many was the reliance by Centrelink on a centralised exemptions team </w:t>
      </w:r>
      <w:r w:rsidR="00ED25D4">
        <w:t>that</w:t>
      </w:r>
      <w:r w:rsidRPr="00DF38B2">
        <w:t xml:space="preserve"> people had to deal with by phone</w:t>
      </w:r>
      <w:r w:rsidR="00A1421A">
        <w:t xml:space="preserve">. </w:t>
      </w:r>
      <w:r w:rsidRPr="00DF38B2">
        <w:t>This presented a range of problems for some, including</w:t>
      </w:r>
      <w:r w:rsidR="00ED25D4">
        <w:t>:</w:t>
      </w:r>
      <w:r w:rsidRPr="00DF38B2">
        <w:t xml:space="preserve"> the cost of contact, difficulties relating to language, and cultural preferences to deal with people fac</w:t>
      </w:r>
      <w:r w:rsidR="00ED25D4">
        <w:t>e-</w:t>
      </w:r>
      <w:r w:rsidRPr="00DF38B2">
        <w:t>to</w:t>
      </w:r>
      <w:r w:rsidR="00ED25D4">
        <w:t>-</w:t>
      </w:r>
      <w:r w:rsidRPr="00DF38B2">
        <w:t>face.</w:t>
      </w:r>
    </w:p>
    <w:p w:rsidR="005E1FE0" w:rsidRPr="00DF38B2" w:rsidRDefault="005E1FE0" w:rsidP="006654AE">
      <w:pPr>
        <w:pStyle w:val="Caption"/>
      </w:pPr>
      <w:bookmarkStart w:id="290" w:name="_Ref392151336"/>
      <w:bookmarkStart w:id="291" w:name="_Ref392151331"/>
      <w:bookmarkStart w:id="292" w:name="_Toc403739433"/>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9</w:t>
        </w:r>
      </w:fldSimple>
      <w:bookmarkEnd w:id="290"/>
      <w:r w:rsidRPr="00F57911">
        <w:tab/>
        <w:t>Persons who had tried to leave income management, experience of the process</w:t>
      </w:r>
      <w:bookmarkEnd w:id="291"/>
      <w:r w:rsidR="00343627">
        <w:t>,</w:t>
      </w:r>
      <w:r w:rsidR="00343627" w:rsidRPr="00343627">
        <w:t xml:space="preserve"> </w:t>
      </w:r>
      <w:r w:rsidR="00343627" w:rsidRPr="00D86209">
        <w:t>LSNIM, Wave 2, 2013</w:t>
      </w:r>
      <w:bookmarkEnd w:id="292"/>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cantSplit/>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Too much paperwork.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had to hang up because the telephone queue was too long and I didn't have the credit on my mobile to wait that long to be connected.</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first time I went for an exemption my four year</w:t>
            </w:r>
            <w:r w:rsidR="00ED25D4">
              <w:rPr>
                <w:rFonts w:eastAsia="Times New Roman"/>
                <w:noProof w:val="0"/>
              </w:rPr>
              <w:t>-</w:t>
            </w:r>
            <w:r w:rsidRPr="00F57911">
              <w:rPr>
                <w:rFonts w:eastAsia="Times New Roman"/>
                <w:noProof w:val="0"/>
              </w:rPr>
              <w:t>old daughter didn’t have her health check on the system, this time round they are doing it and I have had a doctor send a letter saying that she is happy and healthy.</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 </w:t>
            </w:r>
            <w:proofErr w:type="spellStart"/>
            <w:r w:rsidRPr="00F57911">
              <w:rPr>
                <w:rFonts w:eastAsia="Times New Roman"/>
                <w:noProof w:val="0"/>
              </w:rPr>
              <w:t>gotta</w:t>
            </w:r>
            <w:proofErr w:type="spellEnd"/>
            <w:r w:rsidRPr="00F57911">
              <w:rPr>
                <w:rFonts w:eastAsia="Times New Roman"/>
                <w:noProof w:val="0"/>
              </w:rPr>
              <w:t xml:space="preserve"> fill out big mob paper work.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They didn't tell me how I can do it. So I left it, too hard. No help or explain to me what I </w:t>
            </w:r>
            <w:proofErr w:type="spellStart"/>
            <w:r w:rsidRPr="00F57911">
              <w:rPr>
                <w:rFonts w:eastAsia="Times New Roman"/>
                <w:noProof w:val="0"/>
              </w:rPr>
              <w:t>gotta</w:t>
            </w:r>
            <w:proofErr w:type="spellEnd"/>
            <w:r w:rsidRPr="00F57911">
              <w:rPr>
                <w:rFonts w:eastAsia="Times New Roman"/>
                <w:noProof w:val="0"/>
              </w:rPr>
              <w:t xml:space="preserve"> do.</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No help from Centrelink.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Too much documents.</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paperwork didn't go through in time, because I was not able to access a fax machine so it was cancelled, but now I just have to wait 13 weeks and I will automatically go off income management because I'm in Queensland now.</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They said that we </w:t>
            </w:r>
            <w:proofErr w:type="spellStart"/>
            <w:r w:rsidRPr="00F57911">
              <w:rPr>
                <w:rFonts w:eastAsia="Times New Roman"/>
                <w:noProof w:val="0"/>
              </w:rPr>
              <w:t>gotta</w:t>
            </w:r>
            <w:proofErr w:type="spellEnd"/>
            <w:r w:rsidRPr="00F57911">
              <w:rPr>
                <w:rFonts w:eastAsia="Times New Roman"/>
                <w:noProof w:val="0"/>
              </w:rPr>
              <w:t xml:space="preserve"> get attendance records and immunisation records, but too much hassle.</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rang them and asked for an exemption and they said they would call me back at 3 and they didn't. The next day they rang me and said I had to wait for an interpreter and it could take up to a week. By the time they called they said I couldn't get off.</w:t>
            </w:r>
          </w:p>
        </w:tc>
      </w:tr>
      <w:tr w:rsidR="005E1FE0" w:rsidRPr="00DF38B2" w:rsidTr="00535C84">
        <w:trPr>
          <w:cantSplit/>
          <w:trHeight w:val="20"/>
        </w:trPr>
        <w:tc>
          <w:tcPr>
            <w:tcW w:w="8379" w:type="dxa"/>
            <w:shd w:val="clear" w:color="auto" w:fill="auto"/>
          </w:tcPr>
          <w:p w:rsidR="005E1FE0" w:rsidRPr="00F57911" w:rsidRDefault="005E1FE0" w:rsidP="006654AE">
            <w:pPr>
              <w:pStyle w:val="toq"/>
              <w:rPr>
                <w:noProof w:val="0"/>
              </w:rPr>
            </w:pPr>
            <w:r w:rsidRPr="00F57911">
              <w:rPr>
                <w:rFonts w:eastAsia="Times New Roman"/>
                <w:noProof w:val="0"/>
              </w:rPr>
              <w:t>Said go to school get records for W____ and go clinic health check for V___.</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made it very difficult to get it and didn't support me to do the exemption.</w:t>
            </w:r>
          </w:p>
        </w:tc>
      </w:tr>
      <w:tr w:rsidR="005E1FE0" w:rsidRPr="00DF38B2" w:rsidTr="00535C84">
        <w:trPr>
          <w:cantSplit/>
          <w:trHeight w:val="20"/>
        </w:trPr>
        <w:tc>
          <w:tcPr>
            <w:tcW w:w="8379" w:type="dxa"/>
            <w:shd w:val="clear" w:color="auto" w:fill="auto"/>
            <w:vAlign w:val="bottom"/>
            <w:hideMark/>
          </w:tcPr>
          <w:p w:rsidR="005E1FE0" w:rsidRPr="00F57911" w:rsidRDefault="00ED25D4" w:rsidP="006654AE">
            <w:pPr>
              <w:pStyle w:val="toq"/>
              <w:rPr>
                <w:rFonts w:eastAsia="Times New Roman"/>
                <w:noProof w:val="0"/>
              </w:rPr>
            </w:pPr>
            <w:r>
              <w:rPr>
                <w:rFonts w:eastAsia="Times New Roman"/>
                <w:noProof w:val="0"/>
              </w:rPr>
              <w:t>[</w:t>
            </w:r>
            <w:r w:rsidR="005E1FE0" w:rsidRPr="00F57911">
              <w:rPr>
                <w:rFonts w:eastAsia="Times New Roman"/>
                <w:noProof w:val="0"/>
              </w:rPr>
              <w:t>Interviewer notes</w:t>
            </w:r>
            <w:r>
              <w:rPr>
                <w:rFonts w:eastAsia="Times New Roman"/>
                <w:noProof w:val="0"/>
              </w:rPr>
              <w:t>]</w:t>
            </w:r>
            <w:r w:rsidR="005E1FE0" w:rsidRPr="00F57911">
              <w:rPr>
                <w:rFonts w:eastAsia="Times New Roman"/>
                <w:noProof w:val="0"/>
              </w:rPr>
              <w:t xml:space="preserve"> They said she was entitled to exemption. She had to go back with kids’ attendance which is good. Didn't follow through with it because she doesn't like to wait. Thinks she will follow through with it soon but she is sick of the stuffing around they make her do.</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Another issue which was often identified were problems with obtaining school and health records</w:t>
      </w:r>
      <w:r w:rsidR="00A1421A">
        <w:t xml:space="preserve">. </w:t>
      </w:r>
      <w:r w:rsidRPr="00DF38B2">
        <w:t>Not only does this frequently require time, but can involve cost</w:t>
      </w:r>
      <w:r w:rsidR="00ED25D4">
        <w:t>,</w:t>
      </w:r>
      <w:r w:rsidRPr="00DF38B2">
        <w:t xml:space="preserve"> especially where people may have to travel long distances to access health services and obtain health records</w:t>
      </w:r>
      <w:r w:rsidR="00A1421A">
        <w:t xml:space="preserve">. </w:t>
      </w:r>
      <w:r w:rsidRPr="00DF38B2">
        <w:t xml:space="preserve">While this process would be relatively easy for people who are </w:t>
      </w:r>
      <w:r w:rsidR="00D20973">
        <w:t xml:space="preserve">educated, </w:t>
      </w:r>
      <w:r w:rsidRPr="00DF38B2">
        <w:t xml:space="preserve">articulate, understand bureaucratic systems and live in urban areas, this is not the case for others. </w:t>
      </w:r>
      <w:r w:rsidR="00FB6C36">
        <w:t>F</w:t>
      </w:r>
      <w:r w:rsidRPr="00DF38B2">
        <w:t xml:space="preserve">or many Indigenous people </w:t>
      </w:r>
      <w:r w:rsidR="00FB6C36">
        <w:t>i</w:t>
      </w:r>
      <w:r w:rsidR="00FB6C36" w:rsidRPr="00DF38B2">
        <w:t>n particular</w:t>
      </w:r>
      <w:r w:rsidR="00FB6C36">
        <w:t>,</w:t>
      </w:r>
      <w:r w:rsidR="00FB6C36" w:rsidRPr="00DF38B2">
        <w:t xml:space="preserve"> </w:t>
      </w:r>
      <w:r w:rsidRPr="00DF38B2">
        <w:t xml:space="preserve">for whom English is not their first language and who are without these skills and who </w:t>
      </w:r>
      <w:r w:rsidR="00FB6C36">
        <w:t xml:space="preserve">– </w:t>
      </w:r>
      <w:r w:rsidR="00FB6C36" w:rsidRPr="00DF38B2">
        <w:t xml:space="preserve">frequently very accurately </w:t>
      </w:r>
      <w:r w:rsidR="00FB6C36">
        <w:t xml:space="preserve">– </w:t>
      </w:r>
      <w:r w:rsidRPr="00DF38B2">
        <w:t>see themselves as being powerless, this can be a major challenge.</w:t>
      </w:r>
    </w:p>
    <w:p w:rsidR="005E1FE0" w:rsidRPr="00DF38B2" w:rsidRDefault="005E1FE0" w:rsidP="006654AE">
      <w:r w:rsidRPr="00DF38B2">
        <w:t>As noted in the chapter on intermediaries, this has at times meant that people have had to use legal and other advocacy services to undertake what should be a relatively straightforward process.</w:t>
      </w:r>
    </w:p>
    <w:p w:rsidR="005E1FE0" w:rsidRPr="00DF38B2" w:rsidRDefault="005E1FE0" w:rsidP="006654AE">
      <w:r w:rsidRPr="00DF38B2">
        <w:t xml:space="preserve">A further issue raised by a number of the respondents were problems </w:t>
      </w:r>
      <w:r w:rsidR="00FB6C36">
        <w:t xml:space="preserve">they encountered </w:t>
      </w:r>
      <w:r w:rsidRPr="00DF38B2">
        <w:t>when they moved interstate. In such a situation a person has to spend a further 13 weeks on income management before they automatically exit</w:t>
      </w:r>
      <w:r w:rsidR="00A1421A">
        <w:t xml:space="preserve">. </w:t>
      </w:r>
      <w:r w:rsidRPr="00DF38B2">
        <w:t>In many cases this causes problems</w:t>
      </w:r>
      <w:r w:rsidR="00FB6C36">
        <w:t>,</w:t>
      </w:r>
      <w:r w:rsidRPr="00DF38B2">
        <w:t xml:space="preserve"> as they have only a limited number of outlets at which </w:t>
      </w:r>
      <w:r w:rsidR="00FB6C36">
        <w:t xml:space="preserve">the </w:t>
      </w:r>
      <w:r w:rsidRPr="00DF38B2">
        <w:t>BasicsCard is accepted, there is a higher level of stigma associated with the card because it is not common, and it is often difficult after moving to a new city to assemble the paperwork need</w:t>
      </w:r>
      <w:r w:rsidR="00FB6C36">
        <w:t>ed</w:t>
      </w:r>
      <w:r w:rsidRPr="00DF38B2">
        <w:t xml:space="preserve"> to achieve an exemption.</w:t>
      </w:r>
      <w:r w:rsidR="009D2F15">
        <w:rPr>
          <w:rStyle w:val="FootnoteReference"/>
        </w:rPr>
        <w:footnoteReference w:id="79"/>
      </w:r>
    </w:p>
    <w:p w:rsidR="005E1FE0" w:rsidRPr="00DF38B2" w:rsidRDefault="005E1FE0" w:rsidP="006654AE">
      <w:r w:rsidRPr="00FE502F">
        <w:fldChar w:fldCharType="begin"/>
      </w:r>
      <w:r w:rsidRPr="00DF38B2">
        <w:instrText xml:space="preserve"> REF _Ref392149976 \h </w:instrText>
      </w:r>
      <w:r w:rsidRPr="00FE502F">
        <w:fldChar w:fldCharType="separate"/>
      </w:r>
      <w:r w:rsidR="00906D13" w:rsidRPr="00DF38B2">
        <w:t xml:space="preserve">Figure </w:t>
      </w:r>
      <w:r w:rsidR="00906D13">
        <w:rPr>
          <w:noProof/>
        </w:rPr>
        <w:t>5</w:t>
      </w:r>
      <w:r w:rsidR="00906D13" w:rsidRPr="00DF38B2">
        <w:noBreakHyphen/>
      </w:r>
      <w:r w:rsidR="00906D13">
        <w:rPr>
          <w:noProof/>
        </w:rPr>
        <w:t>9</w:t>
      </w:r>
      <w:r w:rsidRPr="00FE502F">
        <w:fldChar w:fldCharType="end"/>
      </w:r>
      <w:r w:rsidRPr="00DF38B2">
        <w:t xml:space="preserve"> showed that many people lack</w:t>
      </w:r>
      <w:r w:rsidR="00FB6C36">
        <w:t>ed</w:t>
      </w:r>
      <w:r w:rsidRPr="00DF38B2">
        <w:t xml:space="preserve"> </w:t>
      </w:r>
      <w:r w:rsidR="00184119">
        <w:t xml:space="preserve">a real </w:t>
      </w:r>
      <w:r w:rsidRPr="00DF38B2">
        <w:t>understanding of the reasons for their application for an exemption being rejected</w:t>
      </w:r>
      <w:r w:rsidR="00A1421A">
        <w:t xml:space="preserve">. </w:t>
      </w:r>
      <w:r w:rsidRPr="00DF38B2">
        <w:t xml:space="preserve">This was also reflected in the responses some people gave to the question on what happened to them when they tried to get off, as detailed in </w:t>
      </w:r>
      <w:r w:rsidRPr="00FE502F">
        <w:fldChar w:fldCharType="begin"/>
      </w:r>
      <w:r w:rsidRPr="00DF38B2">
        <w:instrText xml:space="preserve"> REF _Ref392283101 \h </w:instrText>
      </w:r>
      <w:r w:rsidRPr="00FE502F">
        <w:fldChar w:fldCharType="separate"/>
      </w:r>
      <w:r w:rsidR="00906D13" w:rsidRPr="00DF38B2">
        <w:t xml:space="preserve">Table </w:t>
      </w:r>
      <w:r w:rsidR="00906D13">
        <w:rPr>
          <w:noProof/>
        </w:rPr>
        <w:t>5</w:t>
      </w:r>
      <w:r w:rsidR="00906D13">
        <w:noBreakHyphen/>
      </w:r>
      <w:r w:rsidR="00906D13">
        <w:rPr>
          <w:noProof/>
        </w:rPr>
        <w:t>10</w:t>
      </w:r>
      <w:r w:rsidRPr="00FE502F">
        <w:fldChar w:fldCharType="end"/>
      </w:r>
      <w:r w:rsidRPr="00DF38B2">
        <w:t>.</w:t>
      </w:r>
    </w:p>
    <w:p w:rsidR="005E1FE0" w:rsidRPr="00DF38B2" w:rsidRDefault="005E1FE0" w:rsidP="006654AE">
      <w:pPr>
        <w:pStyle w:val="Caption"/>
        <w:keepLines/>
      </w:pPr>
      <w:bookmarkStart w:id="293" w:name="_Ref392283101"/>
      <w:bookmarkStart w:id="294" w:name="_Toc403739434"/>
      <w:r w:rsidRPr="00DF38B2">
        <w:t xml:space="preserve">Table </w:t>
      </w:r>
      <w:fldSimple w:instr=" STYLEREF 1 \s ">
        <w:r w:rsidR="00906D13">
          <w:rPr>
            <w:noProof/>
          </w:rPr>
          <w:t>5</w:t>
        </w:r>
      </w:fldSimple>
      <w:r w:rsidR="00D40B64">
        <w:noBreakHyphen/>
      </w:r>
      <w:fldSimple w:instr=" SEQ Table \* ARABIC \s 1 ">
        <w:r w:rsidR="00906D13">
          <w:rPr>
            <w:noProof/>
          </w:rPr>
          <w:t>10</w:t>
        </w:r>
      </w:fldSimple>
      <w:bookmarkEnd w:id="293"/>
      <w:r w:rsidRPr="00F57911">
        <w:t xml:space="preserve"> </w:t>
      </w:r>
      <w:r w:rsidRPr="00F57911">
        <w:tab/>
        <w:t>Persons who had tried to leave income management, understanding of the reasons why they were rejected</w:t>
      </w:r>
      <w:r w:rsidR="00343627">
        <w:t>,</w:t>
      </w:r>
      <w:r w:rsidR="00343627" w:rsidRPr="00343627">
        <w:t xml:space="preserve"> </w:t>
      </w:r>
      <w:r w:rsidR="00343627" w:rsidRPr="00D86209">
        <w:t>LSNIM, Wave 2, 2013</w:t>
      </w:r>
      <w:bookmarkEnd w:id="294"/>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cantSplit/>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had to get all the paperwork from the school and doctors check-up and then I had to answer the questions and I must have answered one wrong cause they said no.</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tried to get off it, I went to two different appointments and took in my letters from the doctors and they said no I’m not eligible. This has caused me more anxiety and depression.</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Centrelink told me to stay on </w:t>
            </w:r>
            <w:r w:rsidR="005E4CAC">
              <w:rPr>
                <w:rFonts w:eastAsia="Times New Roman"/>
                <w:noProof w:val="0"/>
              </w:rPr>
              <w:t>income management</w:t>
            </w:r>
            <w:r w:rsidRPr="00F57911">
              <w:rPr>
                <w:rFonts w:eastAsia="Times New Roman"/>
                <w:noProof w:val="0"/>
              </w:rPr>
              <w:t xml:space="preserve"> a little bit longer.</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said they would not get me off. Centrelink did not say why.</w:t>
            </w:r>
          </w:p>
        </w:tc>
      </w:tr>
      <w:tr w:rsidR="005E1FE0" w:rsidRPr="00DF38B2" w:rsidTr="00535C84">
        <w:trPr>
          <w:cantSplit/>
        </w:trPr>
        <w:tc>
          <w:tcPr>
            <w:tcW w:w="8379" w:type="dxa"/>
            <w:shd w:val="clear" w:color="auto" w:fill="auto"/>
            <w:vAlign w:val="bottom"/>
          </w:tcPr>
          <w:p w:rsidR="005E1FE0" w:rsidRPr="00F57911" w:rsidRDefault="005E1FE0" w:rsidP="006654AE">
            <w:pPr>
              <w:pStyle w:val="toq"/>
              <w:rPr>
                <w:rFonts w:eastAsia="Times New Roman"/>
                <w:noProof w:val="0"/>
              </w:rPr>
            </w:pPr>
            <w:r w:rsidRPr="00F57911">
              <w:rPr>
                <w:rFonts w:eastAsia="Times New Roman"/>
                <w:noProof w:val="0"/>
              </w:rPr>
              <w:t>Told we didn't fit the factors required.</w:t>
            </w:r>
          </w:p>
        </w:tc>
      </w:tr>
      <w:tr w:rsidR="005E1FE0" w:rsidRPr="00DF38B2" w:rsidTr="00535C84">
        <w:trPr>
          <w:cantSplit/>
        </w:trPr>
        <w:tc>
          <w:tcPr>
            <w:tcW w:w="8379" w:type="dxa"/>
            <w:shd w:val="clear" w:color="auto" w:fill="auto"/>
            <w:vAlign w:val="bottom"/>
            <w:hideMark/>
          </w:tcPr>
          <w:p w:rsidR="005E1FE0" w:rsidRPr="00F57911" w:rsidRDefault="00DF38B2" w:rsidP="006654AE">
            <w:pPr>
              <w:pStyle w:val="toq"/>
              <w:rPr>
                <w:rFonts w:eastAsia="Times New Roman"/>
                <w:noProof w:val="0"/>
              </w:rPr>
            </w:pPr>
            <w:r w:rsidRPr="00F57911">
              <w:rPr>
                <w:rFonts w:eastAsia="Times New Roman"/>
                <w:noProof w:val="0"/>
              </w:rPr>
              <w:t xml:space="preserve">They said she had to stay on it </w:t>
            </w:r>
            <w:r>
              <w:rPr>
                <w:rFonts w:eastAsia="Times New Roman"/>
                <w:noProof w:val="0"/>
              </w:rPr>
              <w:t>'</w:t>
            </w:r>
            <w:r w:rsidRPr="00F57911">
              <w:rPr>
                <w:rFonts w:eastAsia="Times New Roman"/>
                <w:noProof w:val="0"/>
              </w:rPr>
              <w:t>cause everyone in the Territory is on it.</w:t>
            </w:r>
          </w:p>
        </w:tc>
      </w:tr>
    </w:tbl>
    <w:p w:rsidR="005E1FE0" w:rsidRDefault="005E1FE0" w:rsidP="006654AE">
      <w:pPr>
        <w:pStyle w:val="tablenotes"/>
        <w:keepNext w:val="0"/>
        <w:rPr>
          <w:rFonts w:eastAsia="Times New Roman"/>
        </w:rPr>
      </w:pPr>
      <w:r w:rsidRPr="00DF38B2">
        <w:rPr>
          <w:rFonts w:eastAsia="Times New Roman"/>
        </w:rPr>
        <w:t xml:space="preserve">Source: </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9655C3" w:rsidRDefault="005E1FE0" w:rsidP="006654AE">
      <w:pPr>
        <w:rPr>
          <w:rFonts w:eastAsia="Times New Roman"/>
        </w:rPr>
      </w:pPr>
      <w:r w:rsidRPr="00DF38B2">
        <w:rPr>
          <w:rFonts w:eastAsia="Times New Roman"/>
        </w:rPr>
        <w:t>As noted</w:t>
      </w:r>
      <w:r w:rsidR="00FB6C36">
        <w:rPr>
          <w:rFonts w:eastAsia="Times New Roman"/>
        </w:rPr>
        <w:t>,</w:t>
      </w:r>
      <w:r w:rsidRPr="00DF38B2">
        <w:rPr>
          <w:rFonts w:eastAsia="Times New Roman"/>
        </w:rPr>
        <w:t xml:space="preserve"> not all of these responses are necessarily related to formal applications for exemptions. They do</w:t>
      </w:r>
      <w:r w:rsidR="00FB6C36">
        <w:rPr>
          <w:rFonts w:eastAsia="Times New Roman"/>
        </w:rPr>
        <w:t>, however,</w:t>
      </w:r>
      <w:r w:rsidRPr="00DF38B2">
        <w:rPr>
          <w:rFonts w:eastAsia="Times New Roman"/>
        </w:rPr>
        <w:t xml:space="preserve"> reinforce findings across the range of data collections and consultations that there is a persist</w:t>
      </w:r>
      <w:r w:rsidR="00FB6C36">
        <w:rPr>
          <w:rFonts w:eastAsia="Times New Roman"/>
        </w:rPr>
        <w:t>ing</w:t>
      </w:r>
      <w:r w:rsidRPr="00DF38B2">
        <w:rPr>
          <w:rFonts w:eastAsia="Times New Roman"/>
        </w:rPr>
        <w:t xml:space="preserve"> poor understanding of the reasons for not being able to exit income management. Although Centrelink does write to people advising them of a rejection of an application and providing them at times with information about the exemption process, these are frequently couched in relatively technical terms related to the criteria for the program. This is illustrated in </w:t>
      </w:r>
      <w:r w:rsidRPr="00DF38B2">
        <w:rPr>
          <w:rFonts w:eastAsia="Times New Roman"/>
        </w:rPr>
        <w:fldChar w:fldCharType="begin"/>
      </w:r>
      <w:r w:rsidRPr="00DF38B2">
        <w:rPr>
          <w:rFonts w:eastAsia="Times New Roman"/>
        </w:rPr>
        <w:instrText xml:space="preserve"> REF _Ref392153267 \h </w:instrText>
      </w:r>
      <w:r w:rsidRPr="00DF38B2">
        <w:rPr>
          <w:rFonts w:eastAsia="Times New Roman"/>
        </w:rPr>
      </w:r>
      <w:r w:rsidRPr="00DF38B2">
        <w:rPr>
          <w:rFonts w:eastAsia="Times New Roman"/>
        </w:rPr>
        <w:fldChar w:fldCharType="separate"/>
      </w:r>
      <w:r w:rsidR="00906D13" w:rsidRPr="00DF38B2">
        <w:t xml:space="preserve">Figure </w:t>
      </w:r>
      <w:r w:rsidR="00906D13">
        <w:rPr>
          <w:noProof/>
        </w:rPr>
        <w:t>5</w:t>
      </w:r>
      <w:r w:rsidR="00906D13" w:rsidRPr="00DF38B2">
        <w:noBreakHyphen/>
      </w:r>
      <w:r w:rsidR="00906D13">
        <w:rPr>
          <w:noProof/>
        </w:rPr>
        <w:t>10</w:t>
      </w:r>
      <w:r w:rsidRPr="00DF38B2">
        <w:rPr>
          <w:rFonts w:eastAsia="Times New Roman"/>
        </w:rPr>
        <w:fldChar w:fldCharType="end"/>
      </w:r>
      <w:r w:rsidR="00FB6C36">
        <w:rPr>
          <w:rFonts w:eastAsia="Times New Roman"/>
        </w:rPr>
        <w:t>,</w:t>
      </w:r>
      <w:r w:rsidRPr="00DF38B2">
        <w:rPr>
          <w:rFonts w:eastAsia="Times New Roman"/>
        </w:rPr>
        <w:t xml:space="preserve"> which presents two extracts from standard letters</w:t>
      </w:r>
      <w:r w:rsidR="00FB6C36">
        <w:rPr>
          <w:rFonts w:eastAsia="Times New Roman"/>
        </w:rPr>
        <w:t>, t</w:t>
      </w:r>
      <w:r w:rsidRPr="00DF38B2">
        <w:rPr>
          <w:rFonts w:eastAsia="Times New Roman"/>
        </w:rPr>
        <w:t>he first requesting health documentation, and the secon</w:t>
      </w:r>
      <w:r w:rsidRPr="00FE502F">
        <w:rPr>
          <w:rFonts w:eastAsia="Times New Roman"/>
        </w:rPr>
        <w:t>d relat</w:t>
      </w:r>
      <w:r w:rsidR="00FB6C36">
        <w:rPr>
          <w:rFonts w:eastAsia="Times New Roman"/>
        </w:rPr>
        <w:t>ing</w:t>
      </w:r>
      <w:r w:rsidRPr="00FE502F">
        <w:rPr>
          <w:rFonts w:eastAsia="Times New Roman"/>
        </w:rPr>
        <w:t xml:space="preserve"> to the rejection of an application because of missing documentati</w:t>
      </w:r>
      <w:r w:rsidRPr="009655C3">
        <w:rPr>
          <w:rFonts w:eastAsia="Times New Roman"/>
        </w:rPr>
        <w:t>on.</w:t>
      </w:r>
    </w:p>
    <w:p w:rsidR="005E1FE0" w:rsidRPr="00DF38B2" w:rsidRDefault="005E1FE0" w:rsidP="006654AE">
      <w:pPr>
        <w:pStyle w:val="Caption"/>
        <w:rPr>
          <w:rFonts w:eastAsia="Times New Roman"/>
        </w:rPr>
      </w:pPr>
      <w:bookmarkStart w:id="295" w:name="_Ref392153267"/>
      <w:bookmarkStart w:id="296" w:name="_Toc403739535"/>
      <w:r w:rsidRPr="00DF38B2">
        <w:t xml:space="preserve">Figure </w:t>
      </w:r>
      <w:r w:rsidR="00040708" w:rsidRPr="00F57911">
        <w:fldChar w:fldCharType="begin"/>
      </w:r>
      <w:r w:rsidR="00040708" w:rsidRPr="00DF38B2">
        <w:instrText xml:space="preserve"> STYLEREF 1 \s </w:instrText>
      </w:r>
      <w:r w:rsidR="00040708" w:rsidRPr="00F57911">
        <w:fldChar w:fldCharType="separate"/>
      </w:r>
      <w:r w:rsidR="00906D13">
        <w:rPr>
          <w:noProof/>
        </w:rPr>
        <w:t>5</w:t>
      </w:r>
      <w:r w:rsidR="00040708" w:rsidRPr="00F57911">
        <w:fldChar w:fldCharType="end"/>
      </w:r>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10</w:t>
      </w:r>
      <w:r w:rsidR="00040708" w:rsidRPr="00F57911">
        <w:fldChar w:fldCharType="end"/>
      </w:r>
      <w:bookmarkEnd w:id="295"/>
      <w:r w:rsidRPr="00DF38B2">
        <w:tab/>
        <w:t>Extracts from standard Centrelink letters on the provision of information in support of an application for exemption</w:t>
      </w:r>
      <w:bookmarkEnd w:id="296"/>
    </w:p>
    <w:tbl>
      <w:tblPr>
        <w:tblStyle w:val="TableGrid"/>
        <w:tblW w:w="0" w:type="auto"/>
        <w:tblLook w:val="04A0" w:firstRow="1" w:lastRow="0" w:firstColumn="1" w:lastColumn="0" w:noHBand="0" w:noVBand="1"/>
        <w:tblDescription w:val="This table comprises of two panels with images from two standard letters used by Centrelink and a brief heading as to the nature of the letter.&#10;The text reads:&#10;Letter 1 - extract relating to provision of health records.&#10;Health check documentation for Josephine.&#10;“You need to provide at least one of the following documents for Josephine to show she has received all age appropriate health checks:&#10;. Personal Health and Immunisation Record&#10;. A letter from your doctor, specialist, health clinic or hospital showing that Josephine has received all age appropriate health checks, or&#10;. A statement from Medicare showing immunisations and medical appointment attendance.&#10;Medical therapy documents for Josephine&#10;If Josephine is attending an approved medical therapy, you need to provide a letter from a health professional confirming that Josephine is regularly attending speech therapy, occupational therapy, physical therapy or another approved medical therapy.”&#10;Letter 2 – Extract from letter rejecting application for exemption due to non-supply of information.&#10;“Your request for an exemption has been rejected because you did not give us the documentation we requested by 30 July 2014. If you give us the documentation we can reassess your request.&#10;If you are unsure what documentation you need to give us, please call us on 1800 132 594”.&#10;"/>
      </w:tblPr>
      <w:tblGrid>
        <w:gridCol w:w="8550"/>
      </w:tblGrid>
      <w:tr w:rsidR="005E1FE0" w:rsidRPr="00DF38B2" w:rsidTr="007E46B6">
        <w:trPr>
          <w:tblHeader/>
        </w:trPr>
        <w:tc>
          <w:tcPr>
            <w:tcW w:w="8550" w:type="dxa"/>
          </w:tcPr>
          <w:p w:rsidR="005E1FE0" w:rsidRPr="00F57911" w:rsidRDefault="005E1FE0" w:rsidP="006654AE">
            <w:pPr>
              <w:pStyle w:val="tabletextleft"/>
              <w:jc w:val="center"/>
              <w:rPr>
                <w:rFonts w:eastAsia="Times New Roman"/>
              </w:rPr>
            </w:pPr>
            <w:r w:rsidRPr="00F57911">
              <w:rPr>
                <w:rFonts w:eastAsia="Times New Roman"/>
              </w:rPr>
              <w:t>Extract relating to provision of health records</w:t>
            </w:r>
          </w:p>
          <w:p w:rsidR="005E1FE0" w:rsidRPr="00F57911" w:rsidRDefault="005E1FE0" w:rsidP="006654AE">
            <w:pPr>
              <w:pStyle w:val="tabletextleft"/>
              <w:jc w:val="center"/>
              <w:rPr>
                <w:rFonts w:eastAsia="Times New Roman"/>
              </w:rPr>
            </w:pPr>
          </w:p>
          <w:p w:rsidR="005E1FE0" w:rsidRPr="00DF38B2" w:rsidRDefault="005E1FE0" w:rsidP="006654AE">
            <w:pPr>
              <w:rPr>
                <w:rFonts w:eastAsia="Times New Roman"/>
              </w:rPr>
            </w:pPr>
            <w:r w:rsidRPr="008E4D9D">
              <w:rPr>
                <w:rFonts w:eastAsia="Times New Roman"/>
                <w:noProof/>
              </w:rPr>
              <w:drawing>
                <wp:inline distT="0" distB="0" distL="0" distR="0" wp14:anchorId="00E5A845" wp14:editId="057505BC">
                  <wp:extent cx="5283200" cy="1905000"/>
                  <wp:effectExtent l="0" t="0" r="0" b="0"/>
                  <wp:docPr id="45" name="Picture 45" descr="“You need to provide at least one of the following documents for Josephine to show she has received all age appropriate health checks:&#10;. Personal Health and Immunisation Record&#10;. A letter from your doctor, specialist, health clinic or hospital showing that Josephine has received all age appropriate health checks, or&#10;. A statement from Medicare showing immunisations and medical appointment attendance.&#10;Medical therapy documents for Josephine&#10;If Josephine is attending an approved medical therapy, you need to provide a letter from a health professional confirming that Josephine is regularly attending speech therapy, occupational therapy, physical therapy or another approved medical 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83200" cy="1905000"/>
                          </a:xfrm>
                          <a:prstGeom prst="rect">
                            <a:avLst/>
                          </a:prstGeom>
                          <a:noFill/>
                          <a:ln>
                            <a:noFill/>
                          </a:ln>
                        </pic:spPr>
                      </pic:pic>
                    </a:graphicData>
                  </a:graphic>
                </wp:inline>
              </w:drawing>
            </w:r>
          </w:p>
        </w:tc>
      </w:tr>
      <w:tr w:rsidR="005E1FE0" w:rsidRPr="00DF38B2" w:rsidTr="0089220F">
        <w:tc>
          <w:tcPr>
            <w:tcW w:w="8550" w:type="dxa"/>
          </w:tcPr>
          <w:p w:rsidR="005E1FE0" w:rsidRPr="00F57911" w:rsidRDefault="005E1FE0" w:rsidP="006654AE">
            <w:pPr>
              <w:pStyle w:val="tabletextleft"/>
              <w:jc w:val="center"/>
              <w:rPr>
                <w:rFonts w:eastAsia="Times New Roman"/>
              </w:rPr>
            </w:pPr>
            <w:r w:rsidRPr="00F57911">
              <w:rPr>
                <w:rFonts w:eastAsia="Times New Roman"/>
              </w:rPr>
              <w:t>Extract from letter rejecting application for exemption due to non</w:t>
            </w:r>
            <w:r w:rsidR="00FB6C36">
              <w:rPr>
                <w:rFonts w:eastAsia="Times New Roman"/>
              </w:rPr>
              <w:t>-</w:t>
            </w:r>
            <w:r w:rsidRPr="00F57911">
              <w:rPr>
                <w:rFonts w:eastAsia="Times New Roman"/>
              </w:rPr>
              <w:t>supply of information</w:t>
            </w:r>
          </w:p>
          <w:p w:rsidR="005E1FE0" w:rsidRPr="00F57911" w:rsidRDefault="005E1FE0" w:rsidP="006654AE">
            <w:pPr>
              <w:pStyle w:val="tabletextleft"/>
              <w:jc w:val="center"/>
              <w:rPr>
                <w:rFonts w:eastAsia="Times New Roman"/>
              </w:rPr>
            </w:pPr>
          </w:p>
          <w:p w:rsidR="005E1FE0" w:rsidRPr="00DF38B2" w:rsidRDefault="005E1FE0" w:rsidP="006654AE">
            <w:pPr>
              <w:rPr>
                <w:rFonts w:eastAsia="Times New Roman"/>
              </w:rPr>
            </w:pPr>
            <w:r w:rsidRPr="008E4D9D">
              <w:rPr>
                <w:rFonts w:eastAsia="Times New Roman"/>
                <w:noProof/>
              </w:rPr>
              <w:drawing>
                <wp:inline distT="0" distB="0" distL="0" distR="0" wp14:anchorId="7569A648" wp14:editId="711D0B35">
                  <wp:extent cx="5289550" cy="717550"/>
                  <wp:effectExtent l="0" t="0" r="6350" b="6350"/>
                  <wp:docPr id="46" name="Picture 46" descr="“Your request for an exemption has been rejected because you did not give us the documentation we requested by 30 July 2014. If you give us the documentation we can reassess your request.&#10;If you are unsure what documentation you need to give us, please call us on 1800 132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9550" cy="717550"/>
                          </a:xfrm>
                          <a:prstGeom prst="rect">
                            <a:avLst/>
                          </a:prstGeom>
                          <a:noFill/>
                          <a:ln>
                            <a:noFill/>
                          </a:ln>
                        </pic:spPr>
                      </pic:pic>
                    </a:graphicData>
                  </a:graphic>
                </wp:inline>
              </w:drawing>
            </w:r>
          </w:p>
        </w:tc>
      </w:tr>
    </w:tbl>
    <w:p w:rsidR="005E1FE0" w:rsidRDefault="005E1FE0" w:rsidP="006654AE">
      <w:pPr>
        <w:pStyle w:val="tablenotes"/>
        <w:ind w:left="1437" w:hanging="870"/>
        <w:rPr>
          <w:rFonts w:eastAsia="Times New Roman"/>
        </w:rPr>
      </w:pPr>
      <w:r w:rsidRPr="00DF38B2">
        <w:rPr>
          <w:rFonts w:eastAsia="Times New Roman"/>
        </w:rPr>
        <w:t xml:space="preserve">Source: </w:t>
      </w:r>
      <w:r w:rsidR="00BF56C6">
        <w:rPr>
          <w:rFonts w:eastAsia="Times New Roman"/>
        </w:rPr>
        <w:tab/>
      </w:r>
      <w:r w:rsidRPr="00DF38B2">
        <w:rPr>
          <w:rFonts w:eastAsia="Times New Roman"/>
        </w:rPr>
        <w:t>DHS examples of standard letters CIM_EM4_Rejected and CIM_EM1 (Request for child health documentation)</w:t>
      </w:r>
      <w:r w:rsidR="00BF56C6">
        <w:rPr>
          <w:rFonts w:eastAsia="Times New Roman"/>
        </w:rPr>
        <w:t>.</w:t>
      </w:r>
    </w:p>
    <w:p w:rsidR="00837B4F" w:rsidRPr="00DF38B2" w:rsidRDefault="00837B4F" w:rsidP="006654AE">
      <w:pPr>
        <w:pStyle w:val="tablefootnoteslastline"/>
      </w:pPr>
    </w:p>
    <w:p w:rsidR="005E1FE0" w:rsidRPr="00DF38B2" w:rsidRDefault="005E1FE0" w:rsidP="006654AE">
      <w:pPr>
        <w:rPr>
          <w:rFonts w:eastAsia="Times New Roman"/>
        </w:rPr>
      </w:pPr>
      <w:r w:rsidRPr="00DF38B2">
        <w:rPr>
          <w:rFonts w:eastAsia="Times New Roman"/>
        </w:rPr>
        <w:t xml:space="preserve">The specific </w:t>
      </w:r>
      <w:r w:rsidR="00384AE0" w:rsidRPr="00DF38B2">
        <w:rPr>
          <w:rFonts w:eastAsia="Times New Roman"/>
        </w:rPr>
        <w:t xml:space="preserve">exemption </w:t>
      </w:r>
      <w:r w:rsidRPr="00DF38B2">
        <w:rPr>
          <w:rFonts w:eastAsia="Times New Roman"/>
        </w:rPr>
        <w:t>criterion on employment was cited by many as being very difficult to meet. At the broader level people who were seeking employment talked elsewhere in the survey and in consultations about the desire to obtain full-time work as a means of getting off income support, rather than seeing employment as a means of getting off income management</w:t>
      </w:r>
      <w:r w:rsidR="00384AE0" w:rsidRPr="00DF38B2">
        <w:rPr>
          <w:rFonts w:eastAsia="Times New Roman"/>
        </w:rPr>
        <w:t xml:space="preserve"> but remaining on income support</w:t>
      </w:r>
      <w:r w:rsidR="00A1421A">
        <w:rPr>
          <w:rFonts w:eastAsia="Times New Roman"/>
        </w:rPr>
        <w:t xml:space="preserve">. </w:t>
      </w:r>
      <w:r w:rsidRPr="00DF38B2">
        <w:rPr>
          <w:rFonts w:eastAsia="Times New Roman"/>
        </w:rPr>
        <w:t>For others</w:t>
      </w:r>
      <w:r w:rsidR="00384AE0" w:rsidRPr="00DF38B2">
        <w:rPr>
          <w:rFonts w:eastAsia="Times New Roman"/>
        </w:rPr>
        <w:t xml:space="preserve"> their perspective</w:t>
      </w:r>
      <w:r w:rsidRPr="00DF38B2">
        <w:rPr>
          <w:rFonts w:eastAsia="Times New Roman"/>
        </w:rPr>
        <w:t xml:space="preserve"> was that they had endeavoured to obtain employment</w:t>
      </w:r>
      <w:r w:rsidR="00E40F45">
        <w:rPr>
          <w:rFonts w:eastAsia="Times New Roman"/>
        </w:rPr>
        <w:t>,</w:t>
      </w:r>
      <w:r w:rsidRPr="00DF38B2">
        <w:rPr>
          <w:rFonts w:eastAsia="Times New Roman"/>
        </w:rPr>
        <w:t xml:space="preserve"> but the limited work they could obtain was not sufficient to prove a case for an exemption. </w:t>
      </w:r>
      <w:r w:rsidRPr="00DF38B2">
        <w:rPr>
          <w:rFonts w:eastAsia="Times New Roman"/>
        </w:rPr>
        <w:fldChar w:fldCharType="begin"/>
      </w:r>
      <w:r w:rsidRPr="00DF38B2">
        <w:rPr>
          <w:rFonts w:eastAsia="Times New Roman"/>
        </w:rPr>
        <w:instrText xml:space="preserve"> REF _Ref392154650 \h </w:instrText>
      </w:r>
      <w:r w:rsidRPr="00DF38B2">
        <w:rPr>
          <w:rFonts w:eastAsia="Times New Roman"/>
        </w:rPr>
      </w:r>
      <w:r w:rsidRPr="00DF38B2">
        <w:rPr>
          <w:rFonts w:eastAsia="Times New Roman"/>
        </w:rPr>
        <w:fldChar w:fldCharType="separate"/>
      </w:r>
      <w:r w:rsidR="00906D13" w:rsidRPr="00DF38B2">
        <w:t xml:space="preserve">Table </w:t>
      </w:r>
      <w:r w:rsidR="00906D13">
        <w:rPr>
          <w:noProof/>
        </w:rPr>
        <w:t>5</w:t>
      </w:r>
      <w:r w:rsidR="00906D13">
        <w:noBreakHyphen/>
      </w:r>
      <w:r w:rsidR="00906D13">
        <w:rPr>
          <w:noProof/>
        </w:rPr>
        <w:t>11</w:t>
      </w:r>
      <w:r w:rsidRPr="00DF38B2">
        <w:rPr>
          <w:rFonts w:eastAsia="Times New Roman"/>
        </w:rPr>
        <w:fldChar w:fldCharType="end"/>
      </w:r>
      <w:r w:rsidRPr="00DF38B2">
        <w:rPr>
          <w:rFonts w:eastAsia="Times New Roman"/>
        </w:rPr>
        <w:t xml:space="preserve"> provides some examples of the different circumstances in which this issue was raised.</w:t>
      </w:r>
    </w:p>
    <w:p w:rsidR="005E1FE0" w:rsidRPr="00DF38B2" w:rsidRDefault="005E1FE0" w:rsidP="006654AE">
      <w:pPr>
        <w:pStyle w:val="Caption"/>
        <w:keepLines/>
        <w:rPr>
          <w:rFonts w:eastAsia="Times New Roman"/>
        </w:rPr>
      </w:pPr>
      <w:bookmarkStart w:id="297" w:name="_Ref392154650"/>
      <w:bookmarkStart w:id="298" w:name="_Toc403739435"/>
      <w:r w:rsidRPr="00DF38B2">
        <w:t xml:space="preserve">Table </w:t>
      </w:r>
      <w:fldSimple w:instr=" STYLEREF 1 \s ">
        <w:r w:rsidR="00906D13">
          <w:rPr>
            <w:noProof/>
          </w:rPr>
          <w:t>5</w:t>
        </w:r>
      </w:fldSimple>
      <w:r w:rsidR="00D40B64">
        <w:noBreakHyphen/>
      </w:r>
      <w:fldSimple w:instr=" SEQ Table \* ARABIC \s 1 ">
        <w:r w:rsidR="00906D13">
          <w:rPr>
            <w:noProof/>
          </w:rPr>
          <w:t>11</w:t>
        </w:r>
      </w:fldSimple>
      <w:bookmarkEnd w:id="297"/>
      <w:r w:rsidRPr="00F57911">
        <w:tab/>
        <w:t>Persons who had tried to leave income management, meeting the requirements for employment</w:t>
      </w:r>
      <w:r w:rsidR="00343627">
        <w:t>,</w:t>
      </w:r>
      <w:r w:rsidR="00343627" w:rsidRPr="00343627">
        <w:t xml:space="preserve"> </w:t>
      </w:r>
      <w:r w:rsidR="00343627" w:rsidRPr="00D86209">
        <w:t>LSNIM, Wave 2, 2013</w:t>
      </w:r>
      <w:bookmarkEnd w:id="298"/>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got my paperwork from work to say I work full time and then they still wouldn't take me off it because they reckon it was only a part</w:t>
            </w:r>
            <w:r w:rsidR="0089220F">
              <w:rPr>
                <w:rFonts w:eastAsia="Times New Roman"/>
                <w:noProof w:val="0"/>
              </w:rPr>
              <w:t>-</w:t>
            </w:r>
            <w:r w:rsidRPr="00F57911">
              <w:rPr>
                <w:rFonts w:eastAsia="Times New Roman"/>
                <w:noProof w:val="0"/>
              </w:rPr>
              <w:t xml:space="preserve">time work not full time. </w:t>
            </w:r>
          </w:p>
        </w:tc>
      </w:tr>
      <w:tr w:rsidR="005E1FE0" w:rsidRPr="00DF38B2" w:rsidTr="00535C84">
        <w:trPr>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Went to Centrelink on the phone, got told that I could have an exemption if I could show working for 15 hours a week for 6 months</w:t>
            </w:r>
            <w:r w:rsidR="0089220F">
              <w:rPr>
                <w:rFonts w:eastAsia="Times New Roman"/>
                <w:noProof w:val="0"/>
              </w:rPr>
              <w:t>,</w:t>
            </w:r>
            <w:r w:rsidRPr="00F57911">
              <w:rPr>
                <w:rFonts w:eastAsia="Times New Roman"/>
                <w:noProof w:val="0"/>
              </w:rPr>
              <w:t xml:space="preserve"> but when I sent it all in they said it had to be every week and not an average.</w:t>
            </w:r>
          </w:p>
        </w:tc>
      </w:tr>
      <w:tr w:rsidR="005E1FE0" w:rsidRPr="00DF38B2" w:rsidTr="00535C84">
        <w:trPr>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Was told I had to work 16 hours a week to get off it. I have a doctor’s certificate to say I can't work more than 10 though.</w:t>
            </w:r>
          </w:p>
        </w:tc>
      </w:tr>
    </w:tbl>
    <w:p w:rsidR="005E1FE0" w:rsidRDefault="005E1FE0" w:rsidP="006654AE">
      <w:pPr>
        <w:pStyle w:val="tablenotes"/>
        <w:keepNext w:val="0"/>
        <w:rPr>
          <w:rFonts w:eastAsia="Times New Roman"/>
        </w:rPr>
      </w:pPr>
      <w:r w:rsidRPr="00DF38B2">
        <w:rPr>
          <w:rFonts w:eastAsia="Times New Roman"/>
        </w:rPr>
        <w:t>Source</w:t>
      </w:r>
      <w:r w:rsidR="00BF56C6" w:rsidRPr="00DF38B2">
        <w:rPr>
          <w:rFonts w:eastAsia="Times New Roman"/>
        </w:rPr>
        <w:t>:</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DF38B2" w:rsidRDefault="00384AE0" w:rsidP="006654AE">
      <w:pPr>
        <w:rPr>
          <w:rFonts w:eastAsia="Times New Roman"/>
        </w:rPr>
      </w:pPr>
      <w:r w:rsidRPr="00DF38B2">
        <w:rPr>
          <w:rFonts w:eastAsia="Times New Roman"/>
        </w:rPr>
        <w:t xml:space="preserve">As noted in </w:t>
      </w:r>
      <w:r w:rsidR="005E1FE0" w:rsidRPr="00DF38B2">
        <w:rPr>
          <w:rFonts w:eastAsia="Times New Roman"/>
        </w:rPr>
        <w:t>many of the responses</w:t>
      </w:r>
      <w:r w:rsidR="0089220F">
        <w:rPr>
          <w:rFonts w:eastAsia="Times New Roman"/>
        </w:rPr>
        <w:t>,</w:t>
      </w:r>
      <w:r w:rsidR="005E1FE0" w:rsidRPr="00DF38B2">
        <w:rPr>
          <w:rFonts w:eastAsia="Times New Roman"/>
        </w:rPr>
        <w:t xml:space="preserve"> there was clear evidence of a lack of understanding by people on income management of the criteria which needed to be met in order to obtain an exemption</w:t>
      </w:r>
      <w:r w:rsidR="00A1421A">
        <w:rPr>
          <w:rFonts w:eastAsia="Times New Roman"/>
        </w:rPr>
        <w:t xml:space="preserve">. </w:t>
      </w:r>
      <w:r w:rsidR="005E1FE0" w:rsidRPr="00DF38B2">
        <w:rPr>
          <w:rFonts w:eastAsia="Times New Roman"/>
        </w:rPr>
        <w:t>A second dimension to this w</w:t>
      </w:r>
      <w:r w:rsidR="0089220F">
        <w:rPr>
          <w:rFonts w:eastAsia="Times New Roman"/>
        </w:rPr>
        <w:t>as</w:t>
      </w:r>
      <w:r w:rsidR="005E1FE0" w:rsidRPr="00DF38B2">
        <w:rPr>
          <w:rFonts w:eastAsia="Times New Roman"/>
        </w:rPr>
        <w:t xml:space="preserve"> some false understandings of what the criteria are. This is a particular problem when these misunderstandings tend to be much more limiting than the actual criteria for the program</w:t>
      </w:r>
      <w:r w:rsidR="0089220F">
        <w:rPr>
          <w:rFonts w:eastAsia="Times New Roman"/>
        </w:rPr>
        <w:t>,</w:t>
      </w:r>
      <w:r w:rsidR="005E1FE0" w:rsidRPr="00DF38B2">
        <w:rPr>
          <w:rFonts w:eastAsia="Times New Roman"/>
        </w:rPr>
        <w:t xml:space="preserve"> and people may be reluctant to seek an exemption because they feel they cannot meet the criteria</w:t>
      </w:r>
      <w:r w:rsidR="00A1421A">
        <w:rPr>
          <w:rFonts w:eastAsia="Times New Roman"/>
        </w:rPr>
        <w:t xml:space="preserve">. </w:t>
      </w:r>
      <w:r w:rsidR="005E1FE0" w:rsidRPr="00DF38B2">
        <w:rPr>
          <w:rFonts w:eastAsia="Times New Roman"/>
        </w:rPr>
        <w:t xml:space="preserve">Examples reported in the LSNIM of such understandings are given in </w:t>
      </w:r>
      <w:r w:rsidR="005E1FE0" w:rsidRPr="00DF38B2">
        <w:rPr>
          <w:rFonts w:eastAsia="Times New Roman"/>
        </w:rPr>
        <w:fldChar w:fldCharType="begin"/>
      </w:r>
      <w:r w:rsidR="005E1FE0" w:rsidRPr="00DF38B2">
        <w:rPr>
          <w:rFonts w:eastAsia="Times New Roman"/>
        </w:rPr>
        <w:instrText xml:space="preserve"> REF _Ref392283547 \h </w:instrText>
      </w:r>
      <w:r w:rsidR="005E1FE0" w:rsidRPr="00DF38B2">
        <w:rPr>
          <w:rFonts w:eastAsia="Times New Roman"/>
        </w:rPr>
      </w:r>
      <w:r w:rsidR="005E1FE0" w:rsidRPr="00DF38B2">
        <w:rPr>
          <w:rFonts w:eastAsia="Times New Roman"/>
        </w:rPr>
        <w:fldChar w:fldCharType="separate"/>
      </w:r>
      <w:r w:rsidR="00906D13" w:rsidRPr="00DF38B2">
        <w:t xml:space="preserve">Table </w:t>
      </w:r>
      <w:r w:rsidR="00906D13">
        <w:rPr>
          <w:noProof/>
        </w:rPr>
        <w:t>5</w:t>
      </w:r>
      <w:r w:rsidR="00906D13">
        <w:noBreakHyphen/>
      </w:r>
      <w:r w:rsidR="00906D13">
        <w:rPr>
          <w:noProof/>
        </w:rPr>
        <w:t>12</w:t>
      </w:r>
      <w:r w:rsidR="005E1FE0" w:rsidRPr="00DF38B2">
        <w:rPr>
          <w:rFonts w:eastAsia="Times New Roman"/>
        </w:rPr>
        <w:fldChar w:fldCharType="end"/>
      </w:r>
    </w:p>
    <w:p w:rsidR="005E1FE0" w:rsidRPr="00DF38B2" w:rsidRDefault="005E1FE0" w:rsidP="006654AE">
      <w:pPr>
        <w:pStyle w:val="Caption"/>
        <w:rPr>
          <w:rFonts w:eastAsia="Times New Roman"/>
        </w:rPr>
      </w:pPr>
      <w:bookmarkStart w:id="299" w:name="_Ref392283547"/>
      <w:bookmarkStart w:id="300" w:name="_Toc403739436"/>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12</w:t>
        </w:r>
      </w:fldSimple>
      <w:bookmarkEnd w:id="299"/>
      <w:r w:rsidRPr="00F57911">
        <w:tab/>
        <w:t>Persons who had tried to leave income management, misstatements of the exemption criteria</w:t>
      </w:r>
      <w:r w:rsidR="00343627">
        <w:t xml:space="preserve">, </w:t>
      </w:r>
      <w:r w:rsidR="00343627" w:rsidRPr="00D86209">
        <w:t>LSNIM, Wave 2, 2013</w:t>
      </w:r>
      <w:bookmarkEnd w:id="300"/>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C87A73">
        <w:trPr>
          <w:cantSplit/>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Centrelink agent told me that I could not get off it because I live in a low</w:t>
            </w:r>
            <w:r w:rsidR="0089220F">
              <w:rPr>
                <w:rFonts w:eastAsia="Times New Roman"/>
                <w:noProof w:val="0"/>
              </w:rPr>
              <w:t>-</w:t>
            </w:r>
            <w:r w:rsidRPr="00F57911">
              <w:rPr>
                <w:rFonts w:eastAsia="Times New Roman"/>
                <w:noProof w:val="0"/>
              </w:rPr>
              <w:t xml:space="preserve">income area and if I moved to a suburb with a higher average income I could then get off </w:t>
            </w:r>
            <w:r w:rsidR="00CC7910">
              <w:rPr>
                <w:rFonts w:eastAsia="Times New Roman"/>
                <w:noProof w:val="0"/>
              </w:rPr>
              <w:t>income management</w:t>
            </w:r>
            <w:r w:rsidRPr="00F57911">
              <w:rPr>
                <w:rFonts w:eastAsia="Times New Roman"/>
                <w:noProof w:val="0"/>
              </w:rPr>
              <w:t>.</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weren't helpful</w:t>
            </w:r>
            <w:r w:rsidR="0089220F">
              <w:rPr>
                <w:rFonts w:eastAsia="Times New Roman"/>
                <w:noProof w:val="0"/>
              </w:rPr>
              <w:t>:</w:t>
            </w:r>
            <w:r w:rsidRPr="00F57911">
              <w:rPr>
                <w:rFonts w:eastAsia="Times New Roman"/>
                <w:noProof w:val="0"/>
              </w:rPr>
              <w:t xml:space="preserve"> only single parents, students and elderly can get off it.</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asked if could get off but they said cos I wasn't on a pension yet I couldn't do it.</w:t>
            </w:r>
          </w:p>
        </w:tc>
      </w:tr>
    </w:tbl>
    <w:p w:rsidR="005E1FE0" w:rsidRDefault="005E1FE0" w:rsidP="006654AE">
      <w:pPr>
        <w:pStyle w:val="tablenotes"/>
        <w:keepNext w:val="0"/>
        <w:rPr>
          <w:rFonts w:eastAsia="Times New Roman"/>
        </w:rPr>
      </w:pPr>
      <w:r w:rsidRPr="00DF38B2">
        <w:rPr>
          <w:rFonts w:eastAsia="Times New Roman"/>
        </w:rPr>
        <w:t>Source</w:t>
      </w:r>
      <w:r w:rsidR="00BF56C6" w:rsidRPr="00DF38B2">
        <w:rPr>
          <w:rFonts w:eastAsia="Times New Roman"/>
        </w:rPr>
        <w:t>:</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DF38B2" w:rsidRDefault="00532086" w:rsidP="006654AE">
      <w:pPr>
        <w:rPr>
          <w:rFonts w:eastAsia="Times New Roman"/>
        </w:rPr>
      </w:pPr>
      <w:r>
        <w:rPr>
          <w:rFonts w:eastAsia="Times New Roman"/>
        </w:rPr>
        <w:t>F</w:t>
      </w:r>
      <w:r w:rsidR="005E1FE0" w:rsidRPr="00DF38B2">
        <w:rPr>
          <w:rFonts w:eastAsia="Times New Roman"/>
        </w:rPr>
        <w:t xml:space="preserve">inally there was a group who commenced responding to the survey question because they wanted to get off </w:t>
      </w:r>
      <w:r w:rsidR="00184119">
        <w:rPr>
          <w:rFonts w:eastAsia="Times New Roman"/>
        </w:rPr>
        <w:t xml:space="preserve">income management, </w:t>
      </w:r>
      <w:r w:rsidR="005E1FE0" w:rsidRPr="00DF38B2">
        <w:rPr>
          <w:rFonts w:eastAsia="Times New Roman"/>
        </w:rPr>
        <w:t>but it appears that they had only informally asked Centrelink about this rather than making a formal application</w:t>
      </w:r>
      <w:r w:rsidR="00384AE0" w:rsidRPr="00DF38B2">
        <w:rPr>
          <w:rFonts w:eastAsia="Times New Roman"/>
        </w:rPr>
        <w:t xml:space="preserve"> for an exemption</w:t>
      </w:r>
      <w:r w:rsidR="005E1FE0" w:rsidRPr="00DF38B2">
        <w:rPr>
          <w:rFonts w:eastAsia="Times New Roman"/>
        </w:rPr>
        <w:t>. When they were confronted by the more formal questions on the exemption process in the survey</w:t>
      </w:r>
      <w:r w:rsidR="0089220F">
        <w:rPr>
          <w:rFonts w:eastAsia="Times New Roman"/>
        </w:rPr>
        <w:t>,</w:t>
      </w:r>
      <w:r w:rsidR="005E1FE0" w:rsidRPr="00DF38B2">
        <w:rPr>
          <w:rFonts w:eastAsia="Times New Roman"/>
        </w:rPr>
        <w:t xml:space="preserve"> they indicated that they had little or no knowledge that such a process existed or how they could access </w:t>
      </w:r>
      <w:r w:rsidR="0089220F">
        <w:rPr>
          <w:rFonts w:eastAsia="Times New Roman"/>
        </w:rPr>
        <w:t>it</w:t>
      </w:r>
      <w:r w:rsidR="005E1FE0" w:rsidRPr="00DF38B2">
        <w:rPr>
          <w:rFonts w:eastAsia="Times New Roman"/>
        </w:rPr>
        <w:t xml:space="preserve">. </w:t>
      </w:r>
      <w:r w:rsidR="005E1FE0" w:rsidRPr="00DF38B2">
        <w:rPr>
          <w:rFonts w:eastAsia="Times New Roman"/>
        </w:rPr>
        <w:fldChar w:fldCharType="begin"/>
      </w:r>
      <w:r w:rsidR="005E1FE0" w:rsidRPr="00DF38B2">
        <w:rPr>
          <w:rFonts w:eastAsia="Times New Roman"/>
        </w:rPr>
        <w:instrText xml:space="preserve"> REF _Ref392153853 \h </w:instrText>
      </w:r>
      <w:r w:rsidR="005E1FE0" w:rsidRPr="00DF38B2">
        <w:rPr>
          <w:rFonts w:eastAsia="Times New Roman"/>
        </w:rPr>
      </w:r>
      <w:r w:rsidR="005E1FE0" w:rsidRPr="00DF38B2">
        <w:rPr>
          <w:rFonts w:eastAsia="Times New Roman"/>
        </w:rPr>
        <w:fldChar w:fldCharType="separate"/>
      </w:r>
      <w:r w:rsidR="00906D13" w:rsidRPr="00FE502F">
        <w:t xml:space="preserve">Table </w:t>
      </w:r>
      <w:r w:rsidR="00906D13">
        <w:rPr>
          <w:noProof/>
        </w:rPr>
        <w:t>5</w:t>
      </w:r>
      <w:r w:rsidR="00906D13">
        <w:noBreakHyphen/>
      </w:r>
      <w:r w:rsidR="00906D13">
        <w:rPr>
          <w:noProof/>
        </w:rPr>
        <w:t>13</w:t>
      </w:r>
      <w:r w:rsidR="005E1FE0" w:rsidRPr="00DF38B2">
        <w:rPr>
          <w:rFonts w:eastAsia="Times New Roman"/>
        </w:rPr>
        <w:fldChar w:fldCharType="end"/>
      </w:r>
      <w:r w:rsidR="005E1FE0" w:rsidRPr="00DF38B2">
        <w:rPr>
          <w:rFonts w:eastAsia="Times New Roman"/>
        </w:rPr>
        <w:t xml:space="preserve"> presents some of these responses</w:t>
      </w:r>
      <w:r w:rsidR="00A1421A">
        <w:rPr>
          <w:rFonts w:eastAsia="Times New Roman"/>
        </w:rPr>
        <w:t xml:space="preserve">. </w:t>
      </w:r>
    </w:p>
    <w:p w:rsidR="005E1FE0" w:rsidRPr="00DF38B2" w:rsidRDefault="005E1FE0" w:rsidP="006654AE">
      <w:pPr>
        <w:pStyle w:val="Caption"/>
        <w:rPr>
          <w:rFonts w:eastAsia="Times New Roman"/>
        </w:rPr>
      </w:pPr>
      <w:bookmarkStart w:id="301" w:name="_Ref392153853"/>
      <w:bookmarkStart w:id="302" w:name="_Toc403739437"/>
      <w:r w:rsidRPr="00FE502F">
        <w:t xml:space="preserve">Table </w:t>
      </w:r>
      <w:fldSimple w:instr=" STYLEREF 1 \s ">
        <w:r w:rsidR="00906D13">
          <w:rPr>
            <w:noProof/>
          </w:rPr>
          <w:t>5</w:t>
        </w:r>
      </w:fldSimple>
      <w:r w:rsidR="00D40B64">
        <w:noBreakHyphen/>
      </w:r>
      <w:fldSimple w:instr=" SEQ Table \* ARABIC \s 1 ">
        <w:r w:rsidR="00906D13">
          <w:rPr>
            <w:noProof/>
          </w:rPr>
          <w:t>13</w:t>
        </w:r>
      </w:fldSimple>
      <w:bookmarkEnd w:id="301"/>
      <w:r w:rsidR="00B84AFE">
        <w:t xml:space="preserve"> </w:t>
      </w:r>
      <w:r w:rsidRPr="00F57911">
        <w:tab/>
        <w:t>Persons who wanted to leave income management, lack of knowledge of exemptions</w:t>
      </w:r>
      <w:r w:rsidR="00343627">
        <w:t xml:space="preserve">, </w:t>
      </w:r>
      <w:r w:rsidR="00343627" w:rsidRPr="00D86209">
        <w:t>LSNIM, Wave 2, 2013</w:t>
      </w:r>
      <w:bookmarkEnd w:id="302"/>
    </w:p>
    <w:tbl>
      <w:tblPr>
        <w:tblW w:w="85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520"/>
      </w:tblGrid>
      <w:tr w:rsidR="005E1FE0" w:rsidRPr="00DF38B2" w:rsidTr="00C87A73">
        <w:trPr>
          <w:cantSplit/>
          <w:trHeight w:val="20"/>
          <w:tblHeader/>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Don't know what to do and who to see about it.</w:t>
            </w:r>
          </w:p>
        </w:tc>
      </w:tr>
      <w:tr w:rsidR="005E1FE0" w:rsidRPr="00DF38B2" w:rsidTr="00535C84">
        <w:trPr>
          <w:cantSplit/>
          <w:trHeight w:val="20"/>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No one told me about this, and who to talk to.</w:t>
            </w:r>
          </w:p>
        </w:tc>
      </w:tr>
      <w:tr w:rsidR="005E1FE0" w:rsidRPr="00DF38B2" w:rsidTr="00535C84">
        <w:trPr>
          <w:cantSplit/>
          <w:trHeight w:val="20"/>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don't know about this.</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8525AF">
      <w:pPr>
        <w:pStyle w:val="h4l3"/>
      </w:pPr>
      <w:r w:rsidRPr="00DF38B2">
        <w:t>Summary – experience of people trying to get off</w:t>
      </w:r>
      <w:r w:rsidR="00184119">
        <w:t xml:space="preserve"> income management</w:t>
      </w:r>
    </w:p>
    <w:p w:rsidR="005E1FE0" w:rsidRPr="00DF38B2" w:rsidRDefault="005E1FE0" w:rsidP="006654AE">
      <w:r w:rsidRPr="00DF38B2">
        <w:t>In broad terms people seeking to obtain an exemption from income management have similar motivations to those with exemptions</w:t>
      </w:r>
      <w:r w:rsidR="00A1421A">
        <w:t xml:space="preserve">. </w:t>
      </w:r>
      <w:r w:rsidRPr="00DF38B2">
        <w:t xml:space="preserve">The LSNIM and other data collections identify that many </w:t>
      </w:r>
      <w:r w:rsidR="00E523E8">
        <w:t xml:space="preserve">people in </w:t>
      </w:r>
      <w:r w:rsidRPr="00DF38B2">
        <w:t xml:space="preserve">this group have problems with the processes. The </w:t>
      </w:r>
      <w:r w:rsidR="00384AE0" w:rsidRPr="00DF38B2">
        <w:t xml:space="preserve">first </w:t>
      </w:r>
      <w:r w:rsidR="00E523E8">
        <w:t xml:space="preserve">problem </w:t>
      </w:r>
      <w:proofErr w:type="gramStart"/>
      <w:r w:rsidR="00384AE0" w:rsidRPr="00DF38B2">
        <w:t>is simply</w:t>
      </w:r>
      <w:r w:rsidRPr="00DF38B2">
        <w:t xml:space="preserve"> understanding</w:t>
      </w:r>
      <w:proofErr w:type="gramEnd"/>
      <w:r w:rsidRPr="00DF38B2">
        <w:t xml:space="preserve"> the processes</w:t>
      </w:r>
      <w:r w:rsidR="00E523E8">
        <w:t>,</w:t>
      </w:r>
      <w:r w:rsidRPr="00DF38B2">
        <w:t xml:space="preserve"> and </w:t>
      </w:r>
      <w:r w:rsidR="00384AE0" w:rsidRPr="00DF38B2">
        <w:t xml:space="preserve">the second </w:t>
      </w:r>
      <w:r w:rsidR="00E523E8">
        <w:t>concerns</w:t>
      </w:r>
      <w:r w:rsidR="00384AE0" w:rsidRPr="00DF38B2">
        <w:t xml:space="preserve"> the difficulties they encounter as they try to work through these</w:t>
      </w:r>
      <w:r w:rsidR="00E523E8">
        <w:t xml:space="preserve"> processes</w:t>
      </w:r>
      <w:r w:rsidR="00A1421A">
        <w:t xml:space="preserve">. </w:t>
      </w:r>
      <w:r w:rsidRPr="00DF38B2">
        <w:t>Issues of a lack of understanding seem to be widespread and range from matters such as knowing the reasons why an application for an exemption was rejected, through to an understanding of the criteria for exemptions and knowledge about how to go about obtaining one.</w:t>
      </w:r>
    </w:p>
    <w:p w:rsidR="005E1FE0" w:rsidRPr="00DF38B2" w:rsidRDefault="005E1FE0" w:rsidP="006654AE">
      <w:r w:rsidRPr="00DF38B2">
        <w:t xml:space="preserve">While </w:t>
      </w:r>
      <w:r w:rsidR="00E523E8" w:rsidRPr="00DF38B2">
        <w:t xml:space="preserve">on balance </w:t>
      </w:r>
      <w:r w:rsidRPr="00DF38B2">
        <w:t>those who succeeded in obtaining an exemption reported that they found the process easy, this sense is not apparent in the responses of people who have been unable to gain an exemption or are currently still in the process of seeking one.</w:t>
      </w:r>
    </w:p>
    <w:p w:rsidR="005E1FE0" w:rsidRPr="00DF38B2" w:rsidRDefault="005E1FE0" w:rsidP="006654AE">
      <w:r w:rsidRPr="00DF38B2">
        <w:t xml:space="preserve">As with those who have obtained an exemption, very few of those who have tried or are trying to obtain an exemption feel that income management has played a role in preparing them for this. </w:t>
      </w:r>
    </w:p>
    <w:p w:rsidR="005E1FE0" w:rsidRPr="00DF38B2" w:rsidRDefault="005E1FE0" w:rsidP="006654AE">
      <w:pPr>
        <w:pStyle w:val="Heading2"/>
        <w:spacing w:line="252" w:lineRule="auto"/>
      </w:pPr>
      <w:bookmarkStart w:id="303" w:name="_Toc403739035"/>
      <w:r w:rsidRPr="00DF38B2">
        <w:t>Appeals and reviews of decisions</w:t>
      </w:r>
      <w:bookmarkEnd w:id="303"/>
    </w:p>
    <w:p w:rsidR="005E1FE0" w:rsidRPr="00DF38B2" w:rsidRDefault="005E1FE0" w:rsidP="006654AE">
      <w:r w:rsidRPr="00DF38B2">
        <w:t xml:space="preserve">The appeal rights under income management have been described in Chapter 2. </w:t>
      </w:r>
      <w:r w:rsidRPr="00DF38B2">
        <w:fldChar w:fldCharType="begin"/>
      </w:r>
      <w:r w:rsidRPr="00DF38B2">
        <w:instrText xml:space="preserve"> REF _Ref392285817 \h </w:instrText>
      </w:r>
      <w:r w:rsidRPr="00DF38B2">
        <w:fldChar w:fldCharType="separate"/>
      </w:r>
      <w:r w:rsidR="00906D13" w:rsidRPr="00DF38B2">
        <w:t xml:space="preserve">Table </w:t>
      </w:r>
      <w:r w:rsidR="00906D13">
        <w:rPr>
          <w:noProof/>
        </w:rPr>
        <w:t>5</w:t>
      </w:r>
      <w:r w:rsidR="00906D13">
        <w:noBreakHyphen/>
      </w:r>
      <w:r w:rsidR="00906D13">
        <w:rPr>
          <w:noProof/>
        </w:rPr>
        <w:t>14</w:t>
      </w:r>
      <w:r w:rsidRPr="00DF38B2">
        <w:fldChar w:fldCharType="end"/>
      </w:r>
      <w:r w:rsidRPr="00DF38B2">
        <w:t xml:space="preserve"> details the number of appeals by level of appeal by year and the I</w:t>
      </w:r>
      <w:r w:rsidRPr="00FE502F">
        <w:t>ndigenous status of the appellant. Since 2010</w:t>
      </w:r>
      <w:r w:rsidR="00E523E8">
        <w:t>,</w:t>
      </w:r>
      <w:r w:rsidRPr="00FE502F">
        <w:t xml:space="preserve"> 393 appeals have been </w:t>
      </w:r>
      <w:proofErr w:type="gramStart"/>
      <w:r w:rsidRPr="00FE502F">
        <w:t>lodged</w:t>
      </w:r>
      <w:r w:rsidR="00E523E8">
        <w:t>,</w:t>
      </w:r>
      <w:proofErr w:type="gramEnd"/>
      <w:r w:rsidRPr="00FE502F">
        <w:t xml:space="preserve"> </w:t>
      </w:r>
      <w:r w:rsidRPr="009655C3">
        <w:t>with between 68 and 150 appeals being lodged per year, but with no particular time trend apparent. The 255 appeals lodged by non-Indigenous people is almost double the number lodged by Indigenous people</w:t>
      </w:r>
      <w:r w:rsidR="00E523E8">
        <w:t>,</w:t>
      </w:r>
      <w:r w:rsidRPr="009655C3">
        <w:t xml:space="preserve"> despite the disproportionate </w:t>
      </w:r>
      <w:r w:rsidR="00F57911">
        <w:t>number of people on income management who are Indigenous</w:t>
      </w:r>
      <w:r w:rsidRPr="00DF38B2">
        <w:t>.</w:t>
      </w:r>
    </w:p>
    <w:p w:rsidR="005E1FE0" w:rsidRPr="00DF38B2" w:rsidRDefault="005E1FE0" w:rsidP="006654AE">
      <w:pPr>
        <w:pStyle w:val="Caption"/>
      </w:pPr>
      <w:bookmarkStart w:id="304" w:name="_Ref392285817"/>
      <w:bookmarkStart w:id="305" w:name="_Toc403739438"/>
      <w:r w:rsidRPr="00DF38B2">
        <w:lastRenderedPageBreak/>
        <w:t xml:space="preserve">Table </w:t>
      </w:r>
      <w:fldSimple w:instr=" STYLEREF 1 \s ">
        <w:r w:rsidR="00906D13">
          <w:rPr>
            <w:noProof/>
          </w:rPr>
          <w:t>5</w:t>
        </w:r>
      </w:fldSimple>
      <w:r w:rsidR="00D40B64">
        <w:noBreakHyphen/>
      </w:r>
      <w:fldSimple w:instr=" SEQ Table \* ARABIC \s 1 ">
        <w:r w:rsidR="00906D13">
          <w:rPr>
            <w:noProof/>
          </w:rPr>
          <w:t>14</w:t>
        </w:r>
      </w:fldSimple>
      <w:bookmarkEnd w:id="304"/>
      <w:r w:rsidRPr="00DF38B2">
        <w:t xml:space="preserve"> </w:t>
      </w:r>
      <w:r w:rsidR="00B235E1">
        <w:tab/>
      </w:r>
      <w:r w:rsidRPr="00DF38B2">
        <w:t xml:space="preserve">Appeals relating to </w:t>
      </w:r>
      <w:r w:rsidR="005E4CAC">
        <w:t>income management</w:t>
      </w:r>
      <w:r w:rsidRPr="00DF38B2">
        <w:t>, 2010 to 2013</w:t>
      </w:r>
      <w:bookmarkEnd w:id="305"/>
    </w:p>
    <w:tbl>
      <w:tblPr>
        <w:tblW w:w="8137" w:type="dxa"/>
        <w:jc w:val="center"/>
        <w:tblLook w:val="04A0" w:firstRow="1" w:lastRow="0" w:firstColumn="1" w:lastColumn="0" w:noHBand="0" w:noVBand="1"/>
        <w:tblDescription w:val="This table presents details on the number of appeals lodged relating to income management decisions, there are four data columns. One for each year from 2010 to 2013. The table has three panels – the first is for Indigenous persons, the second for non-Indigenous and the third for the total of these two groups. Each panel contains 5 rows of data for appeals to the Original Decision Maker; an Authorised Review Officer; the Social Security Appeals Tribunal; the Administrative Appeals Tribunal; and a Total.&#10;A brief summary of the data is in the text&#10;"/>
      </w:tblPr>
      <w:tblGrid>
        <w:gridCol w:w="1526"/>
        <w:gridCol w:w="2771"/>
        <w:gridCol w:w="960"/>
        <w:gridCol w:w="960"/>
        <w:gridCol w:w="960"/>
        <w:gridCol w:w="960"/>
      </w:tblGrid>
      <w:tr w:rsidR="00FB38DF" w:rsidRPr="00E7210E" w:rsidTr="00FB38DF">
        <w:trPr>
          <w:trHeight w:val="20"/>
          <w:tblHeader/>
          <w:jc w:val="center"/>
        </w:trPr>
        <w:tc>
          <w:tcPr>
            <w:tcW w:w="1526" w:type="dxa"/>
            <w:tcBorders>
              <w:top w:val="single" w:sz="4" w:space="0" w:color="auto"/>
              <w:left w:val="nil"/>
              <w:bottom w:val="single" w:sz="4" w:space="0" w:color="auto"/>
              <w:right w:val="nil"/>
            </w:tcBorders>
          </w:tcPr>
          <w:p w:rsidR="00FB38DF" w:rsidRPr="00E7210E" w:rsidRDefault="00FB38DF" w:rsidP="006654AE">
            <w:pPr>
              <w:pStyle w:val="tabletextleft"/>
              <w:rPr>
                <w:rFonts w:eastAsia="Times New Roman"/>
              </w:rPr>
            </w:pPr>
            <w:r w:rsidRPr="00E7210E">
              <w:rPr>
                <w:rFonts w:eastAsia="Times New Roman"/>
              </w:rPr>
              <w:t>Indigenous status</w:t>
            </w:r>
          </w:p>
        </w:tc>
        <w:tc>
          <w:tcPr>
            <w:tcW w:w="2771"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left"/>
              <w:rPr>
                <w:rFonts w:eastAsia="Times New Roman"/>
              </w:rPr>
            </w:pPr>
            <w:r w:rsidRPr="00E7210E">
              <w:rPr>
                <w:rFonts w:eastAsia="Times New Roman"/>
              </w:rPr>
              <w:t>Appeal to:</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2010</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2011</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2012</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2013</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Indigenous</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28</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26</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14</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37</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44</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25</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32</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Non-Indigenous</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17</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45</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23</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34</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39</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106</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43</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67</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All</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45</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71</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37</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28</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DF38B2"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76</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150</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68</w:t>
            </w:r>
          </w:p>
        </w:tc>
        <w:tc>
          <w:tcPr>
            <w:tcW w:w="960" w:type="dxa"/>
            <w:tcBorders>
              <w:top w:val="nil"/>
              <w:left w:val="nil"/>
              <w:bottom w:val="single" w:sz="4" w:space="0" w:color="auto"/>
              <w:right w:val="nil"/>
            </w:tcBorders>
            <w:shd w:val="clear" w:color="auto" w:fill="auto"/>
            <w:noWrap/>
            <w:vAlign w:val="bottom"/>
            <w:hideMark/>
          </w:tcPr>
          <w:p w:rsidR="009A06B6" w:rsidRPr="00DF38B2" w:rsidRDefault="009A06B6" w:rsidP="006654AE">
            <w:pPr>
              <w:pStyle w:val="tabletextright"/>
              <w:rPr>
                <w:rFonts w:eastAsia="Times New Roman"/>
              </w:rPr>
            </w:pPr>
            <w:r w:rsidRPr="00E7210E">
              <w:rPr>
                <w:rFonts w:eastAsia="Times New Roman"/>
              </w:rPr>
              <w:t>99</w:t>
            </w:r>
          </w:p>
        </w:tc>
      </w:tr>
    </w:tbl>
    <w:p w:rsidR="005E1FE0" w:rsidRPr="00DF38B2" w:rsidRDefault="005E1FE0" w:rsidP="006654AE">
      <w:pPr>
        <w:pStyle w:val="tablenotes"/>
      </w:pPr>
      <w:r w:rsidRPr="00DF38B2">
        <w:t>Note:</w:t>
      </w:r>
      <w:r w:rsidRPr="00DF38B2">
        <w:tab/>
        <w:t>Data based on number of Finalised Appeals by the Case Area of North Australia.</w:t>
      </w:r>
    </w:p>
    <w:p w:rsidR="005E1FE0" w:rsidRDefault="005E1FE0" w:rsidP="006654AE">
      <w:pPr>
        <w:pStyle w:val="tablenotes"/>
      </w:pPr>
      <w:r w:rsidRPr="00DF38B2">
        <w:t xml:space="preserve">Source: </w:t>
      </w:r>
      <w:r w:rsidRPr="00DF38B2">
        <w:tab/>
      </w:r>
      <w:r w:rsidR="00DA618C">
        <w:t xml:space="preserve">Derived from administrative data </w:t>
      </w:r>
      <w:r w:rsidRPr="00DF38B2">
        <w:t xml:space="preserve">provided </w:t>
      </w:r>
      <w:r w:rsidR="00DA618C">
        <w:t xml:space="preserve">for the purposes of </w:t>
      </w:r>
      <w:r w:rsidRPr="00DF38B2">
        <w:t xml:space="preserve">the evaluation by </w:t>
      </w:r>
      <w:r w:rsidR="00060511">
        <w:t>DHS</w:t>
      </w:r>
      <w:r w:rsidR="00BF56C6">
        <w:t>.</w:t>
      </w:r>
    </w:p>
    <w:p w:rsidR="00837B4F" w:rsidRPr="00DF38B2" w:rsidRDefault="00837B4F" w:rsidP="006654AE">
      <w:pPr>
        <w:pStyle w:val="tablefootnoteslastline"/>
      </w:pPr>
    </w:p>
    <w:p w:rsidR="005E1FE0" w:rsidRPr="00DF38B2" w:rsidRDefault="005E1FE0" w:rsidP="006654AE">
      <w:r w:rsidRPr="00DF38B2">
        <w:t>Most appeals result in the affirmation of the original decision</w:t>
      </w:r>
      <w:r w:rsidR="00A1421A">
        <w:t xml:space="preserve">. </w:t>
      </w:r>
      <w:r w:rsidRPr="00DF38B2">
        <w:t>In 2012 and 2013</w:t>
      </w:r>
      <w:r w:rsidR="00E523E8">
        <w:t>,</w:t>
      </w:r>
      <w:r w:rsidRPr="00DF38B2">
        <w:t xml:space="preserve"> of the 75 appeals that went to an Authorised Review Officer</w:t>
      </w:r>
      <w:r w:rsidR="00804838">
        <w:t xml:space="preserve"> (ARO</w:t>
      </w:r>
      <w:r w:rsidR="00A8053C">
        <w:t>),</w:t>
      </w:r>
      <w:r w:rsidRPr="00DF38B2">
        <w:t xml:space="preserve"> 64 were affirmed, two were withdrawn</w:t>
      </w:r>
      <w:r w:rsidR="00E523E8">
        <w:t>,</w:t>
      </w:r>
      <w:r w:rsidRPr="00DF38B2">
        <w:t xml:space="preserve"> and just 9 upheld. Of those going to the Social Security Appeals Tribunal</w:t>
      </w:r>
      <w:r w:rsidR="00E523E8">
        <w:t>,</w:t>
      </w:r>
      <w:r w:rsidRPr="00DF38B2">
        <w:t xml:space="preserve"> two were affirmed, one withdrawn</w:t>
      </w:r>
      <w:r w:rsidR="00E523E8">
        <w:t>,</w:t>
      </w:r>
      <w:r w:rsidRPr="00DF38B2">
        <w:t xml:space="preserve"> and 2 dismissed for non-appearance.</w:t>
      </w:r>
    </w:p>
    <w:p w:rsidR="005E1FE0" w:rsidRPr="00DF38B2" w:rsidRDefault="005E1FE0" w:rsidP="006654AE">
      <w:pPr>
        <w:pStyle w:val="Caption"/>
      </w:pPr>
      <w:bookmarkStart w:id="306" w:name="_Toc403739439"/>
      <w:r w:rsidRPr="00DF38B2">
        <w:t xml:space="preserve">Table </w:t>
      </w:r>
      <w:fldSimple w:instr=" STYLEREF 1 \s ">
        <w:r w:rsidR="00906D13">
          <w:rPr>
            <w:noProof/>
          </w:rPr>
          <w:t>5</w:t>
        </w:r>
      </w:fldSimple>
      <w:r w:rsidR="00D40B64">
        <w:noBreakHyphen/>
      </w:r>
      <w:fldSimple w:instr=" SEQ Table \* ARABIC \s 1 ">
        <w:r w:rsidR="00906D13">
          <w:rPr>
            <w:noProof/>
          </w:rPr>
          <w:t>15</w:t>
        </w:r>
      </w:fldSimple>
      <w:r w:rsidRPr="00DF38B2">
        <w:tab/>
        <w:t xml:space="preserve">Outcomes of appeals </w:t>
      </w:r>
      <w:r w:rsidR="006F51EF">
        <w:t xml:space="preserve">relating to income management </w:t>
      </w:r>
      <w:r w:rsidRPr="00DF38B2">
        <w:t xml:space="preserve">by </w:t>
      </w:r>
      <w:r w:rsidR="00D0429A">
        <w:t>decision-mak</w:t>
      </w:r>
      <w:r w:rsidRPr="00DF38B2">
        <w:t>ing level, combined 2012 and 2013</w:t>
      </w:r>
      <w:bookmarkEnd w:id="306"/>
    </w:p>
    <w:tbl>
      <w:tblPr>
        <w:tblW w:w="7663" w:type="dxa"/>
        <w:jc w:val="center"/>
        <w:tblLook w:val="04A0" w:firstRow="1" w:lastRow="0" w:firstColumn="1" w:lastColumn="0" w:noHBand="0" w:noVBand="1"/>
        <w:tblDescription w:val="This table shows for the four types of appeal – that is to the Original Decision Maker; an Authorised Review Officer; the Social Security Appeals Tribunal; and the Administrative Appeals Tribunal, which appear as columns, the outcome of the appeal, that is an Affirmed Decision; Decisions set aside; Decisions varied; appeal Withdrawn; Decision Explained; a Priority Review initiated; Referred to ARO after internal review; Dismissed for Non-Appearance; or a decision of No jurisdiction.&#10;As indicated in the text the table shows that most appeals result in the affirmation of the original decision. In 2012 and 2013, of the 75 appeals that went to an Authorised Review Officer (ARO), 64 were affirmed, two were withdrawn, and just 9 upheld. Of those going to the Social Security Appeals Tribunal, two were affirmed, one withdrawn, and 2 dismissed for non-appearance&#10;"/>
      </w:tblPr>
      <w:tblGrid>
        <w:gridCol w:w="3378"/>
        <w:gridCol w:w="960"/>
        <w:gridCol w:w="1024"/>
        <w:gridCol w:w="960"/>
        <w:gridCol w:w="1341"/>
      </w:tblGrid>
      <w:tr w:rsidR="005E1FE0" w:rsidRPr="00DF38B2" w:rsidTr="00C87A73">
        <w:trPr>
          <w:trHeight w:val="20"/>
          <w:tblHeader/>
          <w:jc w:val="center"/>
        </w:trPr>
        <w:tc>
          <w:tcPr>
            <w:tcW w:w="3378"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Original Decision Maker</w:t>
            </w:r>
          </w:p>
        </w:tc>
        <w:tc>
          <w:tcPr>
            <w:tcW w:w="102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Authorised Review Officer </w:t>
            </w:r>
          </w:p>
        </w:tc>
        <w:tc>
          <w:tcPr>
            <w:tcW w:w="9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Social Security Appeals Tribunal </w:t>
            </w:r>
          </w:p>
        </w:tc>
        <w:tc>
          <w:tcPr>
            <w:tcW w:w="134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Administrative Appeals Tribunal</w:t>
            </w:r>
          </w:p>
        </w:tc>
      </w:tr>
      <w:tr w:rsidR="005E1FE0" w:rsidRPr="00DF38B2" w:rsidTr="00837B4F">
        <w:trPr>
          <w:trHeight w:val="20"/>
          <w:jc w:val="center"/>
        </w:trPr>
        <w:tc>
          <w:tcPr>
            <w:tcW w:w="337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Affirmed Decision</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w:t>
            </w:r>
          </w:p>
        </w:tc>
        <w:tc>
          <w:tcPr>
            <w:tcW w:w="102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34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Decisions set aside</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Decisions varied</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Withdrawn</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 Explained</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Priority Review</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Referred to ARO after internal review</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Dismissed for Non-Appearance</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 jurisdiction</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c>
          <w:tcPr>
            <w:tcW w:w="102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w:t>
            </w:r>
          </w:p>
        </w:tc>
        <w:tc>
          <w:tcPr>
            <w:tcW w:w="134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bl>
    <w:p w:rsidR="005E1FE0" w:rsidRPr="00DF38B2" w:rsidRDefault="005E1FE0" w:rsidP="006654AE">
      <w:pPr>
        <w:pStyle w:val="tablenotes"/>
      </w:pPr>
      <w:r w:rsidRPr="00DF38B2">
        <w:t>Note:</w:t>
      </w:r>
      <w:r w:rsidRPr="00DF38B2">
        <w:tab/>
        <w:t>Data based on number of Finalised Appeals by the Case Area of North Australia.</w:t>
      </w:r>
    </w:p>
    <w:p w:rsidR="005E1FE0" w:rsidRPr="00DF38B2" w:rsidRDefault="005E1FE0" w:rsidP="006654AE">
      <w:pPr>
        <w:pStyle w:val="tablenotes"/>
      </w:pPr>
      <w:r w:rsidRPr="00DF38B2">
        <w:t xml:space="preserve">Source: </w:t>
      </w:r>
      <w:r w:rsidRPr="00DF38B2">
        <w:tab/>
      </w:r>
      <w:r w:rsidR="00DA618C" w:rsidRPr="00DA618C">
        <w:t>Derived from administrative data provided for the purposes of the evaluation by DHS</w:t>
      </w:r>
      <w:r w:rsidR="00BF56C6">
        <w:t>.</w:t>
      </w:r>
    </w:p>
    <w:p w:rsidR="005E1FE0" w:rsidRPr="00DF38B2" w:rsidRDefault="005E1FE0" w:rsidP="006654AE">
      <w:pPr>
        <w:pStyle w:val="tablefootnoteslastline"/>
      </w:pPr>
    </w:p>
    <w:p w:rsidR="005E1FE0" w:rsidRPr="00DF38B2" w:rsidRDefault="005E1FE0" w:rsidP="006654AE">
      <w:r w:rsidRPr="00DF38B2">
        <w:t>The main change in appeals over the above period has been that there has been a shift, commencing in 2012</w:t>
      </w:r>
      <w:r w:rsidR="00EA7AE6" w:rsidRPr="00DF38B2">
        <w:t>,</w:t>
      </w:r>
      <w:r w:rsidRPr="00DF38B2">
        <w:t xml:space="preserve"> for appeals to an original decision maker to be referred to an Authorised Review Officer</w:t>
      </w:r>
      <w:r w:rsidR="00E523E8">
        <w:t>,</w:t>
      </w:r>
      <w:r w:rsidRPr="00DF38B2">
        <w:t xml:space="preserve"> rather than being determined by the </w:t>
      </w:r>
      <w:r w:rsidR="00EA7AE6" w:rsidRPr="00DF38B2">
        <w:t>original d</w:t>
      </w:r>
      <w:r w:rsidRPr="00DF38B2">
        <w:t>ecision maker themselves.</w:t>
      </w:r>
    </w:p>
    <w:p w:rsidR="005E1FE0" w:rsidRPr="00DF38B2" w:rsidRDefault="005E1FE0" w:rsidP="006654AE">
      <w:pPr>
        <w:pStyle w:val="Heading2"/>
        <w:spacing w:line="252" w:lineRule="auto"/>
      </w:pPr>
      <w:bookmarkStart w:id="307" w:name="_Toc403739036"/>
      <w:r w:rsidRPr="00DF38B2">
        <w:t xml:space="preserve">Exemptions </w:t>
      </w:r>
      <w:r w:rsidR="00E523E8">
        <w:t>–</w:t>
      </w:r>
      <w:r w:rsidRPr="00DF38B2">
        <w:t xml:space="preserve"> summary</w:t>
      </w:r>
      <w:bookmarkEnd w:id="307"/>
    </w:p>
    <w:p w:rsidR="005E1FE0" w:rsidRPr="00DF38B2" w:rsidRDefault="005E1FE0" w:rsidP="006654AE">
      <w:r w:rsidRPr="00DF38B2">
        <w:t>Offering people access to exemptions is identified in the program guidelines as one of the principal means by which income management seeks to promote “personal responsibility and positive social behaviour”</w:t>
      </w:r>
      <w:r w:rsidR="00A1421A">
        <w:t xml:space="preserve">. </w:t>
      </w:r>
      <w:r w:rsidRPr="00DF38B2">
        <w:t xml:space="preserve">There is little evidence that this is the case. </w:t>
      </w:r>
    </w:p>
    <w:p w:rsidR="005E1FE0" w:rsidRPr="00DF38B2" w:rsidRDefault="005E1FE0" w:rsidP="006654AE">
      <w:pPr>
        <w:rPr>
          <w:szCs w:val="19"/>
        </w:rPr>
      </w:pPr>
      <w:r w:rsidRPr="00DF38B2">
        <w:rPr>
          <w:szCs w:val="19"/>
        </w:rPr>
        <w:t>The evidence examined in this chapter indicates that:</w:t>
      </w:r>
    </w:p>
    <w:p w:rsidR="005E1FE0" w:rsidRPr="00DF38B2" w:rsidRDefault="005E1FE0" w:rsidP="006654AE">
      <w:pPr>
        <w:pStyle w:val="dot"/>
        <w:spacing w:line="252" w:lineRule="auto"/>
      </w:pPr>
      <w:r w:rsidRPr="00DF38B2">
        <w:t xml:space="preserve">The overall rate of exemptions is low, and in December 2013 was 10.2 per cent of the potential </w:t>
      </w:r>
      <w:r w:rsidR="00532086">
        <w:t>C</w:t>
      </w:r>
      <w:r w:rsidRPr="00DF38B2">
        <w:t xml:space="preserve">ompulsory </w:t>
      </w:r>
      <w:r w:rsidR="00532086">
        <w:t>I</w:t>
      </w:r>
      <w:r w:rsidRPr="00DF38B2">
        <w:t xml:space="preserve">ncome </w:t>
      </w:r>
      <w:r w:rsidR="00532086">
        <w:t>M</w:t>
      </w:r>
      <w:r w:rsidRPr="00DF38B2">
        <w:t>anagement population.</w:t>
      </w:r>
    </w:p>
    <w:p w:rsidR="005E1FE0" w:rsidRPr="00DF38B2" w:rsidRDefault="005E1FE0" w:rsidP="006654AE">
      <w:pPr>
        <w:pStyle w:val="dot"/>
        <w:spacing w:line="252" w:lineRule="auto"/>
      </w:pPr>
      <w:r w:rsidRPr="00DF38B2">
        <w:t>This level is similar to, or indeed a little below, the average rate recorded for the program over time.</w:t>
      </w:r>
    </w:p>
    <w:p w:rsidR="005E1FE0" w:rsidRPr="00DF38B2" w:rsidRDefault="005E1FE0" w:rsidP="006654AE">
      <w:pPr>
        <w:pStyle w:val="dot"/>
        <w:spacing w:line="252" w:lineRule="auto"/>
      </w:pPr>
      <w:r w:rsidRPr="00DF38B2">
        <w:lastRenderedPageBreak/>
        <w:t>Exemption rates vary significantly for different groups:</w:t>
      </w:r>
    </w:p>
    <w:p w:rsidR="005E1FE0" w:rsidRPr="00DF38B2" w:rsidRDefault="005E1FE0" w:rsidP="006654AE">
      <w:pPr>
        <w:pStyle w:val="dash"/>
        <w:spacing w:line="252" w:lineRule="auto"/>
      </w:pPr>
      <w:r w:rsidRPr="00DF38B2">
        <w:t>While parents with dependent children have an exemption rate of 17.1 per cent, the very limited criteria under which a person without dependent children means that the exemption rate for this group is just 0.6 per cent.</w:t>
      </w:r>
    </w:p>
    <w:p w:rsidR="00EA7AE6" w:rsidRPr="00DF38B2" w:rsidRDefault="005E1FE0" w:rsidP="006654AE">
      <w:pPr>
        <w:pStyle w:val="dash"/>
        <w:spacing w:line="252" w:lineRule="auto"/>
      </w:pPr>
      <w:r w:rsidRPr="00DF38B2">
        <w:t xml:space="preserve">There is a very large and persistent difference in the extent to which Indigenous Australians obtain exemptions from income management, with this being even more marked for those who live outside the major urban areas. This gap reflects both lower application rates for exemptions and a much lower success rate for these applications. </w:t>
      </w:r>
    </w:p>
    <w:p w:rsidR="005E1FE0" w:rsidRPr="00DF38B2" w:rsidRDefault="005E1FE0" w:rsidP="006654AE">
      <w:pPr>
        <w:pStyle w:val="dash"/>
        <w:spacing w:line="252" w:lineRule="auto"/>
      </w:pPr>
      <w:r w:rsidRPr="00DF38B2">
        <w:t xml:space="preserve">In December 2013, while 36.3 per cent of the non-Indigenous population potentially eligible for </w:t>
      </w:r>
      <w:r w:rsidR="00532086">
        <w:t>C</w:t>
      </w:r>
      <w:r w:rsidRPr="00DF38B2">
        <w:t xml:space="preserve">ompulsory </w:t>
      </w:r>
      <w:r w:rsidR="00532086">
        <w:t>I</w:t>
      </w:r>
      <w:r w:rsidRPr="00DF38B2">
        <w:t xml:space="preserve">ncome </w:t>
      </w:r>
      <w:r w:rsidR="00532086">
        <w:t>M</w:t>
      </w:r>
      <w:r w:rsidRPr="00DF38B2">
        <w:t>anagement has an exemption, just 4.9 per cent of the non-Indigenous population does.</w:t>
      </w:r>
    </w:p>
    <w:p w:rsidR="005E1FE0" w:rsidRPr="00DF38B2" w:rsidRDefault="00EA7AE6" w:rsidP="006654AE">
      <w:pPr>
        <w:pStyle w:val="dash"/>
        <w:spacing w:line="252" w:lineRule="auto"/>
      </w:pPr>
      <w:r w:rsidRPr="00DF38B2">
        <w:t>W</w:t>
      </w:r>
      <w:r w:rsidR="005E1FE0" w:rsidRPr="00DF38B2">
        <w:t>hile non-Indigenous women had a 51.4 per cent exemption rate</w:t>
      </w:r>
      <w:r w:rsidR="00E523E8">
        <w:t>,</w:t>
      </w:r>
      <w:r w:rsidR="005E1FE0" w:rsidRPr="00DF38B2">
        <w:t xml:space="preserve"> only 0.4 per cent of Indigenous men were exempt. </w:t>
      </w:r>
    </w:p>
    <w:p w:rsidR="005E1FE0" w:rsidRPr="00DF38B2" w:rsidRDefault="005E1FE0" w:rsidP="006654AE">
      <w:pPr>
        <w:pStyle w:val="dot"/>
        <w:spacing w:line="252" w:lineRule="auto"/>
      </w:pPr>
      <w:r w:rsidRPr="00DF38B2">
        <w:t>There are different pathways into and out of exemptions:</w:t>
      </w:r>
    </w:p>
    <w:p w:rsidR="005E1FE0" w:rsidRPr="00DF38B2" w:rsidRDefault="005E1FE0" w:rsidP="006654AE">
      <w:pPr>
        <w:pStyle w:val="dash"/>
        <w:spacing w:line="252" w:lineRule="auto"/>
      </w:pPr>
      <w:r w:rsidRPr="00DF38B2">
        <w:t>For non-Indigenous people most access exemptions with no or little actual time on income management.</w:t>
      </w:r>
    </w:p>
    <w:p w:rsidR="005E1FE0" w:rsidRPr="00DF38B2" w:rsidRDefault="005E1FE0" w:rsidP="006654AE">
      <w:pPr>
        <w:pStyle w:val="dash"/>
        <w:spacing w:line="252" w:lineRule="auto"/>
      </w:pPr>
      <w:r w:rsidRPr="00DF38B2">
        <w:t>This is not the case for Indigenous Australians</w:t>
      </w:r>
      <w:r w:rsidR="00E523E8">
        <w:t>,</w:t>
      </w:r>
      <w:r w:rsidRPr="00DF38B2">
        <w:t xml:space="preserve"> who frequently spend considerable time on income management prior to an exemption</w:t>
      </w:r>
      <w:r w:rsidR="00A1421A">
        <w:t xml:space="preserve">. </w:t>
      </w:r>
    </w:p>
    <w:p w:rsidR="005E1FE0" w:rsidRPr="00DF38B2" w:rsidRDefault="005E1FE0" w:rsidP="006654AE">
      <w:pPr>
        <w:pStyle w:val="dash"/>
        <w:spacing w:line="252" w:lineRule="auto"/>
      </w:pPr>
      <w:r w:rsidRPr="00DF38B2">
        <w:t>Exemptions are not a one</w:t>
      </w:r>
      <w:r w:rsidR="00E523E8">
        <w:t>-</w:t>
      </w:r>
      <w:r w:rsidRPr="00DF38B2">
        <w:t>way path of income management; rather</w:t>
      </w:r>
      <w:r w:rsidR="00E523E8">
        <w:t>,</w:t>
      </w:r>
      <w:r w:rsidRPr="00DF38B2">
        <w:t xml:space="preserve"> many people who initially have an exemption do not maintain this over time</w:t>
      </w:r>
      <w:r w:rsidR="00A1421A">
        <w:t xml:space="preserve">. </w:t>
      </w:r>
    </w:p>
    <w:p w:rsidR="005E1FE0" w:rsidRPr="00DF38B2" w:rsidRDefault="005E1FE0" w:rsidP="006654AE">
      <w:pPr>
        <w:pStyle w:val="dash"/>
        <w:spacing w:line="252" w:lineRule="auto"/>
      </w:pPr>
      <w:r w:rsidRPr="00DF38B2">
        <w:t>This has implications for the policy</w:t>
      </w:r>
      <w:r w:rsidR="00A1421A">
        <w:t xml:space="preserve">. </w:t>
      </w:r>
      <w:r w:rsidRPr="00DF38B2">
        <w:t>If people are returning to income management because of changing circumstances</w:t>
      </w:r>
      <w:r w:rsidR="00E523E8">
        <w:t>;</w:t>
      </w:r>
      <w:r w:rsidRPr="00DF38B2">
        <w:t xml:space="preserve"> for example</w:t>
      </w:r>
      <w:r w:rsidR="00E523E8">
        <w:t>,</w:t>
      </w:r>
      <w:r w:rsidRPr="00DF38B2">
        <w:t xml:space="preserve"> children leaving home, it seems unusual that a person </w:t>
      </w:r>
      <w:r w:rsidR="00E523E8">
        <w:t>can be</w:t>
      </w:r>
      <w:r w:rsidRPr="00DF38B2">
        <w:t xml:space="preserve"> deemed to be capable of managing their finances while they have a child, but require their income to be managed if the child becomes independent. If they are reverting to income management because they have failed to be able to meet the same</w:t>
      </w:r>
      <w:r w:rsidR="00B84AFE">
        <w:t xml:space="preserve"> </w:t>
      </w:r>
      <w:r w:rsidRPr="00DF38B2">
        <w:t>criteria as they previously had, this suggests that neither income management nor exemption from it are achieving sustainable behavioural change.</w:t>
      </w:r>
    </w:p>
    <w:p w:rsidR="005E1FE0" w:rsidRPr="00DF38B2" w:rsidRDefault="005E1FE0" w:rsidP="006654AE">
      <w:pPr>
        <w:pStyle w:val="dash"/>
        <w:spacing w:line="252" w:lineRule="auto"/>
      </w:pPr>
      <w:r w:rsidRPr="00DF38B2">
        <w:t>While people have the option of obtaining an exemption and then moving onto Voluntary Income Management, very few have chosen this path</w:t>
      </w:r>
      <w:r w:rsidR="00A1421A">
        <w:t xml:space="preserve">. </w:t>
      </w:r>
    </w:p>
    <w:p w:rsidR="005E1FE0" w:rsidRPr="00DF38B2" w:rsidRDefault="005E1FE0" w:rsidP="006654AE">
      <w:pPr>
        <w:pStyle w:val="dot"/>
        <w:spacing w:line="252" w:lineRule="auto"/>
      </w:pPr>
      <w:r w:rsidRPr="00DF38B2">
        <w:t>The primary motivation of people seeking an exemption appears to be a belief that they managed their finances in a satisfactory manner before income management. In addition</w:t>
      </w:r>
      <w:r w:rsidR="000C04BC">
        <w:t>,</w:t>
      </w:r>
      <w:r w:rsidRPr="00DF38B2">
        <w:t xml:space="preserve"> there were strong themes of a desire to be in control of their money and to have the freedom to choose how to spend this.</w:t>
      </w:r>
    </w:p>
    <w:p w:rsidR="005E1FE0" w:rsidRPr="00DF38B2" w:rsidRDefault="005E1FE0" w:rsidP="006654AE">
      <w:pPr>
        <w:pStyle w:val="dash"/>
        <w:spacing w:line="252" w:lineRule="auto"/>
      </w:pPr>
      <w:r w:rsidRPr="00DF38B2">
        <w:t>In general</w:t>
      </w:r>
      <w:r w:rsidR="000C04BC">
        <w:t>,</w:t>
      </w:r>
      <w:r w:rsidRPr="00DF38B2">
        <w:t xml:space="preserve"> most people with an exemption found the process relatively easy, with Centrelink being supportive. At the same time a very large group </w:t>
      </w:r>
      <w:r w:rsidR="000C04BC">
        <w:t xml:space="preserve">of respondents </w:t>
      </w:r>
      <w:r w:rsidRPr="00DF38B2">
        <w:t>said that having to go through the process was shaming and humiliating.</w:t>
      </w:r>
    </w:p>
    <w:p w:rsidR="005E1FE0" w:rsidRPr="00DF38B2" w:rsidRDefault="005E1FE0" w:rsidP="006654AE">
      <w:pPr>
        <w:pStyle w:val="dash"/>
        <w:spacing w:line="252" w:lineRule="auto"/>
      </w:pPr>
      <w:r w:rsidRPr="00DF38B2">
        <w:t>Those seeking an exemption were less positive about the process, in particular the amount of paperwork they needed to collect and the problems this could pose</w:t>
      </w:r>
      <w:r w:rsidR="00A1421A">
        <w:t xml:space="preserve">. </w:t>
      </w:r>
      <w:r w:rsidRPr="00DF38B2">
        <w:t>More generally they show a low level of understanding of the processes and the criteria.</w:t>
      </w:r>
    </w:p>
    <w:p w:rsidR="005E1FE0" w:rsidRPr="00DF38B2" w:rsidRDefault="005E1FE0" w:rsidP="006654AE">
      <w:pPr>
        <w:pStyle w:val="dash"/>
        <w:spacing w:line="252" w:lineRule="auto"/>
      </w:pPr>
      <w:r w:rsidRPr="00DF38B2">
        <w:t>Both of these groups did not consider that the experience of income management had made any significant change to their ability to manage their finances.</w:t>
      </w:r>
    </w:p>
    <w:p w:rsidR="005E1FE0" w:rsidRPr="00DF38B2" w:rsidRDefault="005E1FE0" w:rsidP="006654AE">
      <w:r w:rsidRPr="00DF38B2">
        <w:t xml:space="preserve">Exemptions </w:t>
      </w:r>
      <w:r w:rsidR="000C04BC">
        <w:t>constitute</w:t>
      </w:r>
      <w:r w:rsidRPr="00DF38B2">
        <w:t xml:space="preserve"> a mechanism </w:t>
      </w:r>
      <w:r w:rsidR="000C04BC">
        <w:t>that</w:t>
      </w:r>
      <w:r w:rsidRPr="00DF38B2">
        <w:t xml:space="preserve"> is disproportionately used by non-Indigenous people with children, most of whom are never actually placed on income management</w:t>
      </w:r>
      <w:r w:rsidR="00A1421A">
        <w:t xml:space="preserve">. </w:t>
      </w:r>
      <w:r w:rsidRPr="00DF38B2">
        <w:t>Access to exemptions by Indigenous Australians is low and there is no evidence of the gap closing, nor is there evidence of access to exemptions operating as an incentive for changing behaviours</w:t>
      </w:r>
      <w:r w:rsidR="000C04BC">
        <w:t>,</w:t>
      </w:r>
      <w:r w:rsidRPr="00DF38B2">
        <w:t xml:space="preserve"> or of income management playing a role in preparing people to be in a situation </w:t>
      </w:r>
      <w:r w:rsidR="000C04BC">
        <w:t>in which</w:t>
      </w:r>
      <w:r w:rsidRPr="00DF38B2">
        <w:t xml:space="preserve"> they can gain an exemption.</w:t>
      </w:r>
    </w:p>
    <w:p w:rsidR="005E1FE0" w:rsidRPr="00DF38B2" w:rsidRDefault="005E1FE0" w:rsidP="006654AE">
      <w:r w:rsidRPr="00DF38B2">
        <w:t xml:space="preserve"> </w:t>
      </w:r>
    </w:p>
    <w:p w:rsidR="005E1FE0" w:rsidRPr="00DF38B2" w:rsidRDefault="005E1FE0" w:rsidP="006654AE">
      <w:pPr>
        <w:sectPr w:rsidR="005E1FE0" w:rsidRPr="00DF38B2" w:rsidSect="00285084">
          <w:headerReference w:type="even" r:id="rId96"/>
          <w:headerReference w:type="default" r:id="rId97"/>
          <w:footerReference w:type="even" r:id="rId98"/>
          <w:footerReference w:type="default" r:id="rId99"/>
          <w:headerReference w:type="first" r:id="rId100"/>
          <w:footerReference w:type="first" r:id="rId101"/>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308" w:name="_Toc403739037"/>
      <w:r w:rsidRPr="00DF38B2">
        <w:lastRenderedPageBreak/>
        <w:t>Patterns of consumption and financial management</w:t>
      </w:r>
      <w:bookmarkEnd w:id="308"/>
    </w:p>
    <w:p w:rsidR="005E1FE0" w:rsidRPr="00DF38B2" w:rsidRDefault="005E1FE0" w:rsidP="004F3A3D">
      <w:pPr>
        <w:spacing w:before="1134" w:after="210"/>
      </w:pPr>
      <w:r w:rsidRPr="00DF38B2">
        <w:t>This chapter is primarily concerned with how people subject to income management spend the income</w:t>
      </w:r>
      <w:r w:rsidR="00A04470">
        <w:t xml:space="preserve"> </w:t>
      </w:r>
      <w:r w:rsidRPr="00DF38B2">
        <w:t>managed share of their government benefits. It focuses on two questions. First, to what extent has income management been effective in changing patterns of consumption? Second, to what extent has income management led to improvements in the quality of financial management? From the evaluation perspective there are also questions relating to how the program has been implemented.</w:t>
      </w:r>
    </w:p>
    <w:p w:rsidR="005E1FE0" w:rsidRPr="00DF38B2" w:rsidRDefault="005E1FE0" w:rsidP="006654AE">
      <w:r w:rsidRPr="00DF38B2">
        <w:t xml:space="preserve">This chapter is structured as follows: </w:t>
      </w:r>
    </w:p>
    <w:p w:rsidR="005E1FE0" w:rsidRPr="00DF38B2" w:rsidRDefault="005E1FE0" w:rsidP="006654AE">
      <w:pPr>
        <w:pStyle w:val="dot"/>
      </w:pPr>
      <w:r w:rsidRPr="00DF38B2">
        <w:t>An initial overview of some of the objectives of the policy with regard to consumption</w:t>
      </w:r>
      <w:r w:rsidR="003866EF">
        <w:t>.</w:t>
      </w:r>
    </w:p>
    <w:p w:rsidR="005E1FE0" w:rsidRPr="00DF38B2" w:rsidRDefault="005E1FE0" w:rsidP="006654AE">
      <w:pPr>
        <w:pStyle w:val="dot"/>
      </w:pPr>
      <w:r w:rsidRPr="00DF38B2">
        <w:t>An exploration of how people allocate their income</w:t>
      </w:r>
      <w:r w:rsidR="00A04470">
        <w:t xml:space="preserve"> </w:t>
      </w:r>
      <w:r w:rsidRPr="00DF38B2">
        <w:t>managed funds</w:t>
      </w:r>
      <w:r w:rsidR="002A485F">
        <w:t>,</w:t>
      </w:r>
      <w:r w:rsidRPr="00DF38B2">
        <w:t xml:space="preserve"> and </w:t>
      </w:r>
      <w:r w:rsidR="002A485F">
        <w:t xml:space="preserve">analysis of </w:t>
      </w:r>
      <w:r w:rsidRPr="00DF38B2">
        <w:t>the Centrepay facility to manage the spending of their income support</w:t>
      </w:r>
      <w:r w:rsidR="003866EF">
        <w:t>.</w:t>
      </w:r>
    </w:p>
    <w:p w:rsidR="005E1FE0" w:rsidRPr="00DF38B2" w:rsidRDefault="005E1FE0" w:rsidP="006654AE">
      <w:pPr>
        <w:pStyle w:val="dot"/>
      </w:pPr>
      <w:r w:rsidRPr="00DF38B2">
        <w:t>Issues associated with BasicsCard use: including where spending on the card occurs; the incidence of failed transactions</w:t>
      </w:r>
      <w:r w:rsidR="00532086">
        <w:t>;</w:t>
      </w:r>
      <w:r w:rsidRPr="00DF38B2">
        <w:t xml:space="preserve"> and</w:t>
      </w:r>
      <w:r w:rsidR="00B84AFE">
        <w:t xml:space="preserve"> </w:t>
      </w:r>
      <w:r w:rsidRPr="00DF38B2">
        <w:t>some perspectives on how the BasicsCard is used on a day to day basis</w:t>
      </w:r>
      <w:r w:rsidR="003866EF">
        <w:t>.</w:t>
      </w:r>
    </w:p>
    <w:p w:rsidR="005E1FE0" w:rsidRPr="00DF38B2" w:rsidRDefault="005E1FE0" w:rsidP="006654AE">
      <w:pPr>
        <w:pStyle w:val="dot"/>
      </w:pPr>
      <w:r w:rsidRPr="00DF38B2">
        <w:t xml:space="preserve">Analysis of the </w:t>
      </w:r>
      <w:r w:rsidR="00184119">
        <w:t>types of</w:t>
      </w:r>
      <w:r w:rsidR="00433A52">
        <w:t xml:space="preserve"> </w:t>
      </w:r>
      <w:r w:rsidRPr="00DF38B2">
        <w:t>items purchased using BasicsCards in a selection of stores</w:t>
      </w:r>
      <w:r w:rsidR="003866EF">
        <w:t>.</w:t>
      </w:r>
    </w:p>
    <w:p w:rsidR="005E1FE0" w:rsidRPr="00DF38B2" w:rsidRDefault="005E1FE0" w:rsidP="006654AE">
      <w:pPr>
        <w:pStyle w:val="dot"/>
      </w:pPr>
      <w:r w:rsidRPr="00DF38B2">
        <w:t>Reviewing the extent to which data on the incidence of failed transactions and the pattern of spending can help understand trends in financial management capability.</w:t>
      </w:r>
    </w:p>
    <w:p w:rsidR="005E1FE0" w:rsidRPr="00DF38B2" w:rsidRDefault="005E1FE0" w:rsidP="006654AE">
      <w:pPr>
        <w:pStyle w:val="Heading2"/>
      </w:pPr>
      <w:bookmarkStart w:id="309" w:name="_Toc403739038"/>
      <w:r w:rsidRPr="00DF38B2">
        <w:t>Consumption and the objectives of</w:t>
      </w:r>
      <w:r w:rsidR="00C32D5A">
        <w:t xml:space="preserve"> New Income Management</w:t>
      </w:r>
      <w:bookmarkEnd w:id="309"/>
    </w:p>
    <w:p w:rsidR="005E1FE0" w:rsidRPr="00DF38B2" w:rsidRDefault="005E1FE0" w:rsidP="006654AE">
      <w:pPr>
        <w:spacing w:line="276" w:lineRule="auto"/>
      </w:pPr>
      <w:r w:rsidRPr="00DF38B2">
        <w:rPr>
          <w:szCs w:val="19"/>
        </w:rPr>
        <w:t>The objectives of income management which are related to changing patterns of consumption have been enunciated both in the legislation and in policy statements</w:t>
      </w:r>
      <w:r w:rsidR="00A1421A">
        <w:rPr>
          <w:szCs w:val="19"/>
        </w:rPr>
        <w:t xml:space="preserve">. </w:t>
      </w:r>
      <w:r w:rsidRPr="00DF38B2">
        <w:t>In the legislation this is expressed as an aim to “reduce the amount of discretionary income available for alcohol, gambling, tobacco and pornography” (Australian Government, 201</w:t>
      </w:r>
      <w:r w:rsidR="00D7119A">
        <w:t>4</w:t>
      </w:r>
      <w:r w:rsidRPr="00DF38B2">
        <w:t>, 11.1.1.30). In policy terms the objective has been expressed as</w:t>
      </w:r>
      <w:r w:rsidR="002A485F">
        <w:t xml:space="preserve"> follows:</w:t>
      </w:r>
      <w:r w:rsidRPr="00DF38B2">
        <w:t xml:space="preserve"> “The reforms will help fight passive welfare and mean that more money goes to food, clothes, rent and less money goes to buying alcohol and gambling” (Macklin </w:t>
      </w:r>
      <w:r w:rsidR="00DA618C">
        <w:t>&amp;</w:t>
      </w:r>
      <w:r w:rsidR="00DA618C" w:rsidRPr="00DF38B2">
        <w:t xml:space="preserve"> </w:t>
      </w:r>
      <w:r w:rsidRPr="00DF38B2">
        <w:t>Snowdon, 2009).</w:t>
      </w:r>
    </w:p>
    <w:p w:rsidR="005E1FE0" w:rsidRPr="00DF38B2" w:rsidRDefault="00060511" w:rsidP="006654AE">
      <w:pPr>
        <w:spacing w:line="276" w:lineRule="auto"/>
        <w:rPr>
          <w:szCs w:val="19"/>
        </w:rPr>
      </w:pPr>
      <w:r>
        <w:rPr>
          <w:szCs w:val="19"/>
        </w:rPr>
        <w:t>DHS</w:t>
      </w:r>
      <w:r w:rsidR="005E1FE0" w:rsidRPr="00DF38B2">
        <w:rPr>
          <w:szCs w:val="19"/>
        </w:rPr>
        <w:t xml:space="preserve"> describes the BasicsCard “as a way for customers to use their income managed money to buy priority items at a variety of approved stores and businesses” and indicates that “Customers can use their BasicsCard to buy things they need such as food, clothes, health items and hygiene products” (</w:t>
      </w:r>
      <w:r>
        <w:rPr>
          <w:szCs w:val="19"/>
        </w:rPr>
        <w:t>DHS</w:t>
      </w:r>
      <w:r w:rsidR="005E1FE0" w:rsidRPr="00DF38B2">
        <w:rPr>
          <w:szCs w:val="19"/>
        </w:rPr>
        <w:t>, 2013).</w:t>
      </w:r>
    </w:p>
    <w:p w:rsidR="005E1FE0" w:rsidRPr="00DF38B2" w:rsidRDefault="005E1FE0" w:rsidP="006654AE">
      <w:pPr>
        <w:spacing w:line="276" w:lineRule="auto"/>
        <w:rPr>
          <w:szCs w:val="19"/>
        </w:rPr>
      </w:pPr>
      <w:r w:rsidRPr="00DF38B2">
        <w:rPr>
          <w:szCs w:val="19"/>
        </w:rPr>
        <w:t xml:space="preserve">The policy statements on </w:t>
      </w:r>
      <w:r w:rsidR="005E4CAC">
        <w:rPr>
          <w:szCs w:val="19"/>
        </w:rPr>
        <w:t>income management</w:t>
      </w:r>
      <w:r w:rsidRPr="00DF38B2">
        <w:rPr>
          <w:szCs w:val="19"/>
        </w:rPr>
        <w:t>, and the strategies adopted by the program, reflect two specific goals for changed consumption behaviour:</w:t>
      </w:r>
    </w:p>
    <w:p w:rsidR="005E1FE0" w:rsidRPr="00DF38B2" w:rsidRDefault="003866EF" w:rsidP="006654AE">
      <w:pPr>
        <w:pStyle w:val="dot"/>
      </w:pPr>
      <w:r>
        <w:t>A</w:t>
      </w:r>
      <w:r w:rsidR="005E1FE0" w:rsidRPr="00DF38B2">
        <w:t xml:space="preserve"> reduction in spending on alcohol, gambling, tobacco</w:t>
      </w:r>
      <w:r w:rsidR="002A485F">
        <w:t>,</w:t>
      </w:r>
      <w:r w:rsidR="005E1FE0" w:rsidRPr="00DF38B2">
        <w:t xml:space="preserve"> and pornography</w:t>
      </w:r>
      <w:r>
        <w:t>.</w:t>
      </w:r>
    </w:p>
    <w:p w:rsidR="005E1FE0" w:rsidRPr="00DF38B2" w:rsidRDefault="003866EF" w:rsidP="006654AE">
      <w:pPr>
        <w:pStyle w:val="dot"/>
      </w:pPr>
      <w:r>
        <w:lastRenderedPageBreak/>
        <w:t>I</w:t>
      </w:r>
      <w:r w:rsidR="005E1FE0" w:rsidRPr="00DF38B2">
        <w:t>ncreas</w:t>
      </w:r>
      <w:r w:rsidR="002A485F">
        <w:t>ed</w:t>
      </w:r>
      <w:r w:rsidR="005E1FE0" w:rsidRPr="00DF38B2">
        <w:t xml:space="preserve"> spending on ‘basic items’, or at least in ensuring that all ‘basic needs’ are met before money is spent on other items. </w:t>
      </w:r>
    </w:p>
    <w:p w:rsidR="005E1FE0" w:rsidRPr="00DF38B2" w:rsidRDefault="005E1FE0" w:rsidP="006654AE">
      <w:pPr>
        <w:spacing w:line="276" w:lineRule="auto"/>
        <w:rPr>
          <w:szCs w:val="19"/>
        </w:rPr>
      </w:pPr>
      <w:r w:rsidRPr="00DF38B2">
        <w:rPr>
          <w:szCs w:val="19"/>
        </w:rPr>
        <w:t>These in turn are seen as a mechanism to “help people manage and get control of their lives by directing funds to their priority needs”</w:t>
      </w:r>
      <w:r w:rsidR="00763B8A">
        <w:rPr>
          <w:szCs w:val="19"/>
        </w:rPr>
        <w:t xml:space="preserve"> (DSS, 2014</w:t>
      </w:r>
      <w:r w:rsidR="00A75096">
        <w:rPr>
          <w:szCs w:val="19"/>
        </w:rPr>
        <w:t>f</w:t>
      </w:r>
      <w:proofErr w:type="gramStart"/>
      <w:r w:rsidR="00763B8A">
        <w:rPr>
          <w:szCs w:val="19"/>
        </w:rPr>
        <w:t>)</w:t>
      </w:r>
      <w:proofErr w:type="gramEnd"/>
      <w:r w:rsidR="005D1CC5">
        <w:rPr>
          <w:rStyle w:val="FootnoteReference"/>
          <w:szCs w:val="19"/>
        </w:rPr>
        <w:t xml:space="preserve"> </w:t>
      </w:r>
      <w:r w:rsidRPr="00DF38B2">
        <w:rPr>
          <w:szCs w:val="19"/>
        </w:rPr>
        <w:t>and “</w:t>
      </w:r>
      <w:r w:rsidRPr="00DF38B2">
        <w:t>strengthen p</w:t>
      </w:r>
      <w:r w:rsidRPr="00FE502F">
        <w:t>articipants</w:t>
      </w:r>
      <w:r w:rsidR="002A485F">
        <w:t>’</w:t>
      </w:r>
      <w:r w:rsidRPr="00FE502F">
        <w:t xml:space="preserve"> financial capability and skills”</w:t>
      </w:r>
      <w:r w:rsidR="00763B8A">
        <w:t xml:space="preserve"> (DSS, 2014</w:t>
      </w:r>
      <w:r w:rsidR="00DC686F">
        <w:t>j</w:t>
      </w:r>
      <w:r w:rsidR="00763B8A">
        <w:t>)</w:t>
      </w:r>
      <w:r w:rsidR="002A485F">
        <w:t>.</w:t>
      </w:r>
      <w:r w:rsidR="00763B8A">
        <w:rPr>
          <w:rStyle w:val="FootnoteReference"/>
        </w:rPr>
        <w:t xml:space="preserve"> </w:t>
      </w:r>
    </w:p>
    <w:p w:rsidR="005E1FE0" w:rsidRPr="00DF38B2" w:rsidRDefault="005E1FE0" w:rsidP="006654AE">
      <w:pPr>
        <w:spacing w:line="276" w:lineRule="auto"/>
        <w:rPr>
          <w:szCs w:val="19"/>
        </w:rPr>
      </w:pPr>
      <w:r w:rsidRPr="00FE502F">
        <w:rPr>
          <w:szCs w:val="19"/>
        </w:rPr>
        <w:t xml:space="preserve">An important point to bear </w:t>
      </w:r>
      <w:r w:rsidRPr="009655C3">
        <w:rPr>
          <w:szCs w:val="19"/>
        </w:rPr>
        <w:t>in mind is that achieving one of these objectives does not necessarily mean that the other will be achieved. For example, it is in principle possible for an individual to spend more on “basics” or</w:t>
      </w:r>
      <w:r w:rsidR="00D17A0B">
        <w:rPr>
          <w:szCs w:val="19"/>
        </w:rPr>
        <w:t>,</w:t>
      </w:r>
      <w:r w:rsidRPr="009655C3">
        <w:rPr>
          <w:szCs w:val="19"/>
        </w:rPr>
        <w:t xml:space="preserve"> as they are described in the policy objectives</w:t>
      </w:r>
      <w:r w:rsidR="00D17A0B">
        <w:rPr>
          <w:szCs w:val="19"/>
        </w:rPr>
        <w:t>,</w:t>
      </w:r>
      <w:r w:rsidRPr="009655C3">
        <w:rPr>
          <w:szCs w:val="19"/>
        </w:rPr>
        <w:t xml:space="preserve"> “priority goods and services”, without reducing spending on alcohol, tobacco, gambling</w:t>
      </w:r>
      <w:r w:rsidR="00D17A0B">
        <w:rPr>
          <w:szCs w:val="19"/>
        </w:rPr>
        <w:t>,</w:t>
      </w:r>
      <w:r w:rsidRPr="009655C3">
        <w:rPr>
          <w:szCs w:val="19"/>
        </w:rPr>
        <w:t xml:space="preserve"> and pornography</w:t>
      </w:r>
      <w:r w:rsidR="00532086">
        <w:rPr>
          <w:szCs w:val="19"/>
        </w:rPr>
        <w:t>,</w:t>
      </w:r>
      <w:r w:rsidRPr="009655C3">
        <w:rPr>
          <w:szCs w:val="19"/>
        </w:rPr>
        <w:t xml:space="preserve"> by reducing their spending on other non-basics such as entertainment. Conversely, a reduction in spending on these excluded items can occur without an increase in s</w:t>
      </w:r>
      <w:r w:rsidRPr="00DF38B2">
        <w:rPr>
          <w:szCs w:val="19"/>
        </w:rPr>
        <w:t>pending on basic items, or indeed with some basic needs remaining unmet.</w:t>
      </w:r>
    </w:p>
    <w:p w:rsidR="005E1FE0" w:rsidRPr="00DF38B2" w:rsidRDefault="00532086" w:rsidP="006654AE">
      <w:pPr>
        <w:spacing w:line="276" w:lineRule="auto"/>
        <w:rPr>
          <w:szCs w:val="19"/>
        </w:rPr>
      </w:pPr>
      <w:r w:rsidRPr="00DF38B2">
        <w:rPr>
          <w:szCs w:val="19"/>
        </w:rPr>
        <w:t>A</w:t>
      </w:r>
      <w:r>
        <w:rPr>
          <w:szCs w:val="19"/>
        </w:rPr>
        <w:t>ppendix</w:t>
      </w:r>
      <w:r w:rsidRPr="00DF38B2">
        <w:rPr>
          <w:szCs w:val="19"/>
        </w:rPr>
        <w:t xml:space="preserve"> </w:t>
      </w:r>
      <w:r w:rsidR="00EA7AE6" w:rsidRPr="00DF38B2">
        <w:rPr>
          <w:szCs w:val="19"/>
        </w:rPr>
        <w:t xml:space="preserve">E </w:t>
      </w:r>
      <w:r w:rsidR="005E1FE0" w:rsidRPr="00DF38B2">
        <w:rPr>
          <w:szCs w:val="19"/>
        </w:rPr>
        <w:t xml:space="preserve">provides more details on what are defined as priority goods and services. This listing is relatively restrictive, and in operational terms is also </w:t>
      </w:r>
      <w:r w:rsidR="00D17A0B">
        <w:rPr>
          <w:szCs w:val="19"/>
        </w:rPr>
        <w:t>affected</w:t>
      </w:r>
      <w:r w:rsidR="005E1FE0" w:rsidRPr="00DF38B2">
        <w:rPr>
          <w:szCs w:val="19"/>
        </w:rPr>
        <w:t xml:space="preserve"> by Departmental </w:t>
      </w:r>
      <w:r w:rsidR="00D0429A">
        <w:rPr>
          <w:szCs w:val="19"/>
        </w:rPr>
        <w:t>decision-mak</w:t>
      </w:r>
      <w:r w:rsidR="005E1FE0" w:rsidRPr="00DF38B2">
        <w:rPr>
          <w:szCs w:val="19"/>
        </w:rPr>
        <w:t>ing. For example, while expenditure on child care and development is identified as being a priority area, it is noted that this only extends to “toys that Human Services is satisfied are educational – this does not include electronic toys” (Centrelink 2012). Similarly</w:t>
      </w:r>
      <w:r w:rsidR="00D17A0B">
        <w:rPr>
          <w:szCs w:val="19"/>
        </w:rPr>
        <w:t>,</w:t>
      </w:r>
      <w:r w:rsidR="005E1FE0" w:rsidRPr="00DF38B2">
        <w:rPr>
          <w:szCs w:val="19"/>
        </w:rPr>
        <w:t xml:space="preserve"> while sanctioning “the acquisition, repair, maintenance or operation of: (i) a motor vehicle; or (ii) a motor cycle; or (iii) a bicycle”, this is conditional on this being used “wholly or partly for purposes in connection with any of the above needs”, with “these needs” being defined in terms of addressing health needs, child care, education and training, employment</w:t>
      </w:r>
      <w:r w:rsidR="00D17A0B">
        <w:rPr>
          <w:szCs w:val="19"/>
        </w:rPr>
        <w:t>,</w:t>
      </w:r>
      <w:r w:rsidR="005E1FE0" w:rsidRPr="00DF38B2">
        <w:rPr>
          <w:szCs w:val="19"/>
        </w:rPr>
        <w:t xml:space="preserve"> and attending funerals.</w:t>
      </w:r>
      <w:r w:rsidR="00D20973">
        <w:rPr>
          <w:rStyle w:val="FootnoteReference"/>
          <w:szCs w:val="19"/>
        </w:rPr>
        <w:footnoteReference w:id="80"/>
      </w:r>
      <w:r w:rsidR="00D20973">
        <w:rPr>
          <w:szCs w:val="19"/>
        </w:rPr>
        <w:t xml:space="preserve"> </w:t>
      </w:r>
      <w:r w:rsidR="00D20973">
        <w:rPr>
          <w:rStyle w:val="FootnoteReference"/>
          <w:szCs w:val="19"/>
        </w:rPr>
        <w:footnoteReference w:id="81"/>
      </w:r>
    </w:p>
    <w:p w:rsidR="005E1FE0" w:rsidRPr="00DF38B2" w:rsidRDefault="005E1FE0" w:rsidP="006654AE">
      <w:pPr>
        <w:pStyle w:val="Heading2"/>
      </w:pPr>
      <w:bookmarkStart w:id="310" w:name="_Toc403739039"/>
      <w:r w:rsidRPr="00DF38B2">
        <w:t>How income</w:t>
      </w:r>
      <w:r w:rsidR="00A04470">
        <w:t xml:space="preserve"> </w:t>
      </w:r>
      <w:r w:rsidRPr="00DF38B2">
        <w:t>managed funds are allocated</w:t>
      </w:r>
      <w:bookmarkEnd w:id="310"/>
      <w:r w:rsidRPr="00DF38B2">
        <w:t xml:space="preserve"> </w:t>
      </w:r>
    </w:p>
    <w:p w:rsidR="005E1FE0" w:rsidRPr="00DF38B2" w:rsidRDefault="005E1FE0" w:rsidP="006654AE">
      <w:r w:rsidRPr="00DF38B2">
        <w:t>People can choose to spend their income</w:t>
      </w:r>
      <w:r w:rsidR="00A04470">
        <w:t xml:space="preserve"> </w:t>
      </w:r>
      <w:r w:rsidRPr="00DF38B2">
        <w:t>managed funds through a range of mechanisms, including: allocation to a BasicsCard</w:t>
      </w:r>
      <w:r w:rsidR="00D17A0B">
        <w:t>,</w:t>
      </w:r>
      <w:r w:rsidRPr="00DF38B2">
        <w:t xml:space="preserve"> which can be used for the purchase of non-prescribed items from approved merchants; the direct payment of regular bills such as housing; through the payment of bills on their behalf; and as the allocation of funds to stores. </w:t>
      </w:r>
    </w:p>
    <w:p w:rsidR="005E1FE0" w:rsidRPr="00DF38B2" w:rsidRDefault="005E1FE0" w:rsidP="006654AE">
      <w:r w:rsidRPr="00DF38B2">
        <w:t>Initial decisions on the allocations between these various expenditures are made at an “allocation interview” with Centrelink just prior to the time at</w:t>
      </w:r>
      <w:r w:rsidR="00A93FCC">
        <w:t xml:space="preserve"> which</w:t>
      </w:r>
      <w:r w:rsidRPr="00DF38B2">
        <w:t xml:space="preserve"> their income management commences.</w:t>
      </w:r>
      <w:r w:rsidR="00D20973">
        <w:rPr>
          <w:rStyle w:val="FootnoteReference"/>
        </w:rPr>
        <w:footnoteReference w:id="82"/>
      </w:r>
      <w:r w:rsidRPr="00DF38B2">
        <w:t xml:space="preserve"> These interviews can leave flexibility in the allocations and people have the capacity to change their allocations over time. If they wish, people can maintain a balance in their income management account and request, over a payment cycle, or cumulatively over time, for this to be allocated to their BasicsCard, or to be used to pay for goods and services on their behalf. In popular parlance th</w:t>
      </w:r>
      <w:r w:rsidR="00A93FCC">
        <w:t>e amount held back for later allocation</w:t>
      </w:r>
      <w:r w:rsidRPr="00DF38B2">
        <w:t xml:space="preserve"> is often called a “kitty”. </w:t>
      </w:r>
    </w:p>
    <w:p w:rsidR="00411356" w:rsidRDefault="005E1FE0" w:rsidP="006654AE">
      <w:r w:rsidRPr="00DF38B2">
        <w:t xml:space="preserve">While the objective of the allocation interview is for Centrelink to work with an individual to come to a set of allocations </w:t>
      </w:r>
      <w:r w:rsidR="00AC465F">
        <w:t>that</w:t>
      </w:r>
      <w:r w:rsidRPr="00DF38B2">
        <w:t xml:space="preserve"> reflect the person’s priorities and which </w:t>
      </w:r>
      <w:r w:rsidR="00AC465F">
        <w:t>are</w:t>
      </w:r>
      <w:r w:rsidRPr="00DF38B2">
        <w:t xml:space="preserve"> consistent with the broader</w:t>
      </w:r>
      <w:r w:rsidR="007E76A6">
        <w:t xml:space="preserve"> set of</w:t>
      </w:r>
      <w:r w:rsidRPr="00DF38B2">
        <w:t xml:space="preserve"> objectives of income management (as interpreted by the Centrelink officer)</w:t>
      </w:r>
      <w:r w:rsidR="007E76A6">
        <w:t>.</w:t>
      </w:r>
      <w:r w:rsidRPr="00DF38B2">
        <w:t xml:space="preserve"> Centrelink officers can</w:t>
      </w:r>
      <w:r w:rsidR="00AC465F">
        <w:t>,</w:t>
      </w:r>
      <w:r w:rsidRPr="00DF38B2">
        <w:t xml:space="preserve"> however</w:t>
      </w:r>
      <w:r w:rsidR="00AC465F">
        <w:t>,</w:t>
      </w:r>
      <w:r w:rsidRPr="00DF38B2">
        <w:t xml:space="preserve"> be more </w:t>
      </w:r>
      <w:proofErr w:type="gramStart"/>
      <w:r w:rsidRPr="00DF38B2">
        <w:t>directive</w:t>
      </w:r>
      <w:proofErr w:type="gramEnd"/>
      <w:r w:rsidRPr="00DF38B2">
        <w:t>. As discussed later in this Chapter, with respect to the School Nutrition Program, the Guide to Social Security Law indicates</w:t>
      </w:r>
      <w:r w:rsidR="00411356">
        <w:t xml:space="preserve">: </w:t>
      </w:r>
    </w:p>
    <w:p w:rsidR="005E1FE0" w:rsidRPr="00DF38B2" w:rsidRDefault="005E1FE0" w:rsidP="006654AE">
      <w:pPr>
        <w:pStyle w:val="Quote2"/>
      </w:pPr>
      <w:r w:rsidRPr="00DF38B2">
        <w:lastRenderedPageBreak/>
        <w:t xml:space="preserve">If a parent does not nominate to direct their </w:t>
      </w:r>
      <w:r w:rsidR="00A04470">
        <w:t>income managed</w:t>
      </w:r>
      <w:r w:rsidR="00307C76">
        <w:t xml:space="preserve"> funds</w:t>
      </w:r>
      <w:r w:rsidRPr="00DF38B2">
        <w:t xml:space="preserve"> towards a school meals/nutrition program, where one is available, the delegate should investigate the reason for this choice. The onus is on the parent to show how they are meeting their children</w:t>
      </w:r>
      <w:r w:rsidR="00411356">
        <w:t>’</w:t>
      </w:r>
      <w:r w:rsidRPr="00DF38B2">
        <w:t>s daily food needs. If the delegate is not satisfied that the person meets the daily food needs of their children, the delegate must take action to meet the priority need as set out in</w:t>
      </w:r>
      <w:r w:rsidR="00B91ACE">
        <w:t xml:space="preserve"> the </w:t>
      </w:r>
      <w:r w:rsidR="00BD1A28">
        <w:t>[</w:t>
      </w:r>
      <w:r w:rsidR="00B91ACE" w:rsidRPr="00DF38B2">
        <w:rPr>
          <w:i/>
          <w:szCs w:val="19"/>
        </w:rPr>
        <w:t>Social Security (Administration) Act 1999 (</w:t>
      </w:r>
      <w:proofErr w:type="spellStart"/>
      <w:r w:rsidR="00B91ACE" w:rsidRPr="00DF38B2">
        <w:rPr>
          <w:i/>
          <w:szCs w:val="19"/>
        </w:rPr>
        <w:t>Cwth</w:t>
      </w:r>
      <w:proofErr w:type="spellEnd"/>
      <w:r w:rsidR="00B91ACE" w:rsidRPr="00DF38B2">
        <w:rPr>
          <w:i/>
          <w:szCs w:val="19"/>
        </w:rPr>
        <w:t>)</w:t>
      </w:r>
      <w:r w:rsidR="00BD1A28">
        <w:rPr>
          <w:szCs w:val="19"/>
        </w:rPr>
        <w:t xml:space="preserve">] </w:t>
      </w:r>
      <w:r w:rsidRPr="00DF38B2">
        <w:t xml:space="preserve">section 123YA, including by allocating </w:t>
      </w:r>
      <w:r w:rsidR="00A04470">
        <w:t>income managed</w:t>
      </w:r>
      <w:r w:rsidR="00307C76">
        <w:t xml:space="preserve"> funds</w:t>
      </w:r>
      <w:r w:rsidRPr="00DF38B2">
        <w:t xml:space="preserve"> to a school meals/nutrition program, where available.</w:t>
      </w:r>
      <w:r w:rsidR="00074155">
        <w:t xml:space="preserve"> (DSS, 2014</w:t>
      </w:r>
      <w:r w:rsidR="00A75096">
        <w:t>g</w:t>
      </w:r>
      <w:r w:rsidR="00074155">
        <w:t>)</w:t>
      </w:r>
      <w:r w:rsidR="00074155">
        <w:rPr>
          <w:rStyle w:val="FootnoteReference"/>
        </w:rPr>
        <w:t xml:space="preserve"> </w:t>
      </w:r>
    </w:p>
    <w:p w:rsidR="005E1FE0" w:rsidRPr="00FE502F" w:rsidRDefault="005E1FE0" w:rsidP="006654AE">
      <w:pPr>
        <w:pStyle w:val="Heading3"/>
      </w:pPr>
      <w:bookmarkStart w:id="311" w:name="_Toc403739040"/>
      <w:r w:rsidRPr="00FE502F">
        <w:t>Allocations to BasicsCard</w:t>
      </w:r>
      <w:bookmarkEnd w:id="311"/>
    </w:p>
    <w:p w:rsidR="005E1FE0" w:rsidRPr="00DF38B2" w:rsidRDefault="005E1FE0" w:rsidP="006654AE">
      <w:pPr>
        <w:pStyle w:val="dot"/>
        <w:numPr>
          <w:ilvl w:val="0"/>
          <w:numId w:val="0"/>
        </w:numPr>
      </w:pPr>
      <w:r w:rsidRPr="009655C3">
        <w:t xml:space="preserve">Most </w:t>
      </w:r>
      <w:r w:rsidR="00A04470">
        <w:t>income managed</w:t>
      </w:r>
      <w:r w:rsidRPr="009655C3">
        <w:t xml:space="preserve"> funds are allocated to a BasicsCard. The data used in this analysis is based upon actual allocations, not the notional allocations which may have been made at the initial interview. Across the income</w:t>
      </w:r>
      <w:r w:rsidR="00A04470">
        <w:t xml:space="preserve"> </w:t>
      </w:r>
      <w:r w:rsidRPr="009655C3">
        <w:t>managed population as a whole, in October 2013</w:t>
      </w:r>
      <w:r w:rsidR="00532086">
        <w:t>,</w:t>
      </w:r>
      <w:r w:rsidRPr="009655C3">
        <w:t xml:space="preserve"> 79.</w:t>
      </w:r>
      <w:r w:rsidR="0070488E">
        <w:t>7</w:t>
      </w:r>
      <w:r w:rsidRPr="009655C3">
        <w:t> per cent of all funds were allocated to BasicsCards. There is, however, considerable variation in this proportion (</w:t>
      </w:r>
      <w:r w:rsidR="00411356">
        <w:t>see</w:t>
      </w:r>
      <w:r w:rsidRPr="00DF38B2">
        <w:rPr>
          <w:rStyle w:val="FootnoteReference"/>
        </w:rPr>
        <w:t xml:space="preserve"> </w:t>
      </w:r>
      <w:r w:rsidRPr="00F157EE">
        <w:fldChar w:fldCharType="begin"/>
      </w:r>
      <w:r w:rsidRPr="00DF38B2">
        <w:instrText xml:space="preserve"> REF _Ref391411292 \h </w:instrText>
      </w:r>
      <w:r w:rsidRPr="00F157EE">
        <w:fldChar w:fldCharType="separate"/>
      </w:r>
      <w:r w:rsidR="00906D13" w:rsidRPr="00DF38B2">
        <w:t xml:space="preserve">Table </w:t>
      </w:r>
      <w:r w:rsidR="00906D13">
        <w:rPr>
          <w:noProof/>
        </w:rPr>
        <w:t>6</w:t>
      </w:r>
      <w:r w:rsidR="00906D13">
        <w:noBreakHyphen/>
      </w:r>
      <w:r w:rsidR="00906D13">
        <w:rPr>
          <w:noProof/>
        </w:rPr>
        <w:t>1</w:t>
      </w:r>
      <w:r w:rsidRPr="00F157EE">
        <w:fldChar w:fldCharType="end"/>
      </w:r>
      <w:r w:rsidRPr="00DF38B2">
        <w:t>).</w:t>
      </w:r>
      <w:r w:rsidRPr="00DF38B2">
        <w:rPr>
          <w:rStyle w:val="FootnoteReference"/>
        </w:rPr>
        <w:footnoteReference w:id="83"/>
      </w:r>
      <w:r w:rsidRPr="00DF38B2">
        <w:t xml:space="preserve"> </w:t>
      </w:r>
    </w:p>
    <w:p w:rsidR="005E1FE0" w:rsidRPr="00DF38B2" w:rsidRDefault="005E1FE0" w:rsidP="006654AE">
      <w:pPr>
        <w:pStyle w:val="Caption"/>
      </w:pPr>
      <w:bookmarkStart w:id="312" w:name="_Ref391411292"/>
      <w:bookmarkStart w:id="313" w:name="_Toc403739440"/>
      <w:r w:rsidRPr="00DF38B2">
        <w:t xml:space="preserve">Table </w:t>
      </w:r>
      <w:fldSimple w:instr=" STYLEREF 1 \s ">
        <w:r w:rsidR="00906D13">
          <w:rPr>
            <w:noProof/>
          </w:rPr>
          <w:t>6</w:t>
        </w:r>
      </w:fldSimple>
      <w:r w:rsidR="00D40B64">
        <w:noBreakHyphen/>
      </w:r>
      <w:fldSimple w:instr=" SEQ Table \* ARABIC \s 1 ">
        <w:r w:rsidR="00906D13">
          <w:rPr>
            <w:noProof/>
          </w:rPr>
          <w:t>1</w:t>
        </w:r>
      </w:fldSimple>
      <w:bookmarkEnd w:id="312"/>
      <w:r w:rsidRPr="00DF38B2">
        <w:t xml:space="preserve"> </w:t>
      </w:r>
      <w:r w:rsidRPr="00DF38B2">
        <w:tab/>
        <w:t xml:space="preserve">Allocations of </w:t>
      </w:r>
      <w:r w:rsidR="00A04470">
        <w:t>income managed</w:t>
      </w:r>
      <w:r w:rsidR="00307C76">
        <w:t xml:space="preserve"> funds</w:t>
      </w:r>
      <w:r w:rsidRPr="00DF38B2">
        <w:t xml:space="preserve"> to BasicsCard in the Northern Territory, October 2013</w:t>
      </w:r>
      <w:bookmarkEnd w:id="313"/>
    </w:p>
    <w:tbl>
      <w:tblPr>
        <w:tblW w:w="9729" w:type="dxa"/>
        <w:tblInd w:w="93" w:type="dxa"/>
        <w:tblLook w:val="04A0" w:firstRow="1" w:lastRow="0" w:firstColumn="1" w:lastColumn="0" w:noHBand="0" w:noVBand="1"/>
        <w:tblDescription w:val="This is a relatively complex table describing the extent to which income managed funds are allocated to the BasicsCard. It contains 8 data columns. The first six describe the proportion of the income managed population distributing different proportions of their income managed funds to BasicsCard – in categories from 100 per cent to nil, the seventh column presents the average proportion allocated to BasicsCard and the final the number of income managed persons to which the data relates.&#10;The table rows consist of five different population divisions, firstly by a combination of Indigeneity and type of income management, the second by gender the third by Indigeneity the fourth by age group and the fifth by duration on income management.&#10;The main features are described in the text.&#10;"/>
      </w:tblPr>
      <w:tblGrid>
        <w:gridCol w:w="1460"/>
        <w:gridCol w:w="998"/>
        <w:gridCol w:w="1101"/>
        <w:gridCol w:w="998"/>
        <w:gridCol w:w="998"/>
        <w:gridCol w:w="998"/>
        <w:gridCol w:w="998"/>
        <w:gridCol w:w="284"/>
        <w:gridCol w:w="1011"/>
        <w:gridCol w:w="883"/>
      </w:tblGrid>
      <w:tr w:rsidR="005E1FE0" w:rsidRPr="003E59D3" w:rsidTr="00256FDF">
        <w:trPr>
          <w:trHeight w:val="20"/>
          <w:tblHeader/>
        </w:trPr>
        <w:tc>
          <w:tcPr>
            <w:tcW w:w="1460"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left"/>
              <w:jc w:val="right"/>
              <w:rPr>
                <w:rFonts w:eastAsia="Times New Roman"/>
              </w:rPr>
            </w:pPr>
          </w:p>
        </w:tc>
        <w:tc>
          <w:tcPr>
            <w:tcW w:w="998" w:type="dxa"/>
            <w:tcBorders>
              <w:top w:val="single" w:sz="4" w:space="0" w:color="auto"/>
              <w:left w:val="nil"/>
              <w:bottom w:val="single" w:sz="4" w:space="0" w:color="auto"/>
              <w:right w:val="nil"/>
            </w:tcBorders>
            <w:shd w:val="clear" w:color="auto" w:fill="auto"/>
            <w:noWrap/>
            <w:vAlign w:val="bottom"/>
            <w:hideMark/>
          </w:tcPr>
          <w:p w:rsidR="005E1FE0" w:rsidRDefault="005E1FE0" w:rsidP="00256FDF">
            <w:pPr>
              <w:pStyle w:val="tabletextright"/>
              <w:rPr>
                <w:rFonts w:eastAsia="Times New Roman"/>
              </w:rPr>
            </w:pPr>
            <w:r w:rsidRPr="003E59D3">
              <w:rPr>
                <w:rFonts w:eastAsia="Times New Roman"/>
              </w:rPr>
              <w:t>100%</w:t>
            </w:r>
            <w:r w:rsidR="0060639D">
              <w:rPr>
                <w:rFonts w:eastAsia="Times New Roman"/>
              </w:rPr>
              <w:t xml:space="preserve"> </w:t>
            </w:r>
          </w:p>
          <w:p w:rsidR="00256FDF" w:rsidRPr="003E59D3" w:rsidRDefault="00256FDF" w:rsidP="00256FDF">
            <w:pPr>
              <w:pStyle w:val="tabletextright"/>
              <w:rPr>
                <w:rFonts w:eastAsia="Times New Roman"/>
              </w:rPr>
            </w:pPr>
            <w:r w:rsidRPr="0060639D">
              <w:rPr>
                <w:rFonts w:eastAsia="Times New Roman"/>
                <w:sz w:val="16"/>
              </w:rPr>
              <w:t>IM funds to BasicsCard</w:t>
            </w:r>
          </w:p>
        </w:tc>
        <w:tc>
          <w:tcPr>
            <w:tcW w:w="1101"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75-</w:t>
            </w:r>
          </w:p>
          <w:p w:rsidR="005E1FE0" w:rsidRDefault="005E1FE0" w:rsidP="00256FDF">
            <w:pPr>
              <w:pStyle w:val="tabletextright"/>
              <w:rPr>
                <w:rFonts w:eastAsia="Times New Roman"/>
              </w:rPr>
            </w:pPr>
            <w:r w:rsidRPr="003E59D3">
              <w:rPr>
                <w:rFonts w:eastAsia="Times New Roman"/>
              </w:rPr>
              <w:t>&lt;100%</w:t>
            </w:r>
          </w:p>
          <w:p w:rsidR="00256FDF" w:rsidRPr="003E59D3" w:rsidRDefault="00256FDF"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50-</w:t>
            </w:r>
          </w:p>
          <w:p w:rsidR="0060639D" w:rsidRDefault="005E1FE0" w:rsidP="00256FDF">
            <w:pPr>
              <w:pStyle w:val="tabletextright"/>
              <w:rPr>
                <w:rFonts w:eastAsia="Times New Roman"/>
              </w:rPr>
            </w:pPr>
            <w:r w:rsidRPr="003E59D3">
              <w:rPr>
                <w:rFonts w:eastAsia="Times New Roman"/>
              </w:rPr>
              <w:t>&lt;75%</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25-</w:t>
            </w:r>
          </w:p>
          <w:p w:rsidR="0060639D" w:rsidRDefault="005E1FE0" w:rsidP="00256FDF">
            <w:pPr>
              <w:pStyle w:val="tabletextright"/>
              <w:rPr>
                <w:rFonts w:eastAsia="Times New Roman"/>
              </w:rPr>
            </w:pPr>
            <w:r w:rsidRPr="003E59D3">
              <w:rPr>
                <w:rFonts w:eastAsia="Times New Roman"/>
              </w:rPr>
              <w:t>&lt;50%</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0&gt;-</w:t>
            </w:r>
          </w:p>
          <w:p w:rsidR="0060639D" w:rsidRDefault="005E1FE0" w:rsidP="00256FDF">
            <w:pPr>
              <w:pStyle w:val="tabletextright"/>
              <w:rPr>
                <w:rFonts w:eastAsia="Times New Roman"/>
              </w:rPr>
            </w:pPr>
            <w:r w:rsidRPr="003E59D3">
              <w:rPr>
                <w:rFonts w:eastAsia="Times New Roman"/>
              </w:rPr>
              <w:t>&lt;25%</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60639D" w:rsidRDefault="005E1FE0" w:rsidP="00256FDF">
            <w:pPr>
              <w:pStyle w:val="tabletextright"/>
              <w:rPr>
                <w:rFonts w:eastAsia="Times New Roman"/>
              </w:rPr>
            </w:pPr>
            <w:r w:rsidRPr="003E59D3">
              <w:rPr>
                <w:rFonts w:eastAsia="Times New Roman"/>
              </w:rPr>
              <w:t>Nil</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284"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p>
        </w:tc>
        <w:tc>
          <w:tcPr>
            <w:tcW w:w="1011" w:type="dxa"/>
            <w:tcBorders>
              <w:top w:val="single" w:sz="4" w:space="0" w:color="auto"/>
              <w:left w:val="nil"/>
              <w:bottom w:val="single" w:sz="4" w:space="0" w:color="auto"/>
              <w:right w:val="nil"/>
            </w:tcBorders>
            <w:shd w:val="clear" w:color="auto" w:fill="auto"/>
            <w:noWrap/>
            <w:vAlign w:val="bottom"/>
          </w:tcPr>
          <w:p w:rsidR="005E1FE0" w:rsidRPr="003E59D3" w:rsidRDefault="0060639D" w:rsidP="00256FDF">
            <w:pPr>
              <w:pStyle w:val="tabletextright"/>
              <w:rPr>
                <w:rFonts w:eastAsia="Times New Roman"/>
              </w:rPr>
            </w:pPr>
            <w:r>
              <w:rPr>
                <w:rFonts w:eastAsia="Times New Roman"/>
              </w:rPr>
              <w:t xml:space="preserve">Proportion </w:t>
            </w:r>
            <w:r w:rsidRPr="0060639D">
              <w:rPr>
                <w:rFonts w:eastAsia="Times New Roman"/>
                <w:sz w:val="16"/>
              </w:rPr>
              <w:t>IM funds to BasicsCard</w:t>
            </w:r>
          </w:p>
        </w:tc>
        <w:tc>
          <w:tcPr>
            <w:tcW w:w="883" w:type="dxa"/>
            <w:tcBorders>
              <w:top w:val="single" w:sz="4" w:space="0" w:color="auto"/>
              <w:left w:val="nil"/>
              <w:bottom w:val="single" w:sz="4" w:space="0" w:color="auto"/>
              <w:right w:val="nil"/>
            </w:tcBorders>
            <w:shd w:val="clear" w:color="auto" w:fill="auto"/>
            <w:noWrap/>
            <w:vAlign w:val="bottom"/>
          </w:tcPr>
          <w:p w:rsidR="005E1FE0" w:rsidRPr="003E59D3" w:rsidRDefault="0060639D" w:rsidP="00256FDF">
            <w:pPr>
              <w:pStyle w:val="tabletextright"/>
              <w:rPr>
                <w:rFonts w:eastAsia="Times New Roman"/>
              </w:rPr>
            </w:pPr>
            <w:r w:rsidRPr="003E59D3">
              <w:rPr>
                <w:rFonts w:eastAsia="Times New Roman"/>
              </w:rPr>
              <w:t>Persons</w:t>
            </w:r>
            <w:r>
              <w:rPr>
                <w:rFonts w:eastAsia="Times New Roman"/>
              </w:rPr>
              <w:t xml:space="preserve"> (n)</w:t>
            </w:r>
          </w:p>
        </w:tc>
      </w:tr>
      <w:tr w:rsidR="005E1FE0" w:rsidRPr="003E59D3" w:rsidTr="00256FDF">
        <w:trPr>
          <w:trHeight w:val="20"/>
        </w:trPr>
        <w:tc>
          <w:tcPr>
            <w:tcW w:w="4557" w:type="dxa"/>
            <w:gridSpan w:val="4"/>
            <w:tcBorders>
              <w:top w:val="nil"/>
              <w:left w:val="nil"/>
              <w:bottom w:val="nil"/>
              <w:right w:val="nil"/>
            </w:tcBorders>
            <w:shd w:val="clear" w:color="auto" w:fill="auto"/>
            <w:noWrap/>
            <w:vAlign w:val="bottom"/>
          </w:tcPr>
          <w:p w:rsidR="005E1FE0" w:rsidRPr="003E59D3" w:rsidRDefault="005E1FE0" w:rsidP="006654AE">
            <w:pPr>
              <w:pStyle w:val="tabletextright"/>
              <w:jc w:val="left"/>
              <w:rPr>
                <w:rFonts w:eastAsia="Times New Roman"/>
                <w:i/>
              </w:rPr>
            </w:pPr>
            <w:r w:rsidRPr="003E59D3">
              <w:rPr>
                <w:rFonts w:eastAsia="Times New Roman"/>
                <w:i/>
              </w:rPr>
              <w:t xml:space="preserve">Income </w:t>
            </w:r>
            <w:r w:rsidR="005E4CAC">
              <w:rPr>
                <w:rFonts w:eastAsia="Times New Roman"/>
                <w:i/>
              </w:rPr>
              <w:t>m</w:t>
            </w:r>
            <w:r w:rsidRPr="003E59D3">
              <w:rPr>
                <w:rFonts w:eastAsia="Times New Roman"/>
                <w:i/>
              </w:rPr>
              <w:t>anagement classification</w:t>
            </w: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284"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1011"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883"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CIM Indigenous</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45.8</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25.9</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18.2</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6.3</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2.3</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81.7</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12,160</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CIM non-</w:t>
            </w:r>
            <w:proofErr w:type="spellStart"/>
            <w:r w:rsidRPr="003E59D3">
              <w:rPr>
                <w:rFonts w:eastAsia="Times New Roman"/>
              </w:rPr>
              <w:t>Indig</w:t>
            </w:r>
            <w:proofErr w:type="spellEnd"/>
            <w:r w:rsidRPr="003E59D3">
              <w:rPr>
                <w:rFonts w:eastAsia="Times New Roman"/>
              </w:rPr>
              <w:t>.</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56.2</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9.1</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11.4</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4.3</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74.2</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1,599</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Child Protect.</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19.2</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46.8</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18.1</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13.8</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0.0</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78.4</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proofErr w:type="spellStart"/>
            <w:r w:rsidRPr="003E59D3">
              <w:rPr>
                <w:rFonts w:eastAsia="Times New Roman"/>
              </w:rPr>
              <w:t>Vuln</w:t>
            </w:r>
            <w:proofErr w:type="spellEnd"/>
            <w:r w:rsidRPr="003E59D3">
              <w:rPr>
                <w:rFonts w:eastAsia="Times New Roman"/>
              </w:rPr>
              <w:t xml:space="preserve"> Assessed</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39.4</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21.9</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15.5</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7.7</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12.9</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73.4</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155</w:t>
            </w:r>
          </w:p>
        </w:tc>
      </w:tr>
      <w:tr w:rsidR="0070488E" w:rsidRPr="003E59D3" w:rsidTr="00256FDF">
        <w:trPr>
          <w:trHeight w:val="20"/>
        </w:trPr>
        <w:tc>
          <w:tcPr>
            <w:tcW w:w="1460" w:type="dxa"/>
            <w:tcBorders>
              <w:top w:val="nil"/>
              <w:left w:val="nil"/>
              <w:right w:val="nil"/>
            </w:tcBorders>
            <w:shd w:val="clear" w:color="auto" w:fill="auto"/>
            <w:noWrap/>
            <w:vAlign w:val="bottom"/>
            <w:hideMark/>
          </w:tcPr>
          <w:p w:rsidR="0070488E" w:rsidRPr="003E59D3" w:rsidRDefault="0070488E" w:rsidP="006654AE">
            <w:pPr>
              <w:pStyle w:val="tabletextleft"/>
              <w:rPr>
                <w:rFonts w:eastAsia="Times New Roman"/>
              </w:rPr>
            </w:pPr>
            <w:proofErr w:type="spellStart"/>
            <w:r w:rsidRPr="003E59D3">
              <w:rPr>
                <w:rFonts w:eastAsia="Times New Roman"/>
              </w:rPr>
              <w:t>Vuln</w:t>
            </w:r>
            <w:proofErr w:type="spellEnd"/>
            <w:r w:rsidRPr="003E59D3">
              <w:rPr>
                <w:rFonts w:eastAsia="Times New Roman"/>
              </w:rPr>
              <w:t xml:space="preserve"> Auto</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74.2</w:t>
            </w:r>
          </w:p>
        </w:tc>
        <w:tc>
          <w:tcPr>
            <w:tcW w:w="110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6.1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4.6</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2.0</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5.1</w:t>
            </w:r>
          </w:p>
        </w:tc>
        <w:tc>
          <w:tcPr>
            <w:tcW w:w="284"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85.9</w:t>
            </w:r>
          </w:p>
        </w:tc>
        <w:tc>
          <w:tcPr>
            <w:tcW w:w="883"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198</w:t>
            </w:r>
          </w:p>
        </w:tc>
      </w:tr>
      <w:tr w:rsidR="0070488E"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VIM</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28.9</w:t>
            </w:r>
          </w:p>
        </w:tc>
        <w:tc>
          <w:tcPr>
            <w:tcW w:w="110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29.3</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22.2</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10.4</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5.5</w:t>
            </w:r>
          </w:p>
        </w:tc>
        <w:tc>
          <w:tcPr>
            <w:tcW w:w="284"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75.8</w:t>
            </w:r>
          </w:p>
        </w:tc>
        <w:tc>
          <w:tcPr>
            <w:tcW w:w="883"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3,660</w:t>
            </w:r>
          </w:p>
        </w:tc>
      </w:tr>
      <w:tr w:rsidR="0070488E" w:rsidRPr="003E59D3" w:rsidTr="00256FDF">
        <w:trPr>
          <w:trHeight w:val="20"/>
        </w:trPr>
        <w:tc>
          <w:tcPr>
            <w:tcW w:w="1460"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left"/>
              <w:rPr>
                <w:rFonts w:eastAsia="Times New Roman"/>
                <w:i/>
              </w:rPr>
            </w:pPr>
            <w:r w:rsidRPr="003E59D3">
              <w:rPr>
                <w:rFonts w:eastAsia="Times New Roman"/>
                <w:i/>
              </w:rPr>
              <w:t>Gender</w:t>
            </w: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101"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r>
      <w:tr w:rsidR="0070488E" w:rsidRPr="003E59D3" w:rsidTr="00256FDF">
        <w:trPr>
          <w:trHeight w:val="20"/>
        </w:trPr>
        <w:tc>
          <w:tcPr>
            <w:tcW w:w="1460" w:type="dxa"/>
            <w:tcBorders>
              <w:top w:val="nil"/>
              <w:left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Male</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55.7</w:t>
            </w:r>
          </w:p>
        </w:tc>
        <w:tc>
          <w:tcPr>
            <w:tcW w:w="110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18.5</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13.1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5.8</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2.2</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284"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83.1</w:t>
            </w:r>
          </w:p>
        </w:tc>
        <w:tc>
          <w:tcPr>
            <w:tcW w:w="883"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7,067</w:t>
            </w:r>
          </w:p>
        </w:tc>
      </w:tr>
      <w:tr w:rsidR="0070488E"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Female</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35.3</w:t>
            </w:r>
          </w:p>
        </w:tc>
        <w:tc>
          <w:tcPr>
            <w:tcW w:w="110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29.2</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21.7</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8.5</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2.3</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78.3</w:t>
            </w:r>
          </w:p>
        </w:tc>
        <w:tc>
          <w:tcPr>
            <w:tcW w:w="883"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10,799</w:t>
            </w:r>
          </w:p>
        </w:tc>
      </w:tr>
      <w:tr w:rsidR="005E1FE0" w:rsidRPr="003E59D3" w:rsidTr="00256FDF">
        <w:trPr>
          <w:trHeight w:val="20"/>
        </w:trPr>
        <w:tc>
          <w:tcPr>
            <w:tcW w:w="2458" w:type="dxa"/>
            <w:gridSpan w:val="2"/>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jc w:val="left"/>
              <w:rPr>
                <w:rFonts w:eastAsia="Times New Roman"/>
                <w:i/>
              </w:rPr>
            </w:pPr>
            <w:r w:rsidRPr="003E59D3">
              <w:rPr>
                <w:rFonts w:eastAsia="Times New Roman"/>
                <w:i/>
              </w:rPr>
              <w:t>Indigenous identification</w:t>
            </w:r>
          </w:p>
        </w:tc>
        <w:tc>
          <w:tcPr>
            <w:tcW w:w="110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284"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101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883"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Indigenous</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42.0</w:t>
            </w: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26.6</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19.0</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7.2</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2.0</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80.2</w:t>
            </w: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16,135</w:t>
            </w: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Non-Indigenous</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56.3</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11.3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4.2</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9.3</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74.5</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1,731</w:t>
            </w:r>
          </w:p>
        </w:tc>
      </w:tr>
      <w:tr w:rsidR="003E59D3" w:rsidRPr="003E59D3" w:rsidTr="00256FDF">
        <w:trPr>
          <w:trHeight w:val="20"/>
        </w:trPr>
        <w:tc>
          <w:tcPr>
            <w:tcW w:w="1460"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left"/>
              <w:rPr>
                <w:rFonts w:eastAsia="Times New Roman"/>
                <w:i/>
              </w:rPr>
            </w:pPr>
            <w:r w:rsidRPr="003E59D3">
              <w:rPr>
                <w:rFonts w:eastAsia="Times New Roman"/>
                <w:i/>
              </w:rPr>
              <w:t>Age group</w:t>
            </w: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101"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Under 20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80.2</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0.8</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3.5</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92.1</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1,327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20-24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58.7</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87.5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3,145</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25-34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39.6</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28.7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20.3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79.5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5,201</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35-44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36.0</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22.0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77.3</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3,738</w:t>
            </w: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45-64 years</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36.0</w:t>
            </w: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24.5</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21.8</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9.6</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76.1</w:t>
            </w: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3,631</w:t>
            </w: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jc w:val="left"/>
              <w:rPr>
                <w:rFonts w:eastAsia="Times New Roman"/>
              </w:rPr>
            </w:pPr>
            <w:r w:rsidRPr="003E59D3">
              <w:rPr>
                <w:rFonts w:eastAsia="Times New Roman"/>
              </w:rPr>
              <w:t xml:space="preserve">65 years </w:t>
            </w:r>
            <w:r>
              <w:rPr>
                <w:rFonts w:eastAsia="Times New Roman"/>
              </w:rPr>
              <w:t>&amp;</w:t>
            </w:r>
            <w:r w:rsidRPr="003E59D3">
              <w:rPr>
                <w:rFonts w:eastAsia="Times New Roman"/>
              </w:rPr>
              <w:t xml:space="preserve"> over</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15.8</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14.7</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5.0</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12.7</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65.8</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824</w:t>
            </w:r>
          </w:p>
        </w:tc>
      </w:tr>
      <w:tr w:rsidR="005E1FE0" w:rsidRPr="003E59D3" w:rsidTr="00256FDF">
        <w:trPr>
          <w:trHeight w:val="20"/>
        </w:trPr>
        <w:tc>
          <w:tcPr>
            <w:tcW w:w="4557" w:type="dxa"/>
            <w:gridSpan w:val="4"/>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jc w:val="left"/>
              <w:rPr>
                <w:rFonts w:asciiTheme="minorHAnsi" w:eastAsia="Times New Roman" w:hAnsiTheme="minorHAnsi"/>
                <w:i/>
                <w:szCs w:val="18"/>
              </w:rPr>
            </w:pPr>
            <w:r w:rsidRPr="003E59D3">
              <w:rPr>
                <w:rFonts w:asciiTheme="minorHAnsi" w:eastAsia="Times New Roman" w:hAnsiTheme="minorHAnsi"/>
                <w:i/>
                <w:szCs w:val="18"/>
              </w:rPr>
              <w:t>Duration on income management</w:t>
            </w: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&lt; 1 month</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67.5</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9.5</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86.6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677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1-&lt;3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68.6</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10.7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8.1</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84.5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1,717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3-&lt;6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66.3</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85.6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1,934</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6-&lt;12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56.2</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13.5</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82.6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2,838</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1-&lt;2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45.0</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25.2</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18.2</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80.9</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3,304</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 years +</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23.7</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75.6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7,396</w:t>
            </w: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Total</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43.4</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25.0</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2.2</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3.7</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79.7</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17,866</w:t>
            </w:r>
          </w:p>
        </w:tc>
      </w:tr>
    </w:tbl>
    <w:p w:rsidR="00BF56C6" w:rsidRDefault="00BF56C6" w:rsidP="006654AE">
      <w:pPr>
        <w:pStyle w:val="tablenotes"/>
        <w:keepNext w:val="0"/>
      </w:pPr>
      <w:r>
        <w:t>Note:</w:t>
      </w:r>
    </w:p>
    <w:p w:rsidR="00BF27B1" w:rsidRDefault="00BF27B1" w:rsidP="006654AE">
      <w:pPr>
        <w:pStyle w:val="tablenotes"/>
        <w:keepNext w:val="0"/>
      </w:pPr>
      <w:r>
        <w:t xml:space="preserve">(a) </w:t>
      </w:r>
      <w:r w:rsidR="00BF56C6">
        <w:tab/>
      </w:r>
      <w:r>
        <w:t>Weighted by amount of funds income managed.</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C12453" w:rsidRPr="00DF38B2" w:rsidRDefault="00C12453" w:rsidP="006654AE">
      <w:pPr>
        <w:pStyle w:val="dot"/>
        <w:numPr>
          <w:ilvl w:val="0"/>
          <w:numId w:val="0"/>
        </w:numPr>
      </w:pPr>
      <w:r w:rsidRPr="00DF38B2">
        <w:t>Overall</w:t>
      </w:r>
      <w:r>
        <w:t>,</w:t>
      </w:r>
      <w:r w:rsidRPr="00DF38B2">
        <w:t xml:space="preserve"> 43.</w:t>
      </w:r>
      <w:r>
        <w:t>4</w:t>
      </w:r>
      <w:r w:rsidRPr="00DF38B2">
        <w:t> per cent of people allocate all of their funds to their BasicsCard. Men are more likely to do this than women (55.</w:t>
      </w:r>
      <w:r>
        <w:t>7</w:t>
      </w:r>
      <w:r w:rsidRPr="00DF38B2">
        <w:t> per cent compared with 35.</w:t>
      </w:r>
      <w:r>
        <w:t>3</w:t>
      </w:r>
      <w:r w:rsidRPr="00DF38B2">
        <w:t> per cent). Above</w:t>
      </w:r>
      <w:r>
        <w:t>-</w:t>
      </w:r>
      <w:r w:rsidRPr="00DF38B2">
        <w:t xml:space="preserve">average incidence of allocation of all funds to BasicsCard is also seen by non-Indigenous people subject to </w:t>
      </w:r>
      <w:r w:rsidR="00532086">
        <w:t>C</w:t>
      </w:r>
      <w:r w:rsidRPr="00DF38B2">
        <w:t xml:space="preserve">ompulsory </w:t>
      </w:r>
      <w:r w:rsidR="00532086">
        <w:t>I</w:t>
      </w:r>
      <w:r w:rsidRPr="00DF38B2">
        <w:t xml:space="preserve">ncome </w:t>
      </w:r>
      <w:r w:rsidR="00532086">
        <w:t>M</w:t>
      </w:r>
      <w:r w:rsidRPr="00DF38B2">
        <w:t>anagement (5</w:t>
      </w:r>
      <w:r>
        <w:t>6</w:t>
      </w:r>
      <w:r w:rsidRPr="00DF38B2">
        <w:t>.2 per cent), those on the automatic vulnerable measures (7</w:t>
      </w:r>
      <w:r>
        <w:t>4</w:t>
      </w:r>
      <w:r w:rsidRPr="00DF38B2">
        <w:t>.</w:t>
      </w:r>
      <w:r>
        <w:t>2</w:t>
      </w:r>
      <w:r w:rsidRPr="00DF38B2">
        <w:t> per cent) and young people (</w:t>
      </w:r>
      <w:r>
        <w:t>80.2</w:t>
      </w:r>
      <w:r w:rsidRPr="00DF38B2">
        <w:t> per cent</w:t>
      </w:r>
      <w:r>
        <w:t xml:space="preserve"> </w:t>
      </w:r>
      <w:r>
        <w:lastRenderedPageBreak/>
        <w:t>for those aged under 20 years and 58.7 per cent for those aged 20 to 24 years</w:t>
      </w:r>
      <w:r w:rsidRPr="00DF38B2">
        <w:t>). In contrast, just 15.</w:t>
      </w:r>
      <w:r>
        <w:t>8</w:t>
      </w:r>
      <w:r w:rsidRPr="00DF38B2">
        <w:t> per cent of those aged 65 years and over allocate all their income</w:t>
      </w:r>
      <w:r>
        <w:t xml:space="preserve"> </w:t>
      </w:r>
      <w:r w:rsidRPr="00DF38B2">
        <w:t>managed funds to their BasicsCard.</w:t>
      </w:r>
    </w:p>
    <w:p w:rsidR="00C12453" w:rsidRPr="00DF38B2" w:rsidRDefault="00C12453" w:rsidP="006654AE">
      <w:r w:rsidRPr="00DF38B2">
        <w:t xml:space="preserve">Just </w:t>
      </w:r>
      <w:r>
        <w:t>3.7</w:t>
      </w:r>
      <w:r w:rsidRPr="00DF38B2">
        <w:t> per cent of people subject to income management choose to put none of their income</w:t>
      </w:r>
      <w:r>
        <w:t xml:space="preserve"> </w:t>
      </w:r>
      <w:r w:rsidRPr="00DF38B2">
        <w:t>managed funds onto a BasicsCard</w:t>
      </w:r>
      <w:r>
        <w:t>.</w:t>
      </w:r>
      <w:r w:rsidRPr="00DF38B2">
        <w:rPr>
          <w:rStyle w:val="FootnoteReference"/>
        </w:rPr>
        <w:footnoteReference w:id="84"/>
      </w:r>
      <w:r w:rsidRPr="00DF38B2">
        <w:t xml:space="preserve"> This is more frequently seen among non-Indigenous people on c</w:t>
      </w:r>
      <w:r w:rsidRPr="009655C3">
        <w:t>ompulsory i</w:t>
      </w:r>
      <w:r w:rsidRPr="00DF38B2">
        <w:t>ncome management (</w:t>
      </w:r>
      <w:r>
        <w:t>9.4</w:t>
      </w:r>
      <w:r w:rsidRPr="00DF38B2">
        <w:t> per cent)</w:t>
      </w:r>
      <w:r>
        <w:t xml:space="preserve"> and</w:t>
      </w:r>
      <w:r w:rsidRPr="00DF38B2">
        <w:t xml:space="preserve"> those who are on the assessed </w:t>
      </w:r>
      <w:proofErr w:type="gramStart"/>
      <w:r w:rsidRPr="00DF38B2">
        <w:t>Vulnerable</w:t>
      </w:r>
      <w:proofErr w:type="gramEnd"/>
      <w:r w:rsidRPr="00DF38B2">
        <w:t xml:space="preserve"> measure (</w:t>
      </w:r>
      <w:r>
        <w:t>12.9</w:t>
      </w:r>
      <w:r w:rsidRPr="00DF38B2">
        <w:t> per cent). In addition, higher non-allocation of any funds to BasicsCards is more likely to occur among those aged 65 years and over (</w:t>
      </w:r>
      <w:r>
        <w:t>12.7</w:t>
      </w:r>
      <w:r w:rsidRPr="00DF38B2">
        <w:t> per cent).</w:t>
      </w:r>
    </w:p>
    <w:p w:rsidR="005E1FE0" w:rsidRPr="00DF38B2" w:rsidRDefault="005E1FE0" w:rsidP="006654AE">
      <w:r w:rsidRPr="00DF38B2">
        <w:t>The proportion of those with an allocation to a BasicsCard increases with length of time spent on income management (</w:t>
      </w:r>
      <w:r w:rsidRPr="00DF38B2">
        <w:fldChar w:fldCharType="begin"/>
      </w:r>
      <w:r w:rsidRPr="00DF38B2">
        <w:instrText xml:space="preserve"> REF _Ref391412671 \h  \* MERGEFORMAT </w:instrText>
      </w:r>
      <w:r w:rsidRPr="00DF38B2">
        <w:fldChar w:fldCharType="separate"/>
      </w:r>
      <w:r w:rsidR="00906D13" w:rsidRPr="00DF38B2">
        <w:t xml:space="preserve">Figure </w:t>
      </w:r>
      <w:r w:rsidR="00906D13">
        <w:t>6</w:t>
      </w:r>
      <w:r w:rsidR="00906D13" w:rsidRPr="00DF38B2">
        <w:noBreakHyphen/>
      </w:r>
      <w:r w:rsidR="00906D13">
        <w:t>1</w:t>
      </w:r>
      <w:r w:rsidRPr="00DF38B2">
        <w:fldChar w:fldCharType="end"/>
      </w:r>
      <w:r w:rsidRPr="00DF38B2">
        <w:t>)</w:t>
      </w:r>
      <w:r w:rsidR="00A1421A">
        <w:t xml:space="preserve">. </w:t>
      </w:r>
      <w:r w:rsidRPr="00DF38B2">
        <w:t>However</w:t>
      </w:r>
      <w:r w:rsidR="00CA49D9">
        <w:t>,</w:t>
      </w:r>
      <w:r w:rsidRPr="00DF38B2">
        <w:t xml:space="preserve"> very soon after starting income management the majority of people have an allocation to their BasicsCard (</w:t>
      </w:r>
      <w:r w:rsidR="00BF27B1">
        <w:t>9</w:t>
      </w:r>
      <w:r w:rsidR="00BF27B1" w:rsidRPr="00DF38B2">
        <w:t>2 </w:t>
      </w:r>
      <w:r w:rsidRPr="00DF38B2">
        <w:t>per cent having an allocation to their BasicsCard in their first week of income management). The proportion with a BasicsCard allocation then</w:t>
      </w:r>
      <w:r w:rsidRPr="00FE502F">
        <w:t xml:space="preserve"> steadily increases</w:t>
      </w:r>
      <w:r w:rsidR="00532086">
        <w:t>. A</w:t>
      </w:r>
      <w:r w:rsidRPr="00FE502F">
        <w:t xml:space="preserve">fter </w:t>
      </w:r>
      <w:r w:rsidR="00CA49D9">
        <w:t>three</w:t>
      </w:r>
      <w:r w:rsidRPr="00FE502F">
        <w:t xml:space="preserve"> months 95 per cent of people have an alloca</w:t>
      </w:r>
      <w:r w:rsidRPr="009655C3">
        <w:t>tion to a BasicsCard</w:t>
      </w:r>
      <w:r w:rsidR="00CA49D9">
        <w:t>,</w:t>
      </w:r>
      <w:r w:rsidRPr="009655C3">
        <w:t xml:space="preserve"> and after </w:t>
      </w:r>
      <w:r w:rsidR="00CA49D9">
        <w:t>nine</w:t>
      </w:r>
      <w:r w:rsidRPr="009655C3">
        <w:t xml:space="preserve"> months</w:t>
      </w:r>
      <w:r w:rsidR="00BF27B1">
        <w:t xml:space="preserve"> around</w:t>
      </w:r>
      <w:r w:rsidRPr="009655C3">
        <w:t xml:space="preserve"> 96 per cent have such an allocation. The reasons for this pattern are not entirely clear. In some cases it reflects delays in issuing a BasicsCard, as this process requires face-to-face contact with the person being</w:t>
      </w:r>
      <w:r w:rsidRPr="00DF38B2">
        <w:t xml:space="preserve"> income managed. In other cases it may </w:t>
      </w:r>
      <w:r w:rsidR="007E76A6">
        <w:t xml:space="preserve">simply </w:t>
      </w:r>
      <w:r w:rsidRPr="00DF38B2">
        <w:t xml:space="preserve">be </w:t>
      </w:r>
      <w:r w:rsidR="00CA49D9">
        <w:t>the</w:t>
      </w:r>
      <w:r w:rsidRPr="00DF38B2">
        <w:t xml:space="preserve"> result of a person initially declining to use a BasicsCard but then deciding that they would like to use this as a mechanism for spending </w:t>
      </w:r>
      <w:r w:rsidR="00A93FCC">
        <w:t xml:space="preserve">some or all of </w:t>
      </w:r>
      <w:r w:rsidRPr="00DF38B2">
        <w:t>their income</w:t>
      </w:r>
      <w:r w:rsidR="00A04470">
        <w:t xml:space="preserve"> </w:t>
      </w:r>
      <w:r w:rsidRPr="00DF38B2">
        <w:t>managed funds.</w:t>
      </w:r>
    </w:p>
    <w:p w:rsidR="005E1FE0" w:rsidRPr="00DF38B2" w:rsidRDefault="005E1FE0" w:rsidP="006654AE">
      <w:r w:rsidRPr="00DF38B2">
        <w:t>While people who have been on income management for more than two years have a very low level of non-use of a BasicsCard (3.</w:t>
      </w:r>
      <w:r w:rsidR="00BF27B1">
        <w:t>3</w:t>
      </w:r>
      <w:r w:rsidR="00BF27B1" w:rsidRPr="00DF38B2">
        <w:t> </w:t>
      </w:r>
      <w:r w:rsidRPr="00DF38B2">
        <w:t>per cent), they are relatively less likely to put all of their funds through their BasicsCard, with just 23.7 per cent doing so.</w:t>
      </w:r>
    </w:p>
    <w:p w:rsidR="005E1FE0" w:rsidRPr="00DF38B2" w:rsidRDefault="005E1FE0" w:rsidP="006654AE">
      <w:r w:rsidRPr="00DF38B2">
        <w:t>Overall, 8</w:t>
      </w:r>
      <w:r w:rsidR="00BF27B1">
        <w:t>6.6</w:t>
      </w:r>
      <w:r w:rsidR="00CA49D9">
        <w:t xml:space="preserve"> </w:t>
      </w:r>
      <w:r w:rsidRPr="00DF38B2">
        <w:t>per cent of people subject to income management use their BasicsCard to spend 50 per cent or more of their income</w:t>
      </w:r>
      <w:r w:rsidR="00A04470">
        <w:t xml:space="preserve"> </w:t>
      </w:r>
      <w:r w:rsidRPr="00DF38B2">
        <w:t xml:space="preserve">managed funds. Even for people who do not allocate all of their funds to their BasicsCard, in the majority of cases the proportion allocated to the BasicsCard </w:t>
      </w:r>
      <w:proofErr w:type="gramStart"/>
      <w:r w:rsidRPr="00DF38B2">
        <w:t>is</w:t>
      </w:r>
      <w:proofErr w:type="gramEnd"/>
      <w:r w:rsidRPr="00DF38B2">
        <w:t xml:space="preserve"> relatively high.</w:t>
      </w:r>
    </w:p>
    <w:p w:rsidR="005E1FE0" w:rsidRPr="00DF38B2" w:rsidRDefault="005E1FE0" w:rsidP="006654AE">
      <w:r w:rsidRPr="00DF38B2">
        <w:t>This high level of allocations to BasicsCard illustrates the importance of the BasicsCard to income management and hence the focus on it in this chapter.</w:t>
      </w:r>
    </w:p>
    <w:p w:rsidR="005E1FE0" w:rsidRPr="00DF38B2" w:rsidRDefault="005E1FE0" w:rsidP="006654AE">
      <w:pPr>
        <w:pStyle w:val="Caption"/>
        <w:ind w:left="1439" w:hanging="1155"/>
        <w:rPr>
          <w:szCs w:val="19"/>
        </w:rPr>
      </w:pPr>
      <w:bookmarkStart w:id="314" w:name="_Ref391412671"/>
      <w:bookmarkStart w:id="315" w:name="_Toc40373953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314"/>
      <w:r w:rsidRPr="00DF38B2">
        <w:t xml:space="preserve"> </w:t>
      </w:r>
      <w:r w:rsidRPr="00DF38B2">
        <w:tab/>
        <w:t xml:space="preserve">Proportion of people subject to </w:t>
      </w:r>
      <w:r w:rsidR="005E4CAC">
        <w:t>income management</w:t>
      </w:r>
      <w:r w:rsidRPr="00DF38B2">
        <w:t xml:space="preserve"> </w:t>
      </w:r>
      <w:r w:rsidR="006F51EF">
        <w:t xml:space="preserve">in the Northern Territory </w:t>
      </w:r>
      <w:r w:rsidRPr="00DF38B2">
        <w:t xml:space="preserve">with an allocation to a BasicsCard by duration of time on </w:t>
      </w:r>
      <w:r w:rsidR="005E4CAC">
        <w:t>income management</w:t>
      </w:r>
      <w:r w:rsidRPr="00DF38B2">
        <w:t xml:space="preserve"> in their first year on the program, October 2013</w:t>
      </w:r>
      <w:bookmarkEnd w:id="315"/>
    </w:p>
    <w:p w:rsidR="005E1FE0" w:rsidRPr="00DF38B2" w:rsidRDefault="00EA7AE6" w:rsidP="006654AE">
      <w:pPr>
        <w:pStyle w:val="graphicpaste"/>
        <w:rPr>
          <w:szCs w:val="19"/>
        </w:rPr>
      </w:pPr>
      <w:r w:rsidRPr="00DF38B2">
        <w:rPr>
          <w:szCs w:val="19"/>
        </w:rPr>
        <w:t xml:space="preserve"> </w:t>
      </w:r>
      <w:r w:rsidR="00BF27B1" w:rsidRPr="00BF27B1">
        <w:rPr>
          <w:noProof/>
        </w:rPr>
        <w:drawing>
          <wp:inline distT="0" distB="0" distL="0" distR="0" wp14:anchorId="654286AF" wp14:editId="4435C695">
            <wp:extent cx="4572000" cy="2743200"/>
            <wp:effectExtent l="0" t="0" r="0" b="0"/>
            <wp:docPr id="81" name="Picture 81" descr="The chart presents duration of time a person has been on income management, from 1 to 53 weeks (horizontal axis) against the proportion with an allocation to their BasicsCard (vertical axis).  Two lines on the graph show the proportion on a weekly basis (shows considerable fluctuations from week to week) and a fitted polynomial which is used to show the underlying trend in the data. The overall pattern of the data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ind w:left="1440" w:hanging="873"/>
      </w:pPr>
      <w:r w:rsidRPr="00FE502F">
        <w:t xml:space="preserve">Source: </w:t>
      </w:r>
      <w:r w:rsidR="00BF56C6">
        <w:tab/>
      </w:r>
      <w:r w:rsidRPr="00FE502F">
        <w:t xml:space="preserve">Derived from </w:t>
      </w:r>
      <w:r w:rsidR="00060511">
        <w:t>DHS</w:t>
      </w:r>
      <w:r w:rsidRPr="00FE502F">
        <w:t xml:space="preserve"> administrative data provided for the purposes of the eval</w:t>
      </w:r>
      <w:r w:rsidRPr="009655C3">
        <w:t>uation.</w:t>
      </w:r>
    </w:p>
    <w:p w:rsidR="003928BD" w:rsidRPr="009655C3" w:rsidRDefault="003928BD" w:rsidP="006654AE">
      <w:pPr>
        <w:pStyle w:val="tablefootnoteslastline"/>
      </w:pPr>
    </w:p>
    <w:p w:rsidR="005E1FE0" w:rsidRPr="009655C3" w:rsidRDefault="005E1FE0" w:rsidP="006654AE">
      <w:pPr>
        <w:pStyle w:val="Heading3"/>
      </w:pPr>
      <w:bookmarkStart w:id="316" w:name="_Toc403739041"/>
      <w:r w:rsidRPr="009655C3">
        <w:lastRenderedPageBreak/>
        <w:t>Other allocations</w:t>
      </w:r>
      <w:bookmarkEnd w:id="316"/>
    </w:p>
    <w:p w:rsidR="005E1FE0" w:rsidRPr="00DF38B2" w:rsidRDefault="005E1FE0" w:rsidP="006654AE">
      <w:r w:rsidRPr="00DF38B2">
        <w:t>Before considering the use of BasicsCard in more detail, this section reviews the range of other payments made directly by Centrelink from people’s income</w:t>
      </w:r>
      <w:r w:rsidR="00A04470">
        <w:t xml:space="preserve"> </w:t>
      </w:r>
      <w:r w:rsidRPr="00DF38B2">
        <w:t xml:space="preserve">managed funds. These are summarised in </w:t>
      </w:r>
      <w:r w:rsidRPr="00DF38B2">
        <w:fldChar w:fldCharType="begin"/>
      </w:r>
      <w:r w:rsidRPr="00DF38B2">
        <w:instrText xml:space="preserve"> REF _Ref391411292 \h </w:instrText>
      </w:r>
      <w:r w:rsidRPr="00DF38B2">
        <w:fldChar w:fldCharType="separate"/>
      </w:r>
      <w:r w:rsidR="00906D13" w:rsidRPr="00DF38B2">
        <w:t xml:space="preserve">Table </w:t>
      </w:r>
      <w:r w:rsidR="00906D13">
        <w:rPr>
          <w:noProof/>
        </w:rPr>
        <w:t>6</w:t>
      </w:r>
      <w:r w:rsidR="00906D13">
        <w:noBreakHyphen/>
      </w:r>
      <w:r w:rsidR="00906D13">
        <w:rPr>
          <w:noProof/>
        </w:rPr>
        <w:t>1</w:t>
      </w:r>
      <w:r w:rsidRPr="00DF38B2">
        <w:fldChar w:fldCharType="end"/>
      </w:r>
      <w:r w:rsidR="00CA49D9">
        <w:t>,</w:t>
      </w:r>
      <w:r w:rsidRPr="00DF38B2">
        <w:t xml:space="preserve"> which shows the proportion of the income</w:t>
      </w:r>
      <w:r w:rsidR="00A04470">
        <w:t xml:space="preserve"> </w:t>
      </w:r>
      <w:r w:rsidRPr="00DF38B2">
        <w:t>managed population that has this type of allocation by the broad purpose of the allocation. This is presented by broad stream of income mana</w:t>
      </w:r>
      <w:r w:rsidRPr="00FE502F">
        <w:t>gement. The table also shows the average spending through each type of allo</w:t>
      </w:r>
      <w:r w:rsidRPr="009655C3">
        <w:t xml:space="preserve">cation for the </w:t>
      </w:r>
      <w:r w:rsidR="00270A0E">
        <w:t>subgroup</w:t>
      </w:r>
      <w:r w:rsidRPr="009655C3">
        <w:t xml:space="preserve"> of people who allocate some of their income</w:t>
      </w:r>
      <w:r w:rsidR="00A04470">
        <w:t xml:space="preserve"> </w:t>
      </w:r>
      <w:r w:rsidRPr="009655C3">
        <w:t xml:space="preserve">managed funds </w:t>
      </w:r>
      <w:r w:rsidR="00EA7AE6" w:rsidRPr="009655C3">
        <w:t>to that</w:t>
      </w:r>
      <w:r w:rsidRPr="00DF38B2">
        <w:t xml:space="preserve"> allocation.</w:t>
      </w:r>
    </w:p>
    <w:p w:rsidR="005E1FE0" w:rsidRPr="00DF38B2" w:rsidRDefault="005E1FE0" w:rsidP="006654AE">
      <w:r w:rsidRPr="00DF38B2">
        <w:t>The most common allocation is to housing, with 3</w:t>
      </w:r>
      <w:r w:rsidR="00BF27B1">
        <w:t>5.7 </w:t>
      </w:r>
      <w:r w:rsidRPr="00BF27B1">
        <w:t>per</w:t>
      </w:r>
      <w:r w:rsidRPr="00DF38B2">
        <w:t xml:space="preserve"> cent of those on income management having such an allocation, with an average </w:t>
      </w:r>
      <w:r w:rsidR="006F03A2">
        <w:t>expenditure</w:t>
      </w:r>
      <w:r w:rsidR="00892147">
        <w:t xml:space="preserve"> on this item</w:t>
      </w:r>
      <w:r w:rsidRPr="00DF38B2">
        <w:t xml:space="preserve"> of $102 per fortnight. </w:t>
      </w:r>
      <w:r w:rsidR="00A93FCC">
        <w:t>P</w:t>
      </w:r>
      <w:r w:rsidR="00012F91">
        <w:t>ayment</w:t>
      </w:r>
      <w:r w:rsidRPr="00DF38B2">
        <w:t xml:space="preserve"> of housing was most common amongst those on </w:t>
      </w:r>
      <w:r w:rsidR="001544DF">
        <w:t>Voluntary Income Management</w:t>
      </w:r>
      <w:r w:rsidRPr="00DF38B2">
        <w:t xml:space="preserve"> (48.</w:t>
      </w:r>
      <w:r w:rsidR="00BF27B1">
        <w:t>4</w:t>
      </w:r>
      <w:r w:rsidR="00BF27B1" w:rsidRPr="00DF38B2">
        <w:t> </w:t>
      </w:r>
      <w:r w:rsidRPr="00DF38B2">
        <w:t>per cent) and Indigenous people on compulsory measures (3</w:t>
      </w:r>
      <w:r w:rsidR="00BF27B1">
        <w:t>5.0</w:t>
      </w:r>
      <w:r w:rsidRPr="00DF38B2">
        <w:t> per cent). In contrast it was relatively infrequent among non-Indigenous people subject to compulsory income management</w:t>
      </w:r>
      <w:r w:rsidR="006F03A2">
        <w:t>,</w:t>
      </w:r>
      <w:r w:rsidRPr="00DF38B2">
        <w:t xml:space="preserve"> with just 15.</w:t>
      </w:r>
      <w:r w:rsidR="00BF27B1">
        <w:t>8</w:t>
      </w:r>
      <w:r w:rsidRPr="00DF38B2">
        <w:t> per cent having an allocation to housing. However, non-Indigenous people subject to compulsory income management who have an allocation to housing have an average allocation of $</w:t>
      </w:r>
      <w:r w:rsidR="00BF27B1">
        <w:t>198</w:t>
      </w:r>
      <w:r w:rsidR="00BF27B1" w:rsidRPr="00DF38B2">
        <w:t> </w:t>
      </w:r>
      <w:r w:rsidRPr="00DF38B2">
        <w:t xml:space="preserve">per fortnight, about twice the size of the allocation for the other groups. </w:t>
      </w:r>
    </w:p>
    <w:p w:rsidR="005E1FE0" w:rsidRPr="00DF38B2" w:rsidRDefault="005E1FE0" w:rsidP="006654AE">
      <w:r w:rsidRPr="00DF38B2">
        <w:t xml:space="preserve">This difference in level and rate of allocation reflects the </w:t>
      </w:r>
      <w:r w:rsidR="002B3B35">
        <w:t xml:space="preserve">considerably </w:t>
      </w:r>
      <w:r w:rsidRPr="00DF38B2">
        <w:t>different living arrangements of the two populations</w:t>
      </w:r>
      <w:r w:rsidR="00A1421A">
        <w:t xml:space="preserve">. </w:t>
      </w:r>
      <w:r w:rsidR="00EA7AE6" w:rsidRPr="00DF38B2">
        <w:t>T</w:t>
      </w:r>
      <w:r w:rsidRPr="00DF38B2">
        <w:t xml:space="preserve">he majority of non-Indigenous people subject to income management </w:t>
      </w:r>
      <w:r w:rsidR="002B3B35">
        <w:t>are</w:t>
      </w:r>
      <w:r w:rsidR="002B3B35" w:rsidRPr="00DF38B2">
        <w:t xml:space="preserve"> </w:t>
      </w:r>
      <w:r w:rsidRPr="00DF38B2">
        <w:t xml:space="preserve">living in urban Darwin and facing much higher housing costs. </w:t>
      </w:r>
      <w:r w:rsidR="00EA7AE6" w:rsidRPr="00DF38B2">
        <w:t>T</w:t>
      </w:r>
      <w:r w:rsidRPr="00DF38B2">
        <w:t xml:space="preserve">his is reflected in the higher average </w:t>
      </w:r>
      <w:r w:rsidR="002B3B35">
        <w:t>expenditure</w:t>
      </w:r>
      <w:r w:rsidR="00EA7AE6" w:rsidRPr="00DF38B2">
        <w:t>.</w:t>
      </w:r>
      <w:r w:rsidRPr="00DF38B2">
        <w:t xml:space="preserve"> </w:t>
      </w:r>
      <w:r w:rsidR="00EA7AE6" w:rsidRPr="00DF38B2">
        <w:t>T</w:t>
      </w:r>
      <w:r w:rsidRPr="00DF38B2">
        <w:t xml:space="preserve">he lower proportion </w:t>
      </w:r>
      <w:r w:rsidR="00EA7AE6" w:rsidRPr="00DF38B2">
        <w:t xml:space="preserve">with allocations is a function of </w:t>
      </w:r>
      <w:r w:rsidRPr="00DF38B2">
        <w:t xml:space="preserve">differences in tenure. In large part the housing rents </w:t>
      </w:r>
      <w:r w:rsidR="00EA7AE6" w:rsidRPr="00DF38B2">
        <w:t xml:space="preserve">of Indigenous people </w:t>
      </w:r>
      <w:r w:rsidRPr="00DF38B2">
        <w:t>are paid to Territory Housing or to community housing authorities. In contrast</w:t>
      </w:r>
      <w:r w:rsidR="002B3B35">
        <w:t>,</w:t>
      </w:r>
      <w:r w:rsidRPr="00DF38B2">
        <w:t xml:space="preserve"> non-Indigenous people are more likely to live in private rental housing. For many people it can be more difficult to pay for this through income</w:t>
      </w:r>
      <w:r w:rsidR="00A04470">
        <w:t xml:space="preserve"> </w:t>
      </w:r>
      <w:r w:rsidRPr="00DF38B2">
        <w:t>managed funds. Some landlords seek to have rent paid in cash, while others are unwilling to receive payment through Centrelink, or individuals subject to income management are unwilling to have this information shared with their landlord. Another issue arises in group or shared housing where the rent is paid by one person who is then reimbursed in cash by the other household members. This type of payment through income management, while possible, again runs into a range of difficulties. The funding of housing directly from income</w:t>
      </w:r>
      <w:r w:rsidR="00A04470">
        <w:t xml:space="preserve"> </w:t>
      </w:r>
      <w:r w:rsidRPr="00DF38B2">
        <w:t>managed funds is identified as one of the priority needs.</w:t>
      </w:r>
    </w:p>
    <w:p w:rsidR="005E1FE0" w:rsidRPr="00DF38B2" w:rsidRDefault="005E1FE0" w:rsidP="006654AE">
      <w:r w:rsidRPr="00DF38B2">
        <w:t>The second major allocation grouping is spending on School</w:t>
      </w:r>
      <w:r w:rsidR="002B3B35">
        <w:t>ing</w:t>
      </w:r>
      <w:r w:rsidRPr="00DF38B2">
        <w:t xml:space="preserve"> and Children. This type of allocation is dominated by payments for the School Nutrition Program. As discussed in Chapter 2, this program involves an obligatory payment by parents to help cover the costs of the program. Overall, </w:t>
      </w:r>
      <w:r w:rsidR="00BF27B1">
        <w:t>15.4</w:t>
      </w:r>
      <w:r w:rsidRPr="00DF38B2">
        <w:t> per cent of people subject to income management have an allocation for the School Nutrition Program. The average allocation amount (for those with such an allocation) is $8</w:t>
      </w:r>
      <w:r w:rsidR="00510EC7">
        <w:t>5</w:t>
      </w:r>
      <w:r w:rsidRPr="00DF38B2">
        <w:t xml:space="preserve"> per fortnight. This amount is often for multiple children. </w:t>
      </w:r>
    </w:p>
    <w:p w:rsidR="005E1FE0" w:rsidRPr="00DF38B2" w:rsidRDefault="00EA7AE6" w:rsidP="006654AE">
      <w:r w:rsidRPr="00FE502F">
        <w:t>A</w:t>
      </w:r>
      <w:r w:rsidR="005E1FE0" w:rsidRPr="009655C3">
        <w:t>s noted in the introduction to this Chapter, the School Nutrition Program is identified as a high</w:t>
      </w:r>
      <w:r w:rsidR="002B3B35">
        <w:t>-</w:t>
      </w:r>
      <w:r w:rsidR="005E1FE0" w:rsidRPr="009655C3">
        <w:t>priority payment in the legislation. The Guide to Social Security Law s</w:t>
      </w:r>
      <w:r w:rsidR="002B3B35">
        <w:t xml:space="preserve">tates </w:t>
      </w:r>
      <w:r w:rsidR="005E1FE0" w:rsidRPr="009655C3">
        <w:t>“If the child/student is enrolled to attend school (approved absences aside), and an approved school meals/nutrition program is available at the school the child/student attends, then</w:t>
      </w:r>
      <w:r w:rsidR="005E1FE0" w:rsidRPr="00DF38B2">
        <w:t xml:space="preserve"> a deduction for the school meals/nutrition program is strongly recommended.”</w:t>
      </w:r>
      <w:r w:rsidR="00074155">
        <w:t xml:space="preserve"> (DSS, 2014</w:t>
      </w:r>
      <w:r w:rsidR="00C74BD2">
        <w:t>g</w:t>
      </w:r>
      <w:r w:rsidR="00074155">
        <w:t>)</w:t>
      </w:r>
      <w:r w:rsidR="00074155">
        <w:rPr>
          <w:rStyle w:val="FootnoteReference"/>
        </w:rPr>
        <w:t xml:space="preserve"> </w:t>
      </w:r>
    </w:p>
    <w:p w:rsidR="005E1FE0" w:rsidRPr="00DF38B2" w:rsidRDefault="005E1FE0" w:rsidP="006654AE">
      <w:r w:rsidRPr="00FE502F">
        <w:t xml:space="preserve">In the more detailed discussion in the Guide </w:t>
      </w:r>
      <w:r w:rsidR="00DA618C">
        <w:t xml:space="preserve">to Social Security Law </w:t>
      </w:r>
      <w:r w:rsidRPr="00FE502F">
        <w:t xml:space="preserve">it indicates that this </w:t>
      </w:r>
      <w:r w:rsidR="002B3B35">
        <w:t>“</w:t>
      </w:r>
      <w:r w:rsidRPr="00FE502F">
        <w:t>strong recommendation</w:t>
      </w:r>
      <w:r w:rsidR="002B3B35">
        <w:t>”</w:t>
      </w:r>
      <w:r w:rsidRPr="00FE502F">
        <w:t xml:space="preserve"> essentially involves a reverse burden of proof by the parent if they choose not to ma</w:t>
      </w:r>
      <w:r w:rsidRPr="009655C3">
        <w:t>ke this payment, and the potential for the allocation to be made without their consent. “The onus is on the parent to show how they are meeting their children</w:t>
      </w:r>
      <w:r w:rsidR="002B3B35">
        <w:t>’</w:t>
      </w:r>
      <w:r w:rsidRPr="009655C3">
        <w:t>s daily food needs. If the delegate is not satisfied that the person meets the daily food needs o</w:t>
      </w:r>
      <w:r w:rsidRPr="00DF38B2">
        <w:t xml:space="preserve">f their children, the delegate must take action to meet the priority need as set out in </w:t>
      </w:r>
      <w:r w:rsidR="00B91ACE">
        <w:t xml:space="preserve">the </w:t>
      </w:r>
      <w:r w:rsidR="00B91ACE" w:rsidRPr="00DF38B2">
        <w:rPr>
          <w:i/>
          <w:szCs w:val="19"/>
        </w:rPr>
        <w:t>Social Security (Administration) Act 1999 (</w:t>
      </w:r>
      <w:proofErr w:type="spellStart"/>
      <w:r w:rsidR="00B91ACE" w:rsidRPr="00DF38B2">
        <w:rPr>
          <w:i/>
          <w:szCs w:val="19"/>
        </w:rPr>
        <w:t>Cwth</w:t>
      </w:r>
      <w:proofErr w:type="spellEnd"/>
      <w:r w:rsidR="00B91ACE" w:rsidRPr="00DF38B2">
        <w:rPr>
          <w:i/>
          <w:szCs w:val="19"/>
        </w:rPr>
        <w:t>)</w:t>
      </w:r>
      <w:r w:rsidR="00B91ACE">
        <w:rPr>
          <w:szCs w:val="19"/>
        </w:rPr>
        <w:t>,</w:t>
      </w:r>
      <w:r w:rsidRPr="00DF38B2">
        <w:t xml:space="preserve"> section 123YA, including by allocating </w:t>
      </w:r>
      <w:r w:rsidR="00A04470">
        <w:t>income managed</w:t>
      </w:r>
      <w:r w:rsidR="00307C76">
        <w:t xml:space="preserve"> funds</w:t>
      </w:r>
      <w:r w:rsidRPr="00DF38B2">
        <w:t xml:space="preserve"> to a school meals/nutrition program, where available.”</w:t>
      </w:r>
      <w:r w:rsidR="00074155">
        <w:t xml:space="preserve"> (DSS, 2014</w:t>
      </w:r>
      <w:r w:rsidR="00A75096">
        <w:t>g</w:t>
      </w:r>
      <w:r w:rsidR="00074155">
        <w:t>)</w:t>
      </w:r>
      <w:r w:rsidR="00074155">
        <w:rPr>
          <w:rStyle w:val="FootnoteReference"/>
        </w:rPr>
        <w:t xml:space="preserve"> </w:t>
      </w:r>
      <w:r w:rsidR="00D20973">
        <w:rPr>
          <w:rStyle w:val="FootnoteReference"/>
        </w:rPr>
        <w:footnoteReference w:id="85"/>
      </w:r>
    </w:p>
    <w:p w:rsidR="005E1FE0" w:rsidRPr="00DF38B2" w:rsidRDefault="005E1FE0" w:rsidP="006654AE">
      <w:r w:rsidRPr="00FE502F">
        <w:t>Nine per cent of people have an alloca</w:t>
      </w:r>
      <w:r w:rsidRPr="009655C3">
        <w:t>tion for food. This apparently low proportion is because most food purchases are made by people using their BasicsCard. Where these expenditures appear as direct allocations, this type of arrangement can include making a payment to a store as a credit whic</w:t>
      </w:r>
      <w:r w:rsidRPr="00DF38B2">
        <w:t xml:space="preserve">h a person can </w:t>
      </w:r>
      <w:r w:rsidRPr="00DF38B2">
        <w:lastRenderedPageBreak/>
        <w:t xml:space="preserve">then draw down </w:t>
      </w:r>
      <w:proofErr w:type="gramStart"/>
      <w:r w:rsidRPr="00DF38B2">
        <w:t>on,</w:t>
      </w:r>
      <w:proofErr w:type="gramEnd"/>
      <w:r w:rsidRPr="00DF38B2">
        <w:t xml:space="preserve"> or it can involve monies credited to a specific store card. It has been reported that such credits can occur where a person has lost their BasicsCard and they are waiting for a Centrelink remote service team to visit a community so that the card can be replaced.</w:t>
      </w:r>
    </w:p>
    <w:p w:rsidR="005E1FE0" w:rsidRPr="00DF38B2" w:rsidRDefault="005E1FE0" w:rsidP="006654AE">
      <w:pPr>
        <w:pStyle w:val="Caption"/>
      </w:pPr>
      <w:bookmarkStart w:id="317" w:name="_Ref391734106"/>
      <w:bookmarkStart w:id="318" w:name="_Toc403739441"/>
      <w:r w:rsidRPr="00DF38B2">
        <w:t xml:space="preserve">Table </w:t>
      </w:r>
      <w:fldSimple w:instr=" STYLEREF 1 \s ">
        <w:r w:rsidR="00906D13">
          <w:rPr>
            <w:noProof/>
          </w:rPr>
          <w:t>6</w:t>
        </w:r>
      </w:fldSimple>
      <w:r w:rsidR="00D40B64">
        <w:noBreakHyphen/>
      </w:r>
      <w:fldSimple w:instr=" SEQ Table \* ARABIC \s 1 ">
        <w:r w:rsidR="00906D13">
          <w:rPr>
            <w:noProof/>
          </w:rPr>
          <w:t>2</w:t>
        </w:r>
      </w:fldSimple>
      <w:bookmarkEnd w:id="317"/>
      <w:r w:rsidRPr="00DF38B2">
        <w:t>:</w:t>
      </w:r>
      <w:r w:rsidRPr="00DF38B2">
        <w:tab/>
        <w:t>Income</w:t>
      </w:r>
      <w:r w:rsidR="00A04470">
        <w:t xml:space="preserve"> </w:t>
      </w:r>
      <w:r w:rsidRPr="00DF38B2">
        <w:t xml:space="preserve">managed funds allocation by type, </w:t>
      </w:r>
      <w:r w:rsidR="006F51EF">
        <w:t xml:space="preserve">NIM, </w:t>
      </w:r>
      <w:r w:rsidRPr="00DF38B2">
        <w:t>October 2013</w:t>
      </w:r>
      <w:bookmarkEnd w:id="318"/>
    </w:p>
    <w:tbl>
      <w:tblPr>
        <w:tblW w:w="6169" w:type="pct"/>
        <w:tblInd w:w="-998" w:type="dxa"/>
        <w:tblLayout w:type="fixed"/>
        <w:tblCellMar>
          <w:left w:w="0" w:type="dxa"/>
          <w:right w:w="0" w:type="dxa"/>
        </w:tblCellMar>
        <w:tblLook w:val="04A0" w:firstRow="1" w:lastRow="0" w:firstColumn="1" w:lastColumn="0" w:noHBand="0" w:noVBand="1"/>
        <w:tblDescription w:val="This table presents details on the extent and level of allocations of income managed funds. The rows present the various types of allocation – to BasicsCard, School &amp; child related; Council payments; Fines; Food; Homecare; Housing; Transport; Utilities; Other and a Total.  Data in the columns present the average spend of those with expenditure on the item in dollars, and the proportion with an allocation to this function. These two figures are presented in the table for four populations, Indigenous people on compulsory measures, non-Indigenous people on these measures, all persons on voluntary income management and the total for all people on income management.&#10;Key findings are reported in the text.&#10;"/>
      </w:tblPr>
      <w:tblGrid>
        <w:gridCol w:w="1245"/>
        <w:gridCol w:w="1243"/>
        <w:gridCol w:w="1244"/>
        <w:gridCol w:w="113"/>
        <w:gridCol w:w="1302"/>
        <w:gridCol w:w="1246"/>
        <w:gridCol w:w="111"/>
        <w:gridCol w:w="1008"/>
        <w:gridCol w:w="971"/>
        <w:gridCol w:w="113"/>
        <w:gridCol w:w="868"/>
        <w:gridCol w:w="818"/>
      </w:tblGrid>
      <w:tr w:rsidR="0064456B" w:rsidRPr="0064456B" w:rsidTr="0064456B">
        <w:trPr>
          <w:trHeight w:val="20"/>
          <w:tblHeader/>
        </w:trPr>
        <w:tc>
          <w:tcPr>
            <w:tcW w:w="605" w:type="pct"/>
            <w:tcBorders>
              <w:top w:val="single" w:sz="4" w:space="0" w:color="auto"/>
              <w:left w:val="nil"/>
              <w:bottom w:val="single" w:sz="4" w:space="0" w:color="auto"/>
              <w:right w:val="nil"/>
            </w:tcBorders>
            <w:shd w:val="clear" w:color="auto" w:fill="auto"/>
            <w:noWrap/>
            <w:hideMark/>
          </w:tcPr>
          <w:p w:rsidR="005E1FE0" w:rsidRPr="009A06B6" w:rsidRDefault="0064456B" w:rsidP="0064456B">
            <w:pPr>
              <w:pStyle w:val="tabletextleft"/>
              <w:jc w:val="left"/>
              <w:rPr>
                <w:rFonts w:eastAsia="Times New Roman"/>
                <w:sz w:val="16"/>
              </w:rPr>
            </w:pPr>
            <w:r w:rsidRPr="009A06B6">
              <w:rPr>
                <w:rFonts w:eastAsia="Times New Roman"/>
                <w:sz w:val="16"/>
              </w:rPr>
              <w:t>Allocation of IM funds</w:t>
            </w:r>
          </w:p>
        </w:tc>
        <w:tc>
          <w:tcPr>
            <w:tcW w:w="604"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Compulsory IM Indigenous: </w:t>
            </w:r>
            <w:r w:rsidR="005E1FE0" w:rsidRPr="009A06B6">
              <w:rPr>
                <w:rFonts w:eastAsia="Times New Roman"/>
                <w:sz w:val="16"/>
              </w:rPr>
              <w:t>Average spend those with ($)</w:t>
            </w:r>
          </w:p>
        </w:tc>
        <w:tc>
          <w:tcPr>
            <w:tcW w:w="605"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Compulsory IM Indigenous: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5"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633"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Compulsory IM non-Indigenous: </w:t>
            </w:r>
            <w:r w:rsidR="005E1FE0" w:rsidRPr="009A06B6">
              <w:rPr>
                <w:rFonts w:eastAsia="Times New Roman"/>
                <w:sz w:val="16"/>
              </w:rPr>
              <w:t>Average spend those with ($)</w:t>
            </w:r>
          </w:p>
        </w:tc>
        <w:tc>
          <w:tcPr>
            <w:tcW w:w="606"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Compulsory IM non-Indigenous: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4"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490"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proofErr w:type="spellStart"/>
            <w:r w:rsidRPr="009A06B6">
              <w:rPr>
                <w:rFonts w:eastAsia="Times New Roman"/>
                <w:sz w:val="16"/>
              </w:rPr>
              <w:t>Vol</w:t>
            </w:r>
            <w:proofErr w:type="spellEnd"/>
            <w:r w:rsidRPr="009A06B6">
              <w:rPr>
                <w:rFonts w:eastAsia="Times New Roman"/>
                <w:sz w:val="16"/>
              </w:rPr>
              <w:t xml:space="preserve"> IM: </w:t>
            </w:r>
          </w:p>
          <w:p w:rsidR="005E1FE0" w:rsidRPr="009A06B6" w:rsidRDefault="005E1FE0" w:rsidP="006654AE">
            <w:pPr>
              <w:pStyle w:val="tabletextright"/>
              <w:rPr>
                <w:rFonts w:eastAsia="Times New Roman"/>
                <w:sz w:val="16"/>
              </w:rPr>
            </w:pPr>
            <w:r w:rsidRPr="009A06B6">
              <w:rPr>
                <w:rFonts w:eastAsia="Times New Roman"/>
                <w:sz w:val="16"/>
              </w:rPr>
              <w:t>Average spend those with ($)</w:t>
            </w:r>
          </w:p>
        </w:tc>
        <w:tc>
          <w:tcPr>
            <w:tcW w:w="472"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proofErr w:type="spellStart"/>
            <w:r w:rsidRPr="009A06B6">
              <w:rPr>
                <w:rFonts w:eastAsia="Times New Roman"/>
                <w:sz w:val="16"/>
              </w:rPr>
              <w:t>Vol</w:t>
            </w:r>
            <w:proofErr w:type="spellEnd"/>
            <w:r w:rsidRPr="009A06B6">
              <w:rPr>
                <w:rFonts w:eastAsia="Times New Roman"/>
                <w:sz w:val="16"/>
              </w:rPr>
              <w:t xml:space="preserve"> IM: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5"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422"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Total: </w:t>
            </w:r>
            <w:r w:rsidR="005E1FE0" w:rsidRPr="009A06B6">
              <w:rPr>
                <w:rFonts w:eastAsia="Times New Roman"/>
                <w:sz w:val="16"/>
              </w:rPr>
              <w:t>Average spend those with ($)</w:t>
            </w:r>
          </w:p>
        </w:tc>
        <w:tc>
          <w:tcPr>
            <w:tcW w:w="398"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Total: </w:t>
            </w:r>
          </w:p>
          <w:p w:rsidR="005E1FE0" w:rsidRPr="0064456B" w:rsidRDefault="005E1FE0" w:rsidP="0064456B">
            <w:pPr>
              <w:pStyle w:val="tabletextright"/>
              <w:rPr>
                <w:rFonts w:eastAsia="Times New Roman"/>
                <w:sz w:val="16"/>
              </w:rPr>
            </w:pPr>
            <w:r w:rsidRPr="009A06B6">
              <w:rPr>
                <w:rFonts w:eastAsia="Times New Roman"/>
                <w:sz w:val="16"/>
              </w:rPr>
              <w:t>Proportion with (%)</w:t>
            </w:r>
          </w:p>
        </w:tc>
      </w:tr>
      <w:tr w:rsidR="0064456B" w:rsidRPr="00DF38B2" w:rsidTr="0064456B">
        <w:trPr>
          <w:trHeight w:val="20"/>
        </w:trPr>
        <w:tc>
          <w:tcPr>
            <w:tcW w:w="605" w:type="pct"/>
            <w:tcBorders>
              <w:top w:val="single" w:sz="4" w:space="0" w:color="auto"/>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BasicsCard</w:t>
            </w:r>
          </w:p>
        </w:tc>
        <w:tc>
          <w:tcPr>
            <w:tcW w:w="604"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388</w:t>
            </w:r>
          </w:p>
        </w:tc>
        <w:tc>
          <w:tcPr>
            <w:tcW w:w="60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97.6</w:t>
            </w:r>
          </w:p>
        </w:tc>
        <w:tc>
          <w:tcPr>
            <w:tcW w:w="5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360</w:t>
            </w:r>
          </w:p>
        </w:tc>
        <w:tc>
          <w:tcPr>
            <w:tcW w:w="606"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90.7</w:t>
            </w:r>
          </w:p>
        </w:tc>
        <w:tc>
          <w:tcPr>
            <w:tcW w:w="54" w:type="pct"/>
            <w:tcBorders>
              <w:top w:val="single" w:sz="4" w:space="0" w:color="auto"/>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412</w:t>
            </w:r>
          </w:p>
        </w:tc>
        <w:tc>
          <w:tcPr>
            <w:tcW w:w="472"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94.5</w:t>
            </w:r>
          </w:p>
        </w:tc>
        <w:tc>
          <w:tcPr>
            <w:tcW w:w="5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390</w:t>
            </w:r>
          </w:p>
        </w:tc>
        <w:tc>
          <w:tcPr>
            <w:tcW w:w="398"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96.3</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School &amp; child</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86</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85</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79</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9.3</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85</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15.4</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Council</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0.8</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0.0</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1.4</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0.9</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Fines</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51</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43</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23</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47</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Food</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183</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6.5</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147</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0.8</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173</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21.1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179</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9.0</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Homecare</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79</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0.0</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88</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15.3</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87</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3.6</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Housing</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98</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35.0</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198</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15.8</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96</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48.4</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102</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35.9</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Transport</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2.2</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Utilities</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69</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3.2</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106</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11.5</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52</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76</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4.0</w:t>
            </w:r>
          </w:p>
        </w:tc>
      </w:tr>
      <w:tr w:rsidR="0064456B" w:rsidRPr="00DF38B2" w:rsidTr="0064456B">
        <w:trPr>
          <w:trHeight w:val="20"/>
        </w:trPr>
        <w:tc>
          <w:tcPr>
            <w:tcW w:w="605" w:type="pct"/>
            <w:tcBorders>
              <w:top w:val="nil"/>
              <w:left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Other</w:t>
            </w:r>
          </w:p>
        </w:tc>
        <w:tc>
          <w:tcPr>
            <w:tcW w:w="604"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135</w:t>
            </w:r>
          </w:p>
        </w:tc>
        <w:tc>
          <w:tcPr>
            <w:tcW w:w="605"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13.4</w:t>
            </w:r>
          </w:p>
        </w:tc>
        <w:tc>
          <w:tcPr>
            <w:tcW w:w="55" w:type="pct"/>
            <w:tcBorders>
              <w:top w:val="nil"/>
              <w:left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267</w:t>
            </w:r>
          </w:p>
        </w:tc>
        <w:tc>
          <w:tcPr>
            <w:tcW w:w="606"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24.5</w:t>
            </w:r>
          </w:p>
        </w:tc>
        <w:tc>
          <w:tcPr>
            <w:tcW w:w="54" w:type="pct"/>
            <w:tcBorders>
              <w:top w:val="nil"/>
              <w:left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134</w:t>
            </w:r>
          </w:p>
        </w:tc>
        <w:tc>
          <w:tcPr>
            <w:tcW w:w="472"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12.8</w:t>
            </w:r>
          </w:p>
        </w:tc>
        <w:tc>
          <w:tcPr>
            <w:tcW w:w="55" w:type="pct"/>
            <w:tcBorders>
              <w:top w:val="nil"/>
              <w:left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155</w:t>
            </w:r>
          </w:p>
        </w:tc>
        <w:tc>
          <w:tcPr>
            <w:tcW w:w="398"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14.3</w:t>
            </w:r>
          </w:p>
        </w:tc>
      </w:tr>
      <w:tr w:rsidR="0064456B" w:rsidRPr="00DF38B2" w:rsidTr="0064456B">
        <w:trPr>
          <w:trHeight w:val="20"/>
        </w:trPr>
        <w:tc>
          <w:tcPr>
            <w:tcW w:w="605" w:type="pct"/>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Total</w:t>
            </w:r>
          </w:p>
        </w:tc>
        <w:tc>
          <w:tcPr>
            <w:tcW w:w="604"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464</w:t>
            </w:r>
          </w:p>
        </w:tc>
        <w:tc>
          <w:tcPr>
            <w:tcW w:w="60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437</w:t>
            </w:r>
          </w:p>
        </w:tc>
        <w:tc>
          <w:tcPr>
            <w:tcW w:w="606"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4" w:type="pct"/>
            <w:tcBorders>
              <w:top w:val="nil"/>
              <w:left w:val="nil"/>
              <w:bottom w:val="single" w:sz="4" w:space="0" w:color="auto"/>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514</w:t>
            </w:r>
          </w:p>
        </w:tc>
        <w:tc>
          <w:tcPr>
            <w:tcW w:w="472"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471</w:t>
            </w:r>
          </w:p>
        </w:tc>
        <w:tc>
          <w:tcPr>
            <w:tcW w:w="398"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bl>
    <w:p w:rsidR="005E1FE0" w:rsidRDefault="005E1FE0" w:rsidP="006654AE">
      <w:pPr>
        <w:pStyle w:val="tablenotes"/>
        <w:keepNext w:val="0"/>
        <w:ind w:left="1437" w:hanging="870"/>
      </w:pPr>
      <w:r w:rsidRPr="00DF38B2">
        <w:t>Notes:</w:t>
      </w:r>
      <w:r w:rsidRPr="00DF38B2">
        <w:tab/>
        <w:t xml:space="preserve">The Compulsory </w:t>
      </w:r>
      <w:r w:rsidR="00532086">
        <w:t>i</w:t>
      </w:r>
      <w:r w:rsidRPr="00DF38B2">
        <w:t xml:space="preserve">ncome </w:t>
      </w:r>
      <w:r w:rsidR="00532086">
        <w:t>m</w:t>
      </w:r>
      <w:r w:rsidRPr="00DF38B2">
        <w:t>anagement category includes C</w:t>
      </w:r>
      <w:r w:rsidR="00DA618C">
        <w:t xml:space="preserve">ompulsory </w:t>
      </w:r>
      <w:r w:rsidR="00DA618C" w:rsidRPr="00DF38B2">
        <w:t>I</w:t>
      </w:r>
      <w:r w:rsidR="00DA618C">
        <w:t xml:space="preserve">ncome </w:t>
      </w:r>
      <w:r w:rsidRPr="00DF38B2">
        <w:t>M</w:t>
      </w:r>
      <w:r w:rsidR="00DA618C">
        <w:t>anagement</w:t>
      </w:r>
      <w:r w:rsidRPr="00DF38B2">
        <w:t>, Vulnerable I</w:t>
      </w:r>
      <w:r w:rsidR="00DA618C">
        <w:t xml:space="preserve">ncome </w:t>
      </w:r>
      <w:r w:rsidRPr="00DF38B2">
        <w:t>M</w:t>
      </w:r>
      <w:r w:rsidR="00DA618C">
        <w:t>anagement</w:t>
      </w:r>
      <w:r w:rsidRPr="00DF38B2">
        <w:t>, Child Protection I</w:t>
      </w:r>
      <w:r w:rsidR="00DA618C">
        <w:t xml:space="preserve">ncome </w:t>
      </w:r>
      <w:r w:rsidRPr="00DF38B2">
        <w:t>M</w:t>
      </w:r>
      <w:r w:rsidR="00DA618C">
        <w:t>anagement</w:t>
      </w:r>
      <w:r w:rsidRPr="00DF38B2">
        <w:t xml:space="preserve">, </w:t>
      </w:r>
      <w:r w:rsidR="00791004">
        <w:t>SPAR, and Nominee Income Management.</w:t>
      </w:r>
    </w:p>
    <w:p w:rsidR="0064456B" w:rsidRPr="00DF38B2" w:rsidRDefault="0064456B" w:rsidP="006654AE">
      <w:pPr>
        <w:pStyle w:val="tablenotes"/>
        <w:keepNext w:val="0"/>
        <w:ind w:left="1437" w:hanging="870"/>
      </w:pPr>
      <w:r>
        <w:tab/>
      </w:r>
      <w:proofErr w:type="spellStart"/>
      <w:r>
        <w:t>Vol</w:t>
      </w:r>
      <w:proofErr w:type="spellEnd"/>
      <w:r>
        <w:t xml:space="preserve"> IM – Voluntary Income Management</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pStyle w:val="Heading3"/>
      </w:pPr>
      <w:bookmarkStart w:id="319" w:name="_Toc403739042"/>
      <w:r w:rsidRPr="00DF38B2">
        <w:t>Interaction with Centrepay</w:t>
      </w:r>
      <w:bookmarkEnd w:id="319"/>
    </w:p>
    <w:p w:rsidR="005E1FE0" w:rsidRPr="00DF38B2" w:rsidRDefault="005E1FE0" w:rsidP="006654AE">
      <w:r w:rsidRPr="00DF38B2">
        <w:t>In addition to allocations from income</w:t>
      </w:r>
      <w:r w:rsidR="00A04470">
        <w:t xml:space="preserve"> </w:t>
      </w:r>
      <w:r w:rsidRPr="00DF38B2">
        <w:t>managed funds, a person is also able to allocate some of their income support payments to meet expenses through the use of the Centrelink Centrepay arrangement. This enables the direct crediting of a portion of a person’s income support to a third party as payment for the provision of goods and services, or in some cases debt.</w:t>
      </w:r>
    </w:p>
    <w:p w:rsidR="005E1FE0" w:rsidRPr="00DF38B2" w:rsidRDefault="005E1FE0" w:rsidP="006654AE">
      <w:r w:rsidRPr="00DF38B2">
        <w:t xml:space="preserve">Centrelink </w:t>
      </w:r>
      <w:proofErr w:type="gramStart"/>
      <w:r w:rsidRPr="00DF38B2">
        <w:t>staff at the allocations interview are</w:t>
      </w:r>
      <w:proofErr w:type="gramEnd"/>
      <w:r w:rsidRPr="00DF38B2">
        <w:t xml:space="preserve"> encouraged to propose the use of this facility in addition to income management. The guide states that</w:t>
      </w:r>
      <w:r w:rsidR="001C2CB5">
        <w:t>:</w:t>
      </w:r>
      <w:r w:rsidRPr="00DF38B2">
        <w:t xml:space="preserve"> “The delegate should encourage the person to establish Centrepay from their discretionary, non-income managed payments to meet some priority needs and/or other regular expenses.</w:t>
      </w:r>
      <w:r w:rsidR="001C2CB5">
        <w:t>”</w:t>
      </w:r>
      <w:r w:rsidR="00074155">
        <w:t xml:space="preserve"> (DSS, 2014</w:t>
      </w:r>
      <w:r w:rsidR="00A75096">
        <w:t>h</w:t>
      </w:r>
      <w:r w:rsidR="00074155">
        <w:t>)</w:t>
      </w:r>
      <w:r w:rsidR="00074155">
        <w:rPr>
          <w:rStyle w:val="FootnoteReference"/>
        </w:rPr>
        <w:t xml:space="preserve"> </w:t>
      </w:r>
    </w:p>
    <w:p w:rsidR="005E1FE0" w:rsidRPr="009655C3" w:rsidRDefault="005E1FE0" w:rsidP="006654AE">
      <w:r w:rsidRPr="00FE502F">
        <w:t>The use of Centrepay by people subject to income management has grown strongly. In Octob</w:t>
      </w:r>
      <w:r w:rsidRPr="009655C3">
        <w:t xml:space="preserve">er 2013 around 30 per cent of people on income management also made payments through Centrepay, compared with a little over 20 per cent in October 2011. </w:t>
      </w:r>
    </w:p>
    <w:p w:rsidR="005E1FE0" w:rsidRPr="00FE502F" w:rsidRDefault="005E1FE0" w:rsidP="006654AE">
      <w:r w:rsidRPr="009655C3">
        <w:t xml:space="preserve">As shown in </w:t>
      </w:r>
      <w:r w:rsidRPr="00DF38B2">
        <w:fldChar w:fldCharType="begin"/>
      </w:r>
      <w:r w:rsidRPr="00DF38B2">
        <w:instrText xml:space="preserve"> REF _Ref391456015 \h </w:instrText>
      </w:r>
      <w:r w:rsidRPr="00DF38B2">
        <w:fldChar w:fldCharType="separate"/>
      </w:r>
      <w:r w:rsidR="00906D13" w:rsidRPr="009655C3">
        <w:t xml:space="preserve">Table </w:t>
      </w:r>
      <w:r w:rsidR="00906D13">
        <w:rPr>
          <w:noProof/>
        </w:rPr>
        <w:t>6</w:t>
      </w:r>
      <w:r w:rsidR="00906D13">
        <w:noBreakHyphen/>
      </w:r>
      <w:r w:rsidR="00906D13">
        <w:rPr>
          <w:noProof/>
        </w:rPr>
        <w:t>3</w:t>
      </w:r>
      <w:r w:rsidRPr="00DF38B2">
        <w:fldChar w:fldCharType="end"/>
      </w:r>
      <w:r w:rsidR="008F5906">
        <w:t>,</w:t>
      </w:r>
      <w:r w:rsidRPr="00DF38B2">
        <w:t xml:space="preserve"> the incidence of the use of Centrepay in conjunction with income management </w:t>
      </w:r>
      <w:r w:rsidR="00EA7AE6" w:rsidRPr="00DF38B2">
        <w:t xml:space="preserve">in October 2013 </w:t>
      </w:r>
      <w:r w:rsidRPr="00FE502F">
        <w:t>varies from 16.</w:t>
      </w:r>
      <w:r w:rsidR="00510EC7">
        <w:t>9</w:t>
      </w:r>
      <w:r w:rsidRPr="00FE502F">
        <w:t xml:space="preserve"> per cent for the non-Indigenous population on compulsory measures, to </w:t>
      </w:r>
      <w:r w:rsidR="00510EC7">
        <w:t>30.1</w:t>
      </w:r>
      <w:r w:rsidRPr="00FE502F">
        <w:t> per cent of the Indigenous population on the same measures and 41.</w:t>
      </w:r>
      <w:r w:rsidR="00510EC7">
        <w:t>7</w:t>
      </w:r>
      <w:r w:rsidRPr="00FE502F">
        <w:t xml:space="preserve"> per cent of those on </w:t>
      </w:r>
      <w:r w:rsidR="00DA618C">
        <w:t>V</w:t>
      </w:r>
      <w:r w:rsidR="00DA618C" w:rsidRPr="00FE502F">
        <w:t xml:space="preserve">oluntary </w:t>
      </w:r>
      <w:r w:rsidR="00DA618C">
        <w:t>I</w:t>
      </w:r>
      <w:r w:rsidRPr="00FE502F">
        <w:t xml:space="preserve">ncome </w:t>
      </w:r>
      <w:r w:rsidR="00DA618C">
        <w:t>M</w:t>
      </w:r>
      <w:r w:rsidRPr="00FE502F">
        <w:t>anagement.</w:t>
      </w:r>
    </w:p>
    <w:p w:rsidR="005E1FE0" w:rsidRPr="00DF38B2" w:rsidRDefault="005E1FE0" w:rsidP="006654AE">
      <w:r w:rsidRPr="009655C3">
        <w:t>The three major purposes for which payments are made through Centrepay by people who are subject to income management in the Northern Territory are: housing</w:t>
      </w:r>
      <w:r w:rsidR="00510EC7">
        <w:t>, transport</w:t>
      </w:r>
      <w:r w:rsidR="008F5906">
        <w:t>,</w:t>
      </w:r>
      <w:r w:rsidR="00510EC7">
        <w:t xml:space="preserve"> and court fines. 13.3 per cent of all people on income management and 42.7 per cent of those who use Centrepay use it </w:t>
      </w:r>
      <w:r w:rsidR="008271AF">
        <w:t xml:space="preserve">to pay </w:t>
      </w:r>
      <w:r w:rsidR="00510EC7">
        <w:t xml:space="preserve">for housing. This is primarily for government and community housing </w:t>
      </w:r>
      <w:r w:rsidRPr="009655C3">
        <w:t>(</w:t>
      </w:r>
      <w:r w:rsidR="00510EC7">
        <w:t>37.3</w:t>
      </w:r>
      <w:r w:rsidRPr="009655C3">
        <w:t> per cent of those using this facility</w:t>
      </w:r>
      <w:r w:rsidR="002A650D">
        <w:t xml:space="preserve">) along </w:t>
      </w:r>
      <w:r w:rsidR="008F5906">
        <w:t xml:space="preserve">with </w:t>
      </w:r>
      <w:r w:rsidR="00510EC7">
        <w:t>3.9 per cent using it to pay for short</w:t>
      </w:r>
      <w:r w:rsidR="008F5906">
        <w:t>-</w:t>
      </w:r>
      <w:r w:rsidR="00510EC7">
        <w:t>term housing and boarding facilities</w:t>
      </w:r>
      <w:r w:rsidR="002A650D">
        <w:t>. Just</w:t>
      </w:r>
      <w:r w:rsidR="00510EC7">
        <w:t xml:space="preserve"> 0.1 per cent </w:t>
      </w:r>
      <w:proofErr w:type="gramStart"/>
      <w:r w:rsidR="002A650D">
        <w:t>use</w:t>
      </w:r>
      <w:proofErr w:type="gramEnd"/>
      <w:r w:rsidR="002A650D">
        <w:t xml:space="preserve"> it </w:t>
      </w:r>
      <w:r w:rsidR="00510EC7">
        <w:t>for private rental</w:t>
      </w:r>
      <w:r w:rsidR="002A650D">
        <w:t>.</w:t>
      </w:r>
      <w:r w:rsidR="008271AF">
        <w:t xml:space="preserve"> The average housing payment is $76 per fortnight.</w:t>
      </w:r>
    </w:p>
    <w:p w:rsidR="005E1FE0" w:rsidRPr="009655C3" w:rsidRDefault="005E1FE0" w:rsidP="006654AE">
      <w:r w:rsidRPr="00DF38B2">
        <w:fldChar w:fldCharType="begin"/>
      </w:r>
      <w:r w:rsidRPr="00DF38B2">
        <w:instrText xml:space="preserve"> REF _Ref391456015 \h </w:instrText>
      </w:r>
      <w:r w:rsidRPr="00DF38B2">
        <w:fldChar w:fldCharType="separate"/>
      </w:r>
      <w:r w:rsidR="00906D13" w:rsidRPr="009655C3">
        <w:t xml:space="preserve">Table </w:t>
      </w:r>
      <w:r w:rsidR="00906D13">
        <w:rPr>
          <w:noProof/>
        </w:rPr>
        <w:t>6</w:t>
      </w:r>
      <w:r w:rsidR="00906D13">
        <w:noBreakHyphen/>
      </w:r>
      <w:r w:rsidR="00906D13">
        <w:rPr>
          <w:noProof/>
        </w:rPr>
        <w:t>3</w:t>
      </w:r>
      <w:r w:rsidRPr="00DF38B2">
        <w:fldChar w:fldCharType="end"/>
      </w:r>
      <w:r w:rsidRPr="00DF38B2">
        <w:t xml:space="preserve"> shows in the second panel the proportion of people who are paying for their housing through either or both mechanisms. Across the whole income</w:t>
      </w:r>
      <w:r w:rsidR="00A04470">
        <w:t xml:space="preserve"> </w:t>
      </w:r>
      <w:r w:rsidRPr="00DF38B2">
        <w:t>managed population 42.6 per cent are allocating some funds through these mechanisms for housing. This proportion ranges from 59.</w:t>
      </w:r>
      <w:r w:rsidRPr="00FE502F">
        <w:t xml:space="preserve">4 per cent for those on </w:t>
      </w:r>
      <w:r w:rsidR="001544DF">
        <w:t>Voluntary Income Management</w:t>
      </w:r>
      <w:r w:rsidRPr="00FE502F">
        <w:t xml:space="preserve"> to 19.6 per cent of non</w:t>
      </w:r>
      <w:r w:rsidRPr="009655C3">
        <w:t>-Indigenous people on compulsory measures.</w:t>
      </w:r>
    </w:p>
    <w:p w:rsidR="005E1FE0" w:rsidRPr="00DF38B2" w:rsidRDefault="005E1FE0" w:rsidP="006654AE">
      <w:pPr>
        <w:pStyle w:val="Caption"/>
      </w:pPr>
      <w:bookmarkStart w:id="320" w:name="_Ref391456015"/>
      <w:bookmarkStart w:id="321" w:name="_Toc403739442"/>
      <w:r w:rsidRPr="009655C3">
        <w:lastRenderedPageBreak/>
        <w:t xml:space="preserve">Table </w:t>
      </w:r>
      <w:fldSimple w:instr=" STYLEREF 1 \s ">
        <w:r w:rsidR="00906D13">
          <w:rPr>
            <w:noProof/>
          </w:rPr>
          <w:t>6</w:t>
        </w:r>
      </w:fldSimple>
      <w:r w:rsidR="00D40B64">
        <w:noBreakHyphen/>
      </w:r>
      <w:fldSimple w:instr=" SEQ Table \* ARABIC \s 1 ">
        <w:r w:rsidR="00906D13">
          <w:rPr>
            <w:noProof/>
          </w:rPr>
          <w:t>3</w:t>
        </w:r>
      </w:fldSimple>
      <w:bookmarkEnd w:id="320"/>
      <w:r w:rsidRPr="00DF38B2">
        <w:t xml:space="preserve"> </w:t>
      </w:r>
      <w:r w:rsidRPr="00DF38B2">
        <w:tab/>
        <w:t xml:space="preserve">Use of Centrepay in addition to income management, </w:t>
      </w:r>
      <w:r w:rsidR="006F51EF">
        <w:t xml:space="preserve">NIM, </w:t>
      </w:r>
      <w:r w:rsidRPr="00DF38B2">
        <w:t>October 2013</w:t>
      </w:r>
      <w:bookmarkEnd w:id="321"/>
    </w:p>
    <w:tbl>
      <w:tblPr>
        <w:tblW w:w="7001" w:type="dxa"/>
        <w:jc w:val="center"/>
        <w:tblLook w:val="04A0" w:firstRow="1" w:lastRow="0" w:firstColumn="1" w:lastColumn="0" w:noHBand="0" w:noVBand="1"/>
        <w:tblDescription w:val="This table presents information on interactions between income management and Centrepay.&#10;It comprises two horizontal panels – the first concerned with combinations of use of BasicsCard, direct payment from income managed funds and Centrepay, the second is concerned with the payment of housing – whether or not this is either made through income managed funds or Centrepay. In each case the panels present the distribution of the use of these different combinations.&#10;Data is provided in four columns for program type – these are Indigenous people on compulsory measures, non-Indigenous people on these measures, all persons on voluntary income management and the total for all people on income management.&#10;Main findings are reported in the text.&#10;"/>
      </w:tblPr>
      <w:tblGrid>
        <w:gridCol w:w="2253"/>
        <w:gridCol w:w="1128"/>
        <w:gridCol w:w="1128"/>
        <w:gridCol w:w="1128"/>
        <w:gridCol w:w="236"/>
        <w:gridCol w:w="1128"/>
      </w:tblGrid>
      <w:tr w:rsidR="00DF458E" w:rsidRPr="00DF38B2" w:rsidTr="00DF458E">
        <w:trPr>
          <w:trHeight w:val="20"/>
          <w:tblHeader/>
          <w:jc w:val="center"/>
        </w:trPr>
        <w:tc>
          <w:tcPr>
            <w:tcW w:w="2253" w:type="dxa"/>
            <w:tcBorders>
              <w:top w:val="single" w:sz="4" w:space="0" w:color="auto"/>
              <w:left w:val="nil"/>
              <w:bottom w:val="single" w:sz="4" w:space="0" w:color="auto"/>
              <w:right w:val="nil"/>
            </w:tcBorders>
            <w:shd w:val="clear" w:color="auto" w:fill="auto"/>
            <w:noWrap/>
            <w:hideMark/>
          </w:tcPr>
          <w:p w:rsidR="00DF458E" w:rsidRPr="00DF38B2" w:rsidRDefault="00DF458E" w:rsidP="00DF458E">
            <w:pPr>
              <w:pStyle w:val="tabletextleft"/>
              <w:jc w:val="left"/>
              <w:rPr>
                <w:rFonts w:eastAsia="Times New Roman"/>
              </w:rPr>
            </w:pPr>
            <w:r w:rsidRPr="00DF38B2">
              <w:rPr>
                <w:rFonts w:eastAsia="Times New Roman"/>
              </w:rPr>
              <w:t>Allocation arrangement for income management and whether uses Centrepay</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Compulsory IM Indigenous</w:t>
            </w:r>
            <w:r>
              <w:rPr>
                <w:rFonts w:eastAsia="Times New Roman"/>
              </w:rPr>
              <w:t xml:space="preserve"> (%)</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Compulsory IM Non- Indigenous</w:t>
            </w:r>
            <w:r>
              <w:rPr>
                <w:rFonts w:eastAsia="Times New Roman"/>
              </w:rPr>
              <w:t xml:space="preserve"> (%)</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Voluntary</w:t>
            </w:r>
          </w:p>
          <w:p w:rsidR="00DF458E" w:rsidRPr="00DF38B2" w:rsidRDefault="00DF458E" w:rsidP="006654AE">
            <w:pPr>
              <w:pStyle w:val="tabletextright"/>
              <w:rPr>
                <w:rFonts w:eastAsia="Times New Roman"/>
              </w:rPr>
            </w:pPr>
            <w:r w:rsidRPr="00DF38B2">
              <w:rPr>
                <w:rFonts w:eastAsia="Times New Roman"/>
              </w:rPr>
              <w:t>IM</w:t>
            </w:r>
            <w:r>
              <w:rPr>
                <w:rFonts w:eastAsia="Times New Roman"/>
              </w:rPr>
              <w:t xml:space="preserve"> (%)</w:t>
            </w:r>
          </w:p>
        </w:tc>
        <w:tc>
          <w:tcPr>
            <w:tcW w:w="236"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Pr>
                <w:rFonts w:eastAsia="Times New Roman"/>
              </w:rPr>
              <w:t>Total (%)</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BasicsCard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34.7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49.7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17.7</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32.6</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IM allocations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7.6</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BC and IM allocations</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33.5</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38.1</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33.7</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i/>
              </w:rPr>
            </w:pPr>
            <w:r w:rsidRPr="00DF38B2">
              <w:rPr>
                <w:rFonts w:eastAsia="Times New Roman"/>
                <w:i/>
              </w:rPr>
              <w:t>IM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69.9</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83.1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58.3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68.8</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All BC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7.2</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11.2</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10.8</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All IM </w:t>
            </w:r>
            <w:proofErr w:type="spellStart"/>
            <w:r w:rsidRPr="00DF38B2">
              <w:rPr>
                <w:rFonts w:eastAsia="Times New Roman"/>
              </w:rPr>
              <w:t>alloc</w:t>
            </w:r>
            <w:proofErr w:type="spellEnd"/>
            <w:r w:rsidRPr="00DF38B2">
              <w:rPr>
                <w:rFonts w:eastAsia="Times New Roman"/>
              </w:rPr>
              <w:t xml:space="preserve"> &amp; </w:t>
            </w:r>
            <w:proofErr w:type="spellStart"/>
            <w:r w:rsidRPr="00DF38B2">
              <w:rPr>
                <w:rFonts w:eastAsia="Times New Roman"/>
              </w:rPr>
              <w:t>Centrepay</w:t>
            </w:r>
            <w:proofErr w:type="spellEnd"/>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1.2</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BC, IM </w:t>
            </w:r>
            <w:proofErr w:type="spellStart"/>
            <w:r w:rsidRPr="00DF38B2">
              <w:rPr>
                <w:rFonts w:eastAsia="Times New Roman"/>
              </w:rPr>
              <w:t>alloc</w:t>
            </w:r>
            <w:proofErr w:type="spellEnd"/>
            <w:r w:rsidRPr="00DF38B2">
              <w:rPr>
                <w:rFonts w:eastAsia="Times New Roman"/>
              </w:rPr>
              <w:t xml:space="preserve"> &amp; </w:t>
            </w:r>
            <w:proofErr w:type="spellStart"/>
            <w:r w:rsidRPr="00DF38B2">
              <w:rPr>
                <w:rFonts w:eastAsia="Times New Roman"/>
              </w:rPr>
              <w:t>Centrepay</w:t>
            </w:r>
            <w:proofErr w:type="spellEnd"/>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18.3</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8.0</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27.5</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19.2</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i/>
              </w:rPr>
            </w:pPr>
            <w:r w:rsidRPr="00DF38B2">
              <w:rPr>
                <w:rFonts w:eastAsia="Times New Roman"/>
                <w:i/>
              </w:rPr>
              <w:t>IM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16.9</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41.7</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31.3</w:t>
            </w:r>
          </w:p>
        </w:tc>
      </w:tr>
      <w:tr w:rsidR="00510EC7" w:rsidRPr="00DF38B2" w:rsidTr="00510EC7">
        <w:trPr>
          <w:trHeight w:val="20"/>
          <w:jc w:val="center"/>
        </w:trPr>
        <w:tc>
          <w:tcPr>
            <w:tcW w:w="2253" w:type="dxa"/>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236"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r w:rsidR="005E1FE0" w:rsidRPr="00DF38B2" w:rsidTr="00510EC7">
        <w:trPr>
          <w:trHeight w:val="20"/>
          <w:jc w:val="center"/>
        </w:trPr>
        <w:tc>
          <w:tcPr>
            <w:tcW w:w="7001" w:type="dxa"/>
            <w:gridSpan w:val="6"/>
            <w:tcBorders>
              <w:top w:val="single" w:sz="4" w:space="0" w:color="auto"/>
              <w:left w:val="nil"/>
              <w:right w:val="nil"/>
            </w:tcBorders>
            <w:shd w:val="clear" w:color="auto" w:fill="auto"/>
            <w:noWrap/>
            <w:vAlign w:val="bottom"/>
            <w:hideMark/>
          </w:tcPr>
          <w:p w:rsidR="005E1FE0" w:rsidRPr="00510EC7" w:rsidRDefault="000253E5" w:rsidP="000253E5">
            <w:pPr>
              <w:pStyle w:val="tabletextright"/>
              <w:jc w:val="left"/>
            </w:pPr>
            <w:r w:rsidRPr="000253E5">
              <w:t>H</w:t>
            </w:r>
            <w:r w:rsidR="005E1FE0" w:rsidRPr="000253E5">
              <w:t>as a direct payment for housing:</w:t>
            </w:r>
          </w:p>
        </w:tc>
      </w:tr>
      <w:tr w:rsidR="00510EC7" w:rsidRPr="00DF38B2" w:rsidTr="00510EC7">
        <w:trPr>
          <w:trHeight w:val="20"/>
          <w:jc w:val="center"/>
        </w:trPr>
        <w:tc>
          <w:tcPr>
            <w:tcW w:w="2253" w:type="dxa"/>
            <w:tcBorders>
              <w:left w:val="nil"/>
              <w:bottom w:val="nil"/>
              <w:right w:val="nil"/>
            </w:tcBorders>
            <w:shd w:val="clear" w:color="auto" w:fill="auto"/>
            <w:noWrap/>
            <w:vAlign w:val="bottom"/>
            <w:hideMark/>
          </w:tcPr>
          <w:p w:rsidR="000253E5" w:rsidRDefault="000253E5" w:rsidP="006654AE">
            <w:pPr>
              <w:pStyle w:val="tabletextleft"/>
              <w:rPr>
                <w:rFonts w:eastAsia="Times New Roman"/>
              </w:rPr>
            </w:pPr>
          </w:p>
          <w:p w:rsidR="00510EC7" w:rsidRPr="00DF38B2" w:rsidRDefault="00510EC7" w:rsidP="006654AE">
            <w:pPr>
              <w:pStyle w:val="tabletextleft"/>
              <w:rPr>
                <w:rFonts w:eastAsia="Times New Roman"/>
              </w:rPr>
            </w:pPr>
            <w:r w:rsidRPr="00DF38B2">
              <w:rPr>
                <w:rFonts w:eastAsia="Times New Roman"/>
              </w:rPr>
              <w:t>Both IM &amp; CP</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5.4</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2.8</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9.1</w:t>
            </w:r>
          </w:p>
        </w:tc>
        <w:tc>
          <w:tcPr>
            <w:tcW w:w="236" w:type="dxa"/>
            <w:tcBorders>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5.9</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F30A93" w:rsidP="006654AE">
            <w:pPr>
              <w:pStyle w:val="tabletextleft"/>
              <w:rPr>
                <w:rFonts w:eastAsia="Times New Roman"/>
              </w:rPr>
            </w:pPr>
            <w:r>
              <w:rPr>
                <w:rFonts w:eastAsia="Times New Roman"/>
              </w:rPr>
              <w:t>Income Management</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29.6</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13.1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39.3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30.0</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F30A93" w:rsidP="006654AE">
            <w:pPr>
              <w:pStyle w:val="tabletextleft"/>
              <w:rPr>
                <w:rFonts w:eastAsia="Times New Roman"/>
              </w:rPr>
            </w:pPr>
            <w:r>
              <w:rPr>
                <w:rFonts w:eastAsia="Times New Roman"/>
              </w:rPr>
              <w:t>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6.8</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7.4</w:t>
            </w:r>
          </w:p>
        </w:tc>
      </w:tr>
      <w:tr w:rsidR="00510EC7" w:rsidRPr="00DF38B2" w:rsidTr="00510EC7">
        <w:trPr>
          <w:trHeight w:val="20"/>
          <w:jc w:val="center"/>
        </w:trPr>
        <w:tc>
          <w:tcPr>
            <w:tcW w:w="2253" w:type="dxa"/>
            <w:tcBorders>
              <w:top w:val="nil"/>
              <w:left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Neither</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58.2</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80.7</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40.3</w:t>
            </w:r>
          </w:p>
        </w:tc>
        <w:tc>
          <w:tcPr>
            <w:tcW w:w="236" w:type="dxa"/>
            <w:tcBorders>
              <w:top w:val="nil"/>
              <w:left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56.7</w:t>
            </w:r>
          </w:p>
        </w:tc>
      </w:tr>
      <w:tr w:rsidR="00510EC7" w:rsidRPr="00DF38B2" w:rsidTr="00510EC7">
        <w:trPr>
          <w:trHeight w:val="20"/>
          <w:jc w:val="center"/>
        </w:trPr>
        <w:tc>
          <w:tcPr>
            <w:tcW w:w="2253" w:type="dxa"/>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Total </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236"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bl>
    <w:p w:rsidR="00F30A93" w:rsidRDefault="005E1FE0" w:rsidP="006654AE">
      <w:pPr>
        <w:pStyle w:val="tablenotes"/>
        <w:ind w:left="1435" w:hanging="868"/>
      </w:pPr>
      <w:r w:rsidRPr="00DF38B2">
        <w:t>Notes:</w:t>
      </w:r>
      <w:r w:rsidRPr="00DF38B2">
        <w:tab/>
      </w:r>
      <w:r w:rsidR="00F30A93">
        <w:t>BC – BasicsCard, IM – Income Management, CP - Centrepay</w:t>
      </w:r>
    </w:p>
    <w:p w:rsidR="005E1FE0" w:rsidRPr="00DF38B2" w:rsidRDefault="00F30A93" w:rsidP="006654AE">
      <w:pPr>
        <w:pStyle w:val="tablenotes"/>
        <w:ind w:left="1435" w:hanging="868"/>
      </w:pPr>
      <w:r>
        <w:tab/>
      </w:r>
      <w:r w:rsidR="005E1FE0" w:rsidRPr="00DF38B2">
        <w:t xml:space="preserve">The Compulsory Income Management category includes CIM, Vulnerable IM, Child Protection IM, </w:t>
      </w:r>
      <w:r w:rsidR="00791004">
        <w:t>SPAR, and Nominee Income Management.</w:t>
      </w:r>
    </w:p>
    <w:p w:rsidR="005E1FE0" w:rsidRDefault="005E1FE0" w:rsidP="006654AE">
      <w:pPr>
        <w:pStyle w:val="tablenotes"/>
        <w:keepNext w:val="0"/>
        <w:ind w:left="1435" w:hanging="868"/>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Default="005E1FE0" w:rsidP="006654AE">
      <w:pPr>
        <w:rPr>
          <w:szCs w:val="19"/>
        </w:rPr>
      </w:pPr>
      <w:r w:rsidRPr="00DF38B2">
        <w:rPr>
          <w:szCs w:val="19"/>
        </w:rPr>
        <w:t>Fewer details are available on the expenditure on transport and court fines</w:t>
      </w:r>
      <w:r w:rsidR="008271AF">
        <w:rPr>
          <w:szCs w:val="19"/>
        </w:rPr>
        <w:t>. Transport payments through Centrepay are made by 11.5 per cent of the income</w:t>
      </w:r>
      <w:r w:rsidR="00A04470">
        <w:rPr>
          <w:szCs w:val="19"/>
        </w:rPr>
        <w:t xml:space="preserve"> </w:t>
      </w:r>
      <w:r w:rsidR="008271AF">
        <w:rPr>
          <w:szCs w:val="19"/>
        </w:rPr>
        <w:t>managed population and by 36.9 per cent of this population who use Centrepay</w:t>
      </w:r>
      <w:r w:rsidR="00A93FCC">
        <w:rPr>
          <w:szCs w:val="19"/>
        </w:rPr>
        <w:t>. A</w:t>
      </w:r>
      <w:r w:rsidRPr="00DF38B2">
        <w:rPr>
          <w:szCs w:val="19"/>
        </w:rPr>
        <w:t xml:space="preserve">lthough </w:t>
      </w:r>
      <w:r w:rsidR="00A93FCC">
        <w:rPr>
          <w:szCs w:val="19"/>
        </w:rPr>
        <w:t xml:space="preserve">information is limited </w:t>
      </w:r>
      <w:r w:rsidRPr="00DF38B2">
        <w:rPr>
          <w:szCs w:val="19"/>
        </w:rPr>
        <w:t>it appears that a major element of the spending on transport relates to costs involved in ‘return to country/return home’ services</w:t>
      </w:r>
      <w:r w:rsidR="00BE2F8F">
        <w:rPr>
          <w:szCs w:val="19"/>
        </w:rPr>
        <w:t>.</w:t>
      </w:r>
      <w:r w:rsidRPr="00DF38B2">
        <w:rPr>
          <w:rStyle w:val="FootnoteReference"/>
          <w:szCs w:val="19"/>
        </w:rPr>
        <w:footnoteReference w:id="86"/>
      </w:r>
      <w:r w:rsidRPr="00DF38B2">
        <w:rPr>
          <w:szCs w:val="19"/>
        </w:rPr>
        <w:t xml:space="preserve"> These seek to assist individuals and families who usually live in remote locations but have come to major territory urban centres for community, health or other reasons, to return to their home community. These transport costs are frequently high and are funded through a third party who is </w:t>
      </w:r>
      <w:r w:rsidR="00BE2F8F" w:rsidRPr="00DF38B2">
        <w:rPr>
          <w:szCs w:val="19"/>
        </w:rPr>
        <w:t xml:space="preserve">then </w:t>
      </w:r>
      <w:r w:rsidRPr="00DF38B2">
        <w:rPr>
          <w:szCs w:val="19"/>
        </w:rPr>
        <w:t>reimbursed over time by a regular Ce</w:t>
      </w:r>
      <w:r w:rsidRPr="00FE502F">
        <w:rPr>
          <w:szCs w:val="19"/>
        </w:rPr>
        <w:t xml:space="preserve">ntrepay deduction. </w:t>
      </w:r>
      <w:r w:rsidR="008271AF">
        <w:rPr>
          <w:szCs w:val="19"/>
        </w:rPr>
        <w:t>The average transport payment is $73 per fortnight. 3.8 per cent of the income</w:t>
      </w:r>
      <w:r w:rsidR="00A04470">
        <w:rPr>
          <w:szCs w:val="19"/>
        </w:rPr>
        <w:t xml:space="preserve"> </w:t>
      </w:r>
      <w:r w:rsidR="008271AF">
        <w:rPr>
          <w:szCs w:val="19"/>
        </w:rPr>
        <w:t xml:space="preserve">managed population are paying a fine through Centrepay – 12.1 per cent of those using the facility. The average </w:t>
      </w:r>
      <w:r w:rsidR="00A93FCC">
        <w:rPr>
          <w:szCs w:val="19"/>
        </w:rPr>
        <w:t xml:space="preserve">fortnightly </w:t>
      </w:r>
      <w:r w:rsidR="008271AF">
        <w:rPr>
          <w:szCs w:val="19"/>
        </w:rPr>
        <w:t>payment is $48.</w:t>
      </w:r>
    </w:p>
    <w:p w:rsidR="005E1FE0" w:rsidRPr="00DF38B2" w:rsidRDefault="005E1FE0" w:rsidP="006654AE">
      <w:pPr>
        <w:rPr>
          <w:szCs w:val="19"/>
        </w:rPr>
      </w:pPr>
      <w:r w:rsidRPr="009655C3">
        <w:t>For the group who make additional payments on Centrepay</w:t>
      </w:r>
      <w:r w:rsidR="00BE2F8F">
        <w:t>,</w:t>
      </w:r>
      <w:r w:rsidRPr="009655C3">
        <w:t xml:space="preserve"> some of the payments are </w:t>
      </w:r>
      <w:r w:rsidR="00966BA8">
        <w:t>relatively</w:t>
      </w:r>
      <w:r w:rsidRPr="009655C3">
        <w:t xml:space="preserve"> small</w:t>
      </w:r>
      <w:r w:rsidR="00BE2F8F">
        <w:t>,</w:t>
      </w:r>
      <w:r w:rsidRPr="009655C3">
        <w:t xml:space="preserve"> with a quarter making allocations which are equal to 8.3 per cent or less of the value of their income</w:t>
      </w:r>
      <w:r w:rsidR="00A04470">
        <w:t xml:space="preserve"> </w:t>
      </w:r>
      <w:r w:rsidRPr="009655C3">
        <w:t xml:space="preserve">managed amount and half making an allocation of less than </w:t>
      </w:r>
      <w:r w:rsidR="008271AF">
        <w:t>16.7</w:t>
      </w:r>
      <w:r w:rsidRPr="009655C3">
        <w:t> per cent. On the other hand</w:t>
      </w:r>
      <w:r w:rsidR="00BE2F8F">
        <w:t>,</w:t>
      </w:r>
      <w:r w:rsidRPr="009655C3">
        <w:t xml:space="preserve"> some allocations are hig</w:t>
      </w:r>
      <w:r w:rsidRPr="00DF38B2">
        <w:t>h. A quarter of the people with a Centrepay deduction make an allocation which is equal to 29.</w:t>
      </w:r>
      <w:r w:rsidR="008271AF">
        <w:t>6</w:t>
      </w:r>
      <w:r w:rsidRPr="00DF38B2">
        <w:t xml:space="preserve"> per cent </w:t>
      </w:r>
      <w:r w:rsidR="00EA7AE6" w:rsidRPr="00DF38B2">
        <w:t xml:space="preserve">or more </w:t>
      </w:r>
      <w:r w:rsidRPr="00DF38B2">
        <w:t>of the value of their income</w:t>
      </w:r>
      <w:r w:rsidR="00A04470">
        <w:t xml:space="preserve"> </w:t>
      </w:r>
      <w:r w:rsidRPr="00DF38B2">
        <w:t>managed funds</w:t>
      </w:r>
      <w:r w:rsidR="00BE2F8F">
        <w:t>,</w:t>
      </w:r>
      <w:r w:rsidRPr="00DF38B2">
        <w:t xml:space="preserve"> and </w:t>
      </w:r>
      <w:r w:rsidR="004B6B41">
        <w:t>10</w:t>
      </w:r>
      <w:r w:rsidRPr="00DF38B2">
        <w:t xml:space="preserve"> per</w:t>
      </w:r>
      <w:r w:rsidR="0014788B">
        <w:t xml:space="preserve"> </w:t>
      </w:r>
      <w:r w:rsidRPr="00DF38B2">
        <w:t xml:space="preserve">cent make an allocation of more than </w:t>
      </w:r>
      <w:r w:rsidR="008271AF">
        <w:t>45.8</w:t>
      </w:r>
      <w:r w:rsidRPr="00DF38B2">
        <w:t> per cent of the value of their income</w:t>
      </w:r>
      <w:r w:rsidR="00A04470">
        <w:t xml:space="preserve"> </w:t>
      </w:r>
      <w:r w:rsidRPr="00DF38B2">
        <w:t>managed funds. Using the notional rate of income management of 50 per cent</w:t>
      </w:r>
      <w:r w:rsidR="00BE2F8F">
        <w:t>,</w:t>
      </w:r>
      <w:r w:rsidRPr="00DF38B2">
        <w:t xml:space="preserve"> this latter group would be effectively managing a little </w:t>
      </w:r>
      <w:proofErr w:type="gramStart"/>
      <w:r w:rsidRPr="00DF38B2">
        <w:t>under</w:t>
      </w:r>
      <w:proofErr w:type="gramEnd"/>
      <w:r w:rsidRPr="00DF38B2">
        <w:t xml:space="preserve"> three quarters of their total payments through Centrelink.</w:t>
      </w:r>
    </w:p>
    <w:p w:rsidR="005E1FE0" w:rsidRPr="00DF38B2" w:rsidRDefault="005E1FE0" w:rsidP="006654AE">
      <w:pPr>
        <w:pStyle w:val="Heading2"/>
      </w:pPr>
      <w:bookmarkStart w:id="322" w:name="_Toc403739043"/>
      <w:r w:rsidRPr="00DF38B2">
        <w:t>BasicsCard</w:t>
      </w:r>
      <w:bookmarkEnd w:id="322"/>
      <w:r w:rsidRPr="00DF38B2">
        <w:t xml:space="preserve"> </w:t>
      </w:r>
    </w:p>
    <w:p w:rsidR="005E1FE0" w:rsidRPr="00DF38B2" w:rsidRDefault="005E1FE0" w:rsidP="006654AE">
      <w:r w:rsidRPr="00DF38B2">
        <w:t xml:space="preserve">As seen above, the BasicsCard is the </w:t>
      </w:r>
      <w:r w:rsidR="00BE2F8F">
        <w:t>primary</w:t>
      </w:r>
      <w:r w:rsidRPr="00DF38B2">
        <w:t xml:space="preserve"> means by which income</w:t>
      </w:r>
      <w:r w:rsidR="00A04470">
        <w:t xml:space="preserve"> </w:t>
      </w:r>
      <w:r w:rsidRPr="00DF38B2">
        <w:t xml:space="preserve">managed funds are spent and for many people the card has become synonymous with income management. The </w:t>
      </w:r>
      <w:proofErr w:type="spellStart"/>
      <w:r w:rsidRPr="00DF38B2">
        <w:t>BasicsCard</w:t>
      </w:r>
      <w:proofErr w:type="spellEnd"/>
      <w:r w:rsidRPr="00DF38B2">
        <w:t xml:space="preserve">, </w:t>
      </w:r>
      <w:r w:rsidRPr="00DF38B2">
        <w:fldChar w:fldCharType="begin"/>
      </w:r>
      <w:r w:rsidRPr="00DF38B2">
        <w:instrText xml:space="preserve"> REF _Ref391666519 \h </w:instrText>
      </w:r>
      <w:r w:rsidRPr="00DF38B2">
        <w:fldChar w:fldCharType="separate"/>
      </w:r>
      <w:r w:rsidR="00906D13" w:rsidRPr="00DF38B2">
        <w:t xml:space="preserve">Figure </w:t>
      </w:r>
      <w:r w:rsidR="00906D13">
        <w:rPr>
          <w:noProof/>
        </w:rPr>
        <w:t>6</w:t>
      </w:r>
      <w:r w:rsidR="00906D13" w:rsidRPr="00DF38B2">
        <w:noBreakHyphen/>
      </w:r>
      <w:r w:rsidR="00906D13">
        <w:rPr>
          <w:noProof/>
        </w:rPr>
        <w:t>2</w:t>
      </w:r>
      <w:r w:rsidRPr="00DF38B2">
        <w:fldChar w:fldCharType="end"/>
      </w:r>
      <w:r w:rsidRPr="00DF38B2">
        <w:t xml:space="preserve">, is a reusable debit </w:t>
      </w:r>
      <w:r w:rsidRPr="00FE502F">
        <w:t>card with Personal Identification Number (PIN) protection. It can be used</w:t>
      </w:r>
      <w:r w:rsidRPr="009655C3">
        <w:t xml:space="preserve"> at approved merchants for the purchase of non-pr</w:t>
      </w:r>
      <w:r w:rsidR="00EA7AE6" w:rsidRPr="009655C3">
        <w:t>o</w:t>
      </w:r>
      <w:r w:rsidRPr="00DF38B2">
        <w:t xml:space="preserve">scribed items. </w:t>
      </w:r>
    </w:p>
    <w:p w:rsidR="005E1FE0" w:rsidRPr="00DF38B2" w:rsidRDefault="005E1FE0" w:rsidP="006654AE">
      <w:r w:rsidRPr="00DF38B2">
        <w:t>To be eligible to become a BasicsCard merchant the criteria</w:t>
      </w:r>
      <w:r w:rsidR="004756D3" w:rsidRPr="00DF38B2">
        <w:t xml:space="preserve"> </w:t>
      </w:r>
      <w:r w:rsidRPr="00DF38B2">
        <w:t>include</w:t>
      </w:r>
      <w:r w:rsidR="0014788B">
        <w:t xml:space="preserve"> the following</w:t>
      </w:r>
      <w:r w:rsidRPr="00DF38B2">
        <w:t>:</w:t>
      </w:r>
    </w:p>
    <w:p w:rsidR="005E1FE0" w:rsidRPr="009655C3" w:rsidRDefault="005E1FE0" w:rsidP="006654AE">
      <w:pPr>
        <w:pStyle w:val="dot"/>
      </w:pPr>
      <w:r w:rsidRPr="00FE502F">
        <w:t>the main business is the sale of priority goods and services including food (excluding take-away, restaurants and cafes</w:t>
      </w:r>
      <w:r w:rsidRPr="009655C3">
        <w:t>), clothing, basic household items, health and related items and services)</w:t>
      </w:r>
    </w:p>
    <w:p w:rsidR="005E1FE0" w:rsidRPr="00DF38B2" w:rsidRDefault="005E1FE0" w:rsidP="006654AE">
      <w:pPr>
        <w:pStyle w:val="dot"/>
      </w:pPr>
      <w:r w:rsidRPr="00DF38B2">
        <w:lastRenderedPageBreak/>
        <w:t>the merchant needs to demonstrate an ability to prevent the sale of excluded goods and services</w:t>
      </w:r>
    </w:p>
    <w:p w:rsidR="005E1FE0" w:rsidRPr="00DF38B2" w:rsidRDefault="005E1FE0" w:rsidP="006654AE">
      <w:pPr>
        <w:pStyle w:val="dot"/>
      </w:pPr>
      <w:r w:rsidRPr="00DF38B2">
        <w:t>sales of excluded goods and services is less than 50 per cent of total annual dollar value turnover of the merchant</w:t>
      </w:r>
    </w:p>
    <w:p w:rsidR="005E1FE0" w:rsidRPr="00DF38B2" w:rsidRDefault="005E1FE0" w:rsidP="006654AE">
      <w:pPr>
        <w:pStyle w:val="dot"/>
      </w:pPr>
      <w:proofErr w:type="gramStart"/>
      <w:r w:rsidRPr="00DF38B2">
        <w:t>the</w:t>
      </w:r>
      <w:proofErr w:type="gramEnd"/>
      <w:r w:rsidRPr="00DF38B2">
        <w:t xml:space="preserve"> merchant must have Point of Sale facilities available for the use of the BasicsCard and be able to provide an itemised receipt for each BasicsCard transaction to the relevant card holder at the time of the transaction</w:t>
      </w:r>
      <w:r w:rsidR="004756D3">
        <w:t xml:space="preserve"> (Department of Human Services, 2014</w:t>
      </w:r>
      <w:r w:rsidR="00066FEF">
        <w:t>a</w:t>
      </w:r>
      <w:r w:rsidR="004756D3">
        <w:t>)</w:t>
      </w:r>
      <w:r w:rsidR="001F5F6D">
        <w:t>.</w:t>
      </w:r>
    </w:p>
    <w:p w:rsidR="005E1FE0" w:rsidRPr="00DF38B2" w:rsidRDefault="005E1FE0" w:rsidP="006654AE">
      <w:r w:rsidRPr="00DF38B2">
        <w:t>There is ‘BasicsCard accepted here’ signage available for merchants.</w:t>
      </w:r>
    </w:p>
    <w:p w:rsidR="005E1FE0" w:rsidRPr="00DF38B2" w:rsidRDefault="005E1FE0" w:rsidP="006654AE">
      <w:pPr>
        <w:pStyle w:val="Caption"/>
      </w:pPr>
      <w:bookmarkStart w:id="323" w:name="_Ref391666519"/>
      <w:bookmarkStart w:id="324" w:name="_Toc403739537"/>
      <w:r w:rsidRPr="00DF38B2">
        <w:t xml:space="preserve">Figure </w:t>
      </w:r>
      <w:r w:rsidR="00040708" w:rsidRPr="008271AF">
        <w:fldChar w:fldCharType="begin"/>
      </w:r>
      <w:r w:rsidR="00040708" w:rsidRPr="00DF38B2">
        <w:instrText xml:space="preserve"> STYLEREF 1 \s </w:instrText>
      </w:r>
      <w:r w:rsidR="00040708" w:rsidRPr="008271AF">
        <w:fldChar w:fldCharType="separate"/>
      </w:r>
      <w:r w:rsidR="00906D13">
        <w:rPr>
          <w:noProof/>
        </w:rPr>
        <w:t>6</w:t>
      </w:r>
      <w:r w:rsidR="00040708" w:rsidRPr="008271AF">
        <w:fldChar w:fldCharType="end"/>
      </w:r>
      <w:r w:rsidRPr="00DF38B2">
        <w:noBreakHyphen/>
      </w:r>
      <w:r w:rsidR="00040708" w:rsidRPr="008271AF">
        <w:fldChar w:fldCharType="begin"/>
      </w:r>
      <w:r w:rsidR="00040708" w:rsidRPr="00DF38B2">
        <w:instrText xml:space="preserve"> SEQ Figure \* ARABIC \s 1 </w:instrText>
      </w:r>
      <w:r w:rsidR="00040708" w:rsidRPr="008271AF">
        <w:fldChar w:fldCharType="separate"/>
      </w:r>
      <w:r w:rsidR="00906D13">
        <w:rPr>
          <w:noProof/>
        </w:rPr>
        <w:t>2</w:t>
      </w:r>
      <w:r w:rsidR="00040708" w:rsidRPr="008271AF">
        <w:fldChar w:fldCharType="end"/>
      </w:r>
      <w:bookmarkEnd w:id="323"/>
      <w:r w:rsidRPr="00DF38B2">
        <w:t xml:space="preserve"> </w:t>
      </w:r>
      <w:r w:rsidRPr="00DF38B2">
        <w:tab/>
      </w:r>
      <w:proofErr w:type="gramStart"/>
      <w:r w:rsidRPr="00DF38B2">
        <w:t>The</w:t>
      </w:r>
      <w:proofErr w:type="gramEnd"/>
      <w:r w:rsidRPr="00DF38B2">
        <w:t xml:space="preserve"> BasicsCard</w:t>
      </w:r>
      <w:bookmarkEnd w:id="324"/>
      <w:r w:rsidRPr="00DF38B2">
        <w:t xml:space="preserve"> </w:t>
      </w:r>
    </w:p>
    <w:p w:rsidR="005E1FE0" w:rsidRPr="00DF38B2" w:rsidRDefault="005E1FE0" w:rsidP="006654AE">
      <w:pPr>
        <w:jc w:val="center"/>
      </w:pPr>
      <w:r w:rsidRPr="008E4D9D">
        <w:rPr>
          <w:noProof/>
        </w:rPr>
        <w:drawing>
          <wp:inline distT="0" distB="0" distL="0" distR="0" wp14:anchorId="56783BB1" wp14:editId="5D96D369">
            <wp:extent cx="2188508" cy="1389529"/>
            <wp:effectExtent l="0" t="0" r="2540" b="1270"/>
            <wp:docPr id="49" name="Picture 49" descr="This is an image of a sample BasicsCard - the card i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asics_card.jpg"/>
                    <pic:cNvPicPr/>
                  </pic:nvPicPr>
                  <pic:blipFill>
                    <a:blip r:embed="rId103">
                      <a:extLst>
                        <a:ext uri="{28A0092B-C50C-407E-A947-70E740481C1C}">
                          <a14:useLocalDpi xmlns:a14="http://schemas.microsoft.com/office/drawing/2010/main" val="0"/>
                        </a:ext>
                      </a:extLst>
                    </a:blip>
                    <a:stretch>
                      <a:fillRect/>
                    </a:stretch>
                  </pic:blipFill>
                  <pic:spPr>
                    <a:xfrm>
                      <a:off x="0" y="0"/>
                      <a:ext cx="2188508" cy="1389529"/>
                    </a:xfrm>
                    <a:prstGeom prst="rect">
                      <a:avLst/>
                    </a:prstGeom>
                  </pic:spPr>
                </pic:pic>
              </a:graphicData>
            </a:graphic>
          </wp:inline>
        </w:drawing>
      </w:r>
    </w:p>
    <w:p w:rsidR="005E1FE0" w:rsidRPr="00FE502F" w:rsidRDefault="005E1FE0" w:rsidP="006654AE">
      <w:pPr>
        <w:pStyle w:val="Heading3"/>
      </w:pPr>
      <w:bookmarkStart w:id="325" w:name="_Ref391538651"/>
      <w:bookmarkStart w:id="326" w:name="_Toc403739044"/>
      <w:r w:rsidRPr="00FE502F">
        <w:t>BasicsCard issue and replacement</w:t>
      </w:r>
      <w:bookmarkEnd w:id="325"/>
      <w:bookmarkEnd w:id="326"/>
    </w:p>
    <w:p w:rsidR="005E1FE0" w:rsidRPr="009655C3" w:rsidRDefault="005E1FE0" w:rsidP="006654AE">
      <w:r w:rsidRPr="009655C3">
        <w:t>By the end of 2013</w:t>
      </w:r>
      <w:r w:rsidR="0014788B">
        <w:t>,</w:t>
      </w:r>
      <w:r w:rsidRPr="009655C3">
        <w:t xml:space="preserve"> 346,642</w:t>
      </w:r>
      <w:r w:rsidRPr="00DF38B2">
        <w:rPr>
          <w:rStyle w:val="FootnoteReference"/>
        </w:rPr>
        <w:footnoteReference w:id="87"/>
      </w:r>
      <w:r w:rsidRPr="00DF38B2">
        <w:t xml:space="preserve"> BasicsCards had been issued to people income</w:t>
      </w:r>
      <w:r w:rsidR="00A04470">
        <w:t xml:space="preserve"> </w:t>
      </w:r>
      <w:r w:rsidRPr="00DF38B2">
        <w:t>managed in the Northern Territory. This comprises 55,986 cards issued as new cards at the commencement of a spell on income management, 37,366 cards issued when original cards hav</w:t>
      </w:r>
      <w:r w:rsidRPr="00FE502F">
        <w:t>e expired, and 253,290 replacement cards for cards which have been lost, da</w:t>
      </w:r>
      <w:r w:rsidRPr="009655C3">
        <w:t>maged, mislaid or stolen. All cards are issued on a face-to-face basis by Centrelink. Card issue can be undertaken on the spot in Centrelink offices</w:t>
      </w:r>
      <w:r w:rsidR="003F64AA">
        <w:t xml:space="preserve"> and by remote servicing teams operating outside of Centrelink offices.</w:t>
      </w:r>
    </w:p>
    <w:p w:rsidR="005E1FE0" w:rsidRPr="009655C3" w:rsidRDefault="005E1FE0" w:rsidP="006654AE">
      <w:pPr>
        <w:rPr>
          <w:szCs w:val="19"/>
        </w:rPr>
      </w:pPr>
      <w:r w:rsidRPr="009655C3">
        <w:rPr>
          <w:szCs w:val="19"/>
        </w:rPr>
        <w:t>The distribution of the number of BasicsCards replaced (excluding the replacement of expired cards) is sho</w:t>
      </w:r>
      <w:r w:rsidRPr="00DF38B2">
        <w:rPr>
          <w:szCs w:val="19"/>
        </w:rPr>
        <w:t xml:space="preserve">wn in </w:t>
      </w:r>
      <w:r w:rsidRPr="00DF38B2">
        <w:rPr>
          <w:szCs w:val="19"/>
        </w:rPr>
        <w:fldChar w:fldCharType="begin"/>
      </w:r>
      <w:r w:rsidRPr="00DF38B2">
        <w:rPr>
          <w:szCs w:val="19"/>
        </w:rPr>
        <w:instrText xml:space="preserve"> REF _Ref391462443 \h </w:instrText>
      </w:r>
      <w:r w:rsidRPr="00DF38B2">
        <w:rPr>
          <w:szCs w:val="19"/>
        </w:rPr>
      </w:r>
      <w:r w:rsidRPr="00DF38B2">
        <w:rPr>
          <w:szCs w:val="19"/>
        </w:rPr>
        <w:fldChar w:fldCharType="separate"/>
      </w:r>
      <w:r w:rsidR="00906D13" w:rsidRPr="009655C3">
        <w:t xml:space="preserve">Table </w:t>
      </w:r>
      <w:r w:rsidR="00906D13">
        <w:rPr>
          <w:noProof/>
        </w:rPr>
        <w:t>6</w:t>
      </w:r>
      <w:r w:rsidR="00906D13">
        <w:noBreakHyphen/>
      </w:r>
      <w:r w:rsidR="00906D13">
        <w:rPr>
          <w:noProof/>
        </w:rPr>
        <w:t>4</w:t>
      </w:r>
      <w:r w:rsidRPr="00DF38B2">
        <w:rPr>
          <w:szCs w:val="19"/>
        </w:rPr>
        <w:fldChar w:fldCharType="end"/>
      </w:r>
      <w:r w:rsidRPr="00DF38B2">
        <w:rPr>
          <w:szCs w:val="19"/>
        </w:rPr>
        <w:t>. Only a quarter of people who have been subject to income management have not had a card replaced, with a quarter having 10 or more replace</w:t>
      </w:r>
      <w:r w:rsidRPr="00FE502F">
        <w:rPr>
          <w:szCs w:val="19"/>
        </w:rPr>
        <w:t>ment cards issued and 1.2 per cent having more than 50 replacement cards. H</w:t>
      </w:r>
      <w:r w:rsidRPr="009655C3">
        <w:rPr>
          <w:szCs w:val="19"/>
        </w:rPr>
        <w:t>aving a replacement card, and having large numbers of replacement cards is more frequently associated with having multiple episodes on income management, and is also associated with length of time spent on income management.</w:t>
      </w:r>
    </w:p>
    <w:p w:rsidR="005E1FE0" w:rsidRPr="00DF38B2" w:rsidRDefault="005E1FE0" w:rsidP="006654AE">
      <w:pPr>
        <w:pStyle w:val="Caption"/>
        <w:ind w:left="1439" w:hanging="1155"/>
      </w:pPr>
      <w:bookmarkStart w:id="327" w:name="_Ref391462443"/>
      <w:bookmarkStart w:id="328" w:name="_Toc403739443"/>
      <w:r w:rsidRPr="009655C3">
        <w:t xml:space="preserve">Table </w:t>
      </w:r>
      <w:fldSimple w:instr=" STYLEREF 1 \s ">
        <w:r w:rsidR="00906D13">
          <w:rPr>
            <w:noProof/>
          </w:rPr>
          <w:t>6</w:t>
        </w:r>
      </w:fldSimple>
      <w:r w:rsidR="00D40B64">
        <w:noBreakHyphen/>
      </w:r>
      <w:fldSimple w:instr=" SEQ Table \* ARABIC \s 1 ">
        <w:r w:rsidR="00906D13">
          <w:rPr>
            <w:noProof/>
          </w:rPr>
          <w:t>4</w:t>
        </w:r>
      </w:fldSimple>
      <w:bookmarkEnd w:id="327"/>
      <w:r w:rsidRPr="00DF38B2">
        <w:t xml:space="preserve"> </w:t>
      </w:r>
      <w:r w:rsidRPr="00DF38B2">
        <w:tab/>
        <w:t>Number of replacement BasicsCards, by spells on income management, persons with a BasicsCard,</w:t>
      </w:r>
      <w:r w:rsidR="006F51EF">
        <w:t xml:space="preserve"> NIM</w:t>
      </w:r>
      <w:r w:rsidR="005D1CC5">
        <w:t xml:space="preserve"> </w:t>
      </w:r>
      <w:r w:rsidRPr="00DF38B2">
        <w:t>to end December 2013</w:t>
      </w:r>
      <w:bookmarkEnd w:id="328"/>
    </w:p>
    <w:tbl>
      <w:tblPr>
        <w:tblW w:w="7911" w:type="dxa"/>
        <w:jc w:val="center"/>
        <w:tblLook w:val="04A0" w:firstRow="1" w:lastRow="0" w:firstColumn="1" w:lastColumn="0" w:noHBand="0" w:noVBand="1"/>
        <w:tblDescription w:val="In the main horizontal panel row present data on the number of replacement BasicsCards that have been issued – in seven categories ranging from nil to fifty or more plus a total row which is 100 in all cases. The four columns present the distribution of the population by these categories – with the population being broken down into the number of spells people have had on income management (one, two, or three or more) and a total.&#10;The table concludes with a single row which details the distribution of the population between the various categories of number of spells.&#10;The main features are described in the text.&#10;"/>
      </w:tblPr>
      <w:tblGrid>
        <w:gridCol w:w="2323"/>
        <w:gridCol w:w="1361"/>
        <w:gridCol w:w="1361"/>
        <w:gridCol w:w="1505"/>
        <w:gridCol w:w="1361"/>
      </w:tblGrid>
      <w:tr w:rsidR="005E1FE0" w:rsidRPr="00DF38B2" w:rsidTr="00DF458E">
        <w:trPr>
          <w:trHeight w:val="20"/>
          <w:tblHeader/>
          <w:jc w:val="center"/>
        </w:trPr>
        <w:tc>
          <w:tcPr>
            <w:tcW w:w="2323" w:type="dxa"/>
            <w:tcBorders>
              <w:top w:val="single" w:sz="4" w:space="0" w:color="auto"/>
              <w:left w:val="nil"/>
              <w:bottom w:val="single" w:sz="4" w:space="0" w:color="auto"/>
              <w:right w:val="nil"/>
            </w:tcBorders>
            <w:shd w:val="clear" w:color="auto" w:fill="auto"/>
            <w:noWrap/>
            <w:vAlign w:val="center"/>
            <w:hideMark/>
          </w:tcPr>
          <w:p w:rsidR="005E1FE0" w:rsidRPr="00DF38B2" w:rsidRDefault="00DF458E" w:rsidP="00DF458E">
            <w:pPr>
              <w:pStyle w:val="tabletextleft"/>
              <w:jc w:val="left"/>
              <w:rPr>
                <w:rFonts w:eastAsia="Times New Roman"/>
              </w:rPr>
            </w:pPr>
            <w:r w:rsidRPr="00DF38B2">
              <w:rPr>
                <w:rFonts w:eastAsia="Times New Roman"/>
              </w:rPr>
              <w:t>Number of replacement BasicsCards</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One</w:t>
            </w:r>
            <w:r w:rsidR="00DF458E">
              <w:rPr>
                <w:rFonts w:eastAsia="Times New Roman"/>
              </w:rPr>
              <w:t xml:space="preserve"> spell on IM (%)</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Two</w:t>
            </w:r>
            <w:r w:rsidR="00DF458E">
              <w:rPr>
                <w:rFonts w:eastAsia="Times New Roman"/>
              </w:rPr>
              <w:t xml:space="preserve"> spells on IM (%)</w:t>
            </w:r>
          </w:p>
        </w:tc>
        <w:tc>
          <w:tcPr>
            <w:tcW w:w="1505" w:type="dxa"/>
            <w:tcBorders>
              <w:top w:val="single" w:sz="4" w:space="0" w:color="auto"/>
              <w:left w:val="nil"/>
              <w:bottom w:val="single" w:sz="4" w:space="0" w:color="auto"/>
              <w:right w:val="nil"/>
            </w:tcBorders>
            <w:shd w:val="clear" w:color="auto" w:fill="auto"/>
            <w:noWrap/>
            <w:vAlign w:val="bottom"/>
            <w:hideMark/>
          </w:tcPr>
          <w:p w:rsidR="005E1FE0" w:rsidRPr="00DF38B2" w:rsidRDefault="00DF458E" w:rsidP="00DF458E">
            <w:pPr>
              <w:pStyle w:val="tabletextright"/>
              <w:rPr>
                <w:rFonts w:eastAsia="Times New Roman"/>
              </w:rPr>
            </w:pPr>
            <w:r>
              <w:rPr>
                <w:rFonts w:eastAsia="Times New Roman"/>
              </w:rPr>
              <w:t xml:space="preserve">Three </w:t>
            </w:r>
            <w:r w:rsidR="005E1FE0" w:rsidRPr="00DF38B2">
              <w:rPr>
                <w:rFonts w:eastAsia="Times New Roman"/>
              </w:rPr>
              <w:t>or more</w:t>
            </w:r>
            <w:r>
              <w:rPr>
                <w:rFonts w:eastAsia="Times New Roman"/>
              </w:rPr>
              <w:t xml:space="preserve"> spells on IM (%)</w:t>
            </w:r>
          </w:p>
        </w:tc>
        <w:tc>
          <w:tcPr>
            <w:tcW w:w="1361" w:type="dxa"/>
            <w:tcBorders>
              <w:top w:val="single" w:sz="4" w:space="0" w:color="auto"/>
              <w:left w:val="nil"/>
              <w:bottom w:val="single" w:sz="4" w:space="0" w:color="auto"/>
              <w:right w:val="nil"/>
            </w:tcBorders>
            <w:shd w:val="clear" w:color="auto" w:fill="auto"/>
            <w:noWrap/>
            <w:vAlign w:val="bottom"/>
            <w:hideMark/>
          </w:tcPr>
          <w:p w:rsidR="00DF458E" w:rsidRDefault="00DF458E" w:rsidP="006654AE">
            <w:pPr>
              <w:pStyle w:val="tabletextright"/>
              <w:rPr>
                <w:rFonts w:eastAsia="Times New Roman"/>
              </w:rPr>
            </w:pPr>
            <w:r>
              <w:rPr>
                <w:rFonts w:eastAsia="Times New Roman"/>
              </w:rPr>
              <w:t xml:space="preserve">Total </w:t>
            </w:r>
          </w:p>
          <w:p w:rsidR="005E1FE0" w:rsidRPr="00DF38B2" w:rsidRDefault="00DF458E" w:rsidP="006654AE">
            <w:pPr>
              <w:pStyle w:val="tabletextright"/>
              <w:rPr>
                <w:rFonts w:eastAsia="Times New Roman"/>
              </w:rPr>
            </w:pPr>
            <w:r>
              <w:rPr>
                <w:rFonts w:eastAsia="Times New Roman"/>
              </w:rPr>
              <w:t>(%)</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Nil</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26.2</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One</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12.2</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7.5</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10.7</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r w:rsidR="0014788B">
              <w:rPr>
                <w:rFonts w:eastAsia="Times New Roman"/>
              </w:rPr>
              <w:t>–</w:t>
            </w:r>
            <w:r w:rsidRPr="00DF38B2">
              <w:rPr>
                <w:rFonts w:eastAsia="Times New Roman"/>
              </w:rPr>
              <w:t>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20.3</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20.2</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18.4</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14788B">
              <w:rPr>
                <w:rFonts w:eastAsia="Times New Roman"/>
              </w:rPr>
              <w:t>–</w:t>
            </w:r>
            <w:r w:rsidRPr="00DF38B2">
              <w:rPr>
                <w:rFonts w:eastAsia="Times New Roman"/>
              </w:rPr>
              <w:t>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23.6</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18.0</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14788B">
              <w:rPr>
                <w:rFonts w:eastAsia="Times New Roman"/>
              </w:rPr>
              <w:t>–</w:t>
            </w:r>
            <w:r w:rsidRPr="00DF38B2">
              <w:rPr>
                <w:rFonts w:eastAsia="Times New Roman"/>
              </w:rPr>
              <w:t>19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11.6</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20.6</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24.5</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16.8</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r w:rsidR="0014788B">
              <w:rPr>
                <w:rFonts w:eastAsia="Times New Roman"/>
              </w:rPr>
              <w:t>–</w:t>
            </w:r>
            <w:r w:rsidRPr="00DF38B2">
              <w:rPr>
                <w:rFonts w:eastAsia="Times New Roman"/>
              </w:rPr>
              <w:t>49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9.8</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8.6</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 or more</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DF458E">
        <w:trPr>
          <w:trHeight w:val="20"/>
          <w:jc w:val="center"/>
        </w:trPr>
        <w:tc>
          <w:tcPr>
            <w:tcW w:w="232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50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F458E">
        <w:trPr>
          <w:trHeight w:val="20"/>
          <w:jc w:val="center"/>
        </w:trPr>
        <w:tc>
          <w:tcPr>
            <w:tcW w:w="232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Distribution of population</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48.4</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37.3</w:t>
            </w:r>
          </w:p>
        </w:tc>
        <w:tc>
          <w:tcPr>
            <w:tcW w:w="150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14.3</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9655C3" w:rsidRDefault="005E1FE0" w:rsidP="006654AE">
      <w:pPr>
        <w:rPr>
          <w:szCs w:val="19"/>
        </w:rPr>
      </w:pPr>
      <w:r w:rsidRPr="00DF38B2">
        <w:rPr>
          <w:szCs w:val="19"/>
        </w:rPr>
        <w:t xml:space="preserve">There are also differences in the number of replacement cards issued to people on the various streams of income management and by other characteristics. Over half the non-Indigenous population who are </w:t>
      </w:r>
      <w:r w:rsidRPr="00DF38B2">
        <w:rPr>
          <w:szCs w:val="19"/>
        </w:rPr>
        <w:lastRenderedPageBreak/>
        <w:t>currently on compulsory forms of income management, or have been on it in the past</w:t>
      </w:r>
      <w:r w:rsidR="0014788B">
        <w:rPr>
          <w:szCs w:val="19"/>
        </w:rPr>
        <w:t>,</w:t>
      </w:r>
      <w:r w:rsidRPr="00DF38B2">
        <w:rPr>
          <w:rStyle w:val="FootnoteReference"/>
          <w:szCs w:val="19"/>
        </w:rPr>
        <w:footnoteReference w:id="88"/>
      </w:r>
      <w:r w:rsidRPr="00DF38B2">
        <w:rPr>
          <w:szCs w:val="19"/>
        </w:rPr>
        <w:t xml:space="preserve"> have not had a replacement BasicsCard, and indeed 5.2 per cent have never had a </w:t>
      </w:r>
      <w:proofErr w:type="spellStart"/>
      <w:r w:rsidRPr="00DF38B2">
        <w:rPr>
          <w:szCs w:val="19"/>
        </w:rPr>
        <w:t>BasicsCard</w:t>
      </w:r>
      <w:proofErr w:type="spellEnd"/>
      <w:r w:rsidRPr="00DF38B2">
        <w:rPr>
          <w:szCs w:val="19"/>
        </w:rPr>
        <w:t xml:space="preserve"> (</w:t>
      </w:r>
      <w:r w:rsidRPr="00DF38B2">
        <w:rPr>
          <w:szCs w:val="19"/>
        </w:rPr>
        <w:fldChar w:fldCharType="begin"/>
      </w:r>
      <w:r w:rsidRPr="00DF38B2">
        <w:rPr>
          <w:szCs w:val="19"/>
        </w:rPr>
        <w:instrText xml:space="preserve"> REF _Ref391462774 \h </w:instrText>
      </w:r>
      <w:r w:rsidRPr="00DF38B2">
        <w:rPr>
          <w:szCs w:val="19"/>
        </w:rPr>
      </w:r>
      <w:r w:rsidRPr="00DF38B2">
        <w:rPr>
          <w:szCs w:val="19"/>
        </w:rPr>
        <w:fldChar w:fldCharType="separate"/>
      </w:r>
      <w:r w:rsidR="00906D13" w:rsidRPr="00FE502F">
        <w:t xml:space="preserve">Table </w:t>
      </w:r>
      <w:r w:rsidR="00906D13">
        <w:rPr>
          <w:noProof/>
        </w:rPr>
        <w:t>6</w:t>
      </w:r>
      <w:r w:rsidR="00906D13">
        <w:noBreakHyphen/>
      </w:r>
      <w:r w:rsidR="00906D13">
        <w:rPr>
          <w:noProof/>
        </w:rPr>
        <w:t>5</w:t>
      </w:r>
      <w:r w:rsidRPr="00DF38B2">
        <w:rPr>
          <w:szCs w:val="19"/>
        </w:rPr>
        <w:fldChar w:fldCharType="end"/>
      </w:r>
      <w:r w:rsidRPr="00DF38B2">
        <w:rPr>
          <w:szCs w:val="19"/>
        </w:rPr>
        <w:t>). In contrast</w:t>
      </w:r>
      <w:r w:rsidR="0014788B">
        <w:rPr>
          <w:szCs w:val="19"/>
        </w:rPr>
        <w:t>,</w:t>
      </w:r>
      <w:r w:rsidRPr="00DF38B2">
        <w:rPr>
          <w:szCs w:val="19"/>
        </w:rPr>
        <w:t xml:space="preserve"> only 4.4 per cent of the population on </w:t>
      </w:r>
      <w:r w:rsidR="001544DF">
        <w:rPr>
          <w:szCs w:val="19"/>
        </w:rPr>
        <w:t>Voluntary Income Management</w:t>
      </w:r>
      <w:r w:rsidRPr="00DF38B2">
        <w:rPr>
          <w:szCs w:val="19"/>
        </w:rPr>
        <w:t xml:space="preserve"> have never had a replacement card and th</w:t>
      </w:r>
      <w:r w:rsidRPr="00FE502F">
        <w:rPr>
          <w:szCs w:val="19"/>
        </w:rPr>
        <w:t xml:space="preserve">e overwhelming majority have had </w:t>
      </w:r>
      <w:r w:rsidR="0014788B">
        <w:rPr>
          <w:szCs w:val="19"/>
        </w:rPr>
        <w:t>five</w:t>
      </w:r>
      <w:r w:rsidRPr="00FE502F">
        <w:rPr>
          <w:szCs w:val="19"/>
        </w:rPr>
        <w:t xml:space="preserve"> or more cards</w:t>
      </w:r>
      <w:r w:rsidR="0014788B">
        <w:rPr>
          <w:szCs w:val="19"/>
        </w:rPr>
        <w:t>,</w:t>
      </w:r>
      <w:r w:rsidRPr="00FE502F">
        <w:rPr>
          <w:szCs w:val="19"/>
        </w:rPr>
        <w:t xml:space="preserve"> with almost </w:t>
      </w:r>
      <w:r w:rsidR="008271AF">
        <w:rPr>
          <w:szCs w:val="19"/>
        </w:rPr>
        <w:t>2</w:t>
      </w:r>
      <w:r w:rsidR="008271AF" w:rsidRPr="00FE502F">
        <w:rPr>
          <w:szCs w:val="19"/>
        </w:rPr>
        <w:t xml:space="preserve">5 </w:t>
      </w:r>
      <w:r w:rsidRPr="00FE502F">
        <w:rPr>
          <w:szCs w:val="19"/>
        </w:rPr>
        <w:t>per</w:t>
      </w:r>
      <w:r w:rsidR="0014788B">
        <w:rPr>
          <w:szCs w:val="19"/>
        </w:rPr>
        <w:t xml:space="preserve"> </w:t>
      </w:r>
      <w:r w:rsidRPr="00FE502F">
        <w:rPr>
          <w:szCs w:val="19"/>
        </w:rPr>
        <w:t>cent hav</w:t>
      </w:r>
      <w:r w:rsidRPr="009655C3">
        <w:rPr>
          <w:szCs w:val="19"/>
        </w:rPr>
        <w:t xml:space="preserve">ing 20 or more replacement cards issued to them and almost </w:t>
      </w:r>
      <w:r w:rsidR="0014788B">
        <w:rPr>
          <w:szCs w:val="19"/>
        </w:rPr>
        <w:t>five per cent</w:t>
      </w:r>
      <w:r w:rsidRPr="009655C3">
        <w:rPr>
          <w:szCs w:val="19"/>
        </w:rPr>
        <w:t xml:space="preserve"> having had 50 or more replacement cards.</w:t>
      </w:r>
    </w:p>
    <w:p w:rsidR="005E1FE0" w:rsidRPr="00DF38B2" w:rsidRDefault="005E1FE0" w:rsidP="006654AE">
      <w:pPr>
        <w:rPr>
          <w:szCs w:val="19"/>
        </w:rPr>
      </w:pPr>
      <w:r w:rsidRPr="00DF38B2">
        <w:rPr>
          <w:szCs w:val="19"/>
        </w:rPr>
        <w:t xml:space="preserve">Many reasons might contribute to these high levels of replacement. </w:t>
      </w:r>
      <w:r w:rsidR="008271AF" w:rsidRPr="008271AF">
        <w:rPr>
          <w:szCs w:val="19"/>
        </w:rPr>
        <w:t>One obvious issue is the duration of time people have been on income management. For those with duration</w:t>
      </w:r>
      <w:r w:rsidR="007F6C2C">
        <w:rPr>
          <w:szCs w:val="19"/>
        </w:rPr>
        <w:t>s</w:t>
      </w:r>
      <w:r w:rsidR="008271AF" w:rsidRPr="008271AF">
        <w:rPr>
          <w:szCs w:val="19"/>
        </w:rPr>
        <w:t xml:space="preserve"> of 6 months the average number of replacement cards is 1.7. This increases to 2.6 for those with duration</w:t>
      </w:r>
      <w:r w:rsidR="007F6C2C">
        <w:rPr>
          <w:szCs w:val="19"/>
        </w:rPr>
        <w:t>s</w:t>
      </w:r>
      <w:r w:rsidR="008271AF" w:rsidRPr="008271AF">
        <w:rPr>
          <w:szCs w:val="19"/>
        </w:rPr>
        <w:t xml:space="preserve"> of 12 months, 5.8 for people with duration</w:t>
      </w:r>
      <w:r w:rsidR="007F6C2C">
        <w:rPr>
          <w:szCs w:val="19"/>
        </w:rPr>
        <w:t>s</w:t>
      </w:r>
      <w:r w:rsidR="008271AF" w:rsidRPr="008271AF">
        <w:rPr>
          <w:szCs w:val="19"/>
        </w:rPr>
        <w:t xml:space="preserve"> of 24 months</w:t>
      </w:r>
      <w:r w:rsidR="007F6C2C">
        <w:rPr>
          <w:szCs w:val="19"/>
        </w:rPr>
        <w:t>,</w:t>
      </w:r>
      <w:r w:rsidR="008271AF" w:rsidRPr="008271AF">
        <w:rPr>
          <w:szCs w:val="19"/>
        </w:rPr>
        <w:t xml:space="preserve"> and 9.9 for those who have duration</w:t>
      </w:r>
      <w:r w:rsidR="007F6C2C">
        <w:rPr>
          <w:szCs w:val="19"/>
        </w:rPr>
        <w:t>s</w:t>
      </w:r>
      <w:r w:rsidR="008271AF" w:rsidRPr="008271AF">
        <w:rPr>
          <w:szCs w:val="19"/>
        </w:rPr>
        <w:t xml:space="preserve"> of 36 months on income management. This pattern persists for main groups on income management</w:t>
      </w:r>
      <w:r w:rsidR="00931DFC">
        <w:rPr>
          <w:szCs w:val="19"/>
        </w:rPr>
        <w:t>. F</w:t>
      </w:r>
      <w:r w:rsidR="008271AF" w:rsidRPr="008271AF">
        <w:rPr>
          <w:szCs w:val="19"/>
        </w:rPr>
        <w:t xml:space="preserve">or non-Indigenous people on compulsory income management who have been on the program for between 10 and 12 months the number of replacement cards is 0.6, increasing to 1.6 for those on </w:t>
      </w:r>
      <w:r w:rsidR="00407AEF">
        <w:rPr>
          <w:szCs w:val="19"/>
        </w:rPr>
        <w:t>income management</w:t>
      </w:r>
      <w:r w:rsidR="007F6C2C">
        <w:rPr>
          <w:szCs w:val="19"/>
        </w:rPr>
        <w:t xml:space="preserve"> </w:t>
      </w:r>
      <w:r w:rsidR="008271AF" w:rsidRPr="008271AF">
        <w:rPr>
          <w:szCs w:val="19"/>
        </w:rPr>
        <w:t xml:space="preserve">for between 22 and 24 months. For Indigenous people on compulsory streams of income management the equivalent rates of replacement are 2.6 and 5.5, and for people on </w:t>
      </w:r>
      <w:r w:rsidR="001544DF">
        <w:rPr>
          <w:szCs w:val="19"/>
        </w:rPr>
        <w:t>Voluntary Income Management</w:t>
      </w:r>
      <w:r w:rsidR="008271AF" w:rsidRPr="008271AF">
        <w:rPr>
          <w:szCs w:val="19"/>
        </w:rPr>
        <w:t xml:space="preserve"> 4.7 and 9.4.</w:t>
      </w:r>
      <w:r w:rsidR="008271AF">
        <w:rPr>
          <w:szCs w:val="19"/>
        </w:rPr>
        <w:t xml:space="preserve"> Another </w:t>
      </w:r>
      <w:r w:rsidRPr="00DF38B2">
        <w:rPr>
          <w:szCs w:val="19"/>
        </w:rPr>
        <w:t>issue, which has been reported as occurring at the early stage of the program, was that some people on income management had been used to single</w:t>
      </w:r>
      <w:r w:rsidR="007F6C2C">
        <w:rPr>
          <w:szCs w:val="19"/>
        </w:rPr>
        <w:t>-</w:t>
      </w:r>
      <w:r w:rsidRPr="00DF38B2">
        <w:rPr>
          <w:szCs w:val="19"/>
        </w:rPr>
        <w:t>use stored value cards and had disposed of their BasicsCard once the initial balance had been used. This</w:t>
      </w:r>
      <w:r w:rsidR="007F6C2C">
        <w:rPr>
          <w:szCs w:val="19"/>
        </w:rPr>
        <w:t>, however,</w:t>
      </w:r>
      <w:r w:rsidRPr="00DF38B2">
        <w:rPr>
          <w:szCs w:val="19"/>
        </w:rPr>
        <w:t xml:space="preserve"> does not explain the continued high rate of card replacement</w:t>
      </w:r>
      <w:r w:rsidR="007F6C2C">
        <w:rPr>
          <w:szCs w:val="19"/>
        </w:rPr>
        <w:t>,</w:t>
      </w:r>
      <w:r w:rsidRPr="00DF38B2">
        <w:rPr>
          <w:szCs w:val="19"/>
        </w:rPr>
        <w:t xml:space="preserve"> which shows no specific abatement </w:t>
      </w:r>
      <w:r w:rsidR="007F6C2C">
        <w:rPr>
          <w:szCs w:val="19"/>
        </w:rPr>
        <w:t>that</w:t>
      </w:r>
      <w:r w:rsidRPr="00DF38B2">
        <w:rPr>
          <w:szCs w:val="19"/>
        </w:rPr>
        <w:t xml:space="preserve"> could be ascribed to this factor. More detailed analysis of some of the factors associated with card replacement, and the extent to which this has changed is presented in section </w:t>
      </w:r>
      <w:r w:rsidRPr="00DF38B2">
        <w:rPr>
          <w:szCs w:val="19"/>
        </w:rPr>
        <w:fldChar w:fldCharType="begin"/>
      </w:r>
      <w:r w:rsidRPr="00DF38B2">
        <w:rPr>
          <w:szCs w:val="19"/>
        </w:rPr>
        <w:instrText xml:space="preserve"> REF _Ref391666798 \n \h  \* MERGEFORMAT </w:instrText>
      </w:r>
      <w:r w:rsidRPr="00DF38B2">
        <w:rPr>
          <w:szCs w:val="19"/>
        </w:rPr>
      </w:r>
      <w:r w:rsidRPr="00DF38B2">
        <w:rPr>
          <w:szCs w:val="19"/>
        </w:rPr>
        <w:fldChar w:fldCharType="separate"/>
      </w:r>
      <w:r w:rsidR="00906D13">
        <w:rPr>
          <w:szCs w:val="19"/>
        </w:rPr>
        <w:t>6.5.1</w:t>
      </w:r>
      <w:r w:rsidRPr="00DF38B2">
        <w:rPr>
          <w:szCs w:val="19"/>
        </w:rPr>
        <w:fldChar w:fldCharType="end"/>
      </w:r>
      <w:r w:rsidR="00A1421A">
        <w:rPr>
          <w:szCs w:val="19"/>
        </w:rPr>
        <w:t xml:space="preserve">. </w:t>
      </w:r>
      <w:r w:rsidRPr="00DF38B2">
        <w:rPr>
          <w:szCs w:val="19"/>
        </w:rPr>
        <w:t xml:space="preserve">In addition Chapter 10 </w:t>
      </w:r>
      <w:r w:rsidR="00B4703E">
        <w:rPr>
          <w:szCs w:val="19"/>
        </w:rPr>
        <w:t xml:space="preserve">reports commentary </w:t>
      </w:r>
      <w:r w:rsidRPr="00DF38B2">
        <w:rPr>
          <w:szCs w:val="19"/>
        </w:rPr>
        <w:t>from intermediaries about their perceptions of some of the reasons</w:t>
      </w:r>
      <w:r w:rsidR="003F64AA">
        <w:rPr>
          <w:szCs w:val="19"/>
        </w:rPr>
        <w:t xml:space="preserve"> </w:t>
      </w:r>
      <w:r w:rsidR="003F64AA" w:rsidRPr="003F64AA">
        <w:rPr>
          <w:szCs w:val="19"/>
        </w:rPr>
        <w:t>for these results.</w:t>
      </w:r>
      <w:r w:rsidR="003F64AA">
        <w:rPr>
          <w:szCs w:val="19"/>
        </w:rPr>
        <w:t xml:space="preserve"> </w:t>
      </w:r>
      <w:r w:rsidR="003F64AA" w:rsidRPr="003F64AA">
        <w:rPr>
          <w:szCs w:val="19"/>
        </w:rPr>
        <w:t>In this discussion it is also noted that some intermediaries suggest that lost cards and failed transactions are not good measures of financial capability</w:t>
      </w:r>
      <w:r w:rsidRPr="00DF38B2">
        <w:rPr>
          <w:szCs w:val="19"/>
        </w:rPr>
        <w:t>.</w:t>
      </w:r>
      <w:r w:rsidR="00931DFC">
        <w:rPr>
          <w:szCs w:val="19"/>
        </w:rPr>
        <w:t xml:space="preserve"> While we note these perspectives we consider that nevertheless these are useful </w:t>
      </w:r>
      <w:proofErr w:type="gramStart"/>
      <w:r w:rsidR="00931DFC">
        <w:rPr>
          <w:szCs w:val="19"/>
        </w:rPr>
        <w:t>metrics .</w:t>
      </w:r>
      <w:proofErr w:type="gramEnd"/>
    </w:p>
    <w:p w:rsidR="005E1FE0" w:rsidRPr="00DF38B2" w:rsidRDefault="005E1FE0" w:rsidP="006654AE">
      <w:pPr>
        <w:pStyle w:val="Caption"/>
        <w:ind w:left="1439" w:hanging="1155"/>
        <w:rPr>
          <w:szCs w:val="19"/>
        </w:rPr>
      </w:pPr>
      <w:bookmarkStart w:id="329" w:name="_Ref391462774"/>
      <w:bookmarkStart w:id="330" w:name="_Toc403739444"/>
      <w:r w:rsidRPr="00FE502F">
        <w:t xml:space="preserve">Table </w:t>
      </w:r>
      <w:fldSimple w:instr=" STYLEREF 1 \s ">
        <w:r w:rsidR="00906D13">
          <w:rPr>
            <w:noProof/>
          </w:rPr>
          <w:t>6</w:t>
        </w:r>
      </w:fldSimple>
      <w:r w:rsidR="00D40B64">
        <w:noBreakHyphen/>
      </w:r>
      <w:fldSimple w:instr=" SEQ Table \* ARABIC \s 1 ">
        <w:r w:rsidR="00906D13">
          <w:rPr>
            <w:noProof/>
          </w:rPr>
          <w:t>5</w:t>
        </w:r>
      </w:fldSimple>
      <w:bookmarkEnd w:id="329"/>
      <w:r w:rsidRPr="00DF38B2">
        <w:tab/>
        <w:t xml:space="preserve">Number of replacement BasicsCards, persons by </w:t>
      </w:r>
      <w:r w:rsidR="00B4703E">
        <w:t>broad income management</w:t>
      </w:r>
      <w:r w:rsidRPr="00DF38B2">
        <w:t xml:space="preserve"> stream, </w:t>
      </w:r>
      <w:r w:rsidR="006F51EF">
        <w:t xml:space="preserve">NIM </w:t>
      </w:r>
      <w:r w:rsidRPr="00DF38B2">
        <w:t>to end December 2013</w:t>
      </w:r>
      <w:bookmarkEnd w:id="330"/>
    </w:p>
    <w:tbl>
      <w:tblPr>
        <w:tblW w:w="5566" w:type="dxa"/>
        <w:jc w:val="center"/>
        <w:tblLook w:val="04A0" w:firstRow="1" w:lastRow="0" w:firstColumn="1" w:lastColumn="0" w:noHBand="0" w:noVBand="1"/>
        <w:tblDescription w:val="For four categories of people on income management: Indigenous people on compulsory measures, non-Indigenous people on these measures, all persons on voluntary income management and the total for all people on income management, this table presents the distribution within these categories of the number of replacement cards – in seven categories ranging from nil to fifty or more plus a total row which is 100 per cent in all cases.&#10;Some of the key features are discussed in the text.&#10;"/>
      </w:tblPr>
      <w:tblGrid>
        <w:gridCol w:w="1604"/>
        <w:gridCol w:w="1021"/>
        <w:gridCol w:w="1021"/>
        <w:gridCol w:w="960"/>
        <w:gridCol w:w="960"/>
      </w:tblGrid>
      <w:tr w:rsidR="005E1FE0" w:rsidRPr="00DF38B2" w:rsidTr="00DF458E">
        <w:trPr>
          <w:trHeight w:val="20"/>
          <w:tblHeader/>
          <w:jc w:val="center"/>
        </w:trPr>
        <w:tc>
          <w:tcPr>
            <w:tcW w:w="1604" w:type="dxa"/>
            <w:tcBorders>
              <w:top w:val="single" w:sz="4" w:space="0" w:color="auto"/>
              <w:left w:val="nil"/>
              <w:bottom w:val="single" w:sz="4" w:space="0" w:color="auto"/>
              <w:right w:val="nil"/>
            </w:tcBorders>
            <w:shd w:val="clear" w:color="auto" w:fill="auto"/>
            <w:noWrap/>
            <w:hideMark/>
          </w:tcPr>
          <w:p w:rsidR="005E1FE0" w:rsidRPr="00DF38B2" w:rsidRDefault="00DF458E" w:rsidP="00DF458E">
            <w:pPr>
              <w:pStyle w:val="tabletextright"/>
              <w:jc w:val="left"/>
              <w:rPr>
                <w:rFonts w:eastAsia="Times New Roman"/>
              </w:rPr>
            </w:pPr>
            <w:r w:rsidRPr="00DF38B2">
              <w:rPr>
                <w:rFonts w:eastAsia="Times New Roman"/>
              </w:rPr>
              <w:t>Number of replacement cards</w:t>
            </w:r>
          </w:p>
        </w:tc>
        <w:tc>
          <w:tcPr>
            <w:tcW w:w="102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CIM Indigenous</w:t>
            </w:r>
            <w:r w:rsidR="00DF458E">
              <w:rPr>
                <w:rFonts w:eastAsia="Times New Roman"/>
              </w:rPr>
              <w:t xml:space="preserve"> (%)</w:t>
            </w:r>
          </w:p>
        </w:tc>
        <w:tc>
          <w:tcPr>
            <w:tcW w:w="102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CIM non-Indigenous</w:t>
            </w:r>
            <w:r w:rsidR="00DF458E">
              <w:rPr>
                <w:rFonts w:eastAsia="Times New Roman"/>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5E1FE0" w:rsidRDefault="005E1FE0" w:rsidP="00DF458E">
            <w:pPr>
              <w:pStyle w:val="tabletextright"/>
              <w:rPr>
                <w:rFonts w:eastAsia="Times New Roman"/>
              </w:rPr>
            </w:pPr>
            <w:r w:rsidRPr="00DF38B2">
              <w:rPr>
                <w:rFonts w:eastAsia="Times New Roman"/>
              </w:rPr>
              <w:t>VIM</w:t>
            </w:r>
          </w:p>
          <w:p w:rsidR="00DF458E" w:rsidRPr="00DF38B2" w:rsidRDefault="00DF458E" w:rsidP="00DF458E">
            <w:pPr>
              <w:pStyle w:val="tabletextright"/>
              <w:rPr>
                <w:rFonts w:eastAsia="Times New Roman"/>
              </w:rPr>
            </w:pPr>
            <w:r>
              <w:rPr>
                <w:rFonts w:eastAsia="Times New Roman"/>
              </w:rPr>
              <w:t>(%)</w:t>
            </w:r>
          </w:p>
        </w:tc>
        <w:tc>
          <w:tcPr>
            <w:tcW w:w="960" w:type="dxa"/>
            <w:tcBorders>
              <w:top w:val="single" w:sz="4" w:space="0" w:color="auto"/>
              <w:left w:val="nil"/>
              <w:bottom w:val="single" w:sz="4" w:space="0" w:color="auto"/>
              <w:right w:val="nil"/>
            </w:tcBorders>
            <w:shd w:val="clear" w:color="auto" w:fill="auto"/>
            <w:noWrap/>
            <w:vAlign w:val="bottom"/>
            <w:hideMark/>
          </w:tcPr>
          <w:p w:rsidR="00DF458E" w:rsidRDefault="00DF458E" w:rsidP="006654AE">
            <w:pPr>
              <w:pStyle w:val="tabletextright"/>
              <w:rPr>
                <w:rFonts w:eastAsia="Times New Roman"/>
              </w:rPr>
            </w:pPr>
            <w:r>
              <w:rPr>
                <w:rFonts w:eastAsia="Times New Roman"/>
              </w:rPr>
              <w:t xml:space="preserve">Total </w:t>
            </w:r>
          </w:p>
          <w:p w:rsidR="005E1FE0" w:rsidRPr="00DF38B2" w:rsidRDefault="00DF458E" w:rsidP="006654AE">
            <w:pPr>
              <w:pStyle w:val="tabletextright"/>
              <w:rPr>
                <w:rFonts w:eastAsia="Times New Roman"/>
              </w:rPr>
            </w:pPr>
            <w:r>
              <w:rPr>
                <w:rFonts w:eastAsia="Times New Roman"/>
              </w:rPr>
              <w:t>(%)</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No card issued</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Nil</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52.6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12.8</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One</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7.7</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2</w:t>
            </w:r>
            <w:r w:rsidR="007F6C2C">
              <w:rPr>
                <w:rFonts w:eastAsia="Times New Roman"/>
              </w:rPr>
              <w:t>–</w:t>
            </w:r>
            <w:r w:rsidRPr="00DF38B2">
              <w:rPr>
                <w:rFonts w:eastAsia="Times New Roman"/>
              </w:rPr>
              <w:t>4</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17.9</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5</w:t>
            </w:r>
            <w:r w:rsidR="007F6C2C">
              <w:rPr>
                <w:rFonts w:eastAsia="Times New Roman"/>
              </w:rPr>
              <w:t>–</w:t>
            </w:r>
            <w:r w:rsidRPr="00DF38B2">
              <w:rPr>
                <w:rFonts w:eastAsia="Times New Roman"/>
              </w:rPr>
              <w:t>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24.3</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22.5</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10</w:t>
            </w:r>
            <w:r w:rsidR="007F6C2C">
              <w:rPr>
                <w:rFonts w:eastAsia="Times New Roman"/>
              </w:rPr>
              <w:t>–</w:t>
            </w:r>
            <w:r w:rsidRPr="00DF38B2">
              <w:rPr>
                <w:rFonts w:eastAsia="Times New Roman"/>
              </w:rPr>
              <w:t>19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25.1</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3.8</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23.2</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20</w:t>
            </w:r>
            <w:r w:rsidR="007F6C2C">
              <w:rPr>
                <w:rFonts w:eastAsia="Times New Roman"/>
              </w:rPr>
              <w:t>–</w:t>
            </w:r>
            <w:r w:rsidRPr="00DF38B2">
              <w:rPr>
                <w:rFonts w:eastAsia="Times New Roman"/>
              </w:rPr>
              <w:t>49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12.4</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12.5</w:t>
            </w:r>
          </w:p>
        </w:tc>
      </w:tr>
      <w:tr w:rsidR="005E1FE0" w:rsidRPr="00DF38B2" w:rsidTr="00DF458E">
        <w:trPr>
          <w:trHeight w:val="20"/>
          <w:jc w:val="center"/>
        </w:trPr>
        <w:tc>
          <w:tcPr>
            <w:tcW w:w="1604"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50 or more</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r>
      <w:tr w:rsidR="005E1FE0" w:rsidRPr="00DF38B2" w:rsidTr="00DF458E">
        <w:trPr>
          <w:trHeight w:val="20"/>
          <w:jc w:val="center"/>
        </w:trPr>
        <w:tc>
          <w:tcPr>
            <w:tcW w:w="160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5E1FE0" w:rsidRPr="00DF38B2" w:rsidRDefault="005E1FE0" w:rsidP="006654AE">
      <w:pPr>
        <w:pStyle w:val="tablenotes"/>
      </w:pPr>
      <w:r w:rsidRPr="00DF38B2">
        <w:t>Note:</w:t>
      </w:r>
      <w:r w:rsidR="00BF56C6">
        <w:tab/>
      </w:r>
      <w:r w:rsidRPr="00DF38B2">
        <w:t>Persons are classified into program type by the final form of income management they are on</w:t>
      </w:r>
      <w:r w:rsidR="00BF56C6">
        <w:t>.</w:t>
      </w:r>
    </w:p>
    <w:p w:rsidR="005E1FE0" w:rsidRDefault="005E1FE0" w:rsidP="006654AE">
      <w:pPr>
        <w:pStyle w:val="tablenotes"/>
        <w:keepNext w:val="0"/>
        <w:ind w:left="1437" w:hanging="870"/>
      </w:pPr>
      <w:r w:rsidRPr="00DF38B2">
        <w:t xml:space="preserve">Source: </w:t>
      </w:r>
      <w:r w:rsidR="00BF56C6">
        <w:tab/>
      </w:r>
      <w:r w:rsidRPr="00DF38B2">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pStyle w:val="Heading3"/>
      </w:pPr>
      <w:bookmarkStart w:id="331" w:name="_Toc403739045"/>
      <w:r w:rsidRPr="00DF38B2">
        <w:t>BasicsCard transactions</w:t>
      </w:r>
      <w:bookmarkEnd w:id="331"/>
    </w:p>
    <w:p w:rsidR="005E1FE0" w:rsidRPr="00DF38B2" w:rsidRDefault="005E1FE0" w:rsidP="006654AE">
      <w:r w:rsidRPr="00DF38B2">
        <w:t xml:space="preserve">There are around half a million transactions on BasicsCards per month for people who are being income managed in the Northern Territory. The composition of these </w:t>
      </w:r>
      <w:r w:rsidR="008463A4">
        <w:t>transactions</w:t>
      </w:r>
      <w:r w:rsidR="008271AF">
        <w:t xml:space="preserve"> in the 2013 calendar year </w:t>
      </w:r>
      <w:r w:rsidRPr="00DF38B2">
        <w:t xml:space="preserve">is shown in </w:t>
      </w:r>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The major types of transactions are</w:t>
      </w:r>
      <w:r w:rsidR="008463A4">
        <w:t>:</w:t>
      </w:r>
      <w:r w:rsidRPr="00DF38B2">
        <w:t xml:space="preserve"> successful spends – which account for </w:t>
      </w:r>
      <w:r w:rsidR="008271AF">
        <w:t>62.0</w:t>
      </w:r>
      <w:r w:rsidRPr="00DF38B2">
        <w:t> per cent of all transaction</w:t>
      </w:r>
      <w:r w:rsidRPr="00FE502F">
        <w:t>s</w:t>
      </w:r>
      <w:r w:rsidR="008463A4">
        <w:t>;</w:t>
      </w:r>
      <w:r w:rsidRPr="00FE502F">
        <w:t xml:space="preserve"> transfers by Centrelink of funds from a person’s income management accou</w:t>
      </w:r>
      <w:r w:rsidRPr="009655C3">
        <w:t xml:space="preserve">nt to their BasicsCard </w:t>
      </w:r>
      <w:r w:rsidR="008463A4">
        <w:t xml:space="preserve">– </w:t>
      </w:r>
      <w:r w:rsidRPr="009655C3">
        <w:t>16.9 per cent of transactions</w:t>
      </w:r>
      <w:r w:rsidR="008463A4">
        <w:t>;</w:t>
      </w:r>
      <w:r w:rsidRPr="009655C3">
        <w:t xml:space="preserve"> and attempted transactions which fail because the person has insufficient money in their account </w:t>
      </w:r>
      <w:r w:rsidR="008463A4">
        <w:t xml:space="preserve">– </w:t>
      </w:r>
      <w:r w:rsidRPr="009655C3">
        <w:t>6.9 per cent. The remainder includes inquiries at kiosks about the balance on accounts (4.2 per cent), incorrect PINs being provided to a store (2.4 per cent) and, as noted</w:t>
      </w:r>
      <w:r w:rsidRPr="00DF38B2">
        <w:t xml:space="preserve"> in the </w:t>
      </w:r>
      <w:r w:rsidR="00D95B12">
        <w:t>figure</w:t>
      </w:r>
      <w:r w:rsidRPr="00DF38B2">
        <w:t>s</w:t>
      </w:r>
      <w:r w:rsidR="00EA7AE6" w:rsidRPr="00DF38B2">
        <w:t>,</w:t>
      </w:r>
      <w:r w:rsidRPr="00DF38B2">
        <w:t xml:space="preserve"> transactions associated </w:t>
      </w:r>
      <w:r w:rsidR="00EA7AE6" w:rsidRPr="00DF38B2">
        <w:t xml:space="preserve">with </w:t>
      </w:r>
      <w:r w:rsidRPr="00DF38B2">
        <w:t>card problems</w:t>
      </w:r>
      <w:r w:rsidR="008463A4">
        <w:t>,</w:t>
      </w:r>
      <w:r w:rsidRPr="00DF38B2">
        <w:t xml:space="preserve"> including attempts to use expired or cancelled cards, technical transactions associated with card activation, account closing and card unblocking, and other card failures including additional PIN failures where no store is identified. </w:t>
      </w:r>
    </w:p>
    <w:p w:rsidR="005E1FE0" w:rsidRPr="00FE502F" w:rsidRDefault="005E1FE0" w:rsidP="006654AE">
      <w:r w:rsidRPr="00DF38B2">
        <w:lastRenderedPageBreak/>
        <w:t xml:space="preserve">As can be seen in </w:t>
      </w:r>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the incidence of problems with transactions is much more common amongst Indigenous BasicsCard users, where for example 7.1 per cent of transactions are rejections due to insufficient funds and 2.5 per cent are PIN errors at a store. By comparison</w:t>
      </w:r>
      <w:r w:rsidR="00BE5854">
        <w:t>,</w:t>
      </w:r>
      <w:r w:rsidRPr="00DF38B2">
        <w:t xml:space="preserve"> the rates amongst non-I</w:t>
      </w:r>
      <w:r w:rsidRPr="00FE502F">
        <w:t>ndigenous users are 4.3 per cent and 1.2 per cent respectively.</w:t>
      </w:r>
    </w:p>
    <w:p w:rsidR="005E1FE0" w:rsidRPr="00DF38B2" w:rsidRDefault="005E1FE0" w:rsidP="006654AE">
      <w:r w:rsidRPr="009655C3">
        <w:t xml:space="preserve">Subsequent analysis in this chapter focuses on two of these types of transactions: successful spends, which form the basis of more detailed </w:t>
      </w:r>
      <w:r w:rsidR="00EA7AE6" w:rsidRPr="00DF38B2">
        <w:t xml:space="preserve">consideration </w:t>
      </w:r>
      <w:r w:rsidRPr="00DF38B2">
        <w:t>of how people use their BasicsCards; and transactions which have failed due to a lack of funds. These latter, in the first instance, provide some insight into the financial management capability of individuals, how aware they are of their financial position</w:t>
      </w:r>
      <w:r w:rsidR="00BE5854">
        <w:t>,</w:t>
      </w:r>
      <w:r w:rsidRPr="00DF38B2">
        <w:t xml:space="preserve"> and what actions they take to ascertain that they have funds before they attempt to use a card. They also have implications for stores </w:t>
      </w:r>
      <w:r w:rsidR="00BE5854">
        <w:t>that</w:t>
      </w:r>
      <w:r w:rsidRPr="00DF38B2">
        <w:t xml:space="preserve"> need to deal with the consequences of these attempts. </w:t>
      </w:r>
    </w:p>
    <w:p w:rsidR="005E1FE0" w:rsidRDefault="005E1FE0" w:rsidP="006654AE">
      <w:pPr>
        <w:pStyle w:val="Caption"/>
      </w:pPr>
      <w:bookmarkStart w:id="332" w:name="_Ref391469991"/>
      <w:bookmarkStart w:id="333" w:name="_Ref391469981"/>
      <w:bookmarkStart w:id="334" w:name="_Toc403739538"/>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332"/>
      <w:r w:rsidRPr="00DF38B2">
        <w:tab/>
        <w:t xml:space="preserve">Composition of BasicsCard transactions by Indigenous identification, </w:t>
      </w:r>
      <w:r w:rsidR="006F51EF">
        <w:t xml:space="preserve">NIM </w:t>
      </w:r>
      <w:r w:rsidRPr="00DF38B2">
        <w:t>2013</w:t>
      </w:r>
      <w:bookmarkEnd w:id="333"/>
      <w:bookmarkEnd w:id="334"/>
    </w:p>
    <w:p w:rsidR="00E7210E" w:rsidRPr="00E7210E" w:rsidRDefault="00E7210E" w:rsidP="00E7210E">
      <w:r>
        <w:rPr>
          <w:noProof/>
        </w:rPr>
        <w:drawing>
          <wp:inline distT="0" distB="0" distL="0" distR="0" wp14:anchorId="61CE1944" wp14:editId="3AAC2982">
            <wp:extent cx="5289550" cy="2971800"/>
            <wp:effectExtent l="0" t="0" r="6350" b="0"/>
            <wp:docPr id="2" name="Picture 2" descr="Two pie charts are presented showing the composition of BasicsCard transactions for Non-Indigenous and Indigenous.&#10;The Non-Indigenous pie chart shows: Successful Spend 69.8%; Increase Balance 14.4%; Insufficient funds 4.2%; PIN error 1.2%; Bad card 0.1%; Other EFT 1.5%; Kiosk 3.8%; Tech 3.2%; Other fail 1.3%. The Indigenous pie chart shows: Successful Spend 61.3%; Increase Balance 17.1%; Insufficient funds 7.1%; PIN error 2.4%; Bad card 0.2%; Other EFT 0.4%;  Kiosk 4.2%;  Tech 3.5%; and Other fail 3.4%. The analysis is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89550" cy="297180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Pr="00DF38B2">
        <w:tab/>
        <w:t xml:space="preserve">All transactions for people on income management in the Northern Territory in 2013 calendar year. </w:t>
      </w:r>
      <w:r w:rsidR="00B4703E">
        <w:t>In total there were</w:t>
      </w:r>
      <w:r w:rsidRPr="00DF38B2">
        <w:t xml:space="preserve"> 6,523,359 transactions</w:t>
      </w:r>
      <w:r w:rsidR="00B4703E">
        <w:t xml:space="preserve"> over this period</w:t>
      </w:r>
      <w:r w:rsidRPr="00DF38B2">
        <w:t>.</w:t>
      </w:r>
    </w:p>
    <w:p w:rsidR="005E1FE0" w:rsidRDefault="005E1FE0" w:rsidP="006654AE">
      <w:pPr>
        <w:pStyle w:val="tablenotes"/>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Default="005E1FE0" w:rsidP="006654AE">
      <w:r w:rsidRPr="00DF38B2">
        <w:t xml:space="preserve">Before examining these dimensions of the analysis, </w:t>
      </w:r>
      <w:r w:rsidRPr="00DF38B2">
        <w:fldChar w:fldCharType="begin"/>
      </w:r>
      <w:r w:rsidRPr="00DF38B2">
        <w:instrText xml:space="preserve"> REF _Ref391471876 \h </w:instrText>
      </w:r>
      <w:r w:rsidRPr="00DF38B2">
        <w:fldChar w:fldCharType="separate"/>
      </w:r>
      <w:r w:rsidR="00906D13" w:rsidRPr="00DF38B2">
        <w:t xml:space="preserve">Table </w:t>
      </w:r>
      <w:r w:rsidR="00906D13">
        <w:rPr>
          <w:noProof/>
        </w:rPr>
        <w:t>6</w:t>
      </w:r>
      <w:r w:rsidR="00906D13">
        <w:noBreakHyphen/>
      </w:r>
      <w:r w:rsidR="00906D13">
        <w:rPr>
          <w:noProof/>
        </w:rPr>
        <w:t>6</w:t>
      </w:r>
      <w:r w:rsidRPr="00DF38B2">
        <w:fldChar w:fldCharType="end"/>
      </w:r>
      <w:r w:rsidRPr="00DF38B2">
        <w:t xml:space="preserve"> provides some additional insight into the two major forms of transactions – transfers </w:t>
      </w:r>
      <w:r w:rsidRPr="00FE502F">
        <w:t>onto BasicsCard and successful spends. The table shows the number and avera</w:t>
      </w:r>
      <w:r w:rsidRPr="009655C3">
        <w:t xml:space="preserve">ge value of transfers and spending transactions at selected percentile points of the distribution of </w:t>
      </w:r>
      <w:r w:rsidR="00931DFC">
        <w:t xml:space="preserve">these two measures </w:t>
      </w:r>
      <w:r w:rsidRPr="009655C3">
        <w:t>of transfers and payments (p50 gives the values for the median)</w:t>
      </w:r>
      <w:r w:rsidR="00BE5854">
        <w:t>.</w:t>
      </w:r>
      <w:r w:rsidRPr="00DF38B2">
        <w:rPr>
          <w:rStyle w:val="FootnoteReference"/>
        </w:rPr>
        <w:footnoteReference w:id="89"/>
      </w:r>
      <w:r w:rsidRPr="00DF38B2">
        <w:t xml:space="preserve"> </w:t>
      </w:r>
    </w:p>
    <w:p w:rsidR="00C12453" w:rsidRPr="00DF38B2" w:rsidRDefault="00C12453" w:rsidP="006654AE">
      <w:r w:rsidRPr="00DF38B2">
        <w:t xml:space="preserve">On average people have 2.1 transfers each fortnight from their income management account onto their BasicsCard, although a quarter (p25) have less than 1.4 such transactions and a further quarter have more than 2.8 (p75). The median number of transfers onto people’s BasicsCard is 2.0 (p50). This is perhaps typified by a person who receives both income support and FTB and has these paid to them in alternate weeks. While some of these transfers are quite small, with </w:t>
      </w:r>
      <w:r>
        <w:t>five</w:t>
      </w:r>
      <w:r w:rsidRPr="00DF38B2">
        <w:t> per cent being for $18.00 or less, the median</w:t>
      </w:r>
      <w:r w:rsidRPr="00DF38B2">
        <w:rPr>
          <w:rStyle w:val="FootnoteReference"/>
        </w:rPr>
        <w:footnoteReference w:id="90"/>
      </w:r>
      <w:r w:rsidRPr="00DF38B2">
        <w:t xml:space="preserve"> transfer is $117.35, and the average $155.74. This relationship indicates that the distribution of the value of transfers onto </w:t>
      </w:r>
      <w:r>
        <w:t xml:space="preserve">the </w:t>
      </w:r>
      <w:r w:rsidRPr="00DF38B2">
        <w:t>BasicsCard is skewed, with a small number of large transactions forcing the average upwards.</w:t>
      </w:r>
    </w:p>
    <w:p w:rsidR="005E1FE0" w:rsidRPr="00DF38B2" w:rsidRDefault="005E1FE0" w:rsidP="006654AE">
      <w:pPr>
        <w:pStyle w:val="Caption"/>
      </w:pPr>
      <w:bookmarkStart w:id="335" w:name="_Ref391471876"/>
      <w:bookmarkStart w:id="336" w:name="_Toc403739445"/>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6</w:t>
        </w:r>
      </w:fldSimple>
      <w:r w:rsidR="00B235E1">
        <w:tab/>
      </w:r>
      <w:bookmarkEnd w:id="335"/>
      <w:r w:rsidRPr="00DF38B2">
        <w:t xml:space="preserve">Characteristics of selected transactions, </w:t>
      </w:r>
      <w:r w:rsidR="006F51EF">
        <w:t xml:space="preserve">NIM </w:t>
      </w:r>
      <w:r w:rsidRPr="00DF38B2">
        <w:t>2013</w:t>
      </w:r>
      <w:bookmarkEnd w:id="336"/>
    </w:p>
    <w:tbl>
      <w:tblPr>
        <w:tblW w:w="7656" w:type="dxa"/>
        <w:jc w:val="center"/>
        <w:tblLook w:val="04A0" w:firstRow="1" w:lastRow="0" w:firstColumn="1" w:lastColumn="0" w:noHBand="0" w:noVBand="1"/>
        <w:tblDescription w:val="This table is concerned with the distribution of BasicsCard and other transactions associated with income management. The data columns are the fifth, twenty-fifth, median seventy-fifth and ninety fifth percentile points and the mean.&#10;The rows are divided into two horizontal panels. The first contains the number of transfers to BasicsCard per fortnight and the number of payments on BasicsCard per fortnight, the second panel looks at the dollar value of transfers onto BasicsCard and the value of individual spending transactions on BasicsCard.&#10;The key findings are described in the text&#10;"/>
      </w:tblPr>
      <w:tblGrid>
        <w:gridCol w:w="2516"/>
        <w:gridCol w:w="693"/>
        <w:gridCol w:w="908"/>
        <w:gridCol w:w="908"/>
        <w:gridCol w:w="908"/>
        <w:gridCol w:w="908"/>
        <w:gridCol w:w="815"/>
      </w:tblGrid>
      <w:tr w:rsidR="00B6641C" w:rsidRPr="00DF38B2" w:rsidTr="00B6641C">
        <w:trPr>
          <w:trHeight w:val="391"/>
          <w:tblHeader/>
          <w:jc w:val="center"/>
        </w:trPr>
        <w:tc>
          <w:tcPr>
            <w:tcW w:w="2516"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rPr>
                <w:rFonts w:eastAsia="Times New Roman"/>
              </w:rPr>
            </w:pPr>
            <w:r>
              <w:rPr>
                <w:rFonts w:eastAsia="Times New Roman"/>
              </w:rPr>
              <w:t>Characteristic of transaction</w:t>
            </w:r>
          </w:p>
        </w:tc>
        <w:tc>
          <w:tcPr>
            <w:tcW w:w="693"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p25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p50</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p75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p95</w:t>
            </w:r>
            <w:r>
              <w:rPr>
                <w:rFonts w:eastAsia="Times New Roman"/>
              </w:rPr>
              <w:t xml:space="preserve"> (a)</w:t>
            </w:r>
          </w:p>
        </w:tc>
        <w:tc>
          <w:tcPr>
            <w:tcW w:w="815"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Average</w:t>
            </w:r>
          </w:p>
        </w:tc>
      </w:tr>
      <w:tr w:rsidR="00B6641C" w:rsidRPr="00DF38B2" w:rsidTr="00B6641C">
        <w:trPr>
          <w:trHeight w:val="20"/>
          <w:jc w:val="center"/>
        </w:trPr>
        <w:tc>
          <w:tcPr>
            <w:tcW w:w="2516"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ind w:left="232" w:hanging="232"/>
              <w:jc w:val="left"/>
              <w:rPr>
                <w:rFonts w:eastAsia="Times New Roman"/>
              </w:rPr>
            </w:pPr>
            <w:r w:rsidRPr="00DF38B2">
              <w:rPr>
                <w:rFonts w:eastAsia="Times New Roman"/>
              </w:rPr>
              <w:t>Number of transfers to BasicsCard per fortnight</w:t>
            </w:r>
            <w:r>
              <w:rPr>
                <w:rFonts w:eastAsia="Times New Roman"/>
              </w:rPr>
              <w:t xml:space="preserve"> (n)</w:t>
            </w:r>
          </w:p>
        </w:tc>
        <w:tc>
          <w:tcPr>
            <w:tcW w:w="693"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0.7</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1.4</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2.0</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2.8</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4.0</w:t>
            </w:r>
          </w:p>
        </w:tc>
        <w:tc>
          <w:tcPr>
            <w:tcW w:w="815"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2.1</w:t>
            </w:r>
          </w:p>
        </w:tc>
      </w:tr>
      <w:tr w:rsidR="00B6641C" w:rsidRPr="00DF38B2" w:rsidTr="00B6641C">
        <w:trPr>
          <w:trHeight w:val="20"/>
          <w:jc w:val="center"/>
        </w:trPr>
        <w:tc>
          <w:tcPr>
            <w:tcW w:w="2516"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ind w:left="232" w:hanging="232"/>
              <w:jc w:val="left"/>
              <w:rPr>
                <w:rFonts w:eastAsia="Times New Roman"/>
              </w:rPr>
            </w:pPr>
            <w:r w:rsidRPr="00DF38B2">
              <w:rPr>
                <w:rFonts w:eastAsia="Times New Roman"/>
              </w:rPr>
              <w:t>Number of payments on BasicsCard per fortnight</w:t>
            </w:r>
            <w:r>
              <w:rPr>
                <w:rFonts w:eastAsia="Times New Roman"/>
              </w:rPr>
              <w:t xml:space="preserve"> (n)</w:t>
            </w:r>
          </w:p>
        </w:tc>
        <w:tc>
          <w:tcPr>
            <w:tcW w:w="693"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1.9</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4.5</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6.8</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10.0</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16.0</w:t>
            </w:r>
          </w:p>
        </w:tc>
        <w:tc>
          <w:tcPr>
            <w:tcW w:w="815"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7.7</w:t>
            </w:r>
          </w:p>
        </w:tc>
      </w:tr>
      <w:tr w:rsidR="00B6641C" w:rsidRPr="00DF38B2" w:rsidTr="00B6641C">
        <w:trPr>
          <w:trHeight w:val="20"/>
          <w:jc w:val="center"/>
        </w:trPr>
        <w:tc>
          <w:tcPr>
            <w:tcW w:w="2516"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rPr>
                <w:rFonts w:eastAsia="Times New Roman"/>
              </w:rPr>
            </w:pPr>
            <w:r w:rsidRPr="00DF38B2">
              <w:rPr>
                <w:rFonts w:eastAsia="Times New Roman"/>
              </w:rPr>
              <w:t>Av</w:t>
            </w:r>
            <w:r>
              <w:rPr>
                <w:rFonts w:eastAsia="Times New Roman"/>
              </w:rPr>
              <w:t>.</w:t>
            </w:r>
            <w:r w:rsidRPr="00DF38B2">
              <w:rPr>
                <w:rFonts w:eastAsia="Times New Roman"/>
              </w:rPr>
              <w:t xml:space="preserve"> value of transfer</w:t>
            </w:r>
            <w:r>
              <w:rPr>
                <w:rFonts w:eastAsia="Times New Roman"/>
              </w:rPr>
              <w:t>s ($)</w:t>
            </w:r>
          </w:p>
        </w:tc>
        <w:tc>
          <w:tcPr>
            <w:tcW w:w="693"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18.00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70.00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117.35</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200.00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400.00</w:t>
            </w:r>
          </w:p>
        </w:tc>
        <w:tc>
          <w:tcPr>
            <w:tcW w:w="815"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155.47</w:t>
            </w:r>
          </w:p>
        </w:tc>
      </w:tr>
      <w:tr w:rsidR="00B6641C" w:rsidRPr="00DF38B2" w:rsidTr="00B6641C">
        <w:trPr>
          <w:trHeight w:val="20"/>
          <w:jc w:val="center"/>
        </w:trPr>
        <w:tc>
          <w:tcPr>
            <w:tcW w:w="2516"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rPr>
                <w:rFonts w:eastAsia="Times New Roman"/>
              </w:rPr>
            </w:pPr>
            <w:r w:rsidRPr="00DF38B2">
              <w:rPr>
                <w:rFonts w:eastAsia="Times New Roman"/>
              </w:rPr>
              <w:t>Av</w:t>
            </w:r>
            <w:r>
              <w:rPr>
                <w:rFonts w:eastAsia="Times New Roman"/>
              </w:rPr>
              <w:t>.</w:t>
            </w:r>
            <w:r w:rsidRPr="00DF38B2">
              <w:rPr>
                <w:rFonts w:eastAsia="Times New Roman"/>
              </w:rPr>
              <w:t xml:space="preserve"> value of spending</w:t>
            </w:r>
            <w:r>
              <w:rPr>
                <w:rFonts w:eastAsia="Times New Roman"/>
              </w:rPr>
              <w:t xml:space="preserve"> ($)</w:t>
            </w:r>
          </w:p>
        </w:tc>
        <w:tc>
          <w:tcPr>
            <w:tcW w:w="693"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3.42</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10.69</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23.35</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50.00</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140.27</w:t>
            </w:r>
          </w:p>
        </w:tc>
        <w:tc>
          <w:tcPr>
            <w:tcW w:w="815"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41.80</w:t>
            </w:r>
          </w:p>
        </w:tc>
      </w:tr>
    </w:tbl>
    <w:p w:rsidR="00B6641C" w:rsidRDefault="005E1FE0" w:rsidP="006654AE">
      <w:pPr>
        <w:pStyle w:val="tablenotes"/>
      </w:pPr>
      <w:r w:rsidRPr="00DF38B2">
        <w:t xml:space="preserve">Note: </w:t>
      </w:r>
      <w:r w:rsidR="00BF56C6">
        <w:tab/>
      </w:r>
      <w:r w:rsidR="00B6641C">
        <w:t xml:space="preserve">(a) </w:t>
      </w:r>
      <w:r w:rsidR="00B6641C" w:rsidRPr="00DF38B2">
        <w:rPr>
          <w:rFonts w:eastAsia="Times New Roman"/>
        </w:rPr>
        <w:t>Value and number at selected percentile points of the distribution</w:t>
      </w:r>
    </w:p>
    <w:p w:rsidR="005E1FE0" w:rsidRPr="00DF38B2" w:rsidRDefault="005E1FE0" w:rsidP="00B6641C">
      <w:pPr>
        <w:pStyle w:val="tablenotes"/>
        <w:ind w:left="1287" w:firstLine="153"/>
      </w:pPr>
      <w:proofErr w:type="gramStart"/>
      <w:r w:rsidRPr="00DF38B2">
        <w:t>All transactions for people on income management in the Northern Territory in 2013 calendar year.</w:t>
      </w:r>
      <w:proofErr w:type="gramEnd"/>
      <w:r w:rsidRPr="00DF38B2">
        <w:t xml:space="preserve"> </w:t>
      </w:r>
    </w:p>
    <w:p w:rsidR="005E1FE0" w:rsidRDefault="005E1FE0" w:rsidP="006654AE">
      <w:pPr>
        <w:pStyle w:val="tablenotes"/>
        <w:ind w:left="1440" w:hanging="873"/>
      </w:pPr>
      <w:r w:rsidRPr="00DF38B2">
        <w:t>Source:</w:t>
      </w:r>
      <w:r w:rsidR="005D1CC5">
        <w:t xml:space="preserve"> </w:t>
      </w:r>
      <w:r w:rsidR="00305D80">
        <w:tab/>
        <w:t>Derived from DHS administrative</w:t>
      </w:r>
      <w:r w:rsidRPr="00DF38B2">
        <w:t xml:space="preserve"> data provided for the purposes of the evaluation.</w:t>
      </w:r>
    </w:p>
    <w:p w:rsidR="003928BD" w:rsidRPr="00DF38B2" w:rsidRDefault="003928BD" w:rsidP="006654AE">
      <w:pPr>
        <w:pStyle w:val="tablefootnoteslastline"/>
      </w:pPr>
    </w:p>
    <w:p w:rsidR="005E1FE0" w:rsidRPr="009655C3" w:rsidRDefault="005E1FE0" w:rsidP="006654AE">
      <w:r w:rsidRPr="00FE502F">
        <w:t>A quarter of people make an average of 4.5 or fewer successful payment transactions per fortnight on their Basi</w:t>
      </w:r>
      <w:r w:rsidRPr="009655C3">
        <w:t xml:space="preserve">csCard, with half </w:t>
      </w:r>
      <w:r w:rsidR="00B87E38">
        <w:t xml:space="preserve">of </w:t>
      </w:r>
      <w:r w:rsidRPr="009655C3">
        <w:t xml:space="preserve">the population making 6.8 or fewer. At the upper end of the distribution a quarter make </w:t>
      </w:r>
      <w:r w:rsidR="00B87E38">
        <w:t>ten</w:t>
      </w:r>
      <w:r w:rsidRPr="009655C3">
        <w:t xml:space="preserve"> or more transactions and five per cent make more than 16 transactions per fortnight. There is also considerable variation in the size of transactions. A quarter </w:t>
      </w:r>
      <w:r w:rsidR="00B87E38">
        <w:t xml:space="preserve">of these </w:t>
      </w:r>
      <w:r w:rsidRPr="009655C3">
        <w:t>are for less than $10.69, and half are for amounts under $23.35. In contrast</w:t>
      </w:r>
      <w:r w:rsidR="00B87E38">
        <w:t>,</w:t>
      </w:r>
      <w:r w:rsidRPr="009655C3">
        <w:t xml:space="preserve"> a quarter of transactions are for $</w:t>
      </w:r>
      <w:r w:rsidR="005834D0">
        <w:t>50</w:t>
      </w:r>
      <w:r w:rsidR="005834D0" w:rsidRPr="009655C3">
        <w:t xml:space="preserve"> </w:t>
      </w:r>
      <w:r w:rsidRPr="009655C3">
        <w:t xml:space="preserve">or more and the largest </w:t>
      </w:r>
      <w:r w:rsidR="00B87E38">
        <w:t>five</w:t>
      </w:r>
      <w:r w:rsidRPr="009655C3">
        <w:t> per cent of transactions have an individual value of $</w:t>
      </w:r>
      <w:r w:rsidR="005834D0">
        <w:t>140</w:t>
      </w:r>
      <w:r w:rsidR="005834D0" w:rsidRPr="009655C3">
        <w:t xml:space="preserve"> </w:t>
      </w:r>
      <w:r w:rsidRPr="009655C3">
        <w:t>or more.</w:t>
      </w:r>
    </w:p>
    <w:p w:rsidR="005E1FE0" w:rsidRPr="00DF38B2" w:rsidRDefault="005E1FE0" w:rsidP="006654AE">
      <w:r w:rsidRPr="00DF38B2">
        <w:t xml:space="preserve">The median value of a </w:t>
      </w:r>
      <w:r w:rsidR="005834D0">
        <w:t xml:space="preserve">payment </w:t>
      </w:r>
      <w:r w:rsidRPr="00DF38B2">
        <w:t>transaction by a non-Indigenous person is $20.15, while that of an Indigenous person is a little higher at $23.70. Indigenous BasicsCard users also have more transactions, with the median of their average fortnightly transactions being 7.1, compared with a lesser 5.2 by non-Indigenous people. There are also differences by family characteristics</w:t>
      </w:r>
      <w:r w:rsidR="00B87E38">
        <w:t>,</w:t>
      </w:r>
      <w:r w:rsidRPr="00DF38B2">
        <w:t xml:space="preserve"> with sole parents having the highest number of spending transactions and </w:t>
      </w:r>
      <w:r w:rsidR="005834D0">
        <w:t>people living as a member of a couple without dependent children</w:t>
      </w:r>
      <w:r w:rsidRPr="00DF38B2">
        <w:t xml:space="preserve"> </w:t>
      </w:r>
      <w:r w:rsidR="00B87E38">
        <w:t xml:space="preserve">having </w:t>
      </w:r>
      <w:r w:rsidRPr="00DF38B2">
        <w:t>the lowest. By age</w:t>
      </w:r>
      <w:r w:rsidR="00B87E38">
        <w:t>,</w:t>
      </w:r>
      <w:r w:rsidRPr="00DF38B2">
        <w:t xml:space="preserve"> people under 20 years have the lowest number of transactions. This then increases for the 25</w:t>
      </w:r>
      <w:r w:rsidR="00EA7AE6" w:rsidRPr="00DF38B2">
        <w:t xml:space="preserve"> to </w:t>
      </w:r>
      <w:r w:rsidRPr="00DF38B2">
        <w:t>34 year and 35</w:t>
      </w:r>
      <w:r w:rsidR="00EA7AE6" w:rsidRPr="00DF38B2">
        <w:t xml:space="preserve"> to </w:t>
      </w:r>
      <w:r w:rsidRPr="00DF38B2">
        <w:t>44 year age groups before declining for older people.</w:t>
      </w:r>
    </w:p>
    <w:p w:rsidR="005E1FE0" w:rsidRPr="00DF38B2" w:rsidRDefault="005E1FE0" w:rsidP="006654AE">
      <w:pPr>
        <w:pStyle w:val="Heading3"/>
      </w:pPr>
      <w:bookmarkStart w:id="337" w:name="_Toc403739046"/>
      <w:r w:rsidRPr="00DF38B2">
        <w:t>Spending on BasicsCard</w:t>
      </w:r>
      <w:bookmarkEnd w:id="337"/>
    </w:p>
    <w:p w:rsidR="005E1FE0" w:rsidRPr="00DF38B2" w:rsidRDefault="005E1FE0" w:rsidP="006654AE">
      <w:r w:rsidRPr="00DF38B2">
        <w:t>The level of spending on BasicsCard over time is characterised by two factors</w:t>
      </w:r>
      <w:r w:rsidR="00B87E38">
        <w:t>,</w:t>
      </w:r>
      <w:r w:rsidRPr="00DF38B2">
        <w:t xml:space="preserve"> as illustrated in </w:t>
      </w:r>
      <w:r w:rsidRPr="00DF38B2">
        <w:fldChar w:fldCharType="begin"/>
      </w:r>
      <w:r w:rsidRPr="00DF38B2">
        <w:instrText xml:space="preserve"> REF _Ref391667082 \h </w:instrText>
      </w:r>
      <w:r w:rsidRPr="00DF38B2">
        <w:fldChar w:fldCharType="separate"/>
      </w:r>
      <w:r w:rsidR="00906D13" w:rsidRPr="00DF38B2">
        <w:t xml:space="preserve">Figure </w:t>
      </w:r>
      <w:r w:rsidR="00906D13">
        <w:rPr>
          <w:noProof/>
        </w:rPr>
        <w:t>6</w:t>
      </w:r>
      <w:r w:rsidR="00906D13" w:rsidRPr="00DF38B2">
        <w:noBreakHyphen/>
      </w:r>
      <w:r w:rsidR="00906D13">
        <w:rPr>
          <w:noProof/>
        </w:rPr>
        <w:t>4</w:t>
      </w:r>
      <w:r w:rsidRPr="00DF38B2">
        <w:fldChar w:fldCharType="end"/>
      </w:r>
      <w:r w:rsidRPr="00DF38B2">
        <w:t>. The first is a general upwards trend over time, reflecting increased numbers of people on income management, increases in the rate of payments</w:t>
      </w:r>
      <w:r w:rsidR="00B87E38">
        <w:t>,</w:t>
      </w:r>
      <w:r w:rsidRPr="00DF38B2">
        <w:t xml:space="preserve"> and changes in the proportion of</w:t>
      </w:r>
      <w:r w:rsidRPr="00FE502F">
        <w:t xml:space="preserve"> their income</w:t>
      </w:r>
      <w:r w:rsidR="00A04470">
        <w:t xml:space="preserve"> </w:t>
      </w:r>
      <w:r w:rsidRPr="00FE502F">
        <w:t xml:space="preserve">managed funds </w:t>
      </w:r>
      <w:r w:rsidR="00B87E38">
        <w:t>that</w:t>
      </w:r>
      <w:r w:rsidRPr="00FE502F">
        <w:t xml:space="preserve"> </w:t>
      </w:r>
      <w:r w:rsidR="00EA7AE6" w:rsidRPr="009655C3">
        <w:t xml:space="preserve">people </w:t>
      </w:r>
      <w:r w:rsidRPr="009655C3">
        <w:t>choose to allocate to their B</w:t>
      </w:r>
      <w:r w:rsidRPr="00DF38B2">
        <w:t xml:space="preserve">asicsCard. The second is some pronounced seasonality, with the </w:t>
      </w:r>
      <w:r w:rsidR="00EA7AE6" w:rsidRPr="00DF38B2">
        <w:t>spending</w:t>
      </w:r>
      <w:r w:rsidRPr="00DF38B2">
        <w:t xml:space="preserve"> peaking mid-year and a smaller peak at the end of the year.</w:t>
      </w:r>
    </w:p>
    <w:p w:rsidR="005E1FE0" w:rsidRDefault="005E1FE0" w:rsidP="006654AE">
      <w:pPr>
        <w:pStyle w:val="Caption"/>
        <w:ind w:left="1439" w:hanging="1155"/>
      </w:pPr>
      <w:bookmarkStart w:id="338" w:name="_Ref391667082"/>
      <w:bookmarkStart w:id="339" w:name="_Toc40373953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338"/>
      <w:r w:rsidRPr="00DF38B2">
        <w:tab/>
        <w:t xml:space="preserve">Persons on </w:t>
      </w:r>
      <w:r w:rsidR="005E4CAC">
        <w:t>income management</w:t>
      </w:r>
      <w:r w:rsidRPr="00DF38B2">
        <w:t xml:space="preserve"> in the Northern Territory, total BasicsCard spending by month, June 2010 to December 2013</w:t>
      </w:r>
      <w:bookmarkEnd w:id="339"/>
    </w:p>
    <w:p w:rsidR="00F63BB0" w:rsidRPr="00F63BB0" w:rsidRDefault="00F63BB0" w:rsidP="006654AE">
      <w:pPr>
        <w:keepNext/>
        <w:spacing w:after="0" w:line="120" w:lineRule="auto"/>
        <w:jc w:val="center"/>
      </w:pPr>
      <w:r w:rsidRPr="00F63BB0">
        <w:rPr>
          <w:noProof/>
        </w:rPr>
        <w:drawing>
          <wp:inline distT="0" distB="0" distL="0" distR="0" wp14:anchorId="1124F0B8" wp14:editId="51338408">
            <wp:extent cx="4572000" cy="2862580"/>
            <wp:effectExtent l="0" t="0" r="0" b="0"/>
            <wp:docPr id="143" name="Picture 143" descr="This is a line chart with months from June 2010 to December 2013 on the horizontal axis and the value of monthly transactions on the vertical axis. The one line on the chart plots the level of transactions over time. The trends in the chart are described in the text before and after the figure. While the level of the seasonal peaks vary over time, they can be approximately double the base level of spending in adjac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0" cy="2862580"/>
                    </a:xfrm>
                    <a:prstGeom prst="rect">
                      <a:avLst/>
                    </a:prstGeom>
                    <a:noFill/>
                    <a:ln>
                      <a:noFill/>
                    </a:ln>
                  </pic:spPr>
                </pic:pic>
              </a:graphicData>
            </a:graphic>
          </wp:inline>
        </w:drawing>
      </w:r>
    </w:p>
    <w:p w:rsidR="005E1FE0" w:rsidRDefault="005E1FE0" w:rsidP="006654AE">
      <w:pPr>
        <w:pStyle w:val="tablenotes"/>
        <w:keepNext w:val="0"/>
        <w:keepLines w:val="0"/>
        <w:ind w:left="1435" w:hanging="868"/>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834D0" w:rsidP="006654AE">
      <w:pPr>
        <w:rPr>
          <w:szCs w:val="19"/>
        </w:rPr>
      </w:pPr>
      <w:r>
        <w:rPr>
          <w:szCs w:val="19"/>
        </w:rPr>
        <w:lastRenderedPageBreak/>
        <w:t>Taking the first</w:t>
      </w:r>
      <w:r w:rsidR="00D60D50">
        <w:rPr>
          <w:szCs w:val="19"/>
        </w:rPr>
        <w:t xml:space="preserve"> –</w:t>
      </w:r>
      <w:r>
        <w:rPr>
          <w:szCs w:val="19"/>
        </w:rPr>
        <w:t xml:space="preserve"> the trend </w:t>
      </w:r>
      <w:r w:rsidR="00644732">
        <w:rPr>
          <w:szCs w:val="19"/>
        </w:rPr>
        <w:t xml:space="preserve">of </w:t>
      </w:r>
      <w:r>
        <w:rPr>
          <w:szCs w:val="19"/>
        </w:rPr>
        <w:t>increasing spending</w:t>
      </w:r>
      <w:r w:rsidR="00D60D50">
        <w:rPr>
          <w:szCs w:val="19"/>
        </w:rPr>
        <w:t xml:space="preserve"> – </w:t>
      </w:r>
      <w:r>
        <w:rPr>
          <w:szCs w:val="19"/>
        </w:rPr>
        <w:t>t</w:t>
      </w:r>
      <w:r w:rsidR="005E1FE0" w:rsidRPr="00DF38B2">
        <w:rPr>
          <w:szCs w:val="19"/>
        </w:rPr>
        <w:t xml:space="preserve">he average level of spending per month on BasicsCard by people on income management in the Northern Territory has increased from $10.4 million in the last </w:t>
      </w:r>
      <w:r w:rsidR="00D60D50">
        <w:rPr>
          <w:szCs w:val="19"/>
        </w:rPr>
        <w:t>seven</w:t>
      </w:r>
      <w:r w:rsidR="005E1FE0" w:rsidRPr="00DF38B2">
        <w:rPr>
          <w:szCs w:val="19"/>
        </w:rPr>
        <w:t xml:space="preserve"> months in 2010, to </w:t>
      </w:r>
      <w:r>
        <w:rPr>
          <w:szCs w:val="19"/>
        </w:rPr>
        <w:t xml:space="preserve">an average of </w:t>
      </w:r>
      <w:r w:rsidR="005E1FE0" w:rsidRPr="00DF38B2">
        <w:rPr>
          <w:szCs w:val="19"/>
        </w:rPr>
        <w:t>$11.5 million</w:t>
      </w:r>
      <w:r>
        <w:rPr>
          <w:szCs w:val="19"/>
        </w:rPr>
        <w:t xml:space="preserve"> per month</w:t>
      </w:r>
      <w:r w:rsidR="005E1FE0" w:rsidRPr="00DF38B2">
        <w:rPr>
          <w:szCs w:val="19"/>
        </w:rPr>
        <w:t xml:space="preserve"> in 2011 and $12.8 million in 2012</w:t>
      </w:r>
      <w:r w:rsidR="00D60D50">
        <w:rPr>
          <w:szCs w:val="19"/>
        </w:rPr>
        <w:t>, reaching</w:t>
      </w:r>
      <w:r w:rsidR="005E1FE0" w:rsidRPr="00DF38B2">
        <w:rPr>
          <w:szCs w:val="19"/>
        </w:rPr>
        <w:t xml:space="preserve"> $14.1 million in 2013. The seasonal pattern is driven by two factors. Most prominent is the impact of the mid-year FTB supplement payments. The smaller end</w:t>
      </w:r>
      <w:r w:rsidR="00D60D50">
        <w:rPr>
          <w:szCs w:val="19"/>
        </w:rPr>
        <w:t>-</w:t>
      </w:r>
      <w:r w:rsidR="005E1FE0" w:rsidRPr="00DF38B2">
        <w:rPr>
          <w:szCs w:val="19"/>
        </w:rPr>
        <w:t>of</w:t>
      </w:r>
      <w:r w:rsidR="00D60D50">
        <w:rPr>
          <w:szCs w:val="19"/>
        </w:rPr>
        <w:t>-</w:t>
      </w:r>
      <w:r w:rsidR="005E1FE0" w:rsidRPr="00DF38B2">
        <w:rPr>
          <w:szCs w:val="19"/>
        </w:rPr>
        <w:t>year peak is associated with Christmas spending.</w:t>
      </w:r>
    </w:p>
    <w:p w:rsidR="005E1FE0" w:rsidRPr="00DF38B2" w:rsidRDefault="005E1FE0" w:rsidP="006654AE">
      <w:pPr>
        <w:pStyle w:val="Heading3"/>
      </w:pPr>
      <w:bookmarkStart w:id="340" w:name="_Toc403739047"/>
      <w:r w:rsidRPr="00DF38B2">
        <w:t>Where BasicsCards are used</w:t>
      </w:r>
      <w:bookmarkEnd w:id="340"/>
    </w:p>
    <w:p w:rsidR="005E1FE0" w:rsidRPr="00DF38B2" w:rsidRDefault="005E1FE0" w:rsidP="006654AE">
      <w:r w:rsidRPr="00DF38B2">
        <w:t>In the Northern Territory there are 8</w:t>
      </w:r>
      <w:r w:rsidR="00B4703E">
        <w:t>38</w:t>
      </w:r>
      <w:r w:rsidRPr="00DF38B2">
        <w:t xml:space="preserve"> merchants approved for BasicsCard, with a further</w:t>
      </w:r>
      <w:r w:rsidR="00B4703E">
        <w:t xml:space="preserve"> 9,252</w:t>
      </w:r>
      <w:r w:rsidRPr="00DF38B2">
        <w:t xml:space="preserve"> across the rest of Australia. The composition of sales by broad type of store groups over time is shown in </w:t>
      </w:r>
      <w:r w:rsidRPr="00DF38B2">
        <w:fldChar w:fldCharType="begin"/>
      </w:r>
      <w:r w:rsidRPr="00DF38B2">
        <w:instrText xml:space="preserve"> REF _Ref391476982 \h </w:instrText>
      </w:r>
      <w:r w:rsidRPr="00DF38B2">
        <w:fldChar w:fldCharType="separate"/>
      </w:r>
      <w:r w:rsidR="00906D13" w:rsidRPr="00DF38B2">
        <w:t xml:space="preserve">Figure </w:t>
      </w:r>
      <w:r w:rsidR="00906D13">
        <w:rPr>
          <w:noProof/>
        </w:rPr>
        <w:t>6</w:t>
      </w:r>
      <w:r w:rsidR="00906D13" w:rsidRPr="00DF38B2">
        <w:noBreakHyphen/>
      </w:r>
      <w:r w:rsidR="00906D13">
        <w:rPr>
          <w:noProof/>
        </w:rPr>
        <w:t>5</w:t>
      </w:r>
      <w:r w:rsidRPr="00DF38B2">
        <w:fldChar w:fldCharType="end"/>
      </w:r>
      <w:r w:rsidRPr="00DF38B2">
        <w:t>. As can be seen in the figure, no particular sector dominates sales, although several trends are apparent. The key trends are:</w:t>
      </w:r>
    </w:p>
    <w:p w:rsidR="005E1FE0" w:rsidRPr="00DF38B2" w:rsidRDefault="005E1FE0" w:rsidP="006654AE">
      <w:pPr>
        <w:pStyle w:val="dot"/>
      </w:pPr>
      <w:r w:rsidRPr="00FE502F">
        <w:t xml:space="preserve">The share </w:t>
      </w:r>
      <w:r w:rsidRPr="009655C3">
        <w:t>of sales at community owned stores has declined. This is the case for both the two major chains of these stores (ALPA and Outback</w:t>
      </w:r>
      <w:r w:rsidRPr="00DF38B2">
        <w:rPr>
          <w:rStyle w:val="FootnoteReference"/>
        </w:rPr>
        <w:footnoteReference w:id="91"/>
      </w:r>
      <w:r w:rsidRPr="00DF38B2">
        <w:t>), and for unaffiliated community owned stores</w:t>
      </w:r>
      <w:r w:rsidR="00D60D50">
        <w:t>.</w:t>
      </w:r>
      <w:r w:rsidRPr="00DF38B2">
        <w:rPr>
          <w:rStyle w:val="FootnoteReference"/>
        </w:rPr>
        <w:footnoteReference w:id="92"/>
      </w:r>
      <w:r w:rsidRPr="00DF38B2">
        <w:t xml:space="preserve"> The share of sales by these stores has declined from as high as 30.5 per cent </w:t>
      </w:r>
      <w:r w:rsidR="005834D0">
        <w:t xml:space="preserve">for the two chains </w:t>
      </w:r>
      <w:r w:rsidRPr="00DF38B2">
        <w:t xml:space="preserve">and 23.1 per cent </w:t>
      </w:r>
      <w:r w:rsidR="005834D0">
        <w:t>for the independent community stores</w:t>
      </w:r>
      <w:r w:rsidRPr="00DF38B2">
        <w:t xml:space="preserve"> in June 2010 to 22.2 per cent and 18.2 per cent </w:t>
      </w:r>
      <w:r w:rsidR="005834D0">
        <w:t xml:space="preserve">respectively </w:t>
      </w:r>
      <w:r w:rsidRPr="00DF38B2">
        <w:t>in December 2013. While the proportion of sales taking place at these stores shows a mid-year dip, this is a relative, rather than absolute impact and in fact these stores see their sales increase dramatically at this point each year. It is also probable that these stores</w:t>
      </w:r>
      <w:r w:rsidR="00D60D50">
        <w:t>’</w:t>
      </w:r>
      <w:r w:rsidRPr="00DF38B2">
        <w:t xml:space="preserve"> sales are affected by seasonal patterns</w:t>
      </w:r>
      <w:r w:rsidR="00D60D50">
        <w:t>,</w:t>
      </w:r>
      <w:r w:rsidRPr="00DF38B2">
        <w:t xml:space="preserve"> with the community members becoming more mobile </w:t>
      </w:r>
      <w:r w:rsidR="00D60D50">
        <w:t>during</w:t>
      </w:r>
      <w:r w:rsidRPr="00DF38B2">
        <w:t xml:space="preserve"> the dry</w:t>
      </w:r>
      <w:r w:rsidR="00D60D50">
        <w:t xml:space="preserve"> season</w:t>
      </w:r>
      <w:r w:rsidRPr="00DF38B2">
        <w:t>.</w:t>
      </w:r>
    </w:p>
    <w:p w:rsidR="005E1FE0" w:rsidRDefault="005E1FE0" w:rsidP="006654AE">
      <w:pPr>
        <w:pStyle w:val="aligntodot"/>
      </w:pPr>
      <w:r w:rsidRPr="00DF38B2">
        <w:t xml:space="preserve">The initial factor </w:t>
      </w:r>
      <w:r w:rsidR="00D60D50">
        <w:t>that</w:t>
      </w:r>
      <w:r w:rsidRPr="00DF38B2">
        <w:t xml:space="preserve"> drove this decline was the introduction of New Income Management and the increasing number of people subject to income management who live in urban locations not serviced by these stores.</w:t>
      </w:r>
    </w:p>
    <w:p w:rsidR="00B4703E" w:rsidRPr="00DF38B2" w:rsidRDefault="00B4703E" w:rsidP="006654AE">
      <w:pPr>
        <w:pStyle w:val="dot"/>
      </w:pPr>
      <w:r w:rsidRPr="00DF38B2">
        <w:t xml:space="preserve">The share of sales at the ‘Big 2’ retail groups – Coles/Wesfarmers and Woolworths – has increased over time. Initially there was a steep jump from 12.6 per cent in June 2010 to 20.3 per cent in February 2011 with the </w:t>
      </w:r>
      <w:r>
        <w:t>rollout</w:t>
      </w:r>
      <w:r w:rsidRPr="00DF38B2">
        <w:t xml:space="preserve"> of New Income Management, but since then the proportion has fluctuated at or above this point, peaking at 23.0 per cent in December 2013.</w:t>
      </w:r>
    </w:p>
    <w:p w:rsidR="00B4703E" w:rsidRPr="00DF38B2" w:rsidRDefault="00B4703E" w:rsidP="006654AE">
      <w:pPr>
        <w:pStyle w:val="dot"/>
      </w:pPr>
      <w:r w:rsidRPr="00DF38B2">
        <w:t xml:space="preserve">The most volatile sector is </w:t>
      </w:r>
      <w:r>
        <w:t>“</w:t>
      </w:r>
      <w:r w:rsidRPr="00DF38B2">
        <w:t>Other</w:t>
      </w:r>
      <w:r>
        <w:t>”</w:t>
      </w:r>
      <w:r w:rsidRPr="00DF38B2">
        <w:t>, picking up a disproportionate share of mid-year sales</w:t>
      </w:r>
      <w:r>
        <w:t xml:space="preserve"> </w:t>
      </w:r>
      <w:r w:rsidRPr="003F64AA">
        <w:t>which reflect the impact of FTB supplement payments paid after the end of the financial year</w:t>
      </w:r>
      <w:r w:rsidRPr="00DF38B2">
        <w:t>. More detailed analysis of this sector indicates that a major share of this movement is associated with clothing purchases. The share of purchases occur</w:t>
      </w:r>
      <w:r>
        <w:t>ring</w:t>
      </w:r>
      <w:r w:rsidRPr="00DF38B2">
        <w:t xml:space="preserve"> at clothing and footwear stores </w:t>
      </w:r>
      <w:r>
        <w:t>that</w:t>
      </w:r>
      <w:r w:rsidRPr="00DF38B2">
        <w:t xml:space="preserve"> are one of the types of stores in this classification increases from some 3 to 3.5 per cent to levels of 6.0 to 6.8 per cent in July each year. Department and similar stores also show an increase in</w:t>
      </w:r>
      <w:r w:rsidR="00F63BB0">
        <w:t xml:space="preserve"> the share of sales of some one-</w:t>
      </w:r>
      <w:r>
        <w:t>and-a-half</w:t>
      </w:r>
      <w:r w:rsidRPr="00DF38B2">
        <w:t xml:space="preserve"> percentage points at these seasonal points. There are also some more minor increases in the proportion of sales at </w:t>
      </w:r>
      <w:r>
        <w:t>“</w:t>
      </w:r>
      <w:r w:rsidRPr="00DF38B2">
        <w:t>Other transport” outlets and those which are coded as miscellaneous.</w:t>
      </w:r>
    </w:p>
    <w:p w:rsidR="00B4703E" w:rsidRPr="00DF38B2" w:rsidRDefault="00B4703E" w:rsidP="006654AE">
      <w:pPr>
        <w:pStyle w:val="dot"/>
      </w:pPr>
      <w:r w:rsidRPr="00DF38B2">
        <w:t xml:space="preserve">Over time there has also been an increase in the value of sales at service stations. This has increased steadily from just </w:t>
      </w:r>
      <w:proofErr w:type="gramStart"/>
      <w:r w:rsidRPr="00DF38B2">
        <w:t>under</w:t>
      </w:r>
      <w:proofErr w:type="gramEnd"/>
      <w:r w:rsidRPr="00DF38B2">
        <w:t xml:space="preserve"> five per cent to around seven per cent. No further information is available on the composition of these sales</w:t>
      </w:r>
      <w:r>
        <w:t>,</w:t>
      </w:r>
      <w:r w:rsidRPr="00DF38B2">
        <w:t xml:space="preserve"> and it should be noted that the range of items sold at these outlets can go well beyond fuel and other automotive products</w:t>
      </w:r>
      <w:r>
        <w:t>.</w:t>
      </w:r>
      <w:r w:rsidRPr="00DF38B2">
        <w:rPr>
          <w:rStyle w:val="FootnoteReference"/>
        </w:rPr>
        <w:footnoteReference w:id="93"/>
      </w:r>
    </w:p>
    <w:p w:rsidR="005E1FE0" w:rsidRDefault="005E1FE0" w:rsidP="006654AE">
      <w:pPr>
        <w:pStyle w:val="Caption"/>
        <w:keepLines/>
        <w:ind w:left="1439" w:hanging="1155"/>
      </w:pPr>
      <w:bookmarkStart w:id="341" w:name="_Ref391476982"/>
      <w:bookmarkStart w:id="342" w:name="_Toc40373954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341"/>
      <w:r w:rsidRPr="00DF38B2">
        <w:tab/>
        <w:t>Composition of value of BasicsCard sales to persons on income management in the Northern Territory by broad classification of stores, sales by month, June 2010 to December 2013</w:t>
      </w:r>
      <w:bookmarkEnd w:id="342"/>
      <w:r w:rsidRPr="00DF38B2">
        <w:t xml:space="preserve"> </w:t>
      </w:r>
    </w:p>
    <w:p w:rsidR="00F63BB0" w:rsidRPr="00F63BB0" w:rsidRDefault="00F63BB0" w:rsidP="006654AE">
      <w:pPr>
        <w:jc w:val="center"/>
      </w:pPr>
      <w:r w:rsidRPr="00F63BB0">
        <w:rPr>
          <w:noProof/>
        </w:rPr>
        <w:drawing>
          <wp:inline distT="0" distB="0" distL="0" distR="0" wp14:anchorId="405D01CB" wp14:editId="4B1AAF3F">
            <wp:extent cx="4572000" cy="2738755"/>
            <wp:effectExtent l="0" t="0" r="0" b="4445"/>
            <wp:docPr id="151" name="Picture 151" descr="This line chart presents composition of BasicsCard sales as a proportion of all BasicsCard transactions at different types of stores (vertical axis) over time (horizontal  axis) from June 2010 to December 2013. The 6 different stores presented are   Community chain stores; Other community stores; the &quot;Big 2&quot; retail outlets including associated fuel outlets; Other Grocery outlets; Other Service Stations &amp; automotive; and Other.&#10;The trends, relative shares and seasonal patterns are discussed in detail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72000" cy="2738755"/>
                    </a:xfrm>
                    <a:prstGeom prst="rect">
                      <a:avLst/>
                    </a:prstGeom>
                    <a:noFill/>
                    <a:ln>
                      <a:noFill/>
                    </a:ln>
                  </pic:spPr>
                </pic:pic>
              </a:graphicData>
            </a:graphic>
          </wp:inline>
        </w:drawing>
      </w:r>
    </w:p>
    <w:p w:rsidR="005E1FE0" w:rsidRPr="00DF38B2" w:rsidRDefault="00A8053C" w:rsidP="006654AE">
      <w:pPr>
        <w:pStyle w:val="tablenotes"/>
        <w:ind w:left="1437" w:hanging="870"/>
      </w:pPr>
      <w:r w:rsidRPr="00DF38B2">
        <w:t>Notes:</w:t>
      </w:r>
      <w:r w:rsidRPr="00DF38B2">
        <w:tab/>
        <w:t>Comm</w:t>
      </w:r>
      <w:r>
        <w:t>.</w:t>
      </w:r>
      <w:r w:rsidRPr="00DF38B2">
        <w:t xml:space="preserve"> chain – community chain (ALPA and Outback); </w:t>
      </w:r>
      <w:r>
        <w:t>‘</w:t>
      </w:r>
      <w:r w:rsidRPr="00DF38B2">
        <w:t>Big 2</w:t>
      </w:r>
      <w:r>
        <w:t>’</w:t>
      </w:r>
      <w:r w:rsidRPr="00DF38B2">
        <w:t xml:space="preserve"> all -</w:t>
      </w:r>
      <w:r>
        <w:t xml:space="preserve"> </w:t>
      </w:r>
      <w:r w:rsidRPr="00DF38B2">
        <w:t>Coles/Wesfarmers and Woolworths including affiliated service stations; other Grocery – “Independent chains” and independent grocery retailer; Other SS &amp; auto – other service stations and other automotive services (</w:t>
      </w:r>
      <w:r>
        <w:t xml:space="preserve">e.g., </w:t>
      </w:r>
      <w:r w:rsidRPr="00DF38B2">
        <w:t>mechanics)</w:t>
      </w:r>
      <w:r>
        <w:t>.</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5E1FE0" w:rsidRPr="00DF38B2" w:rsidRDefault="00931DFC" w:rsidP="006654AE">
      <w:r>
        <w:t>T</w:t>
      </w:r>
      <w:r w:rsidR="005E1FE0" w:rsidRPr="00DF38B2">
        <w:t xml:space="preserve">he composition of sales on BasicsCard varies distinctly by location. </w:t>
      </w:r>
      <w:r w:rsidR="005E1FE0" w:rsidRPr="00DF38B2">
        <w:fldChar w:fldCharType="begin"/>
      </w:r>
      <w:r w:rsidR="005E1FE0" w:rsidRPr="00DF38B2">
        <w:instrText xml:space="preserve"> REF _Ref391481501 \h </w:instrText>
      </w:r>
      <w:r w:rsidR="005E1FE0" w:rsidRPr="00DF38B2">
        <w:fldChar w:fldCharType="separate"/>
      </w:r>
      <w:r w:rsidR="00906D13" w:rsidRPr="00DF38B2">
        <w:t xml:space="preserve">Table </w:t>
      </w:r>
      <w:r w:rsidR="00906D13">
        <w:rPr>
          <w:noProof/>
        </w:rPr>
        <w:t>6</w:t>
      </w:r>
      <w:r w:rsidR="00906D13">
        <w:noBreakHyphen/>
      </w:r>
      <w:r w:rsidR="00906D13">
        <w:rPr>
          <w:noProof/>
        </w:rPr>
        <w:t>7</w:t>
      </w:r>
      <w:r w:rsidR="005E1FE0" w:rsidRPr="00DF38B2">
        <w:fldChar w:fldCharType="end"/>
      </w:r>
      <w:r w:rsidR="005E1FE0" w:rsidRPr="00DF38B2">
        <w:t xml:space="preserve"> shows the composition of sales by a more detailed breakdown by store type </w:t>
      </w:r>
      <w:r w:rsidR="00A75910">
        <w:t xml:space="preserve">and </w:t>
      </w:r>
      <w:r w:rsidR="005E1FE0" w:rsidRPr="00DF38B2">
        <w:t xml:space="preserve">by location. In this table the </w:t>
      </w:r>
      <w:r w:rsidR="005E1FE0" w:rsidRPr="00FE502F">
        <w:t>location is a person</w:t>
      </w:r>
      <w:r w:rsidR="00A75910">
        <w:t>-</w:t>
      </w:r>
      <w:r w:rsidR="005E1FE0" w:rsidRPr="00FE502F">
        <w:t xml:space="preserve">based indicator and is </w:t>
      </w:r>
      <w:r w:rsidR="00EA7AE6" w:rsidRPr="009655C3">
        <w:t>derived from</w:t>
      </w:r>
      <w:r w:rsidR="005E1FE0" w:rsidRPr="009655C3">
        <w:t xml:space="preserve"> the last</w:t>
      </w:r>
      <w:r w:rsidR="005E1FE0" w:rsidRPr="00DF38B2">
        <w:t xml:space="preserve"> residential location recorded for the person in the administrative data used in the evaluation. The regions are the same as used in Chapter 4. Because of this person</w:t>
      </w:r>
      <w:r w:rsidR="00625E6B">
        <w:t>-</w:t>
      </w:r>
      <w:r w:rsidR="005E1FE0" w:rsidRPr="00DF38B2">
        <w:t>based approach the location does not necessarily reflect where the store is located or where the transaction actually occurred. A</w:t>
      </w:r>
      <w:r>
        <w:t>n illustration</w:t>
      </w:r>
      <w:r w:rsidR="005E1FE0" w:rsidRPr="00DF38B2">
        <w:t xml:space="preserve"> of this is, for example, the recording of sales at the </w:t>
      </w:r>
      <w:r w:rsidR="00FF46E5">
        <w:t>‘Big 2’</w:t>
      </w:r>
      <w:r w:rsidR="005E1FE0" w:rsidRPr="00DF38B2">
        <w:t xml:space="preserve"> retail stores in locations such as the SE Desert region</w:t>
      </w:r>
      <w:r w:rsidR="00625E6B">
        <w:t>,</w:t>
      </w:r>
      <w:r w:rsidR="005E1FE0" w:rsidRPr="00DF38B2">
        <w:t xml:space="preserve"> where neither of these chains has a presence. In this case the data would typically be sales made to people in communities while they are in a location such as Alice Springs. </w:t>
      </w:r>
    </w:p>
    <w:p w:rsidR="005E1FE0" w:rsidRPr="00DF38B2" w:rsidRDefault="005E1FE0" w:rsidP="006654AE">
      <w:r w:rsidRPr="00DF38B2">
        <w:t xml:space="preserve">Sales in the </w:t>
      </w:r>
      <w:r w:rsidR="00D95B12">
        <w:t>Greater Darwin</w:t>
      </w:r>
      <w:r w:rsidRPr="00DF38B2">
        <w:t xml:space="preserve"> region are dominated by the </w:t>
      </w:r>
      <w:r w:rsidR="00FF46E5">
        <w:t>‘</w:t>
      </w:r>
      <w:r w:rsidR="000C35F4">
        <w:t>Big 2</w:t>
      </w:r>
      <w:r w:rsidR="00FF46E5">
        <w:t>’</w:t>
      </w:r>
      <w:r w:rsidRPr="00DF38B2">
        <w:t xml:space="preserve"> retail/supermarket chains</w:t>
      </w:r>
      <w:r w:rsidR="00625E6B">
        <w:t>,</w:t>
      </w:r>
      <w:r w:rsidRPr="00DF38B2">
        <w:t xml:space="preserve"> with 53.4 per cent of sales. Within the region sales at these stores rise as high as </w:t>
      </w:r>
      <w:r w:rsidR="005834D0">
        <w:t>56.4</w:t>
      </w:r>
      <w:r w:rsidRPr="00DF38B2">
        <w:t xml:space="preserve"> per cent for people in Palmerston and </w:t>
      </w:r>
      <w:r w:rsidR="005834D0">
        <w:t>54.7</w:t>
      </w:r>
      <w:r w:rsidRPr="00DF38B2">
        <w:t> per cent in Litchfield. Besides this</w:t>
      </w:r>
      <w:r w:rsidR="00625E6B">
        <w:t>,</w:t>
      </w:r>
      <w:r w:rsidRPr="00DF38B2">
        <w:t xml:space="preserve"> </w:t>
      </w:r>
      <w:r w:rsidR="00EA7AE6" w:rsidRPr="00DF38B2">
        <w:t xml:space="preserve">in the Darwin region </w:t>
      </w:r>
      <w:r w:rsidRPr="00DF38B2">
        <w:t xml:space="preserve">there are disproportionate sales at service stations and automotive outlets. There is also a higher than average use of taxis, with this rising in some specific locations – in </w:t>
      </w:r>
      <w:r w:rsidR="005834D0">
        <w:t>Darwin city</w:t>
      </w:r>
      <w:r w:rsidR="005834D0" w:rsidRPr="00DF38B2">
        <w:t xml:space="preserve"> </w:t>
      </w:r>
      <w:r w:rsidRPr="00DF38B2">
        <w:t xml:space="preserve">for example </w:t>
      </w:r>
      <w:r w:rsidR="005834D0">
        <w:t>12.0</w:t>
      </w:r>
      <w:r w:rsidRPr="00DF38B2">
        <w:t> per cent of the value of BasicsCard spending is on taxis</w:t>
      </w:r>
      <w:r w:rsidR="00625E6B">
        <w:t>,</w:t>
      </w:r>
      <w:r w:rsidR="005834D0">
        <w:t xml:space="preserve"> and in Berrimah 8.8 per cent</w:t>
      </w:r>
      <w:r w:rsidRPr="00DF38B2">
        <w:t>.</w:t>
      </w:r>
    </w:p>
    <w:p w:rsidR="005E1FE0" w:rsidRPr="00DF38B2" w:rsidRDefault="005E1FE0" w:rsidP="006654AE">
      <w:r w:rsidRPr="00DF38B2">
        <w:t xml:space="preserve">While the </w:t>
      </w:r>
      <w:r w:rsidR="00FF46E5">
        <w:t>‘Big 2’</w:t>
      </w:r>
      <w:r w:rsidRPr="00DF38B2">
        <w:t xml:space="preserve"> chains also have a high share of sales in Alice Springs</w:t>
      </w:r>
      <w:r w:rsidR="00625E6B">
        <w:t>,</w:t>
      </w:r>
      <w:r w:rsidRPr="00DF38B2">
        <w:t xml:space="preserve"> a significant proportion is also taken by the independent chains (e.g., IGA, Foodland, Drakes). Alice Springs also has </w:t>
      </w:r>
      <w:r w:rsidR="00625E6B">
        <w:t>a</w:t>
      </w:r>
      <w:r w:rsidRPr="00DF38B2">
        <w:t xml:space="preserve"> high expenditure on taxis.</w:t>
      </w:r>
    </w:p>
    <w:p w:rsidR="005E1FE0" w:rsidRPr="00DF38B2" w:rsidRDefault="005E1FE0" w:rsidP="006654AE">
      <w:r w:rsidRPr="00DF38B2">
        <w:t xml:space="preserve">Sales in other locations are </w:t>
      </w:r>
      <w:r w:rsidR="00625E6B">
        <w:t>particularly</w:t>
      </w:r>
      <w:r w:rsidRPr="00DF38B2">
        <w:t xml:space="preserve"> influenced by the geography of retail outlets. In the East Arnhem and Top and West Arnhem regions sales are dominated by various remote community stores. This is also the case in Katherine and the Mid-West and South</w:t>
      </w:r>
      <w:r w:rsidR="00453B89">
        <w:t>-</w:t>
      </w:r>
      <w:r w:rsidRPr="00DF38B2">
        <w:t xml:space="preserve">East Desert regions, although in these there is, to varying degrees, some share taken up by the </w:t>
      </w:r>
      <w:r w:rsidR="00FF46E5">
        <w:t>‘Big 2’</w:t>
      </w:r>
      <w:r w:rsidRPr="00DF38B2">
        <w:t xml:space="preserve"> retail/supermarket chains and non-aligned grocery stores.</w:t>
      </w:r>
    </w:p>
    <w:p w:rsidR="005E1FE0" w:rsidRPr="00DF38B2" w:rsidRDefault="005E1FE0" w:rsidP="006654AE">
      <w:r w:rsidRPr="00DF38B2">
        <w:t>The Barkly and Katherine regions provide a more mixed picture, with sales being much more broadly spread across a range of outlets; Barkly has a relatively high proportion of sales occurring at service stations</w:t>
      </w:r>
      <w:r w:rsidR="00453B89">
        <w:t>,</w:t>
      </w:r>
      <w:r w:rsidRPr="00DF38B2">
        <w:t xml:space="preserve"> while Katherine as a region has high levels of spending on taxis</w:t>
      </w:r>
      <w:r w:rsidR="00453B89">
        <w:t>,</w:t>
      </w:r>
      <w:r w:rsidRPr="00DF38B2">
        <w:t xml:space="preserve"> at 3.9 per cent. Within the </w:t>
      </w:r>
      <w:r w:rsidR="005834D0">
        <w:t xml:space="preserve">Statistical Area Level 2 of </w:t>
      </w:r>
      <w:r w:rsidRPr="00DF38B2">
        <w:t xml:space="preserve">Katherine this increases to </w:t>
      </w:r>
      <w:r w:rsidR="005834D0">
        <w:t>8.3</w:t>
      </w:r>
      <w:r w:rsidRPr="00DF38B2">
        <w:t> per cent of all expenditure.</w:t>
      </w:r>
    </w:p>
    <w:p w:rsidR="005E1FE0" w:rsidRPr="00DF38B2" w:rsidRDefault="005E1FE0" w:rsidP="006654AE">
      <w:pPr>
        <w:pStyle w:val="Caption"/>
        <w:ind w:left="1439" w:hanging="1155"/>
      </w:pPr>
      <w:bookmarkStart w:id="343" w:name="_Ref391481501"/>
      <w:bookmarkStart w:id="344" w:name="_Toc403739446"/>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7</w:t>
        </w:r>
      </w:fldSimple>
      <w:bookmarkEnd w:id="343"/>
      <w:r w:rsidRPr="00DF38B2">
        <w:tab/>
        <w:t>Distribution of BasicsCard sales to people on income management in the Northern Territory by type of outlet and region, 2013</w:t>
      </w:r>
      <w:bookmarkEnd w:id="344"/>
    </w:p>
    <w:tbl>
      <w:tblPr>
        <w:tblW w:w="9021" w:type="dxa"/>
        <w:tblInd w:w="-176" w:type="dxa"/>
        <w:tblLook w:val="04A0" w:firstRow="1" w:lastRow="0" w:firstColumn="1" w:lastColumn="0" w:noHBand="0" w:noVBand="1"/>
        <w:tblDescription w:val="This table presents the distribution of BasicsCard sales by 16 types of outlet (which are the rows of the table) for 8 regions along the total of all transactions to people in the Northern Territory in the columns. &#10;The key findings are described in the text.&#10;"/>
      </w:tblPr>
      <w:tblGrid>
        <w:gridCol w:w="2047"/>
        <w:gridCol w:w="588"/>
        <w:gridCol w:w="1000"/>
        <w:gridCol w:w="709"/>
        <w:gridCol w:w="850"/>
        <w:gridCol w:w="851"/>
        <w:gridCol w:w="992"/>
        <w:gridCol w:w="708"/>
        <w:gridCol w:w="709"/>
        <w:gridCol w:w="567"/>
      </w:tblGrid>
      <w:tr w:rsidR="00EA7AE6" w:rsidRPr="00DF38B2" w:rsidTr="00B6641C">
        <w:trPr>
          <w:trHeight w:val="20"/>
          <w:tblHeader/>
        </w:trPr>
        <w:tc>
          <w:tcPr>
            <w:tcW w:w="2047"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B6641C" w:rsidP="00B6641C">
            <w:pPr>
              <w:pStyle w:val="tabletextright"/>
              <w:jc w:val="left"/>
              <w:rPr>
                <w:rFonts w:eastAsia="Times New Roman"/>
              </w:rPr>
            </w:pPr>
            <w:r>
              <w:rPr>
                <w:rFonts w:eastAsia="Times New Roman"/>
              </w:rPr>
              <w:t>Type of outlet</w:t>
            </w:r>
          </w:p>
        </w:tc>
        <w:tc>
          <w:tcPr>
            <w:tcW w:w="588"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Default="005E1FE0" w:rsidP="006654AE">
            <w:pPr>
              <w:pStyle w:val="tabletextright"/>
              <w:rPr>
                <w:rFonts w:eastAsia="Times New Roman"/>
              </w:rPr>
            </w:pPr>
            <w:r w:rsidRPr="00DF38B2">
              <w:rPr>
                <w:rFonts w:eastAsia="Times New Roman"/>
              </w:rPr>
              <w:t>Alice Springs</w:t>
            </w:r>
          </w:p>
          <w:p w:rsidR="00B6641C" w:rsidRPr="00DF38B2" w:rsidRDefault="00B6641C" w:rsidP="006654AE">
            <w:pPr>
              <w:pStyle w:val="tabletextright"/>
              <w:rPr>
                <w:rFonts w:eastAsia="Times New Roman"/>
              </w:rPr>
            </w:pPr>
            <w:r>
              <w:rPr>
                <w:rFonts w:eastAsia="Times New Roman"/>
              </w:rPr>
              <w:t>(%)</w:t>
            </w:r>
          </w:p>
        </w:tc>
        <w:tc>
          <w:tcPr>
            <w:tcW w:w="1000"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Barkly inc</w:t>
            </w:r>
            <w:r w:rsidR="00453B89">
              <w:rPr>
                <w:rFonts w:eastAsia="Times New Roman"/>
              </w:rPr>
              <w:t>l.</w:t>
            </w:r>
            <w:r w:rsidRPr="00DF38B2">
              <w:rPr>
                <w:rFonts w:eastAsia="Times New Roman"/>
              </w:rPr>
              <w:t xml:space="preserve"> Tennant Creek</w:t>
            </w:r>
            <w:r w:rsidR="00B6641C">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East Arnhem</w:t>
            </w:r>
            <w:r w:rsidR="00B6641C">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Greater Darwin</w:t>
            </w:r>
            <w:r w:rsidR="00B6641C">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Katherine</w:t>
            </w:r>
            <w:r w:rsidR="00B6641C">
              <w:rPr>
                <w:rFonts w:eastAsia="Times New Roman"/>
              </w:rPr>
              <w:t xml:space="preserve"> (%)</w:t>
            </w:r>
          </w:p>
        </w:tc>
        <w:tc>
          <w:tcPr>
            <w:tcW w:w="992"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B6641C">
            <w:pPr>
              <w:pStyle w:val="tabletextright"/>
              <w:rPr>
                <w:rFonts w:eastAsia="Times New Roman"/>
              </w:rPr>
            </w:pPr>
            <w:r w:rsidRPr="00DF38B2">
              <w:rPr>
                <w:rFonts w:eastAsia="Times New Roman"/>
              </w:rPr>
              <w:t>Mid-West Desert</w:t>
            </w:r>
            <w:r w:rsidR="00B6641C">
              <w:rPr>
                <w:rFonts w:eastAsia="Times New Roman"/>
              </w:rPr>
              <w:t xml:space="preserve"> (%)</w:t>
            </w:r>
          </w:p>
        </w:tc>
        <w:tc>
          <w:tcPr>
            <w:tcW w:w="708"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SE Desert</w:t>
            </w:r>
            <w:r w:rsidR="00B6641C">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Top &amp; W Arnhem</w:t>
            </w:r>
            <w:r w:rsidR="00B6641C">
              <w:rPr>
                <w:rFonts w:eastAsia="Times New Roman"/>
              </w:rPr>
              <w:t xml:space="preserve"> (%)</w:t>
            </w:r>
          </w:p>
        </w:tc>
        <w:tc>
          <w:tcPr>
            <w:tcW w:w="567"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B6641C" w:rsidP="00B6641C">
            <w:pPr>
              <w:pStyle w:val="tabletextright"/>
              <w:rPr>
                <w:rFonts w:eastAsia="Times New Roman"/>
              </w:rPr>
            </w:pPr>
            <w:r>
              <w:rPr>
                <w:rFonts w:eastAsia="Times New Roman"/>
              </w:rPr>
              <w:t>Total (%)</w:t>
            </w:r>
          </w:p>
        </w:tc>
      </w:tr>
      <w:tr w:rsidR="00A14F87" w:rsidRPr="00DF38B2" w:rsidTr="00B6641C">
        <w:trPr>
          <w:trHeight w:val="20"/>
        </w:trPr>
        <w:tc>
          <w:tcPr>
            <w:tcW w:w="2047" w:type="dxa"/>
            <w:tcBorders>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Community store ‘chains’</w:t>
            </w:r>
          </w:p>
        </w:tc>
        <w:tc>
          <w:tcPr>
            <w:tcW w:w="588"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w:t>
            </w:r>
          </w:p>
        </w:tc>
        <w:tc>
          <w:tcPr>
            <w:tcW w:w="1000"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25.1</w:t>
            </w:r>
          </w:p>
        </w:tc>
        <w:tc>
          <w:tcPr>
            <w:tcW w:w="709"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53.5</w:t>
            </w:r>
          </w:p>
        </w:tc>
        <w:tc>
          <w:tcPr>
            <w:tcW w:w="850"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2.1</w:t>
            </w:r>
          </w:p>
        </w:tc>
        <w:tc>
          <w:tcPr>
            <w:tcW w:w="851"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35.4</w:t>
            </w:r>
          </w:p>
        </w:tc>
        <w:tc>
          <w:tcPr>
            <w:tcW w:w="992"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16.9</w:t>
            </w:r>
          </w:p>
        </w:tc>
        <w:tc>
          <w:tcPr>
            <w:tcW w:w="708"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12.9</w:t>
            </w:r>
          </w:p>
        </w:tc>
        <w:tc>
          <w:tcPr>
            <w:tcW w:w="709"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18.7</w:t>
            </w:r>
          </w:p>
        </w:tc>
        <w:tc>
          <w:tcPr>
            <w:tcW w:w="567"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23.0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community stores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5.0</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8.2</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29.2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30.7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50.4</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19.2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w:t>
            </w:r>
            <w:r w:rsidR="00A14F87" w:rsidRPr="00DF38B2">
              <w:rPr>
                <w:rFonts w:eastAsia="Times New Roman"/>
              </w:rPr>
              <w:t>Big 2</w:t>
            </w:r>
            <w:r>
              <w:rPr>
                <w:rFonts w:eastAsia="Times New Roman"/>
              </w:rPr>
              <w:t>’</w:t>
            </w:r>
            <w:r w:rsidR="00A14F87" w:rsidRPr="00DF38B2">
              <w:rPr>
                <w:rFonts w:eastAsia="Times New Roman"/>
              </w:rPr>
              <w:t xml:space="preserve"> retail</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38.6</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7.9</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53.4</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15.1</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12.8</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6.8</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19.0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Main independents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12.2</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0.9</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4.6</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2.7</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grocery related</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12.8</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24.4</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9.9</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17.9</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13.8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Specialist food</w:t>
            </w:r>
            <w:r w:rsidR="00C132CB">
              <w:rPr>
                <w:rFonts w:eastAsia="Times New Roman"/>
              </w:rPr>
              <w:t>,</w:t>
            </w:r>
            <w:r w:rsidRPr="00DF38B2">
              <w:rPr>
                <w:rFonts w:eastAsia="Times New Roman"/>
              </w:rPr>
              <w:t xml:space="preserve"> etc</w:t>
            </w:r>
            <w:r w:rsidR="00C132CB">
              <w:rPr>
                <w:rFonts w:eastAsia="Times New Roman"/>
              </w:rPr>
              <w: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0.7</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w:t>
            </w:r>
            <w:r w:rsidR="00C132CB">
              <w:rPr>
                <w:rFonts w:eastAsia="Times New Roman"/>
              </w:rPr>
              <w:t>er</w:t>
            </w:r>
            <w:r w:rsidRPr="00DF38B2">
              <w:rPr>
                <w:rFonts w:eastAsia="Times New Roman"/>
              </w:rPr>
              <w:t xml:space="preserve"> dep</w:t>
            </w:r>
            <w:r w:rsidR="00C132CB">
              <w:rPr>
                <w:rFonts w:eastAsia="Times New Roman"/>
              </w:rPr>
              <w:t>ar</w:t>
            </w:r>
            <w:r w:rsidRPr="00DF38B2">
              <w:rPr>
                <w:rFonts w:eastAsia="Times New Roman"/>
              </w:rPr>
              <w:t>t</w:t>
            </w:r>
            <w:r w:rsidR="00C132CB">
              <w:rPr>
                <w:rFonts w:eastAsia="Times New Roman"/>
              </w:rPr>
              <w:t>ment store</w:t>
            </w:r>
            <w:r w:rsidRPr="00DF38B2">
              <w:rPr>
                <w:rFonts w:eastAsia="Times New Roman"/>
              </w:rPr>
              <w:t xml:space="preserve"> &amp; related</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3.7</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2.6</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Clothing/Footwear</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4.8</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3.4</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2.8</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3.8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Charity stores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0.3</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Misc</w:t>
            </w:r>
            <w:r w:rsidR="00C132CB">
              <w:rPr>
                <w:rFonts w:eastAsia="Times New Roman"/>
              </w:rPr>
              <w:t>ellaneous</w:t>
            </w:r>
            <w:r w:rsidRPr="00DF38B2">
              <w:rPr>
                <w:rFonts w:eastAsia="Times New Roman"/>
              </w:rPr>
              <w: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0.9</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w:t>
            </w:r>
            <w:r w:rsidR="00A14F87" w:rsidRPr="00DF38B2">
              <w:rPr>
                <w:rFonts w:eastAsia="Times New Roman"/>
              </w:rPr>
              <w:t>Big 2</w:t>
            </w:r>
            <w:r>
              <w:rPr>
                <w:rFonts w:eastAsia="Times New Roman"/>
              </w:rPr>
              <w:t>’</w:t>
            </w:r>
            <w:r w:rsidR="00A14F87" w:rsidRPr="00DF38B2">
              <w:rPr>
                <w:rFonts w:eastAsia="Times New Roman"/>
              </w:rPr>
              <w:t xml:space="preserve"> S</w:t>
            </w:r>
            <w:r w:rsidR="001C5610">
              <w:rPr>
                <w:rFonts w:eastAsia="Times New Roman"/>
              </w:rPr>
              <w:t xml:space="preserve">ervice </w:t>
            </w:r>
            <w:r w:rsidR="00A14F87" w:rsidRPr="00DF38B2">
              <w:rPr>
                <w:rFonts w:eastAsia="Times New Roman"/>
              </w:rPr>
              <w:t>S</w:t>
            </w:r>
            <w:r w:rsidR="001C5610">
              <w:rPr>
                <w:rFonts w:eastAsia="Times New Roman"/>
              </w:rPr>
              <w:t>tation</w:t>
            </w:r>
            <w:r>
              <w:rPr>
                <w:rFonts w:eastAsia="Times New Roman"/>
              </w:rPr>
              <w:t>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5.8</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S</w:t>
            </w:r>
            <w:r w:rsidR="00C132CB">
              <w:rPr>
                <w:rFonts w:eastAsia="Times New Roman"/>
              </w:rPr>
              <w:t xml:space="preserve">ervice </w:t>
            </w:r>
            <w:r w:rsidRPr="00DF38B2">
              <w:rPr>
                <w:rFonts w:eastAsia="Times New Roman"/>
              </w:rPr>
              <w:t>S</w:t>
            </w:r>
            <w:r w:rsidR="00C132CB">
              <w:rPr>
                <w:rFonts w:eastAsia="Times New Roman"/>
              </w:rPr>
              <w:t>tations</w:t>
            </w:r>
            <w:r w:rsidRPr="00DF38B2">
              <w:rPr>
                <w:rFonts w:eastAsia="Times New Roman"/>
              </w:rPr>
              <w:t xml:space="preserve"> &amp; Automotive</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8.2</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7.6</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4.7</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6.8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Taxis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3.5</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3.9</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1.9</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3.0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transport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2.0</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Chemist/Health</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0.5</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Accommodation</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0.3</w:t>
            </w:r>
          </w:p>
        </w:tc>
      </w:tr>
      <w:tr w:rsidR="00EA7AE6" w:rsidRPr="00DF38B2" w:rsidTr="00B6641C">
        <w:trPr>
          <w:trHeight w:val="20"/>
        </w:trPr>
        <w:tc>
          <w:tcPr>
            <w:tcW w:w="2047"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jc w:val="left"/>
              <w:rPr>
                <w:rFonts w:eastAsia="Times New Roman"/>
              </w:rPr>
            </w:pPr>
          </w:p>
        </w:tc>
        <w:tc>
          <w:tcPr>
            <w:tcW w:w="588"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000"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9"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850"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851"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992"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8"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9"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567"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r>
      <w:tr w:rsidR="00EA7AE6" w:rsidRPr="00DF38B2" w:rsidTr="00B6641C">
        <w:trPr>
          <w:trHeight w:val="20"/>
        </w:trPr>
        <w:tc>
          <w:tcPr>
            <w:tcW w:w="2047"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jc w:val="left"/>
              <w:rPr>
                <w:rFonts w:eastAsia="Times New Roman"/>
              </w:rPr>
            </w:pPr>
            <w:r w:rsidRPr="00DF38B2">
              <w:rPr>
                <w:rFonts w:eastAsia="Times New Roman"/>
              </w:rPr>
              <w:t>Total</w:t>
            </w:r>
          </w:p>
        </w:tc>
        <w:tc>
          <w:tcPr>
            <w:tcW w:w="588"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000"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850"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851"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92"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8"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567"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ind w:left="1437" w:hanging="870"/>
      </w:pPr>
    </w:p>
    <w:p w:rsidR="00B6641C" w:rsidRDefault="005E1FE0" w:rsidP="006654AE">
      <w:pPr>
        <w:pStyle w:val="tablenotes"/>
        <w:ind w:left="1437" w:hanging="870"/>
      </w:pPr>
      <w:r w:rsidRPr="00DF38B2">
        <w:t xml:space="preserve">Note: </w:t>
      </w:r>
      <w:r w:rsidRPr="00DF38B2">
        <w:tab/>
      </w:r>
      <w:r w:rsidR="00B6641C" w:rsidRPr="00DF38B2">
        <w:rPr>
          <w:rFonts w:eastAsia="Times New Roman"/>
        </w:rPr>
        <w:t>Region (last geographic region identified for person)</w:t>
      </w:r>
    </w:p>
    <w:p w:rsidR="005E1FE0" w:rsidRPr="00DF38B2" w:rsidRDefault="005E1FE0" w:rsidP="00B6641C">
      <w:pPr>
        <w:pStyle w:val="tablenotes"/>
        <w:ind w:left="1437"/>
      </w:pPr>
      <w:r w:rsidRPr="00DF38B2">
        <w:t>Aggregate 2013 BasicsCard sales</w:t>
      </w:r>
      <w:r w:rsidR="007464DD">
        <w:t xml:space="preserve"> ($</w:t>
      </w:r>
      <w:r w:rsidR="00966BA8">
        <w:t>169.0 million</w:t>
      </w:r>
      <w:r w:rsidR="007464DD">
        <w:t>)</w:t>
      </w:r>
      <w:r w:rsidRPr="00DF38B2">
        <w:t>, location based upon last location for the person in 2013.</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purposes of the evaluation.</w:t>
      </w:r>
    </w:p>
    <w:p w:rsidR="003928BD" w:rsidRPr="00DF38B2" w:rsidRDefault="003928BD" w:rsidP="006654AE">
      <w:pPr>
        <w:pStyle w:val="tablefootnoteslastline"/>
      </w:pPr>
    </w:p>
    <w:p w:rsidR="005E1FE0" w:rsidRPr="00DF38B2" w:rsidRDefault="00931DFC" w:rsidP="006654AE">
      <w:pPr>
        <w:rPr>
          <w:szCs w:val="19"/>
        </w:rPr>
      </w:pPr>
      <w:r w:rsidRPr="00931DFC">
        <w:rPr>
          <w:szCs w:val="19"/>
        </w:rPr>
        <w:t>One question which has been raised about BasicsCard relates to the extent to which it is ‘</w:t>
      </w:r>
      <w:r w:rsidR="00B7352B" w:rsidRPr="00931DFC">
        <w:rPr>
          <w:szCs w:val="19"/>
        </w:rPr>
        <w:t>channelling</w:t>
      </w:r>
      <w:r w:rsidRPr="00931DFC">
        <w:rPr>
          <w:szCs w:val="19"/>
        </w:rPr>
        <w:t>’ people to shop at the major supermarket chains. This was often put in terms of the BasicsCard ‘forcing people to use these major chains’.  The data examined by the evaluation suggests that while the two major chains account for a high proportion of sales in the markets they service, the level of spending identified in the data is not inconsistent with the overall market shares of these stores and hence there is no spec</w:t>
      </w:r>
      <w:r>
        <w:rPr>
          <w:szCs w:val="19"/>
        </w:rPr>
        <w:t>ific BasicsCard impact on this</w:t>
      </w:r>
      <w:proofErr w:type="gramStart"/>
      <w:r>
        <w:rPr>
          <w:szCs w:val="19"/>
        </w:rPr>
        <w:t>.</w:t>
      </w:r>
      <w:r w:rsidR="005E1FE0" w:rsidRPr="00DF38B2">
        <w:rPr>
          <w:szCs w:val="19"/>
        </w:rPr>
        <w:t>.</w:t>
      </w:r>
      <w:proofErr w:type="gramEnd"/>
      <w:r w:rsidR="005E1FE0" w:rsidRPr="00DF38B2">
        <w:rPr>
          <w:rStyle w:val="FootnoteReference"/>
          <w:szCs w:val="19"/>
        </w:rPr>
        <w:footnoteReference w:id="94"/>
      </w:r>
    </w:p>
    <w:p w:rsidR="005E1FE0" w:rsidRPr="009655C3" w:rsidRDefault="005E1FE0" w:rsidP="006654AE">
      <w:pPr>
        <w:rPr>
          <w:szCs w:val="19"/>
        </w:rPr>
      </w:pPr>
      <w:r w:rsidRPr="00FE502F">
        <w:rPr>
          <w:szCs w:val="19"/>
        </w:rPr>
        <w:t xml:space="preserve">A further issue to note in considering the pattern of consumption is the extent to which many people in the Northern Territory have limited access to retail services. More detailed analysis of the BasicsCard spending shows, for example, that in some locations on average </w:t>
      </w:r>
      <w:r w:rsidRPr="009655C3">
        <w:rPr>
          <w:szCs w:val="19"/>
        </w:rPr>
        <w:t>over 80 per cent of all the BasicsCard purchases by those persons who have used their card at least once in a month at a particular store, are made at that store.</w:t>
      </w:r>
    </w:p>
    <w:p w:rsidR="005E1FE0" w:rsidRPr="00DF38B2" w:rsidRDefault="005E1FE0" w:rsidP="006654AE">
      <w:pPr>
        <w:rPr>
          <w:szCs w:val="19"/>
        </w:rPr>
      </w:pPr>
      <w:r w:rsidRPr="009655C3">
        <w:rPr>
          <w:szCs w:val="19"/>
        </w:rPr>
        <w:t>The composition of consumption by income</w:t>
      </w:r>
      <w:r w:rsidR="00A04470">
        <w:rPr>
          <w:szCs w:val="19"/>
        </w:rPr>
        <w:t xml:space="preserve"> </w:t>
      </w:r>
      <w:r w:rsidRPr="009655C3">
        <w:rPr>
          <w:szCs w:val="19"/>
        </w:rPr>
        <w:t>managed subgroups (</w:t>
      </w:r>
      <w:r w:rsidRPr="00DF38B2">
        <w:rPr>
          <w:szCs w:val="19"/>
        </w:rPr>
        <w:fldChar w:fldCharType="begin"/>
      </w:r>
      <w:r w:rsidRPr="00DF38B2">
        <w:rPr>
          <w:szCs w:val="19"/>
        </w:rPr>
        <w:instrText xml:space="preserve"> REF _Ref391487524 \h </w:instrText>
      </w:r>
      <w:r w:rsidRPr="00DF38B2">
        <w:rPr>
          <w:szCs w:val="19"/>
        </w:rPr>
      </w:r>
      <w:r w:rsidRPr="00DF38B2">
        <w:rPr>
          <w:szCs w:val="19"/>
        </w:rPr>
        <w:fldChar w:fldCharType="separate"/>
      </w:r>
      <w:r w:rsidR="00906D13" w:rsidRPr="00DF38B2">
        <w:t xml:space="preserve">Table </w:t>
      </w:r>
      <w:r w:rsidR="00906D13">
        <w:rPr>
          <w:noProof/>
        </w:rPr>
        <w:t>6</w:t>
      </w:r>
      <w:r w:rsidR="00906D13">
        <w:noBreakHyphen/>
      </w:r>
      <w:r w:rsidR="00906D13">
        <w:rPr>
          <w:noProof/>
        </w:rPr>
        <w:t>8</w:t>
      </w:r>
      <w:r w:rsidRPr="00DF38B2">
        <w:rPr>
          <w:szCs w:val="19"/>
        </w:rPr>
        <w:fldChar w:fldCharType="end"/>
      </w:r>
      <w:r w:rsidRPr="00DF38B2">
        <w:rPr>
          <w:szCs w:val="19"/>
        </w:rPr>
        <w:t xml:space="preserve">) largely reflects the geographic distributions of the populations. </w:t>
      </w:r>
      <w:r w:rsidR="007464DD">
        <w:rPr>
          <w:szCs w:val="19"/>
        </w:rPr>
        <w:t>Non</w:t>
      </w:r>
      <w:r w:rsidR="00453B89">
        <w:rPr>
          <w:szCs w:val="19"/>
        </w:rPr>
        <w:t>-</w:t>
      </w:r>
      <w:r w:rsidR="007464DD">
        <w:rPr>
          <w:szCs w:val="19"/>
        </w:rPr>
        <w:t xml:space="preserve">Indigenous people on compulsory measures spend 57.3 per cent at the </w:t>
      </w:r>
      <w:r w:rsidR="00C132CB">
        <w:rPr>
          <w:szCs w:val="19"/>
        </w:rPr>
        <w:t>‘</w:t>
      </w:r>
      <w:r w:rsidR="007464DD">
        <w:rPr>
          <w:szCs w:val="19"/>
        </w:rPr>
        <w:t>Big 2</w:t>
      </w:r>
      <w:r w:rsidR="00C132CB">
        <w:rPr>
          <w:szCs w:val="19"/>
        </w:rPr>
        <w:t>’</w:t>
      </w:r>
      <w:r w:rsidR="007464DD">
        <w:rPr>
          <w:szCs w:val="19"/>
        </w:rPr>
        <w:t xml:space="preserve"> </w:t>
      </w:r>
      <w:r w:rsidR="004A746A">
        <w:rPr>
          <w:szCs w:val="19"/>
        </w:rPr>
        <w:t>retail chains</w:t>
      </w:r>
      <w:r w:rsidR="00453B89">
        <w:rPr>
          <w:szCs w:val="19"/>
        </w:rPr>
        <w:t>,</w:t>
      </w:r>
      <w:r w:rsidR="007464DD">
        <w:rPr>
          <w:szCs w:val="19"/>
        </w:rPr>
        <w:t xml:space="preserve"> compared with 16.6 per cent of Indigenous people on compulsory</w:t>
      </w:r>
      <w:r w:rsidR="001544DF">
        <w:rPr>
          <w:szCs w:val="19"/>
        </w:rPr>
        <w:t xml:space="preserve"> income management</w:t>
      </w:r>
      <w:r w:rsidR="007464DD">
        <w:rPr>
          <w:szCs w:val="19"/>
        </w:rPr>
        <w:t xml:space="preserve"> measures and 12.8 per cent for those on </w:t>
      </w:r>
      <w:r w:rsidR="001544DF">
        <w:rPr>
          <w:szCs w:val="19"/>
        </w:rPr>
        <w:t>Voluntary Income Management</w:t>
      </w:r>
      <w:r w:rsidR="007464DD">
        <w:rPr>
          <w:szCs w:val="19"/>
        </w:rPr>
        <w:t xml:space="preserve">. </w:t>
      </w:r>
      <w:r w:rsidRPr="00DF38B2">
        <w:rPr>
          <w:szCs w:val="19"/>
        </w:rPr>
        <w:t>For the most part the expenditure patterns of those on the voluntary measure and Indigenous people on the co</w:t>
      </w:r>
      <w:r w:rsidRPr="00FE502F">
        <w:rPr>
          <w:szCs w:val="19"/>
        </w:rPr>
        <w:t>mpulsory measure are very similar, with the exception of taxis</w:t>
      </w:r>
      <w:r w:rsidR="00453B89">
        <w:rPr>
          <w:szCs w:val="19"/>
        </w:rPr>
        <w:t>,</w:t>
      </w:r>
      <w:r w:rsidRPr="00FE502F">
        <w:rPr>
          <w:szCs w:val="19"/>
        </w:rPr>
        <w:t xml:space="preserve"> which </w:t>
      </w:r>
      <w:r w:rsidR="00453B89">
        <w:rPr>
          <w:szCs w:val="19"/>
        </w:rPr>
        <w:t>account for</w:t>
      </w:r>
      <w:r w:rsidRPr="00FE502F">
        <w:rPr>
          <w:szCs w:val="19"/>
        </w:rPr>
        <w:t xml:space="preserve"> 4.1 per cent of spending by people on </w:t>
      </w:r>
      <w:r w:rsidR="001544DF">
        <w:rPr>
          <w:szCs w:val="19"/>
        </w:rPr>
        <w:t>Voluntary Income Management</w:t>
      </w:r>
      <w:r w:rsidRPr="00DF38B2">
        <w:rPr>
          <w:szCs w:val="19"/>
        </w:rPr>
        <w:t>, compared with 2.8 per cent for Indigenous people on the compulsory measures. Overall</w:t>
      </w:r>
      <w:r w:rsidR="00453B89">
        <w:rPr>
          <w:szCs w:val="19"/>
        </w:rPr>
        <w:t>,</w:t>
      </w:r>
      <w:r w:rsidRPr="00DF38B2">
        <w:rPr>
          <w:szCs w:val="19"/>
        </w:rPr>
        <w:t xml:space="preserve"> Indigenous people on compulsory forms of income management in the Northern Territory spend </w:t>
      </w:r>
      <w:r w:rsidR="007464DD">
        <w:rPr>
          <w:szCs w:val="19"/>
        </w:rPr>
        <w:t>44.6</w:t>
      </w:r>
      <w:r w:rsidRPr="00DF38B2">
        <w:rPr>
          <w:szCs w:val="19"/>
        </w:rPr>
        <w:t xml:space="preserve"> per cent of their BasicsCard money at remote community based stores. For the population on </w:t>
      </w:r>
      <w:r w:rsidR="001544DF">
        <w:rPr>
          <w:szCs w:val="19"/>
        </w:rPr>
        <w:t>Voluntary Income Management</w:t>
      </w:r>
      <w:r w:rsidRPr="00DF38B2">
        <w:rPr>
          <w:szCs w:val="19"/>
        </w:rPr>
        <w:t xml:space="preserve"> the proportion is 47.7 per cent.</w:t>
      </w:r>
    </w:p>
    <w:p w:rsidR="005E1FE0" w:rsidRPr="00DF38B2" w:rsidRDefault="005E1FE0" w:rsidP="006654AE">
      <w:pPr>
        <w:pStyle w:val="Caption"/>
        <w:ind w:left="1439" w:hanging="1155"/>
        <w:rPr>
          <w:szCs w:val="19"/>
        </w:rPr>
      </w:pPr>
      <w:bookmarkStart w:id="345" w:name="_Ref391487524"/>
      <w:bookmarkStart w:id="346" w:name="_Toc403739447"/>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8</w:t>
        </w:r>
      </w:fldSimple>
      <w:bookmarkEnd w:id="345"/>
      <w:r w:rsidRPr="00DF38B2">
        <w:tab/>
        <w:t>Distribution of BasicsCard sales to people on income management in the Northern Territory by type of outlet and main income management stream, 2013</w:t>
      </w:r>
      <w:bookmarkEnd w:id="346"/>
    </w:p>
    <w:tbl>
      <w:tblPr>
        <w:tblW w:w="8645" w:type="dxa"/>
        <w:jc w:val="center"/>
        <w:tblLook w:val="04A0" w:firstRow="1" w:lastRow="0" w:firstColumn="1" w:lastColumn="0" w:noHBand="0" w:noVBand="1"/>
        <w:tblDescription w:val="This table presents the distribution of BasicsCard sales by 16 types of outlet (which are the rows of the table) and four columns for program type – these are Indigenous people on compulsory measures, non-Indigenous people on these measures, all persons on voluntary income management and the total for all people on income management. &#10;The key findings are described in the text.&#10;"/>
      </w:tblPr>
      <w:tblGrid>
        <w:gridCol w:w="2977"/>
        <w:gridCol w:w="1417"/>
        <w:gridCol w:w="1417"/>
        <w:gridCol w:w="1417"/>
        <w:gridCol w:w="1417"/>
      </w:tblGrid>
      <w:tr w:rsidR="005E1FE0" w:rsidRPr="00DF38B2" w:rsidTr="00737087">
        <w:trPr>
          <w:trHeight w:val="20"/>
          <w:tblHeader/>
          <w:jc w:val="center"/>
        </w:trPr>
        <w:tc>
          <w:tcPr>
            <w:tcW w:w="2977" w:type="dxa"/>
            <w:tcBorders>
              <w:top w:val="single" w:sz="4" w:space="0" w:color="auto"/>
              <w:left w:val="nil"/>
              <w:bottom w:val="single" w:sz="4" w:space="0" w:color="auto"/>
              <w:right w:val="nil"/>
            </w:tcBorders>
            <w:shd w:val="clear" w:color="auto" w:fill="auto"/>
            <w:noWrap/>
            <w:hideMark/>
          </w:tcPr>
          <w:p w:rsidR="005E1FE0" w:rsidRPr="00DF38B2" w:rsidRDefault="00B6641C" w:rsidP="00B6641C">
            <w:pPr>
              <w:pStyle w:val="tabletextright"/>
              <w:jc w:val="left"/>
              <w:rPr>
                <w:rFonts w:eastAsia="Times New Roman"/>
              </w:rPr>
            </w:pPr>
            <w:r>
              <w:rPr>
                <w:rFonts w:eastAsia="Times New Roman"/>
              </w:rPr>
              <w:t>Type of outlet</w:t>
            </w:r>
          </w:p>
        </w:tc>
        <w:tc>
          <w:tcPr>
            <w:tcW w:w="141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CIM Indigenous</w:t>
            </w:r>
            <w:r w:rsidR="00B6641C">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CIM non-</w:t>
            </w:r>
            <w:proofErr w:type="spellStart"/>
            <w:r w:rsidRPr="00DF38B2">
              <w:rPr>
                <w:rFonts w:eastAsia="Times New Roman"/>
              </w:rPr>
              <w:t>Indig</w:t>
            </w:r>
            <w:proofErr w:type="spellEnd"/>
            <w:r w:rsidRPr="00DF38B2">
              <w:rPr>
                <w:rFonts w:eastAsia="Times New Roman"/>
              </w:rPr>
              <w:t>.</w:t>
            </w:r>
            <w:r w:rsidR="00B6641C">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vAlign w:val="bottom"/>
            <w:hideMark/>
          </w:tcPr>
          <w:p w:rsidR="00737087" w:rsidRDefault="005E1FE0" w:rsidP="006654AE">
            <w:pPr>
              <w:pStyle w:val="tabletextright"/>
              <w:rPr>
                <w:rFonts w:eastAsia="Times New Roman"/>
              </w:rPr>
            </w:pPr>
            <w:r w:rsidRPr="00DF38B2">
              <w:rPr>
                <w:rFonts w:eastAsia="Times New Roman"/>
              </w:rPr>
              <w:t>VIM</w:t>
            </w:r>
            <w:r w:rsidR="00B6641C">
              <w:rPr>
                <w:rFonts w:eastAsia="Times New Roman"/>
              </w:rPr>
              <w:t xml:space="preserve"> </w:t>
            </w:r>
          </w:p>
          <w:p w:rsidR="005E1FE0" w:rsidRPr="00DF38B2" w:rsidRDefault="00B6641C" w:rsidP="006654AE">
            <w:pPr>
              <w:pStyle w:val="tabletextright"/>
              <w:rPr>
                <w:rFonts w:eastAsia="Times New Roman"/>
              </w:rPr>
            </w:pPr>
            <w:r>
              <w:rPr>
                <w:rFonts w:eastAsia="Times New Roman"/>
              </w:rPr>
              <w:t>(%)</w:t>
            </w:r>
          </w:p>
        </w:tc>
        <w:tc>
          <w:tcPr>
            <w:tcW w:w="1417" w:type="dxa"/>
            <w:tcBorders>
              <w:top w:val="single" w:sz="4" w:space="0" w:color="auto"/>
              <w:left w:val="nil"/>
              <w:bottom w:val="single" w:sz="4" w:space="0" w:color="auto"/>
              <w:right w:val="nil"/>
            </w:tcBorders>
            <w:vAlign w:val="bottom"/>
          </w:tcPr>
          <w:p w:rsidR="00737087" w:rsidRDefault="00B6641C" w:rsidP="006654AE">
            <w:pPr>
              <w:pStyle w:val="tabletextright"/>
              <w:rPr>
                <w:rFonts w:eastAsia="Times New Roman"/>
              </w:rPr>
            </w:pPr>
            <w:r>
              <w:rPr>
                <w:rFonts w:eastAsia="Times New Roman"/>
              </w:rPr>
              <w:t>Total</w:t>
            </w:r>
          </w:p>
          <w:p w:rsidR="005E1FE0" w:rsidRPr="00DF38B2" w:rsidRDefault="00B6641C" w:rsidP="006654AE">
            <w:pPr>
              <w:pStyle w:val="tabletextright"/>
              <w:rPr>
                <w:rFonts w:eastAsia="Times New Roman"/>
              </w:rPr>
            </w:pPr>
            <w:r>
              <w:rPr>
                <w:rFonts w:eastAsia="Times New Roman"/>
              </w:rPr>
              <w:t xml:space="preserve"> (%)</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Community </w:t>
            </w:r>
            <w:r w:rsidR="00C132CB">
              <w:rPr>
                <w:rFonts w:eastAsia="Times New Roman"/>
              </w:rPr>
              <w:t>store ‘</w:t>
            </w:r>
            <w:r w:rsidRPr="00DF38B2">
              <w:rPr>
                <w:rFonts w:eastAsia="Times New Roman"/>
              </w:rPr>
              <w:t>chains</w:t>
            </w:r>
            <w:r w:rsidR="00C132CB">
              <w:rPr>
                <w:rFonts w:eastAsia="Times New Roman"/>
              </w:rPr>
              <w: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22.7</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23.0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community stores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24.9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19.2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C132CB" w:rsidP="006654AE">
            <w:pPr>
              <w:pStyle w:val="tabletextright"/>
              <w:jc w:val="left"/>
              <w:rPr>
                <w:rFonts w:eastAsia="Times New Roman"/>
              </w:rPr>
            </w:pPr>
            <w:r>
              <w:rPr>
                <w:rFonts w:eastAsia="Times New Roman"/>
              </w:rPr>
              <w:t>‘Big 2’</w:t>
            </w:r>
            <w:r w:rsidR="007464DD" w:rsidRPr="00DF38B2">
              <w:rPr>
                <w:rFonts w:eastAsia="Times New Roman"/>
              </w:rPr>
              <w:t xml:space="preserve"> retail</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16.6</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57.3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19.0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Main independents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3.2</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2.7</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grocery related</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14.5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6.7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14.4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13.8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Specialist food</w:t>
            </w:r>
            <w:r w:rsidR="00C132CB">
              <w:rPr>
                <w:rFonts w:eastAsia="Times New Roman"/>
              </w:rPr>
              <w:t>,</w:t>
            </w:r>
            <w:r w:rsidRPr="00DF38B2">
              <w:rPr>
                <w:rFonts w:eastAsia="Times New Roman"/>
              </w:rPr>
              <w:t xml:space="preserve"> etc</w:t>
            </w:r>
            <w:r w:rsidR="004964F8">
              <w:rPr>
                <w:rFonts w:eastAsia="Times New Roman"/>
              </w:rPr>
              <w: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0.7</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Other department </w:t>
            </w:r>
            <w:r w:rsidR="00C132CB">
              <w:rPr>
                <w:rFonts w:eastAsia="Times New Roman"/>
              </w:rPr>
              <w:t xml:space="preserve">stores </w:t>
            </w:r>
            <w:r w:rsidRPr="00DF38B2">
              <w:rPr>
                <w:rFonts w:eastAsia="Times New Roman"/>
              </w:rPr>
              <w:t>&amp; related</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2.6</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2.7</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2.6</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Clothing/Footwear</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3.8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Charity stores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0.3</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0.3</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Miscellaneous </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C132CB" w:rsidP="006654AE">
            <w:pPr>
              <w:pStyle w:val="tabletextright"/>
              <w:jc w:val="left"/>
              <w:rPr>
                <w:rFonts w:eastAsia="Times New Roman"/>
              </w:rPr>
            </w:pPr>
            <w:r>
              <w:rPr>
                <w:rFonts w:eastAsia="Times New Roman"/>
              </w:rPr>
              <w:t>‘Big 2’</w:t>
            </w:r>
            <w:r w:rsidR="007464DD" w:rsidRPr="00DF38B2">
              <w:rPr>
                <w:rFonts w:eastAsia="Times New Roman"/>
              </w:rPr>
              <w:t xml:space="preserve"> Service stations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7.1</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S</w:t>
            </w:r>
            <w:r w:rsidR="004A746A">
              <w:rPr>
                <w:rFonts w:eastAsia="Times New Roman"/>
              </w:rPr>
              <w:t xml:space="preserve">ervice </w:t>
            </w:r>
            <w:r w:rsidRPr="00DF38B2">
              <w:rPr>
                <w:rFonts w:eastAsia="Times New Roman"/>
              </w:rPr>
              <w:t>S</w:t>
            </w:r>
            <w:r w:rsidR="004A746A">
              <w:rPr>
                <w:rFonts w:eastAsia="Times New Roman"/>
              </w:rPr>
              <w:t>tation</w:t>
            </w:r>
            <w:r w:rsidRPr="00DF38B2">
              <w:rPr>
                <w:rFonts w:eastAsia="Times New Roman"/>
              </w:rPr>
              <w:t xml:space="preserve"> &amp; Automotive</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6.7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9.8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5.9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6.8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Taxis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4.1</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3.0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transport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Chemist/Health</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0.5</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Accommodation</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0.3</w:t>
            </w:r>
          </w:p>
        </w:tc>
      </w:tr>
      <w:tr w:rsidR="005E1FE0" w:rsidRPr="00DF38B2" w:rsidTr="00737087">
        <w:trPr>
          <w:trHeight w:val="20"/>
          <w:jc w:val="center"/>
        </w:trPr>
        <w:tc>
          <w:tcPr>
            <w:tcW w:w="2977"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vAlign w:val="bottom"/>
          </w:tcPr>
          <w:p w:rsidR="005E1FE0" w:rsidRPr="00DF38B2" w:rsidRDefault="005E1FE0" w:rsidP="006654AE">
            <w:pPr>
              <w:pStyle w:val="tabletextright"/>
              <w:rPr>
                <w:rFonts w:eastAsia="Times New Roman"/>
              </w:rPr>
            </w:pPr>
            <w:r w:rsidRPr="00DF38B2">
              <w:rPr>
                <w:rFonts w:eastAsia="Times New Roman"/>
              </w:rPr>
              <w:t xml:space="preserve"> </w:t>
            </w:r>
          </w:p>
        </w:tc>
      </w:tr>
      <w:tr w:rsidR="005E1FE0" w:rsidRPr="00DF38B2" w:rsidTr="00737087">
        <w:trPr>
          <w:trHeight w:val="20"/>
          <w:jc w:val="center"/>
        </w:trPr>
        <w:tc>
          <w:tcPr>
            <w:tcW w:w="29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ind w:left="1437" w:hanging="870"/>
      </w:pPr>
    </w:p>
    <w:p w:rsidR="005E1FE0" w:rsidRPr="00DF38B2" w:rsidRDefault="005E1FE0" w:rsidP="006654AE">
      <w:pPr>
        <w:pStyle w:val="tablenotes"/>
        <w:ind w:left="1437" w:hanging="870"/>
      </w:pPr>
      <w:r w:rsidRPr="00DF38B2">
        <w:t xml:space="preserve">Note: </w:t>
      </w:r>
      <w:r w:rsidRPr="00DF38B2">
        <w:tab/>
        <w:t>Aggregate 2013 BasicsCard sales, program type based on last income management program status for the individual.</w:t>
      </w:r>
    </w:p>
    <w:p w:rsidR="005E1FE0" w:rsidRDefault="005E1FE0" w:rsidP="006654AE">
      <w:pPr>
        <w:pStyle w:val="tablenotes"/>
        <w:ind w:left="1437" w:hanging="870"/>
      </w:pPr>
      <w:r w:rsidRPr="00DF38B2">
        <w:t>Source:</w:t>
      </w:r>
      <w:r w:rsidR="00B84AFE">
        <w:t xml:space="preserv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rPr>
          <w:szCs w:val="19"/>
        </w:rPr>
      </w:pPr>
      <w:r w:rsidRPr="00DF38B2">
        <w:rPr>
          <w:szCs w:val="19"/>
        </w:rPr>
        <w:t xml:space="preserve">Over half of the BasicsCard spending by non-Indigenous people on compulsory streams of income management occurs at the </w:t>
      </w:r>
      <w:r w:rsidR="00453B89">
        <w:rPr>
          <w:szCs w:val="19"/>
        </w:rPr>
        <w:t>‘Big 2’</w:t>
      </w:r>
      <w:r w:rsidRPr="00DF38B2">
        <w:rPr>
          <w:szCs w:val="19"/>
        </w:rPr>
        <w:t xml:space="preserve"> retail</w:t>
      </w:r>
      <w:r w:rsidR="004A746A">
        <w:rPr>
          <w:szCs w:val="19"/>
        </w:rPr>
        <w:t xml:space="preserve"> chains</w:t>
      </w:r>
      <w:r w:rsidRPr="00DF38B2">
        <w:rPr>
          <w:szCs w:val="19"/>
        </w:rPr>
        <w:t>, with very low sales at community stores. In contrast to the other two populations, this group has relatively low spending on taxis, higher spending at service stations and on automotive services</w:t>
      </w:r>
      <w:r w:rsidR="004964F8">
        <w:rPr>
          <w:szCs w:val="19"/>
        </w:rPr>
        <w:t>,</w:t>
      </w:r>
      <w:r w:rsidRPr="00DF38B2">
        <w:rPr>
          <w:szCs w:val="19"/>
        </w:rPr>
        <w:t xml:space="preserve"> and much higher relative spending on chemists and related health services.</w:t>
      </w:r>
    </w:p>
    <w:p w:rsidR="005E1FE0" w:rsidRDefault="005E1FE0" w:rsidP="006654AE">
      <w:r w:rsidRPr="00DF38B2">
        <w:rPr>
          <w:szCs w:val="19"/>
        </w:rPr>
        <w:t xml:space="preserve">While the question of failed transactions is considered at a later point in this chapter, in </w:t>
      </w:r>
      <w:r w:rsidR="004964F8">
        <w:rPr>
          <w:szCs w:val="19"/>
        </w:rPr>
        <w:t>analysing</w:t>
      </w:r>
      <w:r w:rsidRPr="00DF38B2">
        <w:rPr>
          <w:szCs w:val="19"/>
        </w:rPr>
        <w:t xml:space="preserve"> these patterns of expenditure by store type and location, it is useful to consider the incidence of this outcome at the same level. This is done in </w:t>
      </w:r>
      <w:r w:rsidRPr="00DF38B2">
        <w:rPr>
          <w:szCs w:val="19"/>
        </w:rPr>
        <w:fldChar w:fldCharType="begin"/>
      </w:r>
      <w:r w:rsidRPr="00DF38B2">
        <w:rPr>
          <w:szCs w:val="19"/>
        </w:rPr>
        <w:instrText xml:space="preserve"> REF _Ref391488696 \h </w:instrText>
      </w:r>
      <w:r w:rsidRPr="00DF38B2">
        <w:rPr>
          <w:szCs w:val="19"/>
        </w:rPr>
      </w:r>
      <w:r w:rsidRPr="00DF38B2">
        <w:rPr>
          <w:szCs w:val="19"/>
        </w:rPr>
        <w:fldChar w:fldCharType="separate"/>
      </w:r>
      <w:r w:rsidR="00906D13" w:rsidRPr="00DF38B2">
        <w:t xml:space="preserve">Table </w:t>
      </w:r>
      <w:r w:rsidR="00906D13">
        <w:rPr>
          <w:noProof/>
        </w:rPr>
        <w:t>6</w:t>
      </w:r>
      <w:r w:rsidR="00906D13">
        <w:noBreakHyphen/>
      </w:r>
      <w:r w:rsidR="00906D13">
        <w:rPr>
          <w:noProof/>
        </w:rPr>
        <w:t>9</w:t>
      </w:r>
      <w:r w:rsidRPr="00DF38B2">
        <w:rPr>
          <w:szCs w:val="19"/>
        </w:rPr>
        <w:fldChar w:fldCharType="end"/>
      </w:r>
      <w:r w:rsidRPr="00DF38B2">
        <w:rPr>
          <w:szCs w:val="19"/>
        </w:rPr>
        <w:t xml:space="preserve">. By region most areas have a similar level of rejection – around </w:t>
      </w:r>
      <w:r w:rsidR="004B6B41">
        <w:rPr>
          <w:szCs w:val="19"/>
        </w:rPr>
        <w:t>10</w:t>
      </w:r>
      <w:r w:rsidRPr="00DF38B2">
        <w:rPr>
          <w:szCs w:val="19"/>
        </w:rPr>
        <w:t> per cent of all attempted sales in 2013. There are</w:t>
      </w:r>
      <w:r w:rsidR="004964F8">
        <w:rPr>
          <w:szCs w:val="19"/>
        </w:rPr>
        <w:t>, however,</w:t>
      </w:r>
      <w:r w:rsidRPr="00DF38B2">
        <w:rPr>
          <w:szCs w:val="19"/>
        </w:rPr>
        <w:t xml:space="preserve"> distinct exceptions</w:t>
      </w:r>
      <w:r w:rsidR="004964F8">
        <w:rPr>
          <w:szCs w:val="19"/>
        </w:rPr>
        <w:t xml:space="preserve"> in</w:t>
      </w:r>
      <w:r w:rsidRPr="00DF38B2">
        <w:rPr>
          <w:szCs w:val="19"/>
        </w:rPr>
        <w:t xml:space="preserve"> East Arnhem and </w:t>
      </w:r>
      <w:r w:rsidR="00D95B12">
        <w:rPr>
          <w:szCs w:val="19"/>
        </w:rPr>
        <w:t>Greater Darwin</w:t>
      </w:r>
      <w:r w:rsidRPr="00FE502F">
        <w:rPr>
          <w:szCs w:val="19"/>
        </w:rPr>
        <w:t>. (In addition Alice Springs and Barkly have slightly lower than average rates.)</w:t>
      </w:r>
      <w:r w:rsidR="00B84AFE">
        <w:rPr>
          <w:szCs w:val="19"/>
        </w:rPr>
        <w:t xml:space="preserve"> </w:t>
      </w:r>
      <w:r w:rsidRPr="009655C3">
        <w:t>In East Arnhem 14.1 per cent of BasicsCard transactions are declined due to people having inadequate funds in their BasicsCard account. This disproportionately high rate</w:t>
      </w:r>
      <w:r w:rsidR="007464DD">
        <w:t xml:space="preserve"> of failed transactions</w:t>
      </w:r>
      <w:r w:rsidRPr="009655C3">
        <w:t xml:space="preserve"> is also reflected, in most cases, at the type of outlet level. It reaches</w:t>
      </w:r>
      <w:r w:rsidRPr="00DF38B2">
        <w:t xml:space="preserve"> 19.8 per cent for the payment of taxi fares.</w:t>
      </w:r>
      <w:r w:rsidR="001544DF">
        <w:rPr>
          <w:rStyle w:val="FootnoteReference"/>
        </w:rPr>
        <w:footnoteReference w:id="95"/>
      </w:r>
      <w:r w:rsidRPr="00DF38B2">
        <w:t xml:space="preserve"> In contrast</w:t>
      </w:r>
      <w:r w:rsidR="004964F8">
        <w:t>,</w:t>
      </w:r>
      <w:r w:rsidRPr="00DF38B2">
        <w:t xml:space="preserve"> the rate </w:t>
      </w:r>
      <w:r w:rsidR="00EA7AE6" w:rsidRPr="00DF38B2">
        <w:t xml:space="preserve">of failed transactions </w:t>
      </w:r>
      <w:r w:rsidRPr="00DF38B2">
        <w:t xml:space="preserve">in </w:t>
      </w:r>
      <w:r w:rsidR="00D95B12">
        <w:t>Greater Darwin</w:t>
      </w:r>
      <w:r w:rsidRPr="00DF38B2">
        <w:t xml:space="preserve"> is just 6.8 per cent, falling as low as 3.5 per cent at specialist food outlets such as bakeries and butchers, and 4.3 per cent at chemists and other health services.</w:t>
      </w:r>
    </w:p>
    <w:p w:rsidR="00C12453" w:rsidRPr="00DF38B2" w:rsidRDefault="00C12453" w:rsidP="006654AE">
      <w:pPr>
        <w:rPr>
          <w:szCs w:val="19"/>
        </w:rPr>
      </w:pPr>
      <w:r w:rsidRPr="00DF38B2">
        <w:rPr>
          <w:szCs w:val="19"/>
        </w:rPr>
        <w:t xml:space="preserve">By type of outlet across the Northern Territory the highest rate of these failed transactions concern paying for taxi fares (13.6 per cent) and transactions at ALPA and </w:t>
      </w:r>
      <w:proofErr w:type="gramStart"/>
      <w:r w:rsidRPr="00DF38B2">
        <w:rPr>
          <w:szCs w:val="19"/>
        </w:rPr>
        <w:t>Outback</w:t>
      </w:r>
      <w:proofErr w:type="gramEnd"/>
      <w:r w:rsidRPr="00DF38B2">
        <w:rPr>
          <w:szCs w:val="19"/>
        </w:rPr>
        <w:t xml:space="preserve"> stores (12.0 per cent). In contrast</w:t>
      </w:r>
      <w:r>
        <w:rPr>
          <w:szCs w:val="19"/>
        </w:rPr>
        <w:t>,</w:t>
      </w:r>
      <w:r w:rsidRPr="00DF38B2">
        <w:rPr>
          <w:szCs w:val="19"/>
        </w:rPr>
        <w:t xml:space="preserve"> they are much less frequent at Chemists (6.0 per cent) and for transactions at the </w:t>
      </w:r>
      <w:r w:rsidR="00FF46E5">
        <w:rPr>
          <w:szCs w:val="19"/>
        </w:rPr>
        <w:t>‘Big 2’</w:t>
      </w:r>
      <w:r w:rsidRPr="00DF38B2">
        <w:rPr>
          <w:szCs w:val="19"/>
        </w:rPr>
        <w:t xml:space="preserve"> retail </w:t>
      </w:r>
      <w:r>
        <w:rPr>
          <w:szCs w:val="19"/>
        </w:rPr>
        <w:t>chains</w:t>
      </w:r>
      <w:r w:rsidRPr="00DF38B2">
        <w:rPr>
          <w:szCs w:val="19"/>
        </w:rPr>
        <w:t xml:space="preserve">. This latter pattern persists across the regions. In most locations the failure rate at the larger supermarkets is around two percentage points lower than that at other stores, while the rate at chemists is around three percentage points lower. For taxis the differential is some 3 to 5 percentage points above the average rate within the location. </w:t>
      </w:r>
    </w:p>
    <w:p w:rsidR="00C12453" w:rsidRPr="00DF38B2" w:rsidRDefault="00C12453" w:rsidP="006654AE"/>
    <w:p w:rsidR="005E1FE0" w:rsidRPr="00DF38B2" w:rsidRDefault="005E1FE0" w:rsidP="006654AE">
      <w:pPr>
        <w:pStyle w:val="Caption"/>
        <w:ind w:left="1439" w:hanging="1155"/>
        <w:rPr>
          <w:szCs w:val="19"/>
        </w:rPr>
      </w:pPr>
      <w:bookmarkStart w:id="347" w:name="_Ref391488696"/>
      <w:bookmarkStart w:id="348" w:name="_Ref391562496"/>
      <w:bookmarkStart w:id="349" w:name="_Toc403739448"/>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9</w:t>
        </w:r>
      </w:fldSimple>
      <w:bookmarkEnd w:id="347"/>
      <w:r w:rsidRPr="00DF38B2">
        <w:t xml:space="preserve"> </w:t>
      </w:r>
      <w:r w:rsidRPr="00DF38B2">
        <w:tab/>
        <w:t>Proportion of BasicsCard sales to people on income management in the Northern Territory that fail due to inadequate funds, by type of outlet and region, 2013</w:t>
      </w:r>
      <w:bookmarkEnd w:id="348"/>
      <w:bookmarkEnd w:id="349"/>
    </w:p>
    <w:tbl>
      <w:tblPr>
        <w:tblW w:w="8917" w:type="dxa"/>
        <w:jc w:val="center"/>
        <w:tblLook w:val="04A0" w:firstRow="1" w:lastRow="0" w:firstColumn="1" w:lastColumn="0" w:noHBand="0" w:noVBand="1"/>
        <w:tblDescription w:val="This table presents the proportion of BasicsCard sales which fail due to insufficient funds by 16 types of outlet (which are the rows of the table) for 8 regions along the total of all transactions to people in the Northern Territory in the columns.&#10;The main features of the table are described in the text.&#10;"/>
      </w:tblPr>
      <w:tblGrid>
        <w:gridCol w:w="2213"/>
        <w:gridCol w:w="748"/>
        <w:gridCol w:w="824"/>
        <w:gridCol w:w="806"/>
        <w:gridCol w:w="781"/>
        <w:gridCol w:w="711"/>
        <w:gridCol w:w="741"/>
        <w:gridCol w:w="700"/>
        <w:gridCol w:w="806"/>
        <w:gridCol w:w="650"/>
      </w:tblGrid>
      <w:tr w:rsidR="005E1FE0" w:rsidRPr="00DF38B2" w:rsidTr="00737087">
        <w:trPr>
          <w:trHeight w:val="20"/>
          <w:tblHeader/>
          <w:jc w:val="center"/>
        </w:trPr>
        <w:tc>
          <w:tcPr>
            <w:tcW w:w="2213" w:type="dxa"/>
            <w:tcBorders>
              <w:top w:val="single" w:sz="4" w:space="0" w:color="auto"/>
              <w:left w:val="nil"/>
              <w:bottom w:val="single" w:sz="4" w:space="0" w:color="auto"/>
              <w:right w:val="nil"/>
            </w:tcBorders>
            <w:shd w:val="clear" w:color="auto" w:fill="auto"/>
            <w:noWrap/>
            <w:vAlign w:val="bottom"/>
            <w:hideMark/>
          </w:tcPr>
          <w:p w:rsidR="005E1FE0" w:rsidRPr="00DF38B2" w:rsidRDefault="00737087" w:rsidP="006654AE">
            <w:pPr>
              <w:pStyle w:val="tabletextleft"/>
              <w:rPr>
                <w:rFonts w:eastAsia="Times New Roman"/>
              </w:rPr>
            </w:pPr>
            <w:r>
              <w:rPr>
                <w:rFonts w:eastAsia="Times New Roman"/>
              </w:rPr>
              <w:t>Type of outlet</w:t>
            </w:r>
          </w:p>
        </w:tc>
        <w:tc>
          <w:tcPr>
            <w:tcW w:w="748"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Alice Springs</w:t>
            </w:r>
            <w:r w:rsidR="00737087">
              <w:rPr>
                <w:rFonts w:eastAsia="Times New Roman"/>
              </w:rPr>
              <w:t xml:space="preserve"> (%)(a)</w:t>
            </w:r>
          </w:p>
        </w:tc>
        <w:tc>
          <w:tcPr>
            <w:tcW w:w="824"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Barkly inc</w:t>
            </w:r>
            <w:r w:rsidR="004964F8">
              <w:rPr>
                <w:rFonts w:eastAsia="Times New Roman"/>
              </w:rPr>
              <w:t>l.</w:t>
            </w:r>
            <w:r w:rsidRPr="00DF38B2">
              <w:rPr>
                <w:rFonts w:eastAsia="Times New Roman"/>
              </w:rPr>
              <w:t xml:space="preserve"> Tennant Creek</w:t>
            </w:r>
            <w:r w:rsidR="00737087">
              <w:rPr>
                <w:rFonts w:eastAsia="Times New Roman"/>
              </w:rPr>
              <w:t xml:space="preserve"> (%)(a)</w:t>
            </w:r>
          </w:p>
        </w:tc>
        <w:tc>
          <w:tcPr>
            <w:tcW w:w="806"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East Arnhem</w:t>
            </w:r>
            <w:r w:rsidR="00737087">
              <w:rPr>
                <w:rFonts w:eastAsia="Times New Roman"/>
              </w:rPr>
              <w:t xml:space="preserve"> (%)(a)</w:t>
            </w:r>
          </w:p>
        </w:tc>
        <w:tc>
          <w:tcPr>
            <w:tcW w:w="78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Greater Darwin</w:t>
            </w:r>
            <w:r w:rsidR="00737087">
              <w:rPr>
                <w:rFonts w:eastAsia="Times New Roman"/>
              </w:rPr>
              <w:t xml:space="preserve"> (%)(a)</w:t>
            </w:r>
          </w:p>
        </w:tc>
        <w:tc>
          <w:tcPr>
            <w:tcW w:w="71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Kath-</w:t>
            </w:r>
            <w:proofErr w:type="spellStart"/>
            <w:r w:rsidRPr="00DF38B2">
              <w:rPr>
                <w:rFonts w:eastAsia="Times New Roman"/>
              </w:rPr>
              <w:t>erine</w:t>
            </w:r>
            <w:proofErr w:type="spellEnd"/>
            <w:r w:rsidR="00737087">
              <w:rPr>
                <w:rFonts w:eastAsia="Times New Roman"/>
              </w:rPr>
              <w:t xml:space="preserve"> (%)(a)</w:t>
            </w:r>
          </w:p>
        </w:tc>
        <w:tc>
          <w:tcPr>
            <w:tcW w:w="74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Mid-West Desert</w:t>
            </w:r>
            <w:r w:rsidR="00737087">
              <w:rPr>
                <w:rFonts w:eastAsia="Times New Roman"/>
              </w:rPr>
              <w:t xml:space="preserve"> (%)(a)</w:t>
            </w:r>
          </w:p>
        </w:tc>
        <w:tc>
          <w:tcPr>
            <w:tcW w:w="7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SE Desert</w:t>
            </w:r>
            <w:r w:rsidR="00737087">
              <w:rPr>
                <w:rFonts w:eastAsia="Times New Roman"/>
              </w:rPr>
              <w:t xml:space="preserve"> (%)(a)</w:t>
            </w:r>
          </w:p>
        </w:tc>
        <w:tc>
          <w:tcPr>
            <w:tcW w:w="806"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Top &amp; West Arnhem</w:t>
            </w:r>
            <w:r w:rsidR="00737087">
              <w:rPr>
                <w:rFonts w:eastAsia="Times New Roman"/>
              </w:rPr>
              <w:t xml:space="preserve"> (%)(a)</w:t>
            </w:r>
          </w:p>
        </w:tc>
        <w:tc>
          <w:tcPr>
            <w:tcW w:w="587" w:type="dxa"/>
            <w:tcBorders>
              <w:top w:val="single" w:sz="4" w:space="0" w:color="auto"/>
              <w:left w:val="nil"/>
              <w:bottom w:val="single" w:sz="4" w:space="0" w:color="auto"/>
              <w:right w:val="nil"/>
            </w:tcBorders>
            <w:shd w:val="clear" w:color="auto" w:fill="auto"/>
            <w:noWrap/>
            <w:vAlign w:val="bottom"/>
            <w:hideMark/>
          </w:tcPr>
          <w:p w:rsidR="005E1FE0" w:rsidRPr="00DF38B2" w:rsidRDefault="00737087" w:rsidP="006654AE">
            <w:pPr>
              <w:pStyle w:val="tabletextleft"/>
              <w:rPr>
                <w:rFonts w:eastAsia="Times New Roman"/>
              </w:rPr>
            </w:pPr>
            <w:r>
              <w:rPr>
                <w:rFonts w:eastAsia="Times New Roman"/>
              </w:rPr>
              <w:t>Total (%)(a)</w:t>
            </w:r>
          </w:p>
        </w:tc>
      </w:tr>
      <w:tr w:rsidR="005E1FE0" w:rsidRPr="00DF38B2" w:rsidTr="00737087">
        <w:trPr>
          <w:trHeight w:val="20"/>
          <w:jc w:val="center"/>
        </w:trPr>
        <w:tc>
          <w:tcPr>
            <w:tcW w:w="221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6704" w:type="dxa"/>
            <w:gridSpan w:val="9"/>
            <w:tcBorders>
              <w:top w:val="single" w:sz="4" w:space="0" w:color="auto"/>
              <w:left w:val="nil"/>
              <w:bottom w:val="nil"/>
              <w:right w:val="nil"/>
            </w:tcBorders>
            <w:shd w:val="clear" w:color="auto" w:fill="auto"/>
            <w:noWrap/>
            <w:vAlign w:val="bottom"/>
            <w:hideMark/>
          </w:tcPr>
          <w:p w:rsidR="005E1FE0" w:rsidRPr="00DF38B2" w:rsidRDefault="005E1FE0" w:rsidP="00737087">
            <w:pPr>
              <w:pStyle w:val="tabletextleft"/>
              <w:jc w:val="center"/>
              <w:rPr>
                <w:rFonts w:eastAsia="Times New Roman"/>
              </w:rPr>
            </w:pP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Community “chains”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11.6</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community stores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9.1</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FF46E5" w:rsidP="006654AE">
            <w:pPr>
              <w:pStyle w:val="tabletextright"/>
              <w:jc w:val="left"/>
              <w:rPr>
                <w:rFonts w:eastAsia="Times New Roman"/>
              </w:rPr>
            </w:pPr>
            <w:r>
              <w:rPr>
                <w:rFonts w:eastAsia="Times New Roman"/>
              </w:rPr>
              <w:t>‘Big 2’</w:t>
            </w:r>
            <w:r w:rsidR="005E1FE0" w:rsidRPr="00DF38B2">
              <w:rPr>
                <w:rFonts w:eastAsia="Times New Roman"/>
              </w:rPr>
              <w:t xml:space="preserve"> retail</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7.0</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Main independents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6.5</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14.9</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grocery related</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Specialist food etc</w:t>
            </w:r>
            <w:r w:rsidR="004964F8">
              <w:rPr>
                <w:rFonts w:eastAsia="Times New Roman"/>
              </w:rPr>
              <w:t>.</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13.5</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6.1</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w:t>
            </w:r>
            <w:r w:rsidR="00737087">
              <w:rPr>
                <w:rFonts w:eastAsia="Times New Roman"/>
              </w:rPr>
              <w:t>er</w:t>
            </w:r>
            <w:r w:rsidRPr="00DF38B2">
              <w:rPr>
                <w:rFonts w:eastAsia="Times New Roman"/>
              </w:rPr>
              <w:t xml:space="preserve"> </w:t>
            </w:r>
            <w:proofErr w:type="spellStart"/>
            <w:r w:rsidRPr="00DF38B2">
              <w:rPr>
                <w:rFonts w:eastAsia="Times New Roman"/>
              </w:rPr>
              <w:t>dept</w:t>
            </w:r>
            <w:proofErr w:type="spellEnd"/>
            <w:r w:rsidRPr="00DF38B2">
              <w:rPr>
                <w:rFonts w:eastAsia="Times New Roman"/>
              </w:rPr>
              <w:t xml:space="preserve"> &amp; related</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6.2</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13.7</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9.8</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Clothing/Footwear</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8.5</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5.6</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Charity stores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8.6</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Misc.</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15.4</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FF46E5" w:rsidP="006654AE">
            <w:pPr>
              <w:pStyle w:val="tabletextright"/>
              <w:jc w:val="left"/>
              <w:rPr>
                <w:rFonts w:eastAsia="Times New Roman"/>
              </w:rPr>
            </w:pPr>
            <w:r>
              <w:rPr>
                <w:rFonts w:eastAsia="Times New Roman"/>
              </w:rPr>
              <w:t>‘Big 2’</w:t>
            </w:r>
            <w:r w:rsidR="005E1FE0" w:rsidRPr="00DF38B2">
              <w:rPr>
                <w:rFonts w:eastAsia="Times New Roman"/>
              </w:rPr>
              <w:t xml:space="preserve"> S</w:t>
            </w:r>
            <w:r w:rsidR="004A746A">
              <w:rPr>
                <w:rFonts w:eastAsia="Times New Roman"/>
              </w:rPr>
              <w:t xml:space="preserve">ervice </w:t>
            </w:r>
            <w:r w:rsidR="005E1FE0" w:rsidRPr="00DF38B2">
              <w:rPr>
                <w:rFonts w:eastAsia="Times New Roman"/>
              </w:rPr>
              <w:t>S</w:t>
            </w:r>
            <w:r w:rsidR="004A746A">
              <w:rPr>
                <w:rFonts w:eastAsia="Times New Roman"/>
              </w:rPr>
              <w:t>tation</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S</w:t>
            </w:r>
            <w:r w:rsidR="004A746A">
              <w:rPr>
                <w:rFonts w:eastAsia="Times New Roman"/>
              </w:rPr>
              <w:t xml:space="preserve">ervice </w:t>
            </w:r>
            <w:r w:rsidRPr="00DF38B2">
              <w:rPr>
                <w:rFonts w:eastAsia="Times New Roman"/>
              </w:rPr>
              <w:t>S</w:t>
            </w:r>
            <w:r w:rsidR="004A746A">
              <w:rPr>
                <w:rFonts w:eastAsia="Times New Roman"/>
              </w:rPr>
              <w:t>tation</w:t>
            </w:r>
            <w:r w:rsidRPr="00DF38B2">
              <w:rPr>
                <w:rFonts w:eastAsia="Times New Roman"/>
              </w:rPr>
              <w:t xml:space="preserve"> &amp; Automotive</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8.5</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Taxis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14.9</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13.6</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transport</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Chemist/Health</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11.0</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6.8</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7.3</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Accommodation</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r>
      <w:tr w:rsidR="005E1FE0" w:rsidRPr="00DF38B2" w:rsidTr="00737087">
        <w:trPr>
          <w:trHeight w:val="20"/>
          <w:jc w:val="center"/>
        </w:trPr>
        <w:tc>
          <w:tcPr>
            <w:tcW w:w="2213"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748"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2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0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8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1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4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0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0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8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737087">
        <w:trPr>
          <w:trHeight w:val="20"/>
          <w:jc w:val="center"/>
        </w:trPr>
        <w:tc>
          <w:tcPr>
            <w:tcW w:w="221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74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8.4</w:t>
            </w:r>
          </w:p>
        </w:tc>
        <w:tc>
          <w:tcPr>
            <w:tcW w:w="82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8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14.1</w:t>
            </w:r>
          </w:p>
        </w:tc>
        <w:tc>
          <w:tcPr>
            <w:tcW w:w="7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6.8</w:t>
            </w:r>
          </w:p>
        </w:tc>
        <w:tc>
          <w:tcPr>
            <w:tcW w:w="71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74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w:t>
            </w:r>
          </w:p>
        </w:tc>
        <w:tc>
          <w:tcPr>
            <w:tcW w:w="7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r>
    </w:tbl>
    <w:p w:rsidR="000F06BF" w:rsidRDefault="000F06BF" w:rsidP="006654AE">
      <w:pPr>
        <w:pStyle w:val="tablenotes"/>
        <w:ind w:left="1437" w:hanging="870"/>
      </w:pPr>
    </w:p>
    <w:p w:rsidR="00737087" w:rsidRDefault="005E1FE0" w:rsidP="006654AE">
      <w:pPr>
        <w:pStyle w:val="tablenotes"/>
        <w:ind w:left="1437" w:hanging="870"/>
      </w:pPr>
      <w:r w:rsidRPr="00DF38B2">
        <w:t xml:space="preserve">Note: </w:t>
      </w:r>
      <w:r w:rsidR="00BF56C6">
        <w:tab/>
      </w:r>
      <w:r w:rsidR="00737087">
        <w:t xml:space="preserve">(a) </w:t>
      </w:r>
      <w:r w:rsidR="00737087" w:rsidRPr="00DF38B2">
        <w:rPr>
          <w:rFonts w:eastAsia="Times New Roman"/>
        </w:rPr>
        <w:t>Proportion of transactions failed due to insufficient funds</w:t>
      </w:r>
    </w:p>
    <w:p w:rsidR="005E1FE0" w:rsidRPr="00DF38B2" w:rsidRDefault="005E1FE0" w:rsidP="00737087">
      <w:pPr>
        <w:pStyle w:val="tablenotes"/>
        <w:ind w:left="1437"/>
      </w:pPr>
      <w:r w:rsidRPr="00DF38B2">
        <w:t>Based on aggregate 2013 BasicsCard transactions, location based upon last location for the person in 2013.</w:t>
      </w:r>
    </w:p>
    <w:p w:rsidR="005E1FE0" w:rsidRDefault="005E1FE0" w:rsidP="006654AE">
      <w:pPr>
        <w:pStyle w:val="tablenotes"/>
        <w:ind w:left="1437" w:hanging="870"/>
      </w:pPr>
      <w:r w:rsidRPr="00DF38B2">
        <w:t>Source:</w:t>
      </w:r>
      <w:r w:rsidR="005D1CC5">
        <w:t xml:space="preserve"> </w:t>
      </w:r>
      <w:r w:rsidR="00305D80">
        <w:tab/>
        <w:t>Derived from DHS administrative</w:t>
      </w:r>
      <w:r w:rsidRPr="00DF38B2">
        <w:t xml:space="preserve"> data provided for the purposes of the evaluation.</w:t>
      </w:r>
    </w:p>
    <w:p w:rsidR="005E1FE0" w:rsidRPr="00DF38B2" w:rsidRDefault="005E1FE0" w:rsidP="006654AE">
      <w:pPr>
        <w:pStyle w:val="Heading3"/>
      </w:pPr>
      <w:bookmarkStart w:id="350" w:name="_Toc403739048"/>
      <w:r w:rsidRPr="00DF38B2">
        <w:t>The experience of using BasicsCard</w:t>
      </w:r>
      <w:bookmarkEnd w:id="350"/>
    </w:p>
    <w:p w:rsidR="005E1FE0" w:rsidRPr="00DF38B2" w:rsidRDefault="005E1FE0" w:rsidP="006654AE">
      <w:pPr>
        <w:rPr>
          <w:szCs w:val="19"/>
        </w:rPr>
      </w:pPr>
      <w:r w:rsidRPr="00DF38B2">
        <w:rPr>
          <w:szCs w:val="19"/>
        </w:rPr>
        <w:t>Chapter 7 reports on the views and experiences of people on income management as collected in the second wave of the LSNIM. The survey also contained some specific questions relating to the use of BasicsCard. These questions considered what might be seen as improper use of the BasicsCard and other mechanisms to circumvent income management and the extent to which using BasicsCard caused problems for people in undertaking their purchases.</w:t>
      </w:r>
    </w:p>
    <w:p w:rsidR="005E1FE0" w:rsidRPr="00DF38B2" w:rsidRDefault="005E1FE0" w:rsidP="006654AE">
      <w:pPr>
        <w:pStyle w:val="Heading4"/>
      </w:pPr>
      <w:r w:rsidRPr="00DF38B2">
        <w:t>Inappropriate use of BasicsCard and circumventing income management</w:t>
      </w:r>
    </w:p>
    <w:p w:rsidR="005E1FE0" w:rsidRPr="00DF38B2" w:rsidRDefault="005E1FE0" w:rsidP="006654AE">
      <w:r w:rsidRPr="00DF38B2">
        <w:t xml:space="preserve">The LSNIM questions asking about aspects of the misuse (or at least use not consistent with guidelines and conditions of use) of the BasicsCard were seen as being potentially sensitive for some people. For this reason the questions were framed in terms of “do you or anyone in your family” to avoid a person </w:t>
      </w:r>
      <w:r w:rsidR="00EA7AE6" w:rsidRPr="00DF38B2">
        <w:t xml:space="preserve">potentially </w:t>
      </w:r>
      <w:r w:rsidRPr="00DF38B2">
        <w:t xml:space="preserve">admitting </w:t>
      </w:r>
      <w:r w:rsidR="00EA7AE6" w:rsidRPr="00DF38B2">
        <w:t xml:space="preserve">to </w:t>
      </w:r>
      <w:r w:rsidRPr="00DF38B2">
        <w:t>breaching the conditions</w:t>
      </w:r>
      <w:r w:rsidR="00EA7AE6" w:rsidRPr="00DF38B2">
        <w:t xml:space="preserve"> in response to the survey. T</w:t>
      </w:r>
      <w:r w:rsidRPr="00DF38B2">
        <w:t xml:space="preserve">he interviewers </w:t>
      </w:r>
      <w:r w:rsidR="00EA7AE6" w:rsidRPr="00DF38B2">
        <w:t xml:space="preserve">were </w:t>
      </w:r>
      <w:r w:rsidRPr="00DF38B2">
        <w:t xml:space="preserve">also given the option of using an even more indirect framing of </w:t>
      </w:r>
      <w:r w:rsidR="00AE5F52">
        <w:t>“</w:t>
      </w:r>
      <w:r w:rsidRPr="00DF38B2">
        <w:t>does anyone around here</w:t>
      </w:r>
      <w:r w:rsidR="00AE5F52">
        <w:t>”</w:t>
      </w:r>
      <w:r w:rsidRPr="00DF38B2">
        <w:t xml:space="preserve"> where the more direct question was considered as potentially too confronting. The results</w:t>
      </w:r>
      <w:r w:rsidR="00EA7AE6" w:rsidRPr="00DF38B2">
        <w:t xml:space="preserve"> to these questions</w:t>
      </w:r>
      <w:r w:rsidRPr="00DF38B2">
        <w:t xml:space="preserve"> are given in </w:t>
      </w:r>
      <w:r w:rsidRPr="00DF38B2">
        <w:fldChar w:fldCharType="begin"/>
      </w:r>
      <w:r w:rsidRPr="00DF38B2">
        <w:instrText xml:space="preserve"> REF _Ref391490584 \h </w:instrText>
      </w:r>
      <w:r w:rsidRPr="00DF38B2">
        <w:fldChar w:fldCharType="separate"/>
      </w:r>
      <w:r w:rsidR="00906D13" w:rsidRPr="00DF38B2">
        <w:t xml:space="preserve">Table </w:t>
      </w:r>
      <w:r w:rsidR="00906D13">
        <w:rPr>
          <w:noProof/>
        </w:rPr>
        <w:t>6</w:t>
      </w:r>
      <w:r w:rsidR="00906D13">
        <w:noBreakHyphen/>
      </w:r>
      <w:r w:rsidR="00906D13">
        <w:rPr>
          <w:noProof/>
        </w:rPr>
        <w:t>10</w:t>
      </w:r>
      <w:r w:rsidRPr="00DF38B2">
        <w:fldChar w:fldCharType="end"/>
      </w:r>
      <w:r w:rsidRPr="00DF38B2">
        <w:t>, initially split by the type of location in which the person lived, and secondly by the broad form of income management and Indigenous identification.</w:t>
      </w:r>
    </w:p>
    <w:p w:rsidR="005E1FE0" w:rsidRPr="00DF38B2" w:rsidRDefault="005E1FE0" w:rsidP="006654AE">
      <w:r w:rsidRPr="00FE502F">
        <w:t xml:space="preserve">The first three questions reported in the table relate to behaviours which effectively </w:t>
      </w:r>
      <w:r w:rsidRPr="009655C3">
        <w:t>breached the BasicsCard guidelines concerning the use of the card by the individual for their own and their family’s needs. These were whether people went shopping with others and shared/swapped their BasicsCards. Overall</w:t>
      </w:r>
      <w:r w:rsidR="00921F37">
        <w:t>,</w:t>
      </w:r>
      <w:r w:rsidRPr="009655C3">
        <w:t xml:space="preserve"> 34.7 per cent of those who </w:t>
      </w:r>
      <w:r w:rsidR="00921F37">
        <w:t>answered</w:t>
      </w:r>
      <w:r w:rsidRPr="009655C3">
        <w:t xml:space="preserve"> this question gave an affirmative response</w:t>
      </w:r>
      <w:r w:rsidR="00921F37">
        <w:t>.</w:t>
      </w:r>
      <w:r w:rsidR="00EE2D69">
        <w:rPr>
          <w:rStyle w:val="FootnoteReference"/>
        </w:rPr>
        <w:footnoteReference w:id="96"/>
      </w:r>
      <w:r w:rsidRPr="009655C3">
        <w:t xml:space="preserve"> The reported incidence of this type of behaviour was particularly high in non-urban, typically remote communities</w:t>
      </w:r>
      <w:r w:rsidR="00921F37">
        <w:t>,</w:t>
      </w:r>
      <w:r w:rsidRPr="009655C3">
        <w:t xml:space="preserve"> where </w:t>
      </w:r>
      <w:r w:rsidRPr="009655C3">
        <w:lastRenderedPageBreak/>
        <w:t>42.9 per cent reported it. Conversely</w:t>
      </w:r>
      <w:r w:rsidR="00921F37">
        <w:t>,</w:t>
      </w:r>
      <w:r w:rsidRPr="009655C3">
        <w:t xml:space="preserve"> only 22.</w:t>
      </w:r>
      <w:r w:rsidR="00EE2D69">
        <w:t>2</w:t>
      </w:r>
      <w:r w:rsidR="00EE2D69" w:rsidRPr="009655C3">
        <w:t> </w:t>
      </w:r>
      <w:r w:rsidRPr="009655C3">
        <w:t>per cent of the relatively small grou</w:t>
      </w:r>
      <w:r w:rsidRPr="00DF38B2">
        <w:t xml:space="preserve">p living in </w:t>
      </w:r>
      <w:r w:rsidR="00C132CB">
        <w:t>‘</w:t>
      </w:r>
      <w:r w:rsidRPr="00DF38B2">
        <w:t>Other locations</w:t>
      </w:r>
      <w:r w:rsidR="00C132CB">
        <w:t>’</w:t>
      </w:r>
      <w:r w:rsidRPr="00DF38B2">
        <w:t xml:space="preserve"> said this occurred. It was also most frequently reported by Indigenous people on compulsory forms of income management, and quite unusually at almost equal rates by non-Indigenous people on compulsory measures and those on </w:t>
      </w:r>
      <w:r w:rsidR="001544DF">
        <w:t>Voluntary Income Management</w:t>
      </w:r>
      <w:r w:rsidRPr="00DF38B2">
        <w:t>.</w:t>
      </w:r>
    </w:p>
    <w:p w:rsidR="005E1FE0" w:rsidRPr="00DF38B2" w:rsidRDefault="005E1FE0" w:rsidP="006654AE">
      <w:r w:rsidRPr="00DF38B2">
        <w:t>The second question was that of giving a BasicsCard to other people to use it on their behalf. This was the most frequently reported behaviour with 44.1 per cent of those responding saying it occurred. This again was most frequently reported by people living in remote communities. In contrast to the previous question</w:t>
      </w:r>
      <w:r w:rsidR="00921F37">
        <w:t>,</w:t>
      </w:r>
      <w:r w:rsidRPr="00DF38B2">
        <w:t xml:space="preserve"> it was answered affirmatively by equal proportions of Indigenous respondents on compulsory forms of income management and by those on </w:t>
      </w:r>
      <w:r w:rsidR="001544DF">
        <w:t>Voluntary Income Management</w:t>
      </w:r>
      <w:r w:rsidRPr="00DF38B2">
        <w:t>, but much less frequently by non-Indigenous respondents.</w:t>
      </w:r>
    </w:p>
    <w:p w:rsidR="005E1FE0" w:rsidRPr="00DF38B2" w:rsidRDefault="005E1FE0" w:rsidP="006654AE">
      <w:r w:rsidRPr="00DF38B2">
        <w:t>The third question was that of giving the card to others so that they could use it for themselves. The response to this question was similar to that of the first question</w:t>
      </w:r>
      <w:r w:rsidR="00921F37">
        <w:t>,</w:t>
      </w:r>
      <w:r w:rsidRPr="00DF38B2">
        <w:t xml:space="preserve"> with a third agreeing in total, but with a lower proportion of agreement, in this case 25.8 per cent, among non-Indigenous people on compulsory forms of income management. </w:t>
      </w:r>
    </w:p>
    <w:p w:rsidR="005E1FE0" w:rsidRPr="00DF38B2" w:rsidRDefault="005E1FE0" w:rsidP="006654AE">
      <w:pPr>
        <w:pStyle w:val="Caption"/>
      </w:pPr>
      <w:bookmarkStart w:id="351" w:name="_Ref391490584"/>
      <w:bookmarkStart w:id="352" w:name="_Toc403739449"/>
      <w:r w:rsidRPr="00DF38B2">
        <w:t xml:space="preserve">Table </w:t>
      </w:r>
      <w:fldSimple w:instr=" STYLEREF 1 \s ">
        <w:r w:rsidR="00906D13">
          <w:rPr>
            <w:noProof/>
          </w:rPr>
          <w:t>6</w:t>
        </w:r>
      </w:fldSimple>
      <w:r w:rsidR="00D40B64">
        <w:noBreakHyphen/>
      </w:r>
      <w:fldSimple w:instr=" SEQ Table \* ARABIC \s 1 ">
        <w:r w:rsidR="00906D13">
          <w:rPr>
            <w:noProof/>
          </w:rPr>
          <w:t>10</w:t>
        </w:r>
      </w:fldSimple>
      <w:bookmarkEnd w:id="351"/>
      <w:r w:rsidRPr="00DF38B2">
        <w:tab/>
      </w:r>
      <w:r w:rsidR="005211DF">
        <w:t>Ways of use</w:t>
      </w:r>
      <w:r w:rsidRPr="00DF38B2">
        <w:t xml:space="preserve"> of BasicsCard and related questions</w:t>
      </w:r>
      <w:r w:rsidR="005211DF">
        <w:t>,</w:t>
      </w:r>
      <w:r w:rsidR="005211DF" w:rsidRPr="005211DF">
        <w:t xml:space="preserve"> LSNIM Wave 2, 2013</w:t>
      </w:r>
      <w:bookmarkEnd w:id="352"/>
    </w:p>
    <w:tbl>
      <w:tblPr>
        <w:tblW w:w="9006" w:type="dxa"/>
        <w:jc w:val="center"/>
        <w:tblInd w:w="-393" w:type="dxa"/>
        <w:tblLook w:val="04A0" w:firstRow="1" w:lastRow="0" w:firstColumn="1" w:lastColumn="0" w:noHBand="0" w:noVBand="1"/>
        <w:tblDescription w:val="This table presents the incidence of various behaviours and outcomes related to BasicsCard use.&#10;The table is structured around two sets of data presented in rows – firstly 8 particular behaviours of people with regard to the use of BasicsCard and then two questions relating to whether people had to pay more to purchase an item because of having to use BasicsCard and secondly whether they were unable to purchase an item because of having to use BasicsCard.&#10;The incidence of these occurrences is provided for two categorisations of the population in the columns. Firstly by four different location types (Urban locations, Town Camps and similar settlements, non-urban Communities and a residual group of other locations) then by three program types (are Indigenous people on compulsory measures, non-Indigenous people on these measures, all persons on voluntary income management) and then in the eighth column the total income managed population.&#10;The key findings from this data are discussed in the text.&#10;"/>
      </w:tblPr>
      <w:tblGrid>
        <w:gridCol w:w="3134"/>
        <w:gridCol w:w="680"/>
        <w:gridCol w:w="850"/>
        <w:gridCol w:w="750"/>
        <w:gridCol w:w="643"/>
        <w:gridCol w:w="454"/>
        <w:gridCol w:w="661"/>
        <w:gridCol w:w="680"/>
        <w:gridCol w:w="567"/>
        <w:gridCol w:w="587"/>
      </w:tblGrid>
      <w:tr w:rsidR="005E1FE0" w:rsidRPr="00DF38B2" w:rsidTr="000253E5">
        <w:trPr>
          <w:trHeight w:val="20"/>
          <w:tblHeader/>
          <w:jc w:val="center"/>
        </w:trPr>
        <w:tc>
          <w:tcPr>
            <w:tcW w:w="3134" w:type="dxa"/>
            <w:tcBorders>
              <w:top w:val="single" w:sz="4" w:space="0" w:color="auto"/>
              <w:left w:val="nil"/>
              <w:bottom w:val="single" w:sz="4" w:space="0" w:color="auto"/>
              <w:right w:val="nil"/>
            </w:tcBorders>
            <w:shd w:val="clear" w:color="auto" w:fill="auto"/>
            <w:noWrap/>
            <w:hideMark/>
          </w:tcPr>
          <w:p w:rsidR="005E1FE0" w:rsidRPr="00DF38B2" w:rsidRDefault="000253E5" w:rsidP="000253E5">
            <w:pPr>
              <w:pStyle w:val="tabletextleft"/>
              <w:jc w:val="left"/>
              <w:rPr>
                <w:rFonts w:eastAsia="Times New Roman"/>
              </w:rPr>
            </w:pPr>
            <w:r>
              <w:rPr>
                <w:rFonts w:eastAsia="Times New Roman"/>
              </w:rPr>
              <w:t>Proportion reporting that event occurred</w:t>
            </w:r>
          </w:p>
        </w:tc>
        <w:tc>
          <w:tcPr>
            <w:tcW w:w="6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 xml:space="preserve">Urban </w:t>
            </w:r>
            <w:r w:rsidR="000253E5">
              <w:rPr>
                <w:rFonts w:eastAsia="Times New Roman"/>
              </w:rPr>
              <w:t>(%)</w:t>
            </w:r>
          </w:p>
        </w:tc>
        <w:tc>
          <w:tcPr>
            <w:tcW w:w="85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Town Camp/ Settle-</w:t>
            </w:r>
            <w:proofErr w:type="spellStart"/>
            <w:r w:rsidRPr="00DF38B2">
              <w:rPr>
                <w:rFonts w:eastAsia="Times New Roman"/>
              </w:rPr>
              <w:t>ment</w:t>
            </w:r>
            <w:proofErr w:type="spellEnd"/>
            <w:r w:rsidR="000253E5">
              <w:rPr>
                <w:rFonts w:eastAsia="Times New Roman"/>
              </w:rPr>
              <w:t xml:space="preserve"> (%)</w:t>
            </w:r>
          </w:p>
        </w:tc>
        <w:tc>
          <w:tcPr>
            <w:tcW w:w="75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 xml:space="preserve">Non- urban </w:t>
            </w:r>
            <w:proofErr w:type="spellStart"/>
            <w:r w:rsidRPr="00DF38B2">
              <w:rPr>
                <w:rFonts w:eastAsia="Times New Roman"/>
              </w:rPr>
              <w:t>Comm</w:t>
            </w:r>
            <w:proofErr w:type="spellEnd"/>
            <w:r w:rsidRPr="00DF38B2">
              <w:rPr>
                <w:rFonts w:eastAsia="Times New Roman"/>
              </w:rPr>
              <w:t>-unity</w:t>
            </w:r>
            <w:r w:rsidR="000253E5">
              <w:rPr>
                <w:rFonts w:eastAsia="Times New Roman"/>
              </w:rPr>
              <w:t xml:space="preserve"> (%)</w:t>
            </w:r>
          </w:p>
        </w:tc>
        <w:tc>
          <w:tcPr>
            <w:tcW w:w="643"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Other</w:t>
            </w:r>
            <w:r w:rsidR="000253E5">
              <w:rPr>
                <w:rFonts w:eastAsia="Times New Roman"/>
              </w:rPr>
              <w:t xml:space="preserve"> (%)</w:t>
            </w:r>
          </w:p>
        </w:tc>
        <w:tc>
          <w:tcPr>
            <w:tcW w:w="454"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p>
        </w:tc>
        <w:tc>
          <w:tcPr>
            <w:tcW w:w="661" w:type="dxa"/>
            <w:tcBorders>
              <w:top w:val="single" w:sz="4" w:space="0" w:color="auto"/>
              <w:left w:val="nil"/>
              <w:bottom w:val="single" w:sz="4" w:space="0" w:color="auto"/>
              <w:right w:val="nil"/>
            </w:tcBorders>
            <w:shd w:val="clear" w:color="auto" w:fill="auto"/>
            <w:noWrap/>
            <w:hideMark/>
          </w:tcPr>
          <w:p w:rsidR="005E1FE0" w:rsidRPr="00DF38B2" w:rsidRDefault="005E1FE0" w:rsidP="000253E5">
            <w:pPr>
              <w:pStyle w:val="tabletextleft"/>
              <w:jc w:val="right"/>
              <w:rPr>
                <w:rFonts w:eastAsia="Times New Roman"/>
              </w:rPr>
            </w:pPr>
            <w:r w:rsidRPr="00DF38B2">
              <w:rPr>
                <w:rFonts w:eastAsia="Times New Roman"/>
              </w:rPr>
              <w:t xml:space="preserve">CIM </w:t>
            </w:r>
            <w:proofErr w:type="spellStart"/>
            <w:r w:rsidRPr="00DF38B2">
              <w:rPr>
                <w:rFonts w:eastAsia="Times New Roman"/>
              </w:rPr>
              <w:t>Indig</w:t>
            </w:r>
            <w:proofErr w:type="spellEnd"/>
            <w:r w:rsidR="000253E5">
              <w:rPr>
                <w:rFonts w:eastAsia="Times New Roman"/>
              </w:rPr>
              <w:t>. (%)</w:t>
            </w:r>
          </w:p>
        </w:tc>
        <w:tc>
          <w:tcPr>
            <w:tcW w:w="6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CIM non-</w:t>
            </w:r>
            <w:proofErr w:type="spellStart"/>
            <w:r w:rsidRPr="00DF38B2">
              <w:rPr>
                <w:rFonts w:eastAsia="Times New Roman"/>
              </w:rPr>
              <w:t>Indig</w:t>
            </w:r>
            <w:proofErr w:type="spellEnd"/>
            <w:r w:rsidRPr="00DF38B2">
              <w:rPr>
                <w:rFonts w:eastAsia="Times New Roman"/>
              </w:rPr>
              <w:t>.</w:t>
            </w:r>
            <w:r w:rsidR="000253E5">
              <w:rPr>
                <w:rFonts w:eastAsia="Times New Roman"/>
              </w:rPr>
              <w:t xml:space="preserve"> (%)</w:t>
            </w:r>
          </w:p>
        </w:tc>
        <w:tc>
          <w:tcPr>
            <w:tcW w:w="567"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VIM</w:t>
            </w:r>
            <w:r w:rsidR="000253E5">
              <w:rPr>
                <w:rFonts w:eastAsia="Times New Roman"/>
              </w:rPr>
              <w:t xml:space="preserve"> (%)</w:t>
            </w:r>
          </w:p>
        </w:tc>
        <w:tc>
          <w:tcPr>
            <w:tcW w:w="587" w:type="dxa"/>
            <w:tcBorders>
              <w:top w:val="single" w:sz="4" w:space="0" w:color="auto"/>
              <w:left w:val="nil"/>
              <w:bottom w:val="single" w:sz="4" w:space="0" w:color="auto"/>
              <w:right w:val="nil"/>
            </w:tcBorders>
            <w:shd w:val="clear" w:color="auto" w:fill="auto"/>
            <w:noWrap/>
            <w:hideMark/>
          </w:tcPr>
          <w:p w:rsidR="005E1FE0" w:rsidRPr="00DF38B2" w:rsidRDefault="000253E5" w:rsidP="000253E5">
            <w:pPr>
              <w:pStyle w:val="tabletextleft"/>
              <w:jc w:val="right"/>
              <w:rPr>
                <w:rFonts w:eastAsia="Times New Roman"/>
              </w:rPr>
            </w:pPr>
            <w:r>
              <w:rPr>
                <w:rFonts w:eastAsia="Times New Roman"/>
              </w:rPr>
              <w:t>Total (%)</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tcPr>
          <w:p w:rsidR="005E1FE0" w:rsidRPr="00DF38B2" w:rsidRDefault="005E1FE0" w:rsidP="006654AE">
            <w:pPr>
              <w:pStyle w:val="tabletextleft"/>
              <w:ind w:left="333" w:hanging="333"/>
              <w:rPr>
                <w:b/>
                <w:i/>
              </w:rPr>
            </w:pPr>
            <w:r w:rsidRPr="00DF38B2">
              <w:rPr>
                <w:b/>
                <w:i/>
              </w:rPr>
              <w:t>Do you/anyone in your family:</w:t>
            </w:r>
          </w:p>
        </w:tc>
        <w:tc>
          <w:tcPr>
            <w:tcW w:w="68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85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75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43"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454"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8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567"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587"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Share/swap </w:t>
            </w:r>
            <w:r w:rsidR="00EA7AE6" w:rsidRPr="00DF38B2">
              <w:t>BasicsCards</w:t>
            </w:r>
            <w:r w:rsidRPr="009655C3">
              <w:t xml:space="preserve"> when shopping with others</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32.9</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26.5</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42.9</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22.2</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37.1</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30.5</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34.7</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Let others use B</w:t>
            </w:r>
            <w:r w:rsidR="00EA7AE6" w:rsidRPr="00DF38B2">
              <w:t>asicsCard</w:t>
            </w:r>
            <w:r w:rsidRPr="009655C3">
              <w:t>/PIN on behalf</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34.5</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55.3</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48.5</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32.0</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45.3</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44.1</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Let others use </w:t>
            </w:r>
            <w:r w:rsidR="00EA7AE6" w:rsidRPr="00FE502F">
              <w:t>BasicsCard</w:t>
            </w:r>
            <w:r w:rsidRPr="009655C3">
              <w:t>/PIN for self</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34.2</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18.1</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44.7</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38.6</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25.8</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34.4</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Swap food/groceries for money, alcohol, tobacco</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4.9</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14.4</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22.7</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8.1</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15.5</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Swap cards for money, alcohol, tobacco</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18.1</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Cash from taxis</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16.7</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14.0</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Gamble using </w:t>
            </w:r>
            <w:r w:rsidR="00EA7AE6" w:rsidRPr="00FE502F">
              <w:t>BasicsCa</w:t>
            </w:r>
            <w:r w:rsidR="00EA7AE6" w:rsidRPr="009655C3">
              <w:t>rd</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2.8</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Get stores to sell tobacco and alcohol on B</w:t>
            </w:r>
            <w:r w:rsidR="00EA7AE6" w:rsidRPr="00DF38B2">
              <w:t>asicsCard</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6.3</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rPr>
                <w:b/>
                <w:i/>
              </w:rPr>
            </w:pPr>
            <w:r w:rsidRPr="00DF38B2">
              <w:rPr>
                <w:b/>
                <w:i/>
              </w:rPr>
              <w:t>Did you:</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253E5">
        <w:trPr>
          <w:trHeight w:val="20"/>
          <w:jc w:val="center"/>
        </w:trPr>
        <w:tc>
          <w:tcPr>
            <w:tcW w:w="3134" w:type="dxa"/>
            <w:tcBorders>
              <w:top w:val="nil"/>
              <w:left w:val="nil"/>
              <w:right w:val="nil"/>
            </w:tcBorders>
            <w:shd w:val="clear" w:color="auto" w:fill="auto"/>
            <w:noWrap/>
            <w:vAlign w:val="bottom"/>
            <w:hideMark/>
          </w:tcPr>
          <w:p w:rsidR="005E1FE0" w:rsidRPr="009655C3" w:rsidRDefault="005E1FE0" w:rsidP="006654AE">
            <w:pPr>
              <w:pStyle w:val="tabletextleft"/>
              <w:ind w:left="333" w:hanging="333"/>
            </w:pPr>
            <w:r w:rsidRPr="00DF38B2">
              <w:t xml:space="preserve">Pay more because using </w:t>
            </w:r>
            <w:r w:rsidR="00EA7AE6" w:rsidRPr="00FE502F">
              <w:t>BasicsCard</w:t>
            </w:r>
          </w:p>
        </w:tc>
        <w:tc>
          <w:tcPr>
            <w:tcW w:w="68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38.9</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26.0</w:t>
            </w:r>
          </w:p>
        </w:tc>
        <w:tc>
          <w:tcPr>
            <w:tcW w:w="75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39.4</w:t>
            </w:r>
          </w:p>
        </w:tc>
        <w:tc>
          <w:tcPr>
            <w:tcW w:w="64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12.5</w:t>
            </w:r>
          </w:p>
        </w:tc>
        <w:tc>
          <w:tcPr>
            <w:tcW w:w="45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41.3</w:t>
            </w:r>
          </w:p>
        </w:tc>
        <w:tc>
          <w:tcPr>
            <w:tcW w:w="68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33.1</w:t>
            </w:r>
          </w:p>
        </w:tc>
        <w:tc>
          <w:tcPr>
            <w:tcW w:w="56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23.5</w:t>
            </w:r>
          </w:p>
        </w:tc>
        <w:tc>
          <w:tcPr>
            <w:tcW w:w="58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36.7</w:t>
            </w:r>
          </w:p>
        </w:tc>
      </w:tr>
      <w:tr w:rsidR="005E1FE0" w:rsidRPr="00DF38B2" w:rsidTr="000253E5">
        <w:trPr>
          <w:trHeight w:val="20"/>
          <w:jc w:val="center"/>
        </w:trPr>
        <w:tc>
          <w:tcPr>
            <w:tcW w:w="3134" w:type="dxa"/>
            <w:tcBorders>
              <w:top w:val="nil"/>
              <w:left w:val="nil"/>
              <w:bottom w:val="single" w:sz="4" w:space="0" w:color="auto"/>
              <w:right w:val="nil"/>
            </w:tcBorders>
            <w:shd w:val="clear" w:color="auto" w:fill="auto"/>
            <w:noWrap/>
            <w:vAlign w:val="bottom"/>
            <w:hideMark/>
          </w:tcPr>
          <w:p w:rsidR="005E1FE0" w:rsidRPr="009655C3" w:rsidRDefault="005E1FE0" w:rsidP="006654AE">
            <w:pPr>
              <w:pStyle w:val="tabletextleft"/>
              <w:ind w:left="333" w:hanging="333"/>
            </w:pPr>
            <w:r w:rsidRPr="00C132CB">
              <w:t>Couldn</w:t>
            </w:r>
            <w:r w:rsidR="00921F37" w:rsidRPr="00C132CB">
              <w:t>’</w:t>
            </w:r>
            <w:r w:rsidRPr="00C132CB">
              <w:t>t buy something</w:t>
            </w:r>
            <w:r w:rsidRPr="00DF38B2">
              <w:t xml:space="preserve"> on </w:t>
            </w:r>
            <w:r w:rsidR="00EA7AE6" w:rsidRPr="00FE502F">
              <w:t>Basi</w:t>
            </w:r>
            <w:r w:rsidR="00EA7AE6" w:rsidRPr="009655C3">
              <w:t>csCard</w:t>
            </w:r>
          </w:p>
        </w:tc>
        <w:tc>
          <w:tcPr>
            <w:tcW w:w="6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72.7</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35.1</w:t>
            </w:r>
          </w:p>
        </w:tc>
        <w:tc>
          <w:tcPr>
            <w:tcW w:w="7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42.0</w:t>
            </w:r>
          </w:p>
        </w:tc>
        <w:tc>
          <w:tcPr>
            <w:tcW w:w="6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45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55.7</w:t>
            </w:r>
          </w:p>
        </w:tc>
        <w:tc>
          <w:tcPr>
            <w:tcW w:w="6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80.2</w:t>
            </w:r>
          </w:p>
        </w:tc>
        <w:tc>
          <w:tcPr>
            <w:tcW w:w="56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33.3</w:t>
            </w:r>
          </w:p>
        </w:tc>
        <w:tc>
          <w:tcPr>
            <w:tcW w:w="58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59.0</w:t>
            </w:r>
          </w:p>
        </w:tc>
      </w:tr>
    </w:tbl>
    <w:p w:rsidR="000F06BF" w:rsidRDefault="000F06BF" w:rsidP="006654AE">
      <w:pPr>
        <w:pStyle w:val="tablenotes"/>
      </w:pPr>
    </w:p>
    <w:p w:rsidR="005E1FE0" w:rsidRDefault="005E1FE0" w:rsidP="006654AE">
      <w:pPr>
        <w:pStyle w:val="tablenotes"/>
      </w:pPr>
      <w:r w:rsidRPr="00DF38B2">
        <w:t xml:space="preserve">Source: </w:t>
      </w:r>
      <w:r w:rsidRPr="00DF38B2">
        <w:tab/>
        <w:t>LSNIM Wave 2</w:t>
      </w:r>
      <w:r w:rsidR="00BF56C6">
        <w:t>.</w:t>
      </w:r>
    </w:p>
    <w:p w:rsidR="003928BD" w:rsidRPr="00DF38B2" w:rsidRDefault="003928BD" w:rsidP="006654AE">
      <w:pPr>
        <w:pStyle w:val="tablefootnoteslastline"/>
      </w:pPr>
    </w:p>
    <w:p w:rsidR="005E1FE0" w:rsidRPr="00DF38B2" w:rsidRDefault="005E1FE0" w:rsidP="006654AE">
      <w:r w:rsidRPr="00FE502F">
        <w:t>The next group of questions concerned ways in which people could get around the restrictions imposed by income management. The first two questions involved swapping items that could be</w:t>
      </w:r>
      <w:r w:rsidRPr="009655C3">
        <w:t xml:space="preserve"> purchased on BasicsCard for cash, alcohol and tobacco. The first or these asked about swapping food and groceries for these items</w:t>
      </w:r>
      <w:r w:rsidR="00921F37">
        <w:t>;</w:t>
      </w:r>
      <w:r w:rsidRPr="009655C3">
        <w:t xml:space="preserve"> the second was swapping for these items using phone, power and other cards. A priori it was expected that this latter would </w:t>
      </w:r>
      <w:r w:rsidRPr="00DF38B2">
        <w:t>be more common as these cards could form a de</w:t>
      </w:r>
      <w:r w:rsidR="00644732">
        <w:t xml:space="preserve"> </w:t>
      </w:r>
      <w:r w:rsidRPr="00DF38B2">
        <w:t>facto currency with a known value and were highly portable and could be on</w:t>
      </w:r>
      <w:r w:rsidR="00921F37">
        <w:t>-</w:t>
      </w:r>
      <w:r w:rsidRPr="00DF38B2">
        <w:t xml:space="preserve">sold to others. This was not the case. For all groups, except those on </w:t>
      </w:r>
      <w:r w:rsidR="00D1211F">
        <w:t>V</w:t>
      </w:r>
      <w:r w:rsidRPr="00DF38B2">
        <w:t xml:space="preserve">oluntary </w:t>
      </w:r>
      <w:r w:rsidR="00D1211F">
        <w:t>I</w:t>
      </w:r>
      <w:r w:rsidRPr="00DF38B2">
        <w:t xml:space="preserve">ncome </w:t>
      </w:r>
      <w:r w:rsidR="00D1211F">
        <w:t>M</w:t>
      </w:r>
      <w:r w:rsidRPr="00DF38B2">
        <w:t>anagement, and then only by the slightest margin, people reported the swapping of food and groceries as the more common approach. Overall the level of incidence was low – with just 15.5 per cent identifying the swapping of groceries and 13.2 per cent the swapping of cards as a means of obtaining cash, alcohol and tobacco. In both cases these behaviours were reported by a higher proportion of non-Indigenous people on compulsory measures.</w:t>
      </w:r>
    </w:p>
    <w:p w:rsidR="005E1FE0" w:rsidRPr="00DF38B2" w:rsidRDefault="005E1FE0" w:rsidP="006654AE">
      <w:r w:rsidRPr="00DF38B2">
        <w:t xml:space="preserve">A slightly lower proportion, just 12.8 per cent, reported getting cash from taxi drivers. This involves the taxi driver either charging more than the fare </w:t>
      </w:r>
      <w:r w:rsidR="00921F37">
        <w:t xml:space="preserve">is worth </w:t>
      </w:r>
      <w:r w:rsidRPr="00DF38B2">
        <w:t>and providing the balance, or a proportion</w:t>
      </w:r>
      <w:r w:rsidRPr="00DF38B2">
        <w:rPr>
          <w:rStyle w:val="FootnoteReference"/>
        </w:rPr>
        <w:footnoteReference w:id="97"/>
      </w:r>
      <w:r w:rsidRPr="00DF38B2">
        <w:t xml:space="preserve"> of this, to the person as cash, or simply booking up journeys that they did not make and again provi</w:t>
      </w:r>
      <w:r w:rsidRPr="00FE502F">
        <w:t xml:space="preserve">ding a proportion of the value of these as cash. Just </w:t>
      </w:r>
      <w:r w:rsidR="00EE2D69">
        <w:t>3.6</w:t>
      </w:r>
      <w:r w:rsidRPr="00FE502F">
        <w:t> per cent reported</w:t>
      </w:r>
      <w:r w:rsidRPr="009655C3">
        <w:t xml:space="preserve"> this was the case in Town Camps and similar settlements. This response, more than any of the others, suggests that while the question could at its broadest be seen as reporting on hearsay – that some people do it – people were in fact reporting on </w:t>
      </w:r>
      <w:r w:rsidR="007F2D64" w:rsidRPr="009655C3">
        <w:t xml:space="preserve">their </w:t>
      </w:r>
      <w:r w:rsidR="007F2D64" w:rsidRPr="009655C3">
        <w:lastRenderedPageBreak/>
        <w:t xml:space="preserve">own </w:t>
      </w:r>
      <w:r w:rsidRPr="00DF38B2">
        <w:t>behaviour</w:t>
      </w:r>
      <w:r w:rsidR="00A1421A">
        <w:t xml:space="preserve">. </w:t>
      </w:r>
      <w:r w:rsidR="007F2D64" w:rsidRPr="00DF38B2">
        <w:t xml:space="preserve">The reason for this </w:t>
      </w:r>
      <w:r w:rsidR="00D1211F">
        <w:t xml:space="preserve">interpretation </w:t>
      </w:r>
      <w:r w:rsidR="007F2D64" w:rsidRPr="00DF38B2">
        <w:t xml:space="preserve">is </w:t>
      </w:r>
      <w:r w:rsidRPr="00DF38B2">
        <w:t xml:space="preserve">that in qualitative discussions in these communities people indicated that they were aware of this occurring, and indeed most could identify the taxi drivers who would ‘do a deal’ in this regard. The nature of these communities is such </w:t>
      </w:r>
      <w:r w:rsidR="00921F37" w:rsidRPr="00DF38B2">
        <w:t xml:space="preserve">that </w:t>
      </w:r>
      <w:r w:rsidRPr="00DF38B2">
        <w:t>information is very freely exchanged</w:t>
      </w:r>
      <w:r w:rsidR="00921F37">
        <w:t>,</w:t>
      </w:r>
      <w:r w:rsidR="007F2D64" w:rsidRPr="00DF38B2">
        <w:t xml:space="preserve"> and hence</w:t>
      </w:r>
      <w:r w:rsidR="00921F37">
        <w:t>,</w:t>
      </w:r>
      <w:r w:rsidR="007F2D64" w:rsidRPr="00DF38B2">
        <w:t xml:space="preserve"> if people were </w:t>
      </w:r>
      <w:r w:rsidR="00921F37">
        <w:t>merely</w:t>
      </w:r>
      <w:r w:rsidR="007F2D64" w:rsidRPr="00DF38B2">
        <w:t xml:space="preserve"> reporting awareness then it would be expected that there would have been a very high positive response to this question</w:t>
      </w:r>
      <w:r w:rsidRPr="00DF38B2">
        <w:t>.</w:t>
      </w:r>
    </w:p>
    <w:p w:rsidR="005E1FE0" w:rsidRPr="00DF38B2" w:rsidRDefault="005E1FE0" w:rsidP="006654AE">
      <w:r w:rsidRPr="00DF38B2">
        <w:t>The final questions concerned gambling on BasicsCard</w:t>
      </w:r>
      <w:r w:rsidR="00B84F50">
        <w:t xml:space="preserve"> –</w:t>
      </w:r>
      <w:r w:rsidRPr="00DF38B2">
        <w:t xml:space="preserve"> which was only reported by 2.8 per cent of respondents and was limited to urban locations and non-Indigenous participants</w:t>
      </w:r>
      <w:r w:rsidR="00B84F50">
        <w:t xml:space="preserve"> –</w:t>
      </w:r>
      <w:r w:rsidRPr="00DF38B2">
        <w:t xml:space="preserve"> and getting stores to sell alcohol and tobacco to people on BasicsCard. This again was mainly reported in urban locations and more frequently by non-Indigenous</w:t>
      </w:r>
      <w:r w:rsidR="00B84F50">
        <w:t xml:space="preserve"> respondents</w:t>
      </w:r>
      <w:r w:rsidRPr="00DF38B2">
        <w:t>, but in aggregate was only reported by 6.6 per cent of respondents.</w:t>
      </w:r>
    </w:p>
    <w:p w:rsidR="005E1FE0" w:rsidRPr="00DF38B2" w:rsidRDefault="005E1FE0" w:rsidP="006654AE">
      <w:pPr>
        <w:pStyle w:val="Heading4"/>
      </w:pPr>
      <w:r w:rsidRPr="00DF38B2">
        <w:t>Impact of BasicsCard on purchasing by individuals</w:t>
      </w:r>
    </w:p>
    <w:p w:rsidR="005E1FE0" w:rsidRPr="00DF38B2" w:rsidRDefault="005E1FE0" w:rsidP="006654AE">
      <w:r w:rsidRPr="00DF38B2">
        <w:t xml:space="preserve">The remaining two questions asked whether people ever had to pay more for an item because they were using BasicsCard or were unable to purchase an item they wanted because their money was channelled through their BasicsCard. </w:t>
      </w:r>
    </w:p>
    <w:p w:rsidR="005E1FE0" w:rsidRPr="00DF38B2" w:rsidRDefault="005E1FE0" w:rsidP="006654AE">
      <w:r w:rsidRPr="00DF38B2">
        <w:t>Over a third of people reported having to pay more because of the use of BasicsCard</w:t>
      </w:r>
      <w:r w:rsidR="00B84F50">
        <w:t>,</w:t>
      </w:r>
      <w:r w:rsidRPr="00DF38B2">
        <w:t xml:space="preserve"> and almost 60 per cent identified situations where they were unable to purchase items because of their use of BasicsCard. Paying more for items was most frequently reported by Indigenous people subject to compulsory forms of income management</w:t>
      </w:r>
      <w:r w:rsidR="00B84F50">
        <w:t>,</w:t>
      </w:r>
      <w:r w:rsidRPr="00DF38B2">
        <w:t xml:space="preserve"> and not being able to purchase an item was reported by non-Indigenous people on these measures. Amongst this latter group the level of agreement with the question rose to 80.2 per cent. </w:t>
      </w:r>
    </w:p>
    <w:p w:rsidR="005E1FE0" w:rsidRPr="00FE502F" w:rsidRDefault="005E1FE0" w:rsidP="006654AE">
      <w:pPr>
        <w:rPr>
          <w:szCs w:val="19"/>
        </w:rPr>
      </w:pPr>
      <w:r w:rsidRPr="00DF38B2">
        <w:rPr>
          <w:szCs w:val="19"/>
        </w:rPr>
        <w:t xml:space="preserve">Where people responded to these questions the survey contained a follow up question about the circumstances. A selection of these responses </w:t>
      </w:r>
      <w:r w:rsidR="00B84F50">
        <w:rPr>
          <w:szCs w:val="19"/>
        </w:rPr>
        <w:t>is</w:t>
      </w:r>
      <w:r w:rsidR="00B84F50" w:rsidRPr="00DF38B2">
        <w:rPr>
          <w:szCs w:val="19"/>
        </w:rPr>
        <w:t xml:space="preserve"> </w:t>
      </w:r>
      <w:r w:rsidRPr="00DF38B2">
        <w:rPr>
          <w:szCs w:val="19"/>
        </w:rPr>
        <w:t xml:space="preserve">provided in </w:t>
      </w:r>
      <w:r w:rsidRPr="009655C3">
        <w:rPr>
          <w:szCs w:val="19"/>
        </w:rPr>
        <w:fldChar w:fldCharType="begin"/>
      </w:r>
      <w:r w:rsidRPr="00DF38B2">
        <w:rPr>
          <w:szCs w:val="19"/>
        </w:rPr>
        <w:instrText xml:space="preserve"> REF _Ref391496658 \h </w:instrText>
      </w:r>
      <w:r w:rsidRPr="009655C3">
        <w:rPr>
          <w:szCs w:val="19"/>
        </w:rPr>
      </w:r>
      <w:r w:rsidRPr="009655C3">
        <w:rPr>
          <w:szCs w:val="19"/>
        </w:rPr>
        <w:fldChar w:fldCharType="separate"/>
      </w:r>
      <w:r w:rsidR="00906D13" w:rsidRPr="009655C3">
        <w:t xml:space="preserve">Table </w:t>
      </w:r>
      <w:r w:rsidR="00906D13">
        <w:rPr>
          <w:noProof/>
        </w:rPr>
        <w:t>6</w:t>
      </w:r>
      <w:r w:rsidR="00906D13">
        <w:noBreakHyphen/>
      </w:r>
      <w:r w:rsidR="00906D13">
        <w:rPr>
          <w:noProof/>
        </w:rPr>
        <w:t>11</w:t>
      </w:r>
      <w:r w:rsidRPr="009655C3">
        <w:rPr>
          <w:szCs w:val="19"/>
        </w:rPr>
        <w:fldChar w:fldCharType="end"/>
      </w:r>
      <w:r w:rsidRPr="00FE502F">
        <w:rPr>
          <w:szCs w:val="19"/>
        </w:rPr>
        <w:t>.</w:t>
      </w:r>
    </w:p>
    <w:p w:rsidR="005E1FE0" w:rsidRPr="00DF38B2" w:rsidRDefault="005E1FE0" w:rsidP="006654AE">
      <w:pPr>
        <w:pStyle w:val="Caption"/>
        <w:ind w:left="1439" w:hanging="1155"/>
        <w:rPr>
          <w:szCs w:val="19"/>
        </w:rPr>
      </w:pPr>
      <w:bookmarkStart w:id="353" w:name="_Ref391496658"/>
      <w:bookmarkStart w:id="354" w:name="_Toc403739450"/>
      <w:r w:rsidRPr="009655C3">
        <w:t xml:space="preserve">Table </w:t>
      </w:r>
      <w:fldSimple w:instr=" STYLEREF 1 \s ">
        <w:r w:rsidR="00906D13">
          <w:rPr>
            <w:noProof/>
          </w:rPr>
          <w:t>6</w:t>
        </w:r>
      </w:fldSimple>
      <w:r w:rsidR="00D40B64">
        <w:noBreakHyphen/>
      </w:r>
      <w:fldSimple w:instr=" SEQ Table \* ARABIC \s 1 ">
        <w:r w:rsidR="00906D13">
          <w:rPr>
            <w:noProof/>
          </w:rPr>
          <w:t>11</w:t>
        </w:r>
      </w:fldSimple>
      <w:bookmarkEnd w:id="353"/>
      <w:r w:rsidRPr="00DF38B2">
        <w:tab/>
        <w:t>Examples provided of cases where a respondent was either unable to buy an item or had to pay more because their available funds were on their BasicsCard</w:t>
      </w:r>
      <w:r w:rsidR="005211DF">
        <w:t xml:space="preserve">, </w:t>
      </w:r>
      <w:r w:rsidR="005211DF" w:rsidRPr="00DF38B2">
        <w:t>LSNIM Wave 2,</w:t>
      </w:r>
      <w:r w:rsidR="005211DF">
        <w:t xml:space="preserve"> 2013</w:t>
      </w:r>
      <w:bookmarkEnd w:id="354"/>
    </w:p>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t>Minimum payments and surcharges</w:t>
            </w:r>
          </w:p>
        </w:tc>
      </w:tr>
      <w:tr w:rsidR="005E1FE0" w:rsidRPr="00DF38B2" w:rsidTr="00535C84">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Mini buses charge extra $2 if you use BasicsCard.</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Because it is classed as a card so you actually have to buy a certain amount to use it. So because I had to buy tampons I couldn’t actually buy them without buying other things.</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Basic things like 10 per cent surcharge just for using BasicsCard, a lot of shops and taxis do that. I can</w:t>
            </w:r>
            <w:r w:rsidR="00B84F50">
              <w:rPr>
                <w:noProof w:val="0"/>
              </w:rPr>
              <w:t>’</w:t>
            </w:r>
            <w:r w:rsidRPr="00EE2D69">
              <w:rPr>
                <w:noProof w:val="0"/>
              </w:rPr>
              <w:t>t use it on the bus so I have to catch a cab at $20 instead.</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Yep at one chemist I used to go to you had to spend $10 just to use your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Taxis they charge you like an extra $5 on top if you have a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Went to a shop and went to buy a drink and the minimum had to be ten dollars or over to use the EFTPOS and had to buy something else to use my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5 dollar minimum purchase at ___ shops so if shopping for milk and it</w:t>
            </w:r>
            <w:r w:rsidR="00B84F50">
              <w:rPr>
                <w:noProof w:val="0"/>
              </w:rPr>
              <w:t>’</w:t>
            </w:r>
            <w:r w:rsidRPr="00EE2D69">
              <w:rPr>
                <w:noProof w:val="0"/>
              </w:rPr>
              <w:t>s less they charge you the five dollar fee. Fast food outlets don</w:t>
            </w:r>
            <w:r w:rsidR="00B84F50">
              <w:rPr>
                <w:noProof w:val="0"/>
              </w:rPr>
              <w:t>’</w:t>
            </w:r>
            <w:r w:rsidRPr="00EE2D69">
              <w:rPr>
                <w:noProof w:val="0"/>
              </w:rPr>
              <w:t>t accept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0C4773" w:rsidP="006654AE">
            <w:pPr>
              <w:pStyle w:val="toq"/>
              <w:rPr>
                <w:noProof w:val="0"/>
              </w:rPr>
            </w:pPr>
            <w:r w:rsidRPr="00EE2D69">
              <w:rPr>
                <w:noProof w:val="0"/>
              </w:rPr>
              <w:t>Mini bus and taxis if it</w:t>
            </w:r>
            <w:r>
              <w:rPr>
                <w:noProof w:val="0"/>
              </w:rPr>
              <w:t>'</w:t>
            </w:r>
            <w:r w:rsidRPr="00EE2D69">
              <w:rPr>
                <w:noProof w:val="0"/>
              </w:rPr>
              <w:t xml:space="preserve">s cash </w:t>
            </w:r>
            <w:proofErr w:type="gramStart"/>
            <w:r w:rsidRPr="00EE2D69">
              <w:rPr>
                <w:noProof w:val="0"/>
              </w:rPr>
              <w:t>it</w:t>
            </w:r>
            <w:r>
              <w:rPr>
                <w:noProof w:val="0"/>
              </w:rPr>
              <w:t>’</w:t>
            </w:r>
            <w:r w:rsidRPr="00EE2D69">
              <w:rPr>
                <w:noProof w:val="0"/>
              </w:rPr>
              <w:t>s</w:t>
            </w:r>
            <w:proofErr w:type="gramEnd"/>
            <w:r w:rsidRPr="00EE2D69">
              <w:rPr>
                <w:noProof w:val="0"/>
              </w:rPr>
              <w:t xml:space="preserve"> $11 and with the BasicsCard it</w:t>
            </w:r>
            <w:r>
              <w:rPr>
                <w:noProof w:val="0"/>
              </w:rPr>
              <w:t>’</w:t>
            </w:r>
            <w:r w:rsidRPr="00EE2D69">
              <w:rPr>
                <w:noProof w:val="0"/>
              </w:rPr>
              <w:t>s $14.</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Unable to pay bills at the post office and in the country town I live in the local shop doesn</w:t>
            </w:r>
            <w:r w:rsidR="00B84F50">
              <w:rPr>
                <w:noProof w:val="0"/>
              </w:rPr>
              <w:t>’</w:t>
            </w:r>
            <w:r w:rsidRPr="00EE2D69">
              <w:rPr>
                <w:noProof w:val="0"/>
              </w:rPr>
              <w:t>t accept BasicsCard and if the shops do, it</w:t>
            </w:r>
            <w:r w:rsidR="00B84F50">
              <w:rPr>
                <w:noProof w:val="0"/>
              </w:rPr>
              <w:t>’</w:t>
            </w:r>
            <w:r w:rsidRPr="00EE2D69">
              <w:rPr>
                <w:noProof w:val="0"/>
              </w:rPr>
              <w:t>s a $10 minimum to use it.</w:t>
            </w:r>
          </w:p>
        </w:tc>
      </w:tr>
      <w:tr w:rsidR="007F2D64"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At __ store they accept it but you had to pay more to spend your money on it.</w:t>
            </w:r>
          </w:p>
        </w:tc>
      </w:tr>
    </w:tbl>
    <w:p w:rsidR="007F2D64" w:rsidRPr="00DF38B2" w:rsidRDefault="007F2D64" w:rsidP="006654AE"/>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lastRenderedPageBreak/>
              <w:t>Unable to use it in some places</w:t>
            </w:r>
          </w:p>
        </w:tc>
      </w:tr>
      <w:tr w:rsidR="007F2D64" w:rsidRPr="00DF38B2" w:rsidTr="00EE2D69">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 xml:space="preserve">I can’t buy a </w:t>
            </w:r>
            <w:proofErr w:type="spellStart"/>
            <w:r w:rsidRPr="00EE2D69">
              <w:rPr>
                <w:noProof w:val="0"/>
              </w:rPr>
              <w:t>laksa</w:t>
            </w:r>
            <w:proofErr w:type="spellEnd"/>
            <w:r w:rsidRPr="00EE2D69">
              <w:rPr>
                <w:noProof w:val="0"/>
              </w:rPr>
              <w:t xml:space="preserve"> from the markets on the weekend ‘</w:t>
            </w:r>
            <w:proofErr w:type="gramStart"/>
            <w:r w:rsidRPr="00EE2D69">
              <w:rPr>
                <w:noProof w:val="0"/>
              </w:rPr>
              <w:t>cause</w:t>
            </w:r>
            <w:proofErr w:type="gramEnd"/>
            <w:r w:rsidRPr="00EE2D69">
              <w:rPr>
                <w:noProof w:val="0"/>
              </w:rPr>
              <w:t xml:space="preserve"> the markets don’t </w:t>
            </w:r>
            <w:r w:rsidR="00D1211F">
              <w:rPr>
                <w:noProof w:val="0"/>
              </w:rPr>
              <w:t>ac</w:t>
            </w:r>
            <w:r w:rsidRPr="00EE2D69">
              <w:rPr>
                <w:noProof w:val="0"/>
              </w:rPr>
              <w:t>cept BasicsCard.</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would usually buy my fruit and groceries from my local markets and now I can</w:t>
            </w:r>
            <w:r w:rsidR="0050777D">
              <w:rPr>
                <w:noProof w:val="0"/>
              </w:rPr>
              <w:t>’</w:t>
            </w:r>
            <w:r w:rsidRPr="00EE2D69">
              <w:rPr>
                <w:noProof w:val="0"/>
              </w:rPr>
              <w:t>t do that. I hate giving my money out to people I don’t want to shop with.</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DF38B2" w:rsidP="006654AE">
            <w:pPr>
              <w:pStyle w:val="toq"/>
              <w:rPr>
                <w:noProof w:val="0"/>
              </w:rPr>
            </w:pPr>
            <w:r w:rsidRPr="00EE2D69">
              <w:rPr>
                <w:noProof w:val="0"/>
              </w:rPr>
              <w:t xml:space="preserve">Yes </w:t>
            </w:r>
            <w:r>
              <w:rPr>
                <w:noProof w:val="0"/>
              </w:rPr>
              <w:t>'</w:t>
            </w:r>
            <w:r w:rsidRPr="00EE2D69">
              <w:rPr>
                <w:noProof w:val="0"/>
              </w:rPr>
              <w:t>cause some places don</w:t>
            </w:r>
            <w:r w:rsidR="0050777D">
              <w:rPr>
                <w:noProof w:val="0"/>
              </w:rPr>
              <w:t>’</w:t>
            </w:r>
            <w:r w:rsidRPr="00EE2D69">
              <w:rPr>
                <w:noProof w:val="0"/>
              </w:rPr>
              <w:t>t take BasicsCard like restaurants and the Darwin show.</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Buying washing machine at retail store.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Limited stores, some mechanics do not accept BasicsCard. To do it you need to do all this paperwork and get Centrelink to do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could not use BasicsCard at a sports store.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Wanted to purchase washing machine but could not they don</w:t>
            </w:r>
            <w:r w:rsidR="0050777D">
              <w:rPr>
                <w:noProof w:val="0"/>
              </w:rPr>
              <w:t>’</w:t>
            </w:r>
            <w:r w:rsidRPr="00EE2D69">
              <w:rPr>
                <w:noProof w:val="0"/>
              </w:rPr>
              <w:t>t take it</w:t>
            </w:r>
            <w:r w:rsidR="0050777D">
              <w:rPr>
                <w:noProof w:val="0"/>
              </w:rPr>
              <w:t>,</w:t>
            </w:r>
            <w:r w:rsidRPr="00EE2D69">
              <w:rPr>
                <w:noProof w:val="0"/>
              </w:rPr>
              <w:t xml:space="preserve"> same as airlines and government utilities.</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 car, we had the money but it was all in the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Because I couldn</w:t>
            </w:r>
            <w:r w:rsidR="0050777D">
              <w:rPr>
                <w:noProof w:val="0"/>
              </w:rPr>
              <w:t>’</w:t>
            </w:r>
            <w:r w:rsidRPr="00EE2D69">
              <w:rPr>
                <w:noProof w:val="0"/>
              </w:rPr>
              <w:t>t go to the show.</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It is hard when you got big mob money on the BasicsCard, and you can</w:t>
            </w:r>
            <w:r w:rsidR="0050777D">
              <w:rPr>
                <w:noProof w:val="0"/>
              </w:rPr>
              <w:t>’</w:t>
            </w:r>
            <w:r w:rsidRPr="00EE2D69">
              <w:rPr>
                <w:noProof w:val="0"/>
              </w:rPr>
              <w:t>t pay bills because BasicsCard is not accepted at Australia Post, or many other government agencies</w:t>
            </w:r>
            <w:r w:rsidR="0050777D">
              <w:rPr>
                <w:noProof w:val="0"/>
              </w:rPr>
              <w:t xml:space="preserve"> …</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 xml:space="preserve">Yes when I have wanted to buy my fruit and veg from the markets and they don’t </w:t>
            </w:r>
            <w:r w:rsidR="00983906">
              <w:rPr>
                <w:noProof w:val="0"/>
              </w:rPr>
              <w:t>acc</w:t>
            </w:r>
            <w:r w:rsidRPr="00EE2D69">
              <w:rPr>
                <w:noProof w:val="0"/>
              </w:rPr>
              <w:t>ept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tried to pay my power and water bill, wasn</w:t>
            </w:r>
            <w:r w:rsidR="00983906">
              <w:rPr>
                <w:noProof w:val="0"/>
              </w:rPr>
              <w:t>’</w:t>
            </w:r>
            <w:r w:rsidRPr="00EE2D69">
              <w:rPr>
                <w:noProof w:val="0"/>
              </w:rPr>
              <w:t xml:space="preserve">t able to because </w:t>
            </w:r>
            <w:proofErr w:type="spellStart"/>
            <w:r w:rsidRPr="00EE2D69">
              <w:rPr>
                <w:noProof w:val="0"/>
              </w:rPr>
              <w:t>PowerWater</w:t>
            </w:r>
            <w:proofErr w:type="spellEnd"/>
            <w:r w:rsidRPr="00EE2D69">
              <w:rPr>
                <w:noProof w:val="0"/>
              </w:rPr>
              <w:t xml:space="preserve"> do not accept the basic card and neither does the post office.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Baby shopping there are certain shops that don</w:t>
            </w:r>
            <w:r w:rsidR="00983906">
              <w:rPr>
                <w:noProof w:val="0"/>
              </w:rPr>
              <w:t>’</w:t>
            </w:r>
            <w:r w:rsidRPr="00EE2D69">
              <w:rPr>
                <w:noProof w:val="0"/>
              </w:rPr>
              <w:t>t accept it, should just roll it out to every shop except for alcohol and tobacco shops.</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Wanted to get a skip bin and</w:t>
            </w:r>
            <w:r w:rsidR="00D1211F">
              <w:rPr>
                <w:noProof w:val="0"/>
              </w:rPr>
              <w:t xml:space="preserve"> go</w:t>
            </w:r>
            <w:r w:rsidRPr="00EE2D69">
              <w:rPr>
                <w:noProof w:val="0"/>
              </w:rPr>
              <w:t xml:space="preserve"> to ___ </w:t>
            </w:r>
            <w:proofErr w:type="spellStart"/>
            <w:r w:rsidRPr="00EE2D69">
              <w:rPr>
                <w:noProof w:val="0"/>
              </w:rPr>
              <w:t>to</w:t>
            </w:r>
            <w:proofErr w:type="spellEnd"/>
            <w:r w:rsidRPr="00EE2D69">
              <w:rPr>
                <w:noProof w:val="0"/>
              </w:rPr>
              <w:t xml:space="preserve"> get paint and mop bucket but they both don</w:t>
            </w:r>
            <w:r w:rsidR="00983906">
              <w:rPr>
                <w:noProof w:val="0"/>
              </w:rPr>
              <w:t>’</w:t>
            </w:r>
            <w:r w:rsidRPr="00EE2D69">
              <w:rPr>
                <w:noProof w:val="0"/>
              </w:rPr>
              <w:t>t accept the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Things like Avon and things like that, and that</w:t>
            </w:r>
            <w:r w:rsidR="00983906">
              <w:rPr>
                <w:noProof w:val="0"/>
              </w:rPr>
              <w:t>’</w:t>
            </w:r>
            <w:r w:rsidRPr="00EE2D69">
              <w:rPr>
                <w:noProof w:val="0"/>
              </w:rPr>
              <w:t>s cheaper than buying in the stores, but if it comes in one wrong week I can</w:t>
            </w:r>
            <w:r w:rsidR="00983906">
              <w:rPr>
                <w:noProof w:val="0"/>
              </w:rPr>
              <w:t>’</w:t>
            </w:r>
            <w:r w:rsidRPr="00EE2D69">
              <w:rPr>
                <w:noProof w:val="0"/>
              </w:rPr>
              <w:t>t use my card to pay for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At getting fuel in NSW and at the doctors in NT.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 xml:space="preserve">Yep appliance shops and clothes shops and all your bonus money </w:t>
            </w:r>
            <w:proofErr w:type="gramStart"/>
            <w:r w:rsidRPr="00EE2D69">
              <w:rPr>
                <w:noProof w:val="0"/>
              </w:rPr>
              <w:t>goes</w:t>
            </w:r>
            <w:proofErr w:type="gramEnd"/>
            <w:r w:rsidRPr="00EE2D69">
              <w:rPr>
                <w:noProof w:val="0"/>
              </w:rPr>
              <w:t xml:space="preserve"> on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Unable to buy car essentials because ___ &amp; ___ do not accept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Yes very much plenty of times, in Queensland because they don</w:t>
            </w:r>
            <w:r w:rsidR="00983906">
              <w:rPr>
                <w:noProof w:val="0"/>
              </w:rPr>
              <w:t>’</w:t>
            </w:r>
            <w:r w:rsidRPr="00EE2D69">
              <w:rPr>
                <w:noProof w:val="0"/>
              </w:rPr>
              <w:t>t have the BasicsCard facility down there.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wanted to treat myself to a pizza walked in to pay for it and had no cash so walked back out very shameful</w:t>
            </w:r>
            <w:r w:rsidR="00983906">
              <w:rPr>
                <w:noProof w:val="0"/>
              </w:rPr>
              <w: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Now my car</w:t>
            </w:r>
            <w:r w:rsidR="00983906">
              <w:rPr>
                <w:noProof w:val="0"/>
              </w:rPr>
              <w:t>’</w:t>
            </w:r>
            <w:r w:rsidRPr="00EE2D69">
              <w:rPr>
                <w:noProof w:val="0"/>
              </w:rPr>
              <w:t>s in the garage and I have to pay cash cause they don</w:t>
            </w:r>
            <w:r w:rsidR="00983906">
              <w:rPr>
                <w:noProof w:val="0"/>
              </w:rPr>
              <w:t>’</w:t>
            </w:r>
            <w:r w:rsidRPr="00EE2D69">
              <w:rPr>
                <w:noProof w:val="0"/>
              </w:rPr>
              <w:t>t take BasicsCard and only certain places take it.</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Just I like to go buy things like tickets for concerts and you can</w:t>
            </w:r>
            <w:r w:rsidR="00983906">
              <w:rPr>
                <w:noProof w:val="0"/>
              </w:rPr>
              <w:t>’</w:t>
            </w:r>
            <w:r w:rsidRPr="00EE2D69">
              <w:rPr>
                <w:noProof w:val="0"/>
              </w:rPr>
              <w:t>t. Needed tyres and couldn</w:t>
            </w:r>
            <w:r w:rsidR="00983906">
              <w:rPr>
                <w:noProof w:val="0"/>
              </w:rPr>
              <w:t>’</w:t>
            </w:r>
            <w:r w:rsidRPr="00EE2D69">
              <w:rPr>
                <w:noProof w:val="0"/>
              </w:rPr>
              <w:t>t get them either.</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When I went to Adelaide for a holiday I couldn</w:t>
            </w:r>
            <w:r w:rsidR="00983906">
              <w:rPr>
                <w:noProof w:val="0"/>
              </w:rPr>
              <w:t>’</w:t>
            </w:r>
            <w:r w:rsidRPr="00EE2D69">
              <w:rPr>
                <w:noProof w:val="0"/>
              </w:rPr>
              <w:t>t pay certain stuff because BasicsCard wasn</w:t>
            </w:r>
            <w:r w:rsidR="00983906">
              <w:rPr>
                <w:noProof w:val="0"/>
              </w:rPr>
              <w:t>’</w:t>
            </w:r>
            <w:r w:rsidRPr="00EE2D69">
              <w:rPr>
                <w:noProof w:val="0"/>
              </w:rPr>
              <w:t>t accepted.</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BasicsCard has been good for the enforced food purchases, but other than that my son has infantile spasms and needs special therapy that can</w:t>
            </w:r>
            <w:r w:rsidR="00983906">
              <w:rPr>
                <w:noProof w:val="0"/>
              </w:rPr>
              <w:t>’</w:t>
            </w:r>
            <w:r w:rsidRPr="00EE2D69">
              <w:rPr>
                <w:noProof w:val="0"/>
              </w:rPr>
              <w:t>t be paid for on BasicsCard.</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Clothes I don</w:t>
            </w:r>
            <w:r w:rsidR="00983906">
              <w:rPr>
                <w:noProof w:val="0"/>
              </w:rPr>
              <w:t>’</w:t>
            </w:r>
            <w:r w:rsidRPr="00EE2D69">
              <w:rPr>
                <w:noProof w:val="0"/>
              </w:rPr>
              <w:t xml:space="preserve">t like going to ___ and ___ all the time, </w:t>
            </w:r>
            <w:proofErr w:type="spellStart"/>
            <w:r w:rsidRPr="00EE2D69">
              <w:rPr>
                <w:noProof w:val="0"/>
              </w:rPr>
              <w:t>wanna</w:t>
            </w:r>
            <w:proofErr w:type="spellEnd"/>
            <w:r w:rsidRPr="00EE2D69">
              <w:rPr>
                <w:noProof w:val="0"/>
              </w:rPr>
              <w:t xml:space="preserve"> get nice things but there</w:t>
            </w:r>
            <w:r w:rsidR="00983906">
              <w:rPr>
                <w:noProof w:val="0"/>
              </w:rPr>
              <w:t>’</w:t>
            </w:r>
            <w:r w:rsidRPr="00EE2D69">
              <w:rPr>
                <w:noProof w:val="0"/>
              </w:rPr>
              <w:t xml:space="preserve">s no nice shops </w:t>
            </w:r>
            <w:proofErr w:type="gramStart"/>
            <w:r w:rsidRPr="00EE2D69">
              <w:rPr>
                <w:noProof w:val="0"/>
              </w:rPr>
              <w:t>who</w:t>
            </w:r>
            <w:proofErr w:type="gramEnd"/>
            <w:r w:rsidRPr="00EE2D69">
              <w:rPr>
                <w:noProof w:val="0"/>
              </w:rPr>
              <w:t xml:space="preserve"> have it. </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I went to a certain clothes shop but they didn</w:t>
            </w:r>
            <w:r w:rsidR="00983906">
              <w:rPr>
                <w:noProof w:val="0"/>
              </w:rPr>
              <w:t>’</w:t>
            </w:r>
            <w:r w:rsidRPr="00EE2D69">
              <w:rPr>
                <w:noProof w:val="0"/>
              </w:rPr>
              <w:t>t accept the BasicsCard therefore I couldn</w:t>
            </w:r>
            <w:r w:rsidR="00983906">
              <w:rPr>
                <w:noProof w:val="0"/>
              </w:rPr>
              <w:t>’</w:t>
            </w:r>
            <w:r w:rsidRPr="00EE2D69">
              <w:rPr>
                <w:noProof w:val="0"/>
              </w:rPr>
              <w:t>t buy what I wanted to buy.</w:t>
            </w:r>
          </w:p>
        </w:tc>
      </w:tr>
      <w:tr w:rsidR="006A4A22"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Yes fuel, I went to ___ put $60 fuel in and because the fuel station is connected to the pub they don</w:t>
            </w:r>
            <w:r w:rsidR="00983906">
              <w:rPr>
                <w:noProof w:val="0"/>
              </w:rPr>
              <w:t>’</w:t>
            </w:r>
            <w:r w:rsidRPr="00EE2D69">
              <w:rPr>
                <w:noProof w:val="0"/>
              </w:rPr>
              <w:t>t take BasicsCard. So I couldn't pay for my fuel which was very embarrassing.</w:t>
            </w:r>
          </w:p>
        </w:tc>
      </w:tr>
    </w:tbl>
    <w:p w:rsidR="006A4A22" w:rsidRPr="00DF38B2" w:rsidRDefault="006A4A22" w:rsidP="006654AE"/>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t>Problems of paying more because of limited stores</w:t>
            </w:r>
          </w:p>
        </w:tc>
      </w:tr>
      <w:tr w:rsidR="007F2D64" w:rsidRPr="00DF38B2" w:rsidTr="00EE2D69">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 xml:space="preserve">Yeah had to buy DVD from ___ </w:t>
            </w:r>
            <w:proofErr w:type="gramStart"/>
            <w:r w:rsidRPr="00EE2D69">
              <w:rPr>
                <w:noProof w:val="0"/>
              </w:rPr>
              <w:t>cause</w:t>
            </w:r>
            <w:proofErr w:type="gramEnd"/>
            <w:r w:rsidRPr="00EE2D69">
              <w:rPr>
                <w:noProof w:val="0"/>
              </w:rPr>
              <w:t xml:space="preserve"> __ didn</w:t>
            </w:r>
            <w:r w:rsidR="00983906">
              <w:rPr>
                <w:noProof w:val="0"/>
              </w:rPr>
              <w:t>’</w:t>
            </w:r>
            <w:r w:rsidRPr="00EE2D69">
              <w:rPr>
                <w:noProof w:val="0"/>
              </w:rPr>
              <w:t>t accept BasicsCard and were having a special.</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Wanted to have takeaway and can</w:t>
            </w:r>
            <w:r w:rsidR="00983906">
              <w:rPr>
                <w:noProof w:val="0"/>
              </w:rPr>
              <w:t>’</w:t>
            </w:r>
            <w:r w:rsidRPr="00EE2D69">
              <w:rPr>
                <w:noProof w:val="0"/>
              </w:rPr>
              <w:t>t just get fish and chips which is cheap. Have to go to ___ take away and spend 100 dollars for one night’s food.</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Having to catch a cab which is way more expensive than the bus!!!</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Going to stores that don’t accept BasicsCard and really wanting something from there but you have to go somewhere that accepts BasicsCard and buying it for more.</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Certain things off eBay, I use it to save money, also car services, I have a lot of mates who are mechanics and can get stuff done cheaper but Centrelink won’t pay them</w:t>
            </w:r>
            <w:r w:rsidR="00983906">
              <w:rPr>
                <w:noProof w:val="0"/>
              </w:rPr>
              <w:t xml:space="preserve"> …</w:t>
            </w:r>
          </w:p>
        </w:tc>
      </w:tr>
      <w:tr w:rsidR="007F2D64"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Cannot make purchases at certain stores which may have cheaper options, very frustrating as I am a bargain shopper.</w:t>
            </w:r>
          </w:p>
        </w:tc>
      </w:tr>
    </w:tbl>
    <w:p w:rsidR="007F2D64" w:rsidRPr="00DF38B2" w:rsidRDefault="007F2D64" w:rsidP="006654AE"/>
    <w:tbl>
      <w:tblPr>
        <w:tblW w:w="894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6A4A22" w:rsidRPr="00DF38B2" w:rsidTr="00B14A7E">
        <w:trPr>
          <w:trHeight w:val="20"/>
          <w:tblHeader/>
        </w:trPr>
        <w:tc>
          <w:tcPr>
            <w:tcW w:w="8946" w:type="dxa"/>
            <w:tcBorders>
              <w:top w:val="single" w:sz="4" w:space="0" w:color="auto"/>
              <w:bottom w:val="single" w:sz="4" w:space="0" w:color="auto"/>
            </w:tcBorders>
            <w:shd w:val="clear" w:color="auto" w:fill="auto"/>
            <w:noWrap/>
            <w:tcMar>
              <w:top w:w="28" w:type="dxa"/>
              <w:bottom w:w="28" w:type="dxa"/>
            </w:tcMar>
            <w:vAlign w:val="bottom"/>
          </w:tcPr>
          <w:p w:rsidR="006A4A22" w:rsidRPr="00EE2D69" w:rsidRDefault="006A4A22" w:rsidP="006654AE">
            <w:pPr>
              <w:pStyle w:val="toq"/>
              <w:jc w:val="center"/>
              <w:rPr>
                <w:b/>
                <w:noProof w:val="0"/>
              </w:rPr>
            </w:pPr>
            <w:r w:rsidRPr="00EE2D69">
              <w:rPr>
                <w:b/>
                <w:noProof w:val="0"/>
              </w:rPr>
              <w:lastRenderedPageBreak/>
              <w:t>More general issues</w:t>
            </w:r>
          </w:p>
        </w:tc>
      </w:tr>
      <w:tr w:rsidR="007F2D64" w:rsidRPr="00DF38B2" w:rsidTr="00EE2D69">
        <w:trPr>
          <w:trHeight w:val="20"/>
        </w:trPr>
        <w:tc>
          <w:tcPr>
            <w:tcW w:w="8946" w:type="dxa"/>
            <w:tcBorders>
              <w:top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Businesses can choose whether they want to accept the BasicsCard. Very judgemental.</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My uncle’s funeral I didn</w:t>
            </w:r>
            <w:r w:rsidR="00983906">
              <w:rPr>
                <w:noProof w:val="0"/>
              </w:rPr>
              <w:t>’</w:t>
            </w:r>
            <w:r w:rsidRPr="00EE2D69">
              <w:rPr>
                <w:noProof w:val="0"/>
              </w:rPr>
              <w:t>t have enough money in my basic card to buy my bus ticket to go for his funeral but lucky I had my June/July top</w:t>
            </w:r>
            <w:r w:rsidR="00983906">
              <w:rPr>
                <w:noProof w:val="0"/>
              </w:rPr>
              <w:t>-</w:t>
            </w:r>
            <w:r w:rsidRPr="00EE2D69">
              <w:rPr>
                <w:noProof w:val="0"/>
              </w:rPr>
              <w:t>up money.</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I had to get new furniture and have to wait for days to get it all processed and get quotes from places for Centrelink to pay them it was really embarrassing.</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D1211F">
            <w:pPr>
              <w:pStyle w:val="toq"/>
              <w:rPr>
                <w:noProof w:val="0"/>
              </w:rPr>
            </w:pPr>
            <w:r w:rsidRPr="00EE2D69">
              <w:rPr>
                <w:noProof w:val="0"/>
              </w:rPr>
              <w:t xml:space="preserve">___ </w:t>
            </w:r>
            <w:proofErr w:type="gramStart"/>
            <w:r w:rsidRPr="00EE2D69">
              <w:rPr>
                <w:noProof w:val="0"/>
              </w:rPr>
              <w:t>stores</w:t>
            </w:r>
            <w:proofErr w:type="gramEnd"/>
            <w:r w:rsidRPr="00EE2D69">
              <w:rPr>
                <w:noProof w:val="0"/>
              </w:rPr>
              <w:t xml:space="preserve"> had to take time out to get a letter from </w:t>
            </w:r>
            <w:r w:rsidR="00D1211F">
              <w:rPr>
                <w:noProof w:val="0"/>
              </w:rPr>
              <w:t>C</w:t>
            </w:r>
            <w:r w:rsidRPr="00EE2D69">
              <w:rPr>
                <w:noProof w:val="0"/>
              </w:rPr>
              <w:t>entrelink to buy from that store which took too much time.</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Yes some people get real aggressive and the kids are crying for hot food and you can</w:t>
            </w:r>
            <w:r w:rsidR="00983906">
              <w:rPr>
                <w:noProof w:val="0"/>
              </w:rPr>
              <w:t>’</w:t>
            </w:r>
            <w:r w:rsidRPr="00EE2D69">
              <w:rPr>
                <w:noProof w:val="0"/>
              </w:rPr>
              <w:t>t get it because they don</w:t>
            </w:r>
            <w:r w:rsidR="00983906">
              <w:rPr>
                <w:noProof w:val="0"/>
              </w:rPr>
              <w:t>’</w:t>
            </w:r>
            <w:r w:rsidRPr="00EE2D69">
              <w:rPr>
                <w:noProof w:val="0"/>
              </w:rPr>
              <w:t>t take BasicsCard and it really hurts you.</w:t>
            </w:r>
          </w:p>
        </w:tc>
      </w:tr>
    </w:tbl>
    <w:p w:rsidR="005E1FE0" w:rsidRDefault="005E1FE0" w:rsidP="006654AE">
      <w:pPr>
        <w:pStyle w:val="tablenotes"/>
      </w:pPr>
      <w:r w:rsidRPr="00DF38B2">
        <w:t>Source:</w:t>
      </w:r>
      <w:r w:rsidR="00BF56C6">
        <w:tab/>
      </w:r>
      <w:r w:rsidRPr="00DF38B2">
        <w:t xml:space="preserve"> LSNIM Wave 2</w:t>
      </w:r>
      <w:r w:rsidR="00BF56C6">
        <w:t>.</w:t>
      </w:r>
    </w:p>
    <w:p w:rsidR="003928BD" w:rsidRPr="00DF38B2" w:rsidRDefault="003928BD" w:rsidP="006654AE">
      <w:pPr>
        <w:pStyle w:val="tablefootnoteslastline"/>
      </w:pPr>
    </w:p>
    <w:p w:rsidR="005E1FE0" w:rsidRPr="00DF38B2" w:rsidRDefault="005E1FE0" w:rsidP="006654AE">
      <w:pPr>
        <w:rPr>
          <w:szCs w:val="19"/>
        </w:rPr>
      </w:pPr>
      <w:r w:rsidRPr="00DF38B2">
        <w:rPr>
          <w:szCs w:val="19"/>
        </w:rPr>
        <w:t>A range of themes can be drawn from these qualitative responses:</w:t>
      </w:r>
    </w:p>
    <w:p w:rsidR="005E1FE0" w:rsidRPr="00DF38B2" w:rsidRDefault="005E1FE0" w:rsidP="006654AE">
      <w:pPr>
        <w:pStyle w:val="dot"/>
      </w:pPr>
      <w:r w:rsidRPr="00DF38B2">
        <w:t xml:space="preserve">Many stores impose a minimum purchase amount on the use of EFTPOS cards and extend this to BasicsCard. Taxis in particular impose a surcharge on the use of EFTPOS and appear to impose this </w:t>
      </w:r>
      <w:r w:rsidR="00983906" w:rsidRPr="00DF38B2">
        <w:t xml:space="preserve">commonly </w:t>
      </w:r>
      <w:r w:rsidRPr="00DF38B2">
        <w:t>on the use of BasicsCard</w:t>
      </w:r>
      <w:r w:rsidR="00983906">
        <w:t>.</w:t>
      </w:r>
      <w:r w:rsidRPr="00DF38B2">
        <w:rPr>
          <w:rStyle w:val="FootnoteReference"/>
        </w:rPr>
        <w:footnoteReference w:id="98"/>
      </w:r>
      <w:r w:rsidRPr="00DF38B2">
        <w:t xml:space="preserve"> </w:t>
      </w:r>
    </w:p>
    <w:p w:rsidR="005E1FE0" w:rsidRPr="00DF38B2" w:rsidRDefault="005E1FE0" w:rsidP="006654AE">
      <w:pPr>
        <w:pStyle w:val="dot"/>
      </w:pPr>
      <w:r w:rsidRPr="00DF38B2">
        <w:t>Many retail and service outlets do not accept BasicsCard. This includes major services such as the Post Office</w:t>
      </w:r>
      <w:bookmarkStart w:id="355" w:name="_Ref398106637"/>
      <w:r w:rsidR="00EE2D69">
        <w:rPr>
          <w:rStyle w:val="FootnoteReference"/>
        </w:rPr>
        <w:footnoteReference w:id="99"/>
      </w:r>
      <w:bookmarkEnd w:id="355"/>
      <w:r w:rsidRPr="00DF38B2">
        <w:t xml:space="preserve"> and utilities such as </w:t>
      </w:r>
      <w:proofErr w:type="spellStart"/>
      <w:r w:rsidRPr="00DF38B2">
        <w:t>PowerWater</w:t>
      </w:r>
      <w:proofErr w:type="spellEnd"/>
      <w:r w:rsidRPr="00DF38B2">
        <w:t>. While in this latter case they will accept Centrepay deductions and other direct credits, a person who receives a power bill cannot simply walk into the office and pay it with their BasicsCard.</w:t>
      </w:r>
      <w:bookmarkStart w:id="356" w:name="_Ref398106642"/>
      <w:r w:rsidR="009C5859">
        <w:rPr>
          <w:rStyle w:val="FootnoteReference"/>
        </w:rPr>
        <w:footnoteReference w:id="100"/>
      </w:r>
      <w:bookmarkEnd w:id="356"/>
    </w:p>
    <w:p w:rsidR="005E1FE0" w:rsidRPr="00DF38B2" w:rsidRDefault="005E1FE0" w:rsidP="006654AE">
      <w:pPr>
        <w:pStyle w:val="dot"/>
      </w:pPr>
      <w:r w:rsidRPr="00DF38B2">
        <w:t>Non</w:t>
      </w:r>
      <w:r w:rsidR="00414118">
        <w:t>-</w:t>
      </w:r>
      <w:r w:rsidRPr="00DF38B2">
        <w:t>acceptance of BasicsCard is a major issue for people who seek to purchase items from outlets other than a standard shop, including markets, the internet and direct sales. This is a particular problem for people in Darwin</w:t>
      </w:r>
      <w:r w:rsidR="00414118">
        <w:t>,</w:t>
      </w:r>
      <w:r w:rsidRPr="00DF38B2">
        <w:t xml:space="preserve"> where various markets are a significant supplier of fresh fruit and vegetables, as well as for informal eating out. While it is potentially possible for some of these outlets to become registered merchants, some of the requirements, such as itemised receipts and records</w:t>
      </w:r>
      <w:r w:rsidR="00414118">
        <w:t>,</w:t>
      </w:r>
      <w:r w:rsidRPr="00DF38B2">
        <w:t xml:space="preserve"> would add substantially to their costs, given their business models. </w:t>
      </w:r>
    </w:p>
    <w:p w:rsidR="005E1FE0" w:rsidRPr="00DF38B2" w:rsidRDefault="005E1FE0" w:rsidP="006654AE">
      <w:pPr>
        <w:pStyle w:val="dot"/>
      </w:pPr>
      <w:r w:rsidRPr="00DF38B2">
        <w:t>The inability to use the card for events such as shows, which are important community and recreational events, has been a recurrent theme</w:t>
      </w:r>
      <w:r w:rsidR="00414118">
        <w:t>,</w:t>
      </w:r>
      <w:r w:rsidRPr="00DF38B2">
        <w:t xml:space="preserve"> especially for many younger respondents</w:t>
      </w:r>
      <w:r w:rsidR="00D1211F">
        <w:t xml:space="preserve"> and parents</w:t>
      </w:r>
      <w:r w:rsidRPr="00DF38B2">
        <w:t>.</w:t>
      </w:r>
    </w:p>
    <w:p w:rsidR="005E1FE0" w:rsidRPr="00DF38B2" w:rsidRDefault="005E1FE0" w:rsidP="006654AE">
      <w:pPr>
        <w:pStyle w:val="dot"/>
      </w:pPr>
      <w:r w:rsidRPr="00DF38B2">
        <w:t>The issues which arise due to the requirements merchants need to meet in order to be approved to accept BasicsCard transactions. While stores that primarily sell items such as DVDs or phones cannot gain approval as BasicsCard merchants, there are no restrictions on the purchase of these items from stores such as supermarkets</w:t>
      </w:r>
      <w:r w:rsidR="00414118">
        <w:t>,</w:t>
      </w:r>
      <w:r w:rsidRPr="00DF38B2">
        <w:t xml:space="preserve"> which all sell these items. </w:t>
      </w:r>
    </w:p>
    <w:p w:rsidR="005E1FE0" w:rsidRPr="00DF38B2" w:rsidRDefault="005E1FE0" w:rsidP="006654AE">
      <w:pPr>
        <w:pStyle w:val="undot"/>
      </w:pPr>
      <w:r w:rsidRPr="00DF38B2">
        <w:t xml:space="preserve">While in theory these purchases can be made by arrangement with Centrelink, this imposes a considerable administrative burden upon the individuals </w:t>
      </w:r>
      <w:r w:rsidR="00414118" w:rsidRPr="00DF38B2">
        <w:t xml:space="preserve">to </w:t>
      </w:r>
      <w:r w:rsidRPr="00DF38B2">
        <w:t xml:space="preserve">document the item they wish to purchase, then deal with Centrelink, including potentially </w:t>
      </w:r>
      <w:r w:rsidR="009C5859">
        <w:t>having to answer a series of questions</w:t>
      </w:r>
      <w:r w:rsidR="00414118" w:rsidRPr="00DF38B2">
        <w:t xml:space="preserve"> </w:t>
      </w:r>
      <w:r w:rsidRPr="00DF38B2">
        <w:t>as to whether or not they have met their basic expenditure, and then after payment has been arranged to return to the store after a period to obtain the product. As cited in a number of examples given above, this also means that many people are unable to take immediate benefit from discounted and sales pricing, and end up having to pay full retail prices if they wish to purchase an item. This issue can also be seen in the case of takeaway food. While a supermarket can sell this to a person on BasicsCard, a restaurant or takeaway food outlet cannot.</w:t>
      </w:r>
    </w:p>
    <w:p w:rsidR="006A4A22" w:rsidRPr="00823476" w:rsidRDefault="006A4A22" w:rsidP="006654AE">
      <w:r w:rsidRPr="008E4D9D">
        <w:t>While it can be argued that some of the items which people report not being ab</w:t>
      </w:r>
      <w:r w:rsidRPr="003D75FE">
        <w:t>le to be purchased on BasicsCard can be purchased from their non-income managed part of their income support payment</w:t>
      </w:r>
      <w:r w:rsidR="00CF7EEE">
        <w:t>,</w:t>
      </w:r>
      <w:r w:rsidRPr="003D75FE">
        <w:t xml:space="preserve"> it should be noted that in a number of cases, for example</w:t>
      </w:r>
      <w:r w:rsidR="00CF7EEE">
        <w:t>,</w:t>
      </w:r>
      <w:r w:rsidRPr="003D75FE">
        <w:t xml:space="preserve"> where a person needs to use this cash component </w:t>
      </w:r>
      <w:r w:rsidRPr="003D75FE">
        <w:lastRenderedPageBreak/>
        <w:t xml:space="preserve">to pay for housing costs </w:t>
      </w:r>
      <w:r w:rsidRPr="00506E74">
        <w:t>in situations where they cannot do this on BasicsCard or through a direct payme</w:t>
      </w:r>
      <w:r w:rsidR="00666BF3" w:rsidRPr="00506E74">
        <w:t xml:space="preserve">nt, that virtually all of the money they have available for other purchases is on their BasicsCard – </w:t>
      </w:r>
      <w:r w:rsidR="00666BF3" w:rsidRPr="00B8523A">
        <w:t>giving</w:t>
      </w:r>
      <w:r w:rsidR="00666BF3" w:rsidRPr="00961A43">
        <w:t xml:space="preserve"> </w:t>
      </w:r>
      <w:r w:rsidR="00666BF3" w:rsidRPr="00823476">
        <w:t xml:space="preserve">them no capacity to make these other purchases in any </w:t>
      </w:r>
      <w:r w:rsidR="00CF7EEE">
        <w:t>alternative</w:t>
      </w:r>
      <w:r w:rsidR="00666BF3" w:rsidRPr="00823476">
        <w:t xml:space="preserve"> way.</w:t>
      </w:r>
      <w:r w:rsidR="005211DF">
        <w:rPr>
          <w:rStyle w:val="FootnoteReference"/>
        </w:rPr>
        <w:footnoteReference w:id="101"/>
      </w:r>
    </w:p>
    <w:p w:rsidR="005E1FE0" w:rsidRPr="00DF38B2" w:rsidRDefault="005E1FE0" w:rsidP="006654AE">
      <w:pPr>
        <w:pStyle w:val="Heading2"/>
      </w:pPr>
      <w:bookmarkStart w:id="357" w:name="_Toc403739049"/>
      <w:r w:rsidRPr="00DF38B2">
        <w:t>Spending at stores</w:t>
      </w:r>
      <w:bookmarkEnd w:id="357"/>
    </w:p>
    <w:p w:rsidR="005E1FE0" w:rsidRPr="00DF38B2" w:rsidRDefault="00433A52" w:rsidP="006654AE">
      <w:r>
        <w:t>Some urban stores</w:t>
      </w:r>
      <w:r w:rsidR="005E1FE0" w:rsidRPr="00DF38B2">
        <w:t xml:space="preserve"> and two groups of remote community stores have made a major contribution to this evaluation by providing detailed information on sales. In the case of the urban </w:t>
      </w:r>
      <w:r>
        <w:t>stores</w:t>
      </w:r>
      <w:r w:rsidRPr="00DF38B2">
        <w:t xml:space="preserve"> </w:t>
      </w:r>
      <w:r w:rsidR="005E1FE0" w:rsidRPr="00DF38B2">
        <w:t xml:space="preserve">the data a time series of aggregate expenditure on BasicsCard and total expenditure at a detailed product level. In the case of community stores it was detailed transaction data documenting individual transactions on BasicsCard on a single day, along with total sales </w:t>
      </w:r>
      <w:r w:rsidR="00666BF3" w:rsidRPr="00DF38B2">
        <w:t xml:space="preserve">at the store on that day </w:t>
      </w:r>
      <w:r w:rsidR="005E1FE0" w:rsidRPr="00DF38B2">
        <w:t>at the same level of disaggregation. In addition, these stores have provided some longer</w:t>
      </w:r>
      <w:r w:rsidR="00B45D47">
        <w:t>-</w:t>
      </w:r>
      <w:r w:rsidR="005E1FE0" w:rsidRPr="00DF38B2">
        <w:t>term aggregate data on specific sales</w:t>
      </w:r>
      <w:r w:rsidR="00B45D47">
        <w:t>,</w:t>
      </w:r>
      <w:r w:rsidR="005E1FE0" w:rsidRPr="00DF38B2">
        <w:t xml:space="preserve"> including tobacco. Th</w:t>
      </w:r>
      <w:r w:rsidR="00115F4A">
        <w:t>ese</w:t>
      </w:r>
      <w:r w:rsidR="005E1FE0" w:rsidRPr="00DF38B2">
        <w:t xml:space="preserve"> data ha</w:t>
      </w:r>
      <w:r w:rsidR="00115F4A">
        <w:t>ve</w:t>
      </w:r>
      <w:r w:rsidR="005E1FE0" w:rsidRPr="00DF38B2">
        <w:t xml:space="preserve"> been drawn upon extensively in the underlying analysis of the evaluation</w:t>
      </w:r>
      <w:r w:rsidR="00B45D47">
        <w:t>,</w:t>
      </w:r>
      <w:r w:rsidR="005E1FE0" w:rsidRPr="00DF38B2">
        <w:t xml:space="preserve"> but </w:t>
      </w:r>
      <w:r w:rsidR="00115F4A">
        <w:t>have not been</w:t>
      </w:r>
      <w:r w:rsidR="005E1FE0" w:rsidRPr="00DF38B2">
        <w:t xml:space="preserve"> reproduced in detail as much of </w:t>
      </w:r>
      <w:r w:rsidR="00115F4A">
        <w:t>the data</w:t>
      </w:r>
      <w:r w:rsidR="005E1FE0" w:rsidRPr="00DF38B2">
        <w:t xml:space="preserve"> is commercial in</w:t>
      </w:r>
      <w:r w:rsidR="00B45D47">
        <w:t>-</w:t>
      </w:r>
      <w:r w:rsidR="005E1FE0" w:rsidRPr="00DF38B2">
        <w:t>confidence.</w:t>
      </w:r>
    </w:p>
    <w:p w:rsidR="005E1FE0" w:rsidRPr="00DF38B2" w:rsidRDefault="005E1FE0" w:rsidP="006654AE">
      <w:r w:rsidRPr="00DF38B2">
        <w:t xml:space="preserve">In analysing these data particular attention also needs to be given to the extent to which there are differences in the populations on income management that use different types of stores. Those who shop at community stores are mainly </w:t>
      </w:r>
      <w:proofErr w:type="gramStart"/>
      <w:r w:rsidRPr="00DF38B2">
        <w:t>Indigenous</w:t>
      </w:r>
      <w:proofErr w:type="gramEnd"/>
      <w:r w:rsidRPr="00DF38B2">
        <w:t xml:space="preserve"> people living in isolated communities, while those shopping at retail chains are an urban population and are much more likely to be non-Indigenous.</w:t>
      </w:r>
      <w:r w:rsidR="00666BF3" w:rsidRPr="00DF38B2">
        <w:t xml:space="preserve"> The data used in the analysis has no additional details on individual</w:t>
      </w:r>
      <w:r w:rsidR="00B45D47">
        <w:t>s</w:t>
      </w:r>
      <w:r w:rsidR="00666BF3" w:rsidRPr="00DF38B2">
        <w:t xml:space="preserve"> other than that they made the purchase using a BasicsCard.</w:t>
      </w:r>
    </w:p>
    <w:p w:rsidR="005E1FE0" w:rsidRPr="00DF38B2" w:rsidRDefault="005E1FE0" w:rsidP="00AD3907">
      <w:pPr>
        <w:pStyle w:val="h4l3"/>
      </w:pPr>
      <w:r w:rsidRPr="00DF38B2">
        <w:t>Tobacco sales at stores</w:t>
      </w:r>
    </w:p>
    <w:p w:rsidR="005E1FE0" w:rsidRPr="00DF38B2" w:rsidRDefault="005E1FE0" w:rsidP="006654AE">
      <w:r w:rsidRPr="00DF38B2">
        <w:t>While this evaluation is not a compliance evaluation, it would be noted that the data from retailers indicate that a small amount of BasicsCard funds are used to purchase tobacco</w:t>
      </w:r>
      <w:r w:rsidR="00133B20" w:rsidRPr="00133B20">
        <w:t xml:space="preserve"> </w:t>
      </w:r>
      <w:r w:rsidR="00133B20" w:rsidRPr="00DF38B2">
        <w:t>directly</w:t>
      </w:r>
      <w:r w:rsidRPr="00DF38B2">
        <w:t xml:space="preserve">. The proportion we have identified is around 0.1 to 0.2 per cent. From a range of other sources it would appear that this </w:t>
      </w:r>
      <w:r w:rsidR="004B6B41">
        <w:t xml:space="preserve">represents </w:t>
      </w:r>
      <w:r w:rsidR="00133B20">
        <w:t>one</w:t>
      </w:r>
      <w:r w:rsidRPr="00DF38B2">
        <w:t> per cent or less of the usual share of retail sales on this product</w:t>
      </w:r>
      <w:r w:rsidR="00A1421A">
        <w:t xml:space="preserve">. </w:t>
      </w:r>
      <w:r w:rsidRPr="00DF38B2">
        <w:t>As such it can be considered that the BasicsCard has been implemented in accordance with the guidelines. Looking at the data in more detail it would appear that the sales that have slipped through are often in complex situations, for example</w:t>
      </w:r>
      <w:r w:rsidR="00133B20">
        <w:t>,</w:t>
      </w:r>
      <w:r w:rsidRPr="00DF38B2">
        <w:t xml:space="preserve"> where a person may commence a purchase using their personal debit card</w:t>
      </w:r>
      <w:r w:rsidR="00133B20">
        <w:t>,</w:t>
      </w:r>
      <w:r w:rsidRPr="00DF38B2">
        <w:t xml:space="preserve"> have this rejected due to lack of funds</w:t>
      </w:r>
      <w:r w:rsidR="00133B20">
        <w:t>,</w:t>
      </w:r>
      <w:r w:rsidRPr="00DF38B2">
        <w:t xml:space="preserve"> and then seek to complete the transaction with their BasicsCard, by which time the actual content of the sale is no longer obvious or remembered by the operator.</w:t>
      </w:r>
    </w:p>
    <w:p w:rsidR="005E1FE0" w:rsidRPr="00FE502F" w:rsidRDefault="005E1FE0" w:rsidP="006654AE">
      <w:r w:rsidRPr="00DF38B2">
        <w:t>It should be noted that the imposition of the limitation on the sale of alcohol and tobacco</w:t>
      </w:r>
      <w:r w:rsidR="00AD7E37">
        <w:t xml:space="preserve"> – </w:t>
      </w:r>
      <w:r w:rsidRPr="00DF38B2">
        <w:t>as well as restrictions on gambling</w:t>
      </w:r>
      <w:r w:rsidR="004A746A">
        <w:t xml:space="preserve"> products</w:t>
      </w:r>
      <w:r w:rsidR="00AD7E37">
        <w:t xml:space="preserve"> –</w:t>
      </w:r>
      <w:r w:rsidRPr="00DF38B2">
        <w:t xml:space="preserve"> is a manual process </w:t>
      </w:r>
      <w:r w:rsidR="00AD7E37">
        <w:t>that</w:t>
      </w:r>
      <w:r w:rsidRPr="00DF38B2">
        <w:t xml:space="preserve"> is wholly reliant upon the checkout operator/sales assistant ensuring that the item is not being purchased</w:t>
      </w:r>
      <w:r w:rsidR="00AD7E37">
        <w:t>.</w:t>
      </w:r>
      <w:r w:rsidRPr="00DF38B2">
        <w:rPr>
          <w:rStyle w:val="FootnoteReference"/>
        </w:rPr>
        <w:footnoteReference w:id="102"/>
      </w:r>
      <w:r w:rsidR="00A1421A">
        <w:t xml:space="preserve"> </w:t>
      </w:r>
      <w:r w:rsidRPr="00DF38B2">
        <w:t xml:space="preserve">Discussions with stores indicate that this has placed these staff in a position where they have faced pressure to make </w:t>
      </w:r>
      <w:r w:rsidR="00666BF3" w:rsidRPr="00DF38B2">
        <w:t xml:space="preserve">such </w:t>
      </w:r>
      <w:r w:rsidRPr="00DF38B2">
        <w:t>sales, and that stores have had to take disciplinary action, including termination of employment i</w:t>
      </w:r>
      <w:r w:rsidR="00AD7E37">
        <w:t>n</w:t>
      </w:r>
      <w:r w:rsidRPr="00DF38B2">
        <w:t xml:space="preserve"> some cases where staff have succumbed to this pressure</w:t>
      </w:r>
      <w:r w:rsidR="00AD7E37">
        <w:t>.</w:t>
      </w:r>
      <w:r w:rsidR="00666BF3" w:rsidRPr="00DF38B2">
        <w:rPr>
          <w:rStyle w:val="FootnoteReference"/>
        </w:rPr>
        <w:footnoteReference w:id="103"/>
      </w:r>
      <w:r w:rsidR="00A1421A">
        <w:t xml:space="preserve"> </w:t>
      </w:r>
      <w:r w:rsidRPr="00DF38B2">
        <w:t>More generally stores indicated that, notwithstanding this, the actual implementation of the restriction was facilitated by the fact that there were only two significant items, alcohol and tobacco</w:t>
      </w:r>
      <w:r w:rsidR="00AD7E37">
        <w:t>,</w:t>
      </w:r>
      <w:r w:rsidRPr="00DF38B2">
        <w:t xml:space="preserve"> </w:t>
      </w:r>
      <w:r w:rsidR="00666BF3" w:rsidRPr="00DF38B2">
        <w:t xml:space="preserve">and that these </w:t>
      </w:r>
      <w:r w:rsidRPr="00DF38B2">
        <w:t xml:space="preserve">were already subject to various </w:t>
      </w:r>
      <w:r w:rsidR="004A746A">
        <w:t>conditions of sale</w:t>
      </w:r>
      <w:r w:rsidR="004A746A" w:rsidRPr="00DF38B2">
        <w:t xml:space="preserve"> </w:t>
      </w:r>
      <w:r w:rsidRPr="00DF38B2">
        <w:t>– in p</w:t>
      </w:r>
      <w:r w:rsidR="000F06BF">
        <w:t>articular minimum purchase age –</w:t>
      </w:r>
      <w:r w:rsidRPr="00DF38B2">
        <w:t xml:space="preserve"> and hence staff were used to enforcing restrictions on them and treating them differently </w:t>
      </w:r>
      <w:r w:rsidR="00666BF3" w:rsidRPr="00DF38B2">
        <w:t xml:space="preserve">to </w:t>
      </w:r>
      <w:r w:rsidRPr="00DF38B2">
        <w:t>other sales</w:t>
      </w:r>
      <w:r w:rsidR="00AD7E37">
        <w:t>.</w:t>
      </w:r>
      <w:r w:rsidRPr="00FE502F">
        <w:rPr>
          <w:rStyle w:val="FootnoteReference"/>
        </w:rPr>
        <w:footnoteReference w:id="104"/>
      </w:r>
      <w:r w:rsidR="00A1421A">
        <w:t xml:space="preserve"> </w:t>
      </w:r>
    </w:p>
    <w:p w:rsidR="005E1FE0" w:rsidRPr="009655C3" w:rsidRDefault="005E1FE0" w:rsidP="006654AE">
      <w:pPr>
        <w:pStyle w:val="Heading3"/>
      </w:pPr>
      <w:bookmarkStart w:id="358" w:name="_Toc403739050"/>
      <w:r w:rsidRPr="009655C3">
        <w:t>Major sales on BasicsCard</w:t>
      </w:r>
      <w:bookmarkEnd w:id="358"/>
    </w:p>
    <w:p w:rsidR="005E1FE0" w:rsidRPr="00DF38B2" w:rsidRDefault="005E1FE0" w:rsidP="006654AE">
      <w:r w:rsidRPr="00DF38B2">
        <w:t xml:space="preserve">In the first instance this analysis considers the major items bought with BasicsCards. For this the most detailed level of data disaggregation has been used. As these </w:t>
      </w:r>
      <w:proofErr w:type="spellStart"/>
      <w:r w:rsidRPr="00DF38B2">
        <w:t>disaggregations</w:t>
      </w:r>
      <w:proofErr w:type="spellEnd"/>
      <w:r w:rsidRPr="00DF38B2">
        <w:t xml:space="preserve"> are often at a product level a </w:t>
      </w:r>
      <w:r w:rsidRPr="00DF38B2">
        <w:lastRenderedPageBreak/>
        <w:t>similar item may appear more than once – for example</w:t>
      </w:r>
      <w:r w:rsidR="00AD7E37">
        <w:t>,</w:t>
      </w:r>
      <w:r w:rsidRPr="00DF38B2">
        <w:t xml:space="preserve"> two different flavours of soft drink or power cards (used in pre-pay power meters) of different denominations.</w:t>
      </w:r>
    </w:p>
    <w:p w:rsidR="005E1FE0" w:rsidRPr="00DF38B2" w:rsidRDefault="005E1FE0" w:rsidP="006654AE">
      <w:r w:rsidRPr="003D75FE">
        <w:fldChar w:fldCharType="begin"/>
      </w:r>
      <w:r w:rsidRPr="00DF38B2">
        <w:instrText xml:space="preserve"> REF _Ref391646988 \h </w:instrText>
      </w:r>
      <w:r w:rsidRPr="003D75FE">
        <w:fldChar w:fldCharType="separate"/>
      </w:r>
      <w:r w:rsidR="00906D13" w:rsidRPr="00DF38B2">
        <w:t xml:space="preserve">Table </w:t>
      </w:r>
      <w:r w:rsidR="00906D13">
        <w:rPr>
          <w:noProof/>
        </w:rPr>
        <w:t>6</w:t>
      </w:r>
      <w:r w:rsidR="00906D13">
        <w:noBreakHyphen/>
      </w:r>
      <w:r w:rsidR="00906D13">
        <w:rPr>
          <w:noProof/>
        </w:rPr>
        <w:t>12</w:t>
      </w:r>
      <w:r w:rsidRPr="003D75FE">
        <w:fldChar w:fldCharType="end"/>
      </w:r>
      <w:r w:rsidRPr="00DF38B2">
        <w:t xml:space="preserve"> shows the top</w:t>
      </w:r>
      <w:r w:rsidR="00AD7E37">
        <w:t>-</w:t>
      </w:r>
      <w:r w:rsidRPr="00DF38B2">
        <w:t>selling items for these two groups. In each case the top</w:t>
      </w:r>
      <w:r w:rsidR="00AD7E37">
        <w:t>-</w:t>
      </w:r>
      <w:r w:rsidRPr="00DF38B2">
        <w:t xml:space="preserve">selling 20 items at the level of disaggregation provided by the stores is shown. While there are many differences between the two lists, in part due to one being in an urban environment and the other in more remote communities, </w:t>
      </w:r>
      <w:r w:rsidR="00666BF3" w:rsidRPr="00DF38B2">
        <w:t>and the different way in which items are defined and aggregated</w:t>
      </w:r>
      <w:r w:rsidR="00D9109B">
        <w:t>,</w:t>
      </w:r>
      <w:r w:rsidR="00666BF3" w:rsidRPr="00DF38B2">
        <w:t xml:space="preserve"> </w:t>
      </w:r>
      <w:r w:rsidRPr="00DF38B2">
        <w:t>there are also a number of common items</w:t>
      </w:r>
      <w:r w:rsidR="00D9109B">
        <w:t xml:space="preserve"> – </w:t>
      </w:r>
      <w:r w:rsidRPr="00DF38B2">
        <w:t>as measured by share of the value of spending</w:t>
      </w:r>
      <w:r w:rsidR="00D9109B">
        <w:t xml:space="preserve"> –</w:t>
      </w:r>
      <w:r w:rsidRPr="00DF38B2">
        <w:t xml:space="preserve"> including:</w:t>
      </w:r>
    </w:p>
    <w:p w:rsidR="005E1FE0" w:rsidRPr="00DF38B2" w:rsidRDefault="00D9109B" w:rsidP="006654AE">
      <w:pPr>
        <w:pStyle w:val="dot"/>
      </w:pPr>
      <w:r>
        <w:t>p</w:t>
      </w:r>
      <w:r w:rsidR="005E1FE0" w:rsidRPr="00DF38B2">
        <w:t>hone cards</w:t>
      </w:r>
    </w:p>
    <w:p w:rsidR="005E1FE0" w:rsidRPr="00DF38B2" w:rsidRDefault="005E1FE0" w:rsidP="006654AE">
      <w:pPr>
        <w:pStyle w:val="dot"/>
      </w:pPr>
      <w:r w:rsidRPr="00DF38B2">
        <w:t>soft drinks</w:t>
      </w:r>
    </w:p>
    <w:p w:rsidR="005E1FE0" w:rsidRPr="00DF38B2" w:rsidRDefault="005E1FE0" w:rsidP="006654AE">
      <w:pPr>
        <w:pStyle w:val="dot"/>
      </w:pPr>
      <w:proofErr w:type="gramStart"/>
      <w:r w:rsidRPr="00DF38B2">
        <w:t>canned</w:t>
      </w:r>
      <w:proofErr w:type="gramEnd"/>
      <w:r w:rsidRPr="00DF38B2">
        <w:t xml:space="preserve"> and fresh meat products.</w:t>
      </w:r>
    </w:p>
    <w:p w:rsidR="005E1FE0" w:rsidRPr="00DF38B2" w:rsidRDefault="005E1FE0" w:rsidP="006654AE">
      <w:r w:rsidRPr="00DF38B2">
        <w:t>It is also clear from the data provided by the merchants that the ranking of these top</w:t>
      </w:r>
      <w:r w:rsidR="0046399E">
        <w:t>-</w:t>
      </w:r>
      <w:r w:rsidRPr="00DF38B2">
        <w:t>selling items on BasicsCard differs from that of other sales in the store. One reason for this is the extent to which top</w:t>
      </w:r>
      <w:r w:rsidR="0046399E">
        <w:t>-</w:t>
      </w:r>
      <w:r w:rsidRPr="00DF38B2">
        <w:t>selling items by value at stores tend to be dominated by tobacco sales.</w:t>
      </w:r>
    </w:p>
    <w:p w:rsidR="005E1FE0" w:rsidRPr="00DF38B2" w:rsidRDefault="005E1FE0" w:rsidP="006654AE">
      <w:pPr>
        <w:pStyle w:val="Caption"/>
      </w:pPr>
      <w:bookmarkStart w:id="359" w:name="_Ref391646988"/>
      <w:bookmarkStart w:id="360" w:name="_Toc403739451"/>
      <w:r w:rsidRPr="00DF38B2">
        <w:t xml:space="preserve">Table </w:t>
      </w:r>
      <w:fldSimple w:instr=" STYLEREF 1 \s ">
        <w:r w:rsidR="00906D13">
          <w:rPr>
            <w:noProof/>
          </w:rPr>
          <w:t>6</w:t>
        </w:r>
      </w:fldSimple>
      <w:r w:rsidR="00D40B64">
        <w:noBreakHyphen/>
      </w:r>
      <w:fldSimple w:instr=" SEQ Table \* ARABIC \s 1 ">
        <w:r w:rsidR="00906D13">
          <w:rPr>
            <w:noProof/>
          </w:rPr>
          <w:t>12</w:t>
        </w:r>
      </w:fldSimple>
      <w:bookmarkEnd w:id="359"/>
      <w:r w:rsidRPr="00DF38B2">
        <w:t>:</w:t>
      </w:r>
      <w:r w:rsidRPr="00DF38B2">
        <w:tab/>
        <w:t>Top</w:t>
      </w:r>
      <w:r w:rsidR="0046399E">
        <w:t>-</w:t>
      </w:r>
      <w:r w:rsidRPr="00DF38B2">
        <w:t>selling 20 individual items on BasicsCard</w:t>
      </w:r>
      <w:r w:rsidR="006F51EF">
        <w:t xml:space="preserve"> </w:t>
      </w:r>
      <w:r w:rsidR="000F06BF">
        <w:t xml:space="preserve">at selected stores </w:t>
      </w:r>
      <w:r w:rsidR="006F51EF">
        <w:t>in the Northern Territory</w:t>
      </w:r>
      <w:r w:rsidR="00D86209">
        <w:t>, 2013</w:t>
      </w:r>
      <w:bookmarkEnd w:id="360"/>
    </w:p>
    <w:tbl>
      <w:tblPr>
        <w:tblW w:w="9132" w:type="dxa"/>
        <w:jc w:val="center"/>
        <w:tblLook w:val="04A0" w:firstRow="1" w:lastRow="0" w:firstColumn="1" w:lastColumn="0" w:noHBand="0" w:noVBand="1"/>
        <w:tblDescription w:val="This table presents a listing of information on the top selling items on BasicsCard from selected stores – the data is presented in two sets of four columns with the first four columns being for selected urban stores and the second four for community stores. Within each of these sets of columns information is provided on the rank of the items in BasicsCard sales at the type of store (this is a ranking from 1 to 20 in each of the two listings) the description of the item, and then the ranking of the item in terms of non-BasicsCard sales."/>
      </w:tblPr>
      <w:tblGrid>
        <w:gridCol w:w="882"/>
        <w:gridCol w:w="1539"/>
        <w:gridCol w:w="881"/>
        <w:gridCol w:w="881"/>
        <w:gridCol w:w="223"/>
        <w:gridCol w:w="1102"/>
        <w:gridCol w:w="1951"/>
        <w:gridCol w:w="881"/>
        <w:gridCol w:w="792"/>
      </w:tblGrid>
      <w:tr w:rsidR="005E1FE0" w:rsidRPr="00DF38B2" w:rsidTr="0067141C">
        <w:trPr>
          <w:trHeight w:val="20"/>
          <w:tblHeader/>
          <w:jc w:val="center"/>
        </w:trPr>
        <w:tc>
          <w:tcPr>
            <w:tcW w:w="882"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Rank</w:t>
            </w:r>
            <w:r w:rsidR="0067141C">
              <w:rPr>
                <w:rFonts w:eastAsia="Times New Roman"/>
              </w:rPr>
              <w:t xml:space="preserve"> </w:t>
            </w:r>
            <w:r w:rsidR="0067141C" w:rsidRPr="0067141C">
              <w:rPr>
                <w:rFonts w:eastAsia="Times New Roman"/>
                <w:sz w:val="16"/>
              </w:rPr>
              <w:t>(selected urban stores)</w:t>
            </w:r>
          </w:p>
        </w:tc>
        <w:tc>
          <w:tcPr>
            <w:tcW w:w="153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Item</w:t>
            </w:r>
          </w:p>
        </w:tc>
        <w:tc>
          <w:tcPr>
            <w:tcW w:w="88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Share of BC spending (%)</w:t>
            </w:r>
          </w:p>
        </w:tc>
        <w:tc>
          <w:tcPr>
            <w:tcW w:w="88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Rank of non-BC spending</w:t>
            </w:r>
          </w:p>
        </w:tc>
        <w:tc>
          <w:tcPr>
            <w:tcW w:w="223"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single" w:sz="4" w:space="0" w:color="auto"/>
              <w:left w:val="nil"/>
              <w:bottom w:val="single" w:sz="4" w:space="0" w:color="auto"/>
              <w:right w:val="nil"/>
            </w:tcBorders>
          </w:tcPr>
          <w:p w:rsidR="005E1FE0"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Rank</w:t>
            </w:r>
          </w:p>
          <w:p w:rsidR="0067141C" w:rsidRPr="00DF38B2" w:rsidRDefault="0067141C" w:rsidP="006654AE">
            <w:pPr>
              <w:keepNext/>
              <w:keepLines/>
              <w:spacing w:after="0" w:line="240" w:lineRule="auto"/>
              <w:jc w:val="left"/>
              <w:rPr>
                <w:rFonts w:ascii="Calibri" w:eastAsia="Times New Roman" w:hAnsi="Calibri" w:cs="Times New Roman"/>
                <w:color w:val="000000"/>
                <w:sz w:val="18"/>
                <w:szCs w:val="18"/>
              </w:rPr>
            </w:pPr>
            <w:r w:rsidRPr="0067141C">
              <w:rPr>
                <w:rFonts w:ascii="Calibri" w:eastAsia="Times New Roman" w:hAnsi="Calibri" w:cs="Times New Roman"/>
                <w:color w:val="000000"/>
                <w:sz w:val="16"/>
                <w:szCs w:val="18"/>
              </w:rPr>
              <w:t>(community stores)</w:t>
            </w:r>
          </w:p>
        </w:tc>
        <w:tc>
          <w:tcPr>
            <w:tcW w:w="1951"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Item (a)</w:t>
            </w:r>
          </w:p>
        </w:tc>
        <w:tc>
          <w:tcPr>
            <w:tcW w:w="881"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Share of BC spending (%)</w:t>
            </w:r>
          </w:p>
        </w:tc>
        <w:tc>
          <w:tcPr>
            <w:tcW w:w="792"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Rank of non BC sales</w:t>
            </w:r>
          </w:p>
        </w:tc>
      </w:tr>
      <w:tr w:rsidR="005E1FE0" w:rsidRPr="00DF38B2" w:rsidTr="0067141C">
        <w:trPr>
          <w:trHeight w:val="20"/>
          <w:jc w:val="center"/>
        </w:trPr>
        <w:tc>
          <w:tcPr>
            <w:tcW w:w="88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p>
        </w:tc>
        <w:tc>
          <w:tcPr>
            <w:tcW w:w="153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Telstra recharge</w:t>
            </w:r>
          </w:p>
        </w:tc>
        <w:tc>
          <w:tcPr>
            <w:tcW w:w="88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c>
          <w:tcPr>
            <w:tcW w:w="88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w:t>
            </w:r>
          </w:p>
        </w:tc>
        <w:tc>
          <w:tcPr>
            <w:tcW w:w="223" w:type="dxa"/>
            <w:tcBorders>
              <w:top w:val="single" w:sz="4" w:space="0" w:color="auto"/>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w:t>
            </w:r>
          </w:p>
        </w:tc>
        <w:tc>
          <w:tcPr>
            <w:tcW w:w="1951"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Telstra pre</w:t>
            </w:r>
            <w:r w:rsidR="0046399E">
              <w:rPr>
                <w:rFonts w:ascii="Calibri" w:eastAsia="Times New Roman" w:hAnsi="Calibri" w:cs="Times New Roman"/>
                <w:color w:val="000000"/>
                <w:sz w:val="18"/>
                <w:szCs w:val="18"/>
              </w:rPr>
              <w:t>-</w:t>
            </w:r>
            <w:r w:rsidRPr="00DF38B2">
              <w:rPr>
                <w:rFonts w:ascii="Calibri" w:eastAsia="Times New Roman" w:hAnsi="Calibri" w:cs="Times New Roman"/>
                <w:color w:val="000000"/>
                <w:sz w:val="18"/>
                <w:szCs w:val="18"/>
              </w:rPr>
              <w:t>paid $30</w:t>
            </w:r>
          </w:p>
        </w:tc>
        <w:tc>
          <w:tcPr>
            <w:tcW w:w="881"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4.3</w:t>
            </w:r>
          </w:p>
        </w:tc>
        <w:tc>
          <w:tcPr>
            <w:tcW w:w="792"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8</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Lamb chops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Coca Cola pet 1.25ltr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3.4</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3</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BBQ chickens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PAWA power card $20.00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2.7</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4</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Grilling beef</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Powdered milk 1kg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1.7</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30</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5</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Bread hi fibre sliced 700gr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1.4</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16</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6</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Eggs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29</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Canned corned beef 200gm</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1.1</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22</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7</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Canned meat</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7</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Telstra recharge $30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9</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8</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DVDs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8</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DVDs assorted</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21</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9</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Flavoured milk</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9</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PAWA power card $10.00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20</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Bread</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Bread white 650g </w:t>
            </w:r>
            <w:proofErr w:type="spellStart"/>
            <w:r w:rsidRPr="00DF38B2">
              <w:rPr>
                <w:rFonts w:ascii="Calibri" w:eastAsia="Times New Roman" w:hAnsi="Calibri" w:cs="Times New Roman"/>
                <w:color w:val="000000"/>
                <w:sz w:val="18"/>
                <w:szCs w:val="18"/>
              </w:rPr>
              <w:t>ea</w:t>
            </w:r>
            <w:proofErr w:type="spellEnd"/>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29</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11</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Toilet paper</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11</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Coca Cola can 375ml</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0.9</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12</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12</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Beef T bone tray pack 500g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0.9</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13</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Casserole beef</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13</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Teabag rounds 200s</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0.8</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30</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14</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Shampoo</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14</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Canned corned beef 340gm</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0.8</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15</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Infants</w:t>
            </w:r>
            <w:r w:rsidR="0046399E">
              <w:rPr>
                <w:rFonts w:eastAsia="Times New Roman"/>
              </w:rPr>
              <w:t>’</w:t>
            </w:r>
            <w:r w:rsidRPr="00DF38B2">
              <w:rPr>
                <w:rFonts w:eastAsia="Times New Roman"/>
              </w:rPr>
              <w:t xml:space="preserve"> clothing</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15</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Flour plain 1kg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16</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16</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Wholemeal sliced 700gr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17</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Cereal</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17</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Premium T-bone steak </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34</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18</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Beef mince</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18</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Bread white 650gr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67</w:t>
            </w:r>
          </w:p>
        </w:tc>
      </w:tr>
      <w:tr w:rsidR="005E1FE0" w:rsidRPr="00DF38B2" w:rsidTr="0067141C">
        <w:trPr>
          <w:trHeight w:val="20"/>
          <w:jc w:val="center"/>
        </w:trPr>
        <w:tc>
          <w:tcPr>
            <w:tcW w:w="882"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19</w:t>
            </w:r>
          </w:p>
        </w:tc>
        <w:tc>
          <w:tcPr>
            <w:tcW w:w="1539"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Instant noodles</w:t>
            </w:r>
          </w:p>
        </w:tc>
        <w:tc>
          <w:tcPr>
            <w:tcW w:w="8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128</w:t>
            </w:r>
          </w:p>
        </w:tc>
        <w:tc>
          <w:tcPr>
            <w:tcW w:w="223" w:type="dxa"/>
            <w:tcBorders>
              <w:top w:val="nil"/>
              <w:left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19</w:t>
            </w:r>
          </w:p>
        </w:tc>
        <w:tc>
          <w:tcPr>
            <w:tcW w:w="1951" w:type="dxa"/>
            <w:tcBorders>
              <w:top w:val="nil"/>
              <w:left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Chicken wings 500g</w:t>
            </w:r>
          </w:p>
        </w:tc>
        <w:tc>
          <w:tcPr>
            <w:tcW w:w="881" w:type="dxa"/>
            <w:tcBorders>
              <w:top w:val="nil"/>
              <w:left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66</w:t>
            </w:r>
          </w:p>
        </w:tc>
      </w:tr>
      <w:tr w:rsidR="005E1FE0" w:rsidRPr="00DF38B2" w:rsidTr="0067141C">
        <w:trPr>
          <w:trHeight w:val="20"/>
          <w:jc w:val="center"/>
        </w:trPr>
        <w:tc>
          <w:tcPr>
            <w:tcW w:w="88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p>
        </w:tc>
        <w:tc>
          <w:tcPr>
            <w:tcW w:w="153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Potatoes</w:t>
            </w:r>
          </w:p>
        </w:tc>
        <w:tc>
          <w:tcPr>
            <w:tcW w:w="8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223" w:type="dxa"/>
            <w:tcBorders>
              <w:top w:val="nil"/>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20</w:t>
            </w:r>
          </w:p>
        </w:tc>
        <w:tc>
          <w:tcPr>
            <w:tcW w:w="1951"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Beef steak Y-bone </w:t>
            </w:r>
          </w:p>
        </w:tc>
        <w:tc>
          <w:tcPr>
            <w:tcW w:w="881"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45</w:t>
            </w:r>
          </w:p>
        </w:tc>
      </w:tr>
    </w:tbl>
    <w:p w:rsidR="000F06BF" w:rsidRDefault="000F06BF" w:rsidP="006654AE">
      <w:pPr>
        <w:pStyle w:val="tablenotes"/>
      </w:pPr>
    </w:p>
    <w:p w:rsidR="005E1FE0" w:rsidRPr="00DF38B2" w:rsidRDefault="005E1FE0" w:rsidP="006654AE">
      <w:pPr>
        <w:pStyle w:val="tablenotes"/>
      </w:pPr>
      <w:proofErr w:type="gramStart"/>
      <w:r w:rsidRPr="00DF38B2">
        <w:t>Notes:</w:t>
      </w:r>
      <w:r w:rsidRPr="00DF38B2">
        <w:tab/>
        <w:t xml:space="preserve"> Data provided by selected merchants for the purposes of the evaluation.</w:t>
      </w:r>
      <w:proofErr w:type="gramEnd"/>
      <w:r w:rsidR="001F1187">
        <w:t xml:space="preserve"> BC – BasicsCard.</w:t>
      </w:r>
    </w:p>
    <w:p w:rsidR="005E1FE0" w:rsidRPr="00DF38B2" w:rsidRDefault="005E1FE0" w:rsidP="006654AE">
      <w:pPr>
        <w:pStyle w:val="tablefootnoteslastline"/>
      </w:pPr>
    </w:p>
    <w:p w:rsidR="005E1FE0" w:rsidRPr="00DF38B2" w:rsidRDefault="005E1FE0" w:rsidP="006654AE">
      <w:pPr>
        <w:pStyle w:val="Heading3"/>
      </w:pPr>
      <w:bookmarkStart w:id="361" w:name="_Toc403739051"/>
      <w:r w:rsidRPr="00DF38B2">
        <w:lastRenderedPageBreak/>
        <w:t>The composition of BasicsCard Sales</w:t>
      </w:r>
      <w:bookmarkEnd w:id="361"/>
    </w:p>
    <w:p w:rsidR="005E1FE0" w:rsidRPr="00DF38B2" w:rsidRDefault="005E1FE0" w:rsidP="006654AE">
      <w:r w:rsidRPr="00DF38B2">
        <w:t>Looking first at sales at the community stores, the sales on BasicsCard are primarily on food and related grocery items. These account for 61.4 per cent of the BasicsCard sales and 55.7 per cent of other sales</w:t>
      </w:r>
      <w:r w:rsidR="0046399E">
        <w:t>.</w:t>
      </w:r>
      <w:r w:rsidR="00EE2D69">
        <w:rPr>
          <w:rStyle w:val="FootnoteReference"/>
        </w:rPr>
        <w:footnoteReference w:id="105"/>
      </w:r>
      <w:r w:rsidRPr="00DF38B2">
        <w:t xml:space="preserve"> Within this product grouping two blocks of spending stand out</w:t>
      </w:r>
      <w:r w:rsidR="0046399E">
        <w:t>:</w:t>
      </w:r>
      <w:r w:rsidRPr="00DF38B2">
        <w:t xml:space="preserve"> </w:t>
      </w:r>
    </w:p>
    <w:p w:rsidR="005E1FE0" w:rsidRPr="00DF38B2" w:rsidRDefault="005E1FE0" w:rsidP="006654AE">
      <w:pPr>
        <w:pStyle w:val="dot"/>
      </w:pPr>
      <w:r w:rsidRPr="00DF38B2">
        <w:t>spending on sugar</w:t>
      </w:r>
      <w:r w:rsidR="0046399E">
        <w:t>-</w:t>
      </w:r>
      <w:r w:rsidRPr="00DF38B2">
        <w:t>based soft drinks</w:t>
      </w:r>
      <w:r w:rsidR="0046399E">
        <w:t>,</w:t>
      </w:r>
      <w:r w:rsidRPr="00DF38B2">
        <w:t xml:space="preserve"> which account for 8.7 per cent of all BasicsCard sales, although this share is a little below its equivalent in non-BasicsCard sales </w:t>
      </w:r>
    </w:p>
    <w:p w:rsidR="005E1FE0" w:rsidRPr="00DF38B2" w:rsidRDefault="005E1FE0" w:rsidP="006654AE">
      <w:pPr>
        <w:pStyle w:val="dot"/>
      </w:pPr>
      <w:proofErr w:type="gramStart"/>
      <w:r w:rsidRPr="00DF38B2">
        <w:t>spending</w:t>
      </w:r>
      <w:proofErr w:type="gramEnd"/>
      <w:r w:rsidRPr="00DF38B2">
        <w:t xml:space="preserve"> on meat products</w:t>
      </w:r>
      <w:r w:rsidR="0046399E">
        <w:t>,</w:t>
      </w:r>
      <w:r w:rsidRPr="00DF38B2">
        <w:t xml:space="preserve"> with 7.2 per cent of sales on BasicsCard being for fresh or frozen meat and a further 4.1 per cent of sales being for processed meats. Both of these shares are well above the 5.6 per cent and 3.6 per cent respectively recorded for non-BasicsCard sales.</w:t>
      </w:r>
    </w:p>
    <w:p w:rsidR="005E1FE0" w:rsidRPr="00DF38B2" w:rsidRDefault="005E1FE0" w:rsidP="006654AE">
      <w:r w:rsidRPr="00DF38B2">
        <w:t>Within food spending, spending on fruit and vegetables is low. Just 1.1 per cent of the sales on BasicsCard are on fresh fruit and 0.9 per cent on fresh vegetables. These shares are only 60 per cent of the shares of the sales of these items made by other means</w:t>
      </w:r>
      <w:r w:rsidR="0046399E">
        <w:t>:</w:t>
      </w:r>
      <w:r w:rsidRPr="00DF38B2">
        <w:t xml:space="preserve"> 1.8 per cent and 1.4 per cent respectively.</w:t>
      </w:r>
    </w:p>
    <w:p w:rsidR="005E1FE0" w:rsidRPr="00DF38B2" w:rsidRDefault="00B66EA5" w:rsidP="006654AE">
      <w:r>
        <w:t>More detailed analysis of the</w:t>
      </w:r>
      <w:r w:rsidR="005E1FE0" w:rsidRPr="00DF38B2">
        <w:t xml:space="preserve"> sales from a subset of these stores indicates that within BasicsCard spending on fruit and vegetables the major item purchased were bananas (</w:t>
      </w:r>
      <w:r w:rsidR="00B32874">
        <w:t>18.5</w:t>
      </w:r>
      <w:r w:rsidR="005E1FE0" w:rsidRPr="00DF38B2">
        <w:t> per cent of sales). These were followed by frozen green vegetables, and then three pre-packaged items identified as: fruit</w:t>
      </w:r>
      <w:r>
        <w:t xml:space="preserve"> packs</w:t>
      </w:r>
      <w:r w:rsidR="005E1FE0" w:rsidRPr="00DF38B2">
        <w:t>; salad</w:t>
      </w:r>
      <w:r>
        <w:t xml:space="preserve"> packs</w:t>
      </w:r>
      <w:r w:rsidR="005E1FE0" w:rsidRPr="00DF38B2">
        <w:t>; and vegetable</w:t>
      </w:r>
      <w:r>
        <w:t xml:space="preserve"> packs.</w:t>
      </w:r>
    </w:p>
    <w:p w:rsidR="005E1FE0" w:rsidRPr="00DF38B2" w:rsidRDefault="005E1FE0" w:rsidP="006654AE">
      <w:pPr>
        <w:pStyle w:val="Caption"/>
      </w:pPr>
      <w:bookmarkStart w:id="362" w:name="_Toc403739452"/>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13</w:t>
        </w:r>
      </w:fldSimple>
      <w:r w:rsidRPr="00DF38B2">
        <w:tab/>
        <w:t>Relative shares of BasicsCard and non-BasicsCard sales, excluding alcohol and tobacco at selected community stores</w:t>
      </w:r>
      <w:r w:rsidR="003C1097">
        <w:t>, 2013</w:t>
      </w:r>
      <w:bookmarkEnd w:id="362"/>
    </w:p>
    <w:tbl>
      <w:tblPr>
        <w:tblW w:w="6911" w:type="dxa"/>
        <w:jc w:val="center"/>
        <w:tblLook w:val="04A0" w:firstRow="1" w:lastRow="0" w:firstColumn="1" w:lastColumn="0" w:noHBand="0" w:noVBand="1"/>
        <w:tblDescription w:val="This table presents the sales at these stores broken into 30 different commodities in the rows. In the columns the table presents the share of BasicsCard spending on the item as a percentage of BasicsCard spending on all of the items, the share of non-BasicsCard spending on the item as a share of all non-BasicsCard spending and the ratio of these two.&#10;Some of the main features are discussed in the text.&#10;"/>
      </w:tblPr>
      <w:tblGrid>
        <w:gridCol w:w="2460"/>
        <w:gridCol w:w="1471"/>
        <w:gridCol w:w="1500"/>
        <w:gridCol w:w="1480"/>
      </w:tblGrid>
      <w:tr w:rsidR="005E1FE0" w:rsidRPr="00DF38B2" w:rsidTr="000628DB">
        <w:trPr>
          <w:trHeight w:val="20"/>
          <w:tblHeader/>
          <w:jc w:val="center"/>
        </w:trPr>
        <w:tc>
          <w:tcPr>
            <w:tcW w:w="24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Share of BasicsCard Sales</w:t>
            </w:r>
            <w:r w:rsidR="000628DB">
              <w:rPr>
                <w:rFonts w:eastAsia="Times New Roman"/>
              </w:rPr>
              <w:t xml:space="preserve"> (%)</w:t>
            </w:r>
          </w:p>
        </w:tc>
        <w:tc>
          <w:tcPr>
            <w:tcW w:w="15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Share of non-BasicsCard Sales</w:t>
            </w:r>
            <w:r w:rsidR="000628DB">
              <w:rPr>
                <w:rFonts w:eastAsia="Times New Roman"/>
              </w:rPr>
              <w:t xml:space="preserve"> (%)</w:t>
            </w:r>
          </w:p>
        </w:tc>
        <w:tc>
          <w:tcPr>
            <w:tcW w:w="14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Ratio of BasicsCard to non-BasicsCard sales</w:t>
            </w:r>
            <w:r w:rsidR="000628DB">
              <w:rPr>
                <w:rFonts w:eastAsia="Times New Roman"/>
              </w:rPr>
              <w:t xml:space="preserve"> </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 fruit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 vegetables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Frozen/canned veg</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Canned fruit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Frozen chips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Fresh/frozen meat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Processed meat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chiller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Bread</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Water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Soft drinks </w:t>
            </w:r>
            <w:r w:rsidR="0046399E">
              <w:rPr>
                <w:rFonts w:eastAsia="Times New Roman"/>
              </w:rPr>
              <w:t>–</w:t>
            </w:r>
            <w:r w:rsidRPr="00DF38B2">
              <w:rPr>
                <w:rFonts w:eastAsia="Times New Roman"/>
              </w:rPr>
              <w:t xml:space="preserve"> </w:t>
            </w:r>
            <w:r w:rsidR="004A746A">
              <w:rPr>
                <w:rFonts w:eastAsia="Times New Roman"/>
              </w:rPr>
              <w:t>s</w:t>
            </w:r>
            <w:r w:rsidRPr="00DF38B2">
              <w:rPr>
                <w:rFonts w:eastAsia="Times New Roman"/>
              </w:rPr>
              <w:t>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Soft drinks </w:t>
            </w:r>
            <w:r w:rsidR="0046399E">
              <w:rPr>
                <w:rFonts w:eastAsia="Times New Roman"/>
              </w:rPr>
              <w:t>–</w:t>
            </w:r>
            <w:r w:rsidRPr="00DF38B2">
              <w:rPr>
                <w:rFonts w:eastAsia="Times New Roman"/>
              </w:rPr>
              <w:t xml:space="preserve"> diet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Cordial </w:t>
            </w:r>
            <w:r w:rsidR="0046399E">
              <w:rPr>
                <w:rFonts w:eastAsia="Times New Roman"/>
              </w:rPr>
              <w:t>–</w:t>
            </w:r>
            <w:r w:rsidRPr="00DF38B2">
              <w:rPr>
                <w:rFonts w:eastAsia="Times New Roman"/>
              </w:rPr>
              <w:t xml:space="preserve"> sugar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Cordial diet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Milk drinks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Juices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grocery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Confectionery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5.6</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Takeaway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Clothing/Manchester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Variety/</w:t>
            </w:r>
            <w:proofErr w:type="spellStart"/>
            <w:r w:rsidRPr="00DF38B2">
              <w:rPr>
                <w:rFonts w:eastAsia="Times New Roman"/>
              </w:rPr>
              <w:t>H</w:t>
            </w:r>
            <w:r w:rsidR="0046399E">
              <w:rPr>
                <w:rFonts w:eastAsia="Times New Roman"/>
              </w:rPr>
              <w:t>’</w:t>
            </w:r>
            <w:r w:rsidRPr="00DF38B2">
              <w:rPr>
                <w:rFonts w:eastAsia="Times New Roman"/>
              </w:rPr>
              <w:t>ware</w:t>
            </w:r>
            <w:proofErr w:type="spellEnd"/>
            <w:r w:rsidRPr="00DF38B2">
              <w:rPr>
                <w:rFonts w:eastAsia="Times New Roman"/>
              </w:rPr>
              <w:t>/Toys/Elect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14.8</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Mobile phones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Phone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Power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Fuel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fuel</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Music card</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 detail</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Washing tokens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r>
      <w:tr w:rsidR="005E1FE0" w:rsidRPr="00DF38B2" w:rsidTr="000628DB">
        <w:trPr>
          <w:trHeight w:val="20"/>
          <w:jc w:val="center"/>
        </w:trPr>
        <w:tc>
          <w:tcPr>
            <w:tcW w:w="2460"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48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5E1FE0" w:rsidRPr="00DF38B2" w:rsidTr="000628DB">
        <w:trPr>
          <w:trHeight w:val="20"/>
          <w:jc w:val="center"/>
        </w:trPr>
        <w:tc>
          <w:tcPr>
            <w:tcW w:w="24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5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r>
    </w:tbl>
    <w:p w:rsidR="005E1FE0" w:rsidRPr="00DF38B2" w:rsidRDefault="005E1FE0" w:rsidP="006654AE">
      <w:pPr>
        <w:pStyle w:val="tablenotes"/>
        <w:ind w:left="1437" w:hanging="870"/>
      </w:pPr>
      <w:r w:rsidRPr="00DF38B2">
        <w:t>Note:</w:t>
      </w:r>
      <w:r w:rsidRPr="00DF38B2">
        <w:tab/>
        <w:t xml:space="preserve">Data based on a single day of sales in more than 30 community stores. </w:t>
      </w:r>
      <w:r w:rsidR="00D5404D">
        <w:t>Data are</w:t>
      </w:r>
      <w:r w:rsidRPr="00DF38B2">
        <w:t xml:space="preserve"> for October 2013 and March 2014</w:t>
      </w:r>
      <w:r w:rsidR="00BF56C6">
        <w:t>.</w:t>
      </w:r>
    </w:p>
    <w:p w:rsidR="005E1FE0" w:rsidRDefault="005E1FE0" w:rsidP="006654AE">
      <w:pPr>
        <w:pStyle w:val="tablenotes"/>
      </w:pPr>
      <w:r w:rsidRPr="00DF38B2">
        <w:t xml:space="preserve">Source: </w:t>
      </w:r>
      <w:r w:rsidRPr="00DF38B2">
        <w:tab/>
        <w:t>Data provided by selected merchants for the purposes of the evaluation.</w:t>
      </w:r>
    </w:p>
    <w:p w:rsidR="003928BD" w:rsidRPr="00DF38B2" w:rsidRDefault="003928BD" w:rsidP="006654AE">
      <w:pPr>
        <w:pStyle w:val="tablefootnoteslastline"/>
      </w:pPr>
    </w:p>
    <w:p w:rsidR="005E1FE0" w:rsidRPr="009655C3" w:rsidRDefault="005E1FE0" w:rsidP="006654AE">
      <w:r w:rsidRPr="00DF38B2">
        <w:t>Phone and power cards featured highly in the top</w:t>
      </w:r>
      <w:r w:rsidR="00BD334B">
        <w:t>-</w:t>
      </w:r>
      <w:r w:rsidRPr="00DF38B2">
        <w:t xml:space="preserve">selling items on </w:t>
      </w:r>
      <w:proofErr w:type="spellStart"/>
      <w:r w:rsidRPr="00DF38B2">
        <w:t>BasicsCard</w:t>
      </w:r>
      <w:proofErr w:type="spellEnd"/>
      <w:r w:rsidRPr="00DF38B2">
        <w:t xml:space="preserve"> (</w:t>
      </w:r>
      <w:r w:rsidRPr="00DF38B2">
        <w:fldChar w:fldCharType="begin"/>
      </w:r>
      <w:r w:rsidRPr="00DF38B2">
        <w:instrText xml:space="preserve"> REF _Ref391646988 \h </w:instrText>
      </w:r>
      <w:r w:rsidRPr="00DF38B2">
        <w:fldChar w:fldCharType="separate"/>
      </w:r>
      <w:r w:rsidR="00906D13" w:rsidRPr="00DF38B2">
        <w:t xml:space="preserve">Table </w:t>
      </w:r>
      <w:r w:rsidR="00906D13">
        <w:rPr>
          <w:noProof/>
        </w:rPr>
        <w:t>6</w:t>
      </w:r>
      <w:r w:rsidR="00906D13">
        <w:noBreakHyphen/>
      </w:r>
      <w:r w:rsidR="00906D13">
        <w:rPr>
          <w:noProof/>
        </w:rPr>
        <w:t>12</w:t>
      </w:r>
      <w:r w:rsidRPr="00DF38B2">
        <w:fldChar w:fldCharType="end"/>
      </w:r>
      <w:r w:rsidRPr="00DF38B2">
        <w:t>). In aggregate</w:t>
      </w:r>
      <w:r w:rsidR="00BD334B">
        <w:t>,</w:t>
      </w:r>
      <w:r w:rsidRPr="00DF38B2">
        <w:t xml:space="preserve"> phone cards account for 6.0 per cent and power cards for 3.7 per cent of Basics</w:t>
      </w:r>
      <w:r w:rsidRPr="00FE502F">
        <w:t>Card sales at these stores. While the share of BasicsCard sales accounted</w:t>
      </w:r>
      <w:r w:rsidRPr="009655C3">
        <w:t xml:space="preserve"> for by phone cards is a little higher than the share these contribute to total sales, the share of sales of power cards is </w:t>
      </w:r>
      <w:r w:rsidR="00BD334B">
        <w:t>slightly</w:t>
      </w:r>
      <w:r w:rsidRPr="009655C3">
        <w:t xml:space="preserve"> below.</w:t>
      </w:r>
    </w:p>
    <w:p w:rsidR="005E1FE0" w:rsidRPr="00DF38B2" w:rsidRDefault="005E1FE0" w:rsidP="006654AE">
      <w:r w:rsidRPr="00DF38B2">
        <w:t>The evaluation has undertaken extensive analysis of the sales of these cards and considers that the high level of phone card spending does not seem out of step with the important role that mobile phones play in enabling people to maintain networks in the Northern Territory. While there may be concern that these cards are used as a means of cashing out</w:t>
      </w:r>
      <w:r w:rsidR="004A746A">
        <w:t>’ their BasicsCard funds</w:t>
      </w:r>
      <w:r w:rsidRPr="00DF38B2">
        <w:t xml:space="preserve"> and avoiding the strictures of income management, the case for this does not </w:t>
      </w:r>
      <w:r w:rsidR="00BD334B">
        <w:t xml:space="preserve">appear </w:t>
      </w:r>
      <w:r w:rsidRPr="00DF38B2">
        <w:t>to be strong</w:t>
      </w:r>
      <w:r w:rsidR="00666BF3" w:rsidRPr="00DF38B2">
        <w:t>:</w:t>
      </w:r>
    </w:p>
    <w:p w:rsidR="005E1FE0" w:rsidRPr="00DF38B2" w:rsidRDefault="00A8053C" w:rsidP="006654AE">
      <w:pPr>
        <w:pStyle w:val="dot"/>
      </w:pPr>
      <w:r w:rsidRPr="00DF38B2">
        <w:t>As previously cited</w:t>
      </w:r>
      <w:r>
        <w:t>,</w:t>
      </w:r>
      <w:r w:rsidRPr="00DF38B2">
        <w:t xml:space="preserve"> the reported incidence of this behaviour in the LSNIM </w:t>
      </w:r>
      <w:r>
        <w:t>is</w:t>
      </w:r>
      <w:r w:rsidRPr="00DF38B2">
        <w:t xml:space="preserve"> relatively low</w:t>
      </w:r>
      <w:r>
        <w:t>,</w:t>
      </w:r>
      <w:r w:rsidRPr="00DF38B2">
        <w:t xml:space="preserve"> and to the extent </w:t>
      </w:r>
      <w:r>
        <w:t xml:space="preserve">that </w:t>
      </w:r>
      <w:r w:rsidRPr="00DF38B2">
        <w:t>it occurs</w:t>
      </w:r>
      <w:r>
        <w:t>,</w:t>
      </w:r>
      <w:r w:rsidRPr="00DF38B2">
        <w:t xml:space="preserve"> it appears that people are just as likely to swap food as they are these cards. </w:t>
      </w:r>
    </w:p>
    <w:p w:rsidR="005E1FE0" w:rsidRPr="00DF38B2" w:rsidRDefault="005E1FE0" w:rsidP="006654AE">
      <w:pPr>
        <w:pStyle w:val="dot"/>
      </w:pPr>
      <w:r w:rsidRPr="00DF38B2">
        <w:t>Secondly</w:t>
      </w:r>
      <w:r w:rsidR="00BD334B">
        <w:t>,</w:t>
      </w:r>
      <w:r w:rsidRPr="00DF38B2">
        <w:t xml:space="preserve"> these data are for community stores, and the responses in the LSNIM suggest that to the extent </w:t>
      </w:r>
      <w:r w:rsidR="00666BF3" w:rsidRPr="00DF38B2">
        <w:t xml:space="preserve">that cards are used in this way </w:t>
      </w:r>
      <w:r w:rsidRPr="00DF38B2">
        <w:t>it is more frequent in urban areas, and within the non-Indigenous population.</w:t>
      </w:r>
    </w:p>
    <w:p w:rsidR="005E1FE0" w:rsidRPr="00DF38B2" w:rsidRDefault="005E1FE0" w:rsidP="006654AE">
      <w:pPr>
        <w:pStyle w:val="dot"/>
      </w:pPr>
      <w:r w:rsidRPr="00DF38B2">
        <w:t>Detailed analysis of the</w:t>
      </w:r>
      <w:r w:rsidR="00BD334B">
        <w:t>se</w:t>
      </w:r>
      <w:r w:rsidRPr="00DF38B2">
        <w:t xml:space="preserve"> data at the individual store level indicates there is little to suggest a systemic problem. In most locations the spending by people using BasicsCard on</w:t>
      </w:r>
      <w:r w:rsidR="00BD334B">
        <w:t xml:space="preserve"> phone</w:t>
      </w:r>
      <w:r w:rsidRPr="00DF38B2">
        <w:t xml:space="preserve"> cards is not </w:t>
      </w:r>
      <w:r w:rsidRPr="00DF38B2">
        <w:lastRenderedPageBreak/>
        <w:t>inconsistent with overall spending on these cards, and while phone card spending is often higher relative to the sales of other cards</w:t>
      </w:r>
      <w:r w:rsidR="00BD334B">
        <w:t>,</w:t>
      </w:r>
      <w:r w:rsidRPr="00DF38B2">
        <w:t xml:space="preserve"> there is nothing to suggest that these cards would be any more tradeable than other cards </w:t>
      </w:r>
      <w:r w:rsidR="00BD334B">
        <w:t>that</w:t>
      </w:r>
      <w:r w:rsidRPr="00DF38B2">
        <w:t xml:space="preserve"> do not have elevated sales. This suggests that the level of sales is more likely to be a result of their use for communications.</w:t>
      </w:r>
    </w:p>
    <w:p w:rsidR="005E1FE0" w:rsidRPr="00DF38B2" w:rsidRDefault="005E1FE0" w:rsidP="006654AE">
      <w:r w:rsidRPr="00DF38B2">
        <w:t>The data made available to the evaluation from community stores also permits examination of the composition of the basket of goods purchased in each BasicsCard transaction. The data for a subset of these stores show that:</w:t>
      </w:r>
    </w:p>
    <w:p w:rsidR="005E1FE0" w:rsidRPr="00DF38B2" w:rsidRDefault="005E1FE0" w:rsidP="006654AE">
      <w:pPr>
        <w:pStyle w:val="dot"/>
      </w:pPr>
      <w:r w:rsidRPr="00DF38B2">
        <w:t xml:space="preserve">The size of these transactions is generally quite low. A quarter of the transactions are for just one or two items, half are for </w:t>
      </w:r>
      <w:r w:rsidR="00BD334B">
        <w:t>four</w:t>
      </w:r>
      <w:r w:rsidRPr="00DF38B2">
        <w:t xml:space="preserve"> or fewer items</w:t>
      </w:r>
      <w:r w:rsidR="00BD334B">
        <w:t>,</w:t>
      </w:r>
      <w:r w:rsidRPr="00DF38B2">
        <w:t xml:space="preserve"> and just a quarter involve purchases of more than </w:t>
      </w:r>
      <w:r w:rsidR="00BD334B">
        <w:t>nine</w:t>
      </w:r>
      <w:r w:rsidRPr="00DF38B2">
        <w:t xml:space="preserve"> items. </w:t>
      </w:r>
    </w:p>
    <w:p w:rsidR="005E1FE0" w:rsidRPr="00DF38B2" w:rsidRDefault="005E1FE0" w:rsidP="006654AE">
      <w:pPr>
        <w:pStyle w:val="dot"/>
      </w:pPr>
      <w:r w:rsidRPr="00DF38B2">
        <w:t>A total of almost one</w:t>
      </w:r>
      <w:r w:rsidR="00BD334B">
        <w:t>-</w:t>
      </w:r>
      <w:r w:rsidRPr="00DF38B2">
        <w:t>third of all BasicsCard transactions recorded in this subsample involved the purchase of some sugar</w:t>
      </w:r>
      <w:r w:rsidR="00BD334B">
        <w:t>-</w:t>
      </w:r>
      <w:r w:rsidRPr="00DF38B2">
        <w:t>based Coca Cola</w:t>
      </w:r>
      <w:r w:rsidR="00B32874">
        <w:t xml:space="preserve"> or Pepsi</w:t>
      </w:r>
      <w:r w:rsidRPr="00DF38B2">
        <w:t xml:space="preserve"> drinks. This proportion of transactions increases to just </w:t>
      </w:r>
      <w:proofErr w:type="gramStart"/>
      <w:r w:rsidRPr="00DF38B2">
        <w:t>under</w:t>
      </w:r>
      <w:proofErr w:type="gramEnd"/>
      <w:r w:rsidRPr="00DF38B2">
        <w:t xml:space="preserve"> half when the wider range of sugar</w:t>
      </w:r>
      <w:r w:rsidR="00BD334B">
        <w:t>-</w:t>
      </w:r>
      <w:r w:rsidRPr="00DF38B2">
        <w:t>sweetened soft drinks are included.</w:t>
      </w:r>
    </w:p>
    <w:p w:rsidR="005E1FE0" w:rsidRPr="00DF38B2" w:rsidRDefault="005E1FE0" w:rsidP="006654AE">
      <w:pPr>
        <w:pStyle w:val="dash"/>
      </w:pPr>
      <w:r w:rsidRPr="00DF38B2">
        <w:t xml:space="preserve">In contrast just </w:t>
      </w:r>
      <w:r w:rsidR="00B32874">
        <w:t>10</w:t>
      </w:r>
      <w:r w:rsidR="009B7F69">
        <w:t>.</w:t>
      </w:r>
      <w:r w:rsidR="00B32874">
        <w:t>0</w:t>
      </w:r>
      <w:r w:rsidR="009B7F69">
        <w:t xml:space="preserve"> </w:t>
      </w:r>
      <w:r w:rsidRPr="00DF38B2">
        <w:t>per cent of purchases included a diet soft drink and just 5.</w:t>
      </w:r>
      <w:r w:rsidR="00B32874">
        <w:t>9</w:t>
      </w:r>
      <w:r w:rsidRPr="00DF38B2">
        <w:t> per cent bottled water.</w:t>
      </w:r>
    </w:p>
    <w:p w:rsidR="005E1FE0" w:rsidRPr="00DF38B2" w:rsidRDefault="00B32874" w:rsidP="006654AE">
      <w:pPr>
        <w:pStyle w:val="dot"/>
      </w:pPr>
      <w:r>
        <w:t>14.2</w:t>
      </w:r>
      <w:r w:rsidR="005E1FE0" w:rsidRPr="00DF38B2">
        <w:t xml:space="preserve"> per cent of BasicsCard sales involve some fruit or vegetables; 20.3 per cent the purchase of bread; and </w:t>
      </w:r>
      <w:r>
        <w:t>24.1</w:t>
      </w:r>
      <w:r w:rsidR="005E1FE0" w:rsidRPr="00DF38B2">
        <w:t> per cent fresh, frozen or processed meat.</w:t>
      </w:r>
    </w:p>
    <w:p w:rsidR="005E1FE0" w:rsidRPr="00DF38B2" w:rsidRDefault="005E1FE0" w:rsidP="006654AE">
      <w:r w:rsidRPr="00DF38B2">
        <w:t>Data for the urban</w:t>
      </w:r>
      <w:r w:rsidR="00433A52">
        <w:t xml:space="preserve"> stores</w:t>
      </w:r>
      <w:r w:rsidRPr="00DF38B2">
        <w:t xml:space="preserve"> is given in </w:t>
      </w:r>
      <w:r w:rsidRPr="00DF38B2">
        <w:fldChar w:fldCharType="begin"/>
      </w:r>
      <w:r w:rsidRPr="00DF38B2">
        <w:instrText xml:space="preserve"> REF _Ref391650626 \h </w:instrText>
      </w:r>
      <w:r w:rsidRPr="00DF38B2">
        <w:fldChar w:fldCharType="separate"/>
      </w:r>
      <w:r w:rsidR="00906D13" w:rsidRPr="00DF38B2">
        <w:t xml:space="preserve">Table </w:t>
      </w:r>
      <w:r w:rsidR="00906D13">
        <w:rPr>
          <w:noProof/>
        </w:rPr>
        <w:t>6</w:t>
      </w:r>
      <w:r w:rsidR="00906D13">
        <w:noBreakHyphen/>
      </w:r>
      <w:r w:rsidR="00906D13">
        <w:rPr>
          <w:noProof/>
        </w:rPr>
        <w:t>14</w:t>
      </w:r>
      <w:r w:rsidRPr="00DF38B2">
        <w:fldChar w:fldCharType="end"/>
      </w:r>
      <w:r w:rsidRPr="00DF38B2">
        <w:t>. The table shows major product groupings of expenditure, along</w:t>
      </w:r>
      <w:r w:rsidRPr="00FE502F">
        <w:t xml:space="preserve"> with more specific detail. In contrast to the community based store</w:t>
      </w:r>
      <w:r w:rsidRPr="009655C3">
        <w:t>s where BasicsCards constitute a relatively significant portion of sales, the contribution of BasicsCard to the sales in these urban stores is very small. It should be noted that the proportion of sales in this table vary from those given in the top</w:t>
      </w:r>
      <w:r w:rsidR="00BD334B">
        <w:t>-</w:t>
      </w:r>
      <w:r w:rsidRPr="009655C3">
        <w:t>sellin</w:t>
      </w:r>
      <w:r w:rsidRPr="00DF38B2">
        <w:t>g items</w:t>
      </w:r>
      <w:r w:rsidR="00BD334B">
        <w:t>,</w:t>
      </w:r>
      <w:r w:rsidRPr="00DF38B2">
        <w:t xml:space="preserve"> which are based upon supermarket sales only.</w:t>
      </w:r>
    </w:p>
    <w:p w:rsidR="005E1FE0" w:rsidRPr="00DF38B2" w:rsidRDefault="005E1FE0" w:rsidP="006654AE">
      <w:r w:rsidRPr="00DF38B2">
        <w:t>In aggregate</w:t>
      </w:r>
      <w:r w:rsidR="00BD334B">
        <w:t>,</w:t>
      </w:r>
      <w:r w:rsidRPr="00DF38B2">
        <w:t xml:space="preserve"> 42.5 per cent of sales at these stores on BasicsCard are for the purchase of food, a little below the 55.9 per cent share of non-BasicsCard sales. Within these food sales:</w:t>
      </w:r>
    </w:p>
    <w:p w:rsidR="005E1FE0" w:rsidRPr="00DF38B2" w:rsidRDefault="005E1FE0" w:rsidP="006654AE">
      <w:pPr>
        <w:pStyle w:val="dot"/>
      </w:pPr>
      <w:r w:rsidRPr="00DF38B2">
        <w:t xml:space="preserve">Although the expenditure on fruit and vegetables on BasicsCard was considerably higher than that recorded in the community stores, at </w:t>
      </w:r>
      <w:r w:rsidR="00B32874">
        <w:t>5.9 </w:t>
      </w:r>
      <w:r w:rsidRPr="00DF38B2">
        <w:t xml:space="preserve">per cent of sales it remains well below the </w:t>
      </w:r>
      <w:r w:rsidR="00B32874">
        <w:t>10.7</w:t>
      </w:r>
      <w:r w:rsidRPr="00DF38B2">
        <w:t> per cent recorded for non</w:t>
      </w:r>
      <w:r w:rsidR="00BD334B">
        <w:t>-</w:t>
      </w:r>
      <w:r w:rsidRPr="00DF38B2">
        <w:t>BasicsCard spending.</w:t>
      </w:r>
    </w:p>
    <w:p w:rsidR="005E1FE0" w:rsidRPr="00DF38B2" w:rsidRDefault="005E1FE0" w:rsidP="006654AE">
      <w:pPr>
        <w:pStyle w:val="dash"/>
      </w:pPr>
      <w:r w:rsidRPr="00DF38B2">
        <w:t xml:space="preserve">Fresh fruit accounted for 1.9 per cent of BasicsCard sales compared with 3.9 per cent of non-BasicsCard spending. For fresh vegetables the proportions were </w:t>
      </w:r>
      <w:r w:rsidR="00B32874">
        <w:t>3.2 per cent</w:t>
      </w:r>
      <w:r w:rsidRPr="00DF38B2">
        <w:t xml:space="preserve"> and </w:t>
      </w:r>
      <w:r w:rsidR="00B32874">
        <w:t>5.3</w:t>
      </w:r>
      <w:r w:rsidRPr="00DF38B2">
        <w:t> per cent respectively.</w:t>
      </w:r>
      <w:r w:rsidR="00B32874">
        <w:t xml:space="preserve"> As a share of food spending</w:t>
      </w:r>
      <w:r w:rsidR="00BD334B">
        <w:t>,</w:t>
      </w:r>
      <w:r w:rsidR="00B32874">
        <w:t xml:space="preserve"> fresh fruit accounts for 4.5 per cent of BasicsCard spending as opposed to 7.0 per cent of other spending, with the ratios for vegetables being 7.5 per cent and 9.5 per cent</w:t>
      </w:r>
      <w:r w:rsidR="00BD334B">
        <w:t>,</w:t>
      </w:r>
      <w:r w:rsidR="00B32874">
        <w:t xml:space="preserve"> and the aggregate being 13.8 per cent of BasicsCard spending and 19.1 per cent of other spending. </w:t>
      </w:r>
    </w:p>
    <w:p w:rsidR="005E1FE0" w:rsidRPr="00DF38B2" w:rsidRDefault="005E1FE0" w:rsidP="006654AE">
      <w:pPr>
        <w:pStyle w:val="dot"/>
      </w:pPr>
      <w:r w:rsidRPr="00DF38B2">
        <w:t>Spending on soft drinks accounted for 2.5 per cent of BasicsCard sales and on water 0.3 per cent. In both cases these shares were below those for non-BasicsCard sales, with this lower spending being more pronounced in the case of water.</w:t>
      </w:r>
    </w:p>
    <w:p w:rsidR="005E1FE0" w:rsidRPr="00DF38B2" w:rsidRDefault="005E1FE0" w:rsidP="006654AE">
      <w:pPr>
        <w:pStyle w:val="dot"/>
      </w:pPr>
      <w:r w:rsidRPr="00DF38B2">
        <w:t xml:space="preserve">Meat accounted for </w:t>
      </w:r>
      <w:r w:rsidR="00B32874">
        <w:t>10.6</w:t>
      </w:r>
      <w:r w:rsidRPr="00DF38B2">
        <w:t> per cent of BasicsCard sales</w:t>
      </w:r>
      <w:r w:rsidR="00B32874">
        <w:t xml:space="preserve"> and 24.9 per cent of BasicsCard spending on food, somewhat above the 19.3 per cent</w:t>
      </w:r>
      <w:r w:rsidRPr="00DF38B2">
        <w:t xml:space="preserve"> share it represents </w:t>
      </w:r>
      <w:r w:rsidR="00BD334B">
        <w:t>in</w:t>
      </w:r>
      <w:r w:rsidRPr="00DF38B2">
        <w:t xml:space="preserve"> other </w:t>
      </w:r>
      <w:r w:rsidR="00B32874">
        <w:t xml:space="preserve">food </w:t>
      </w:r>
      <w:r w:rsidRPr="00DF38B2">
        <w:t>spending. Within this category there were some differences. Sales on processed meats, beef and veal and lamb was much higher, especially with regard to lamb, while spending on poultry was much lower.</w:t>
      </w:r>
    </w:p>
    <w:p w:rsidR="005E1FE0" w:rsidRPr="00DF38B2" w:rsidRDefault="005E1FE0" w:rsidP="006654AE">
      <w:pPr>
        <w:pStyle w:val="dot"/>
      </w:pPr>
      <w:r w:rsidRPr="00DF38B2">
        <w:t xml:space="preserve">The purchase of takeaway foods accounted for 1.9 per cent of BasicsCard sales, compared with 1.0 per cent of other sales. The high level of spending on BasicsCard largely reflects the sales of barbequed chickens in </w:t>
      </w:r>
      <w:r w:rsidR="00433A52">
        <w:t>these</w:t>
      </w:r>
      <w:r w:rsidRPr="00DF38B2">
        <w:t xml:space="preserve"> stores.</w:t>
      </w:r>
    </w:p>
    <w:p w:rsidR="005E1FE0" w:rsidRPr="00DF38B2" w:rsidRDefault="005E1FE0" w:rsidP="006654AE">
      <w:pPr>
        <w:pStyle w:val="Caption"/>
      </w:pPr>
      <w:bookmarkStart w:id="363" w:name="_Ref391650626"/>
      <w:bookmarkStart w:id="364" w:name="_Toc403739453"/>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14</w:t>
        </w:r>
      </w:fldSimple>
      <w:bookmarkEnd w:id="363"/>
      <w:r w:rsidRPr="00DF38B2">
        <w:t xml:space="preserve"> </w:t>
      </w:r>
      <w:r w:rsidR="00B235E1">
        <w:tab/>
      </w:r>
      <w:r w:rsidRPr="00DF38B2">
        <w:t>Composition of sales, excluding tobacco, urban store</w:t>
      </w:r>
      <w:r w:rsidR="00433A52">
        <w:t>s</w:t>
      </w:r>
      <w:r w:rsidR="003C1097">
        <w:t>, 2013</w:t>
      </w:r>
      <w:bookmarkEnd w:id="364"/>
      <w:r w:rsidRPr="00DF38B2">
        <w:t xml:space="preserve"> </w:t>
      </w:r>
    </w:p>
    <w:tbl>
      <w:tblPr>
        <w:tblW w:w="8171" w:type="dxa"/>
        <w:jc w:val="center"/>
        <w:tblLayout w:type="fixed"/>
        <w:tblLook w:val="04A0" w:firstRow="1" w:lastRow="0" w:firstColumn="1" w:lastColumn="0" w:noHBand="0" w:noVBand="1"/>
        <w:tblDescription w:val="This table considers the distribution of BasicsCard and other sales at selected urban stores. The classification of items is a complex structure comprising in the rows: Fresh fruit; Fresh vegetables and Other fruit and vegetables, and the total of these three items as Total fruit and vegetables. This is then followed by a grouping of processed meat, beef and lamb sales, with other meat items as the next row followed by a total of these meat items.  This is followed by 5 other food classifications: Cereals/Bread/Cakes, Meals out and fast foods, Soft drink, Water and Other food, and then a total of all food items which are these five items, along with the sub-totals of fruit and vegetables and meat.&#10;These items are then followed by 8 further classifications: Clothing &amp; footwear; Phones and accessories; Phone cards; AudioVisual (AV) equipment; DVDs and CDs; Electronic Games;  Music downloads; and other expenditures.&#10;There are four columns of data the first two considers the distribution of BasicsCard and non-BasicsCard spending at these stores across all of these items (as a percentage of the total) with the second two looking at the distribution of food expenditure only – that is of the initial food items as a proportion of total food spending.&#10;Key features are discussed in the text.&#10;"/>
      </w:tblPr>
      <w:tblGrid>
        <w:gridCol w:w="582"/>
        <w:gridCol w:w="2301"/>
        <w:gridCol w:w="1462"/>
        <w:gridCol w:w="1107"/>
        <w:gridCol w:w="236"/>
        <w:gridCol w:w="1349"/>
        <w:gridCol w:w="1134"/>
      </w:tblGrid>
      <w:tr w:rsidR="00B32874" w:rsidRPr="00B32874" w:rsidTr="000B1518">
        <w:trPr>
          <w:cantSplit/>
          <w:trHeight w:val="20"/>
          <w:tblHeader/>
          <w:jc w:val="center"/>
        </w:trPr>
        <w:tc>
          <w:tcPr>
            <w:tcW w:w="2883" w:type="dxa"/>
            <w:gridSpan w:val="2"/>
            <w:tcBorders>
              <w:top w:val="single" w:sz="4" w:space="0" w:color="auto"/>
              <w:left w:val="nil"/>
              <w:bottom w:val="single" w:sz="4" w:space="0" w:color="auto"/>
              <w:right w:val="nil"/>
            </w:tcBorders>
            <w:shd w:val="clear" w:color="auto" w:fill="auto"/>
            <w:noWrap/>
            <w:vAlign w:val="bottom"/>
            <w:hideMark/>
          </w:tcPr>
          <w:p w:rsidR="00B32874" w:rsidRPr="00B32874" w:rsidRDefault="00B32874" w:rsidP="006654AE">
            <w:pPr>
              <w:pStyle w:val="tabletextleft"/>
            </w:pPr>
            <w:r w:rsidRPr="00B32874">
              <w:t>Classification (a)</w:t>
            </w:r>
          </w:p>
        </w:tc>
        <w:tc>
          <w:tcPr>
            <w:tcW w:w="1462" w:type="dxa"/>
            <w:tcBorders>
              <w:top w:val="single" w:sz="4" w:space="0" w:color="auto"/>
              <w:left w:val="nil"/>
              <w:bottom w:val="single" w:sz="4" w:space="0" w:color="auto"/>
              <w:right w:val="nil"/>
            </w:tcBorders>
            <w:shd w:val="clear" w:color="auto" w:fill="auto"/>
            <w:noWrap/>
            <w:vAlign w:val="bottom"/>
            <w:hideMark/>
          </w:tcPr>
          <w:p w:rsidR="00B32874" w:rsidRPr="00B32874" w:rsidRDefault="00B32874" w:rsidP="000B1518">
            <w:pPr>
              <w:pStyle w:val="tabletextright"/>
            </w:pPr>
            <w:r w:rsidRPr="00B32874">
              <w:t xml:space="preserve"> </w:t>
            </w:r>
            <w:r w:rsidR="000628DB">
              <w:t xml:space="preserve">Total expenditure </w:t>
            </w:r>
            <w:r w:rsidRPr="00B32874">
              <w:t>BasicsCard</w:t>
            </w:r>
            <w:r w:rsidR="000B1518">
              <w:t xml:space="preserve"> (%</w:t>
            </w:r>
            <w:r w:rsidR="000628DB">
              <w:t>)</w:t>
            </w:r>
            <w:r w:rsidRPr="00B32874">
              <w:t xml:space="preserve"> </w:t>
            </w:r>
          </w:p>
        </w:tc>
        <w:tc>
          <w:tcPr>
            <w:tcW w:w="1107"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 xml:space="preserve">Total expenditure </w:t>
            </w:r>
            <w:r w:rsidR="00B32874" w:rsidRPr="00B32874">
              <w:t>Other</w:t>
            </w:r>
            <w:r w:rsidR="000B1518">
              <w:t xml:space="preserve"> (%</w:t>
            </w:r>
            <w:r>
              <w:t>)</w:t>
            </w:r>
          </w:p>
        </w:tc>
        <w:tc>
          <w:tcPr>
            <w:tcW w:w="236" w:type="dxa"/>
            <w:tcBorders>
              <w:top w:val="single" w:sz="4" w:space="0" w:color="auto"/>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349"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Food expenditure</w:t>
            </w:r>
            <w:r w:rsidR="000B1518">
              <w:t xml:space="preserve"> </w:t>
            </w:r>
            <w:r w:rsidR="00B32874" w:rsidRPr="00B32874">
              <w:t>BasicsCard</w:t>
            </w:r>
            <w:r w:rsidR="000B1518">
              <w:t xml:space="preserve"> (%</w:t>
            </w:r>
            <w:r>
              <w:t>)</w:t>
            </w:r>
          </w:p>
        </w:tc>
        <w:tc>
          <w:tcPr>
            <w:tcW w:w="1134"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Food expenditure</w:t>
            </w:r>
            <w:r w:rsidR="000B1518">
              <w:t xml:space="preserve"> </w:t>
            </w:r>
            <w:r w:rsidR="00B32874" w:rsidRPr="00B32874">
              <w:t>Other</w:t>
            </w:r>
            <w:r w:rsidR="000B1518">
              <w:t xml:space="preserve"> (%</w:t>
            </w:r>
            <w:r>
              <w:t>)</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Fresh fruit</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Fresh vegetables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3.2</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9.5</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fruit and vegetables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1.5</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1.7</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2.6</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fruit and vegetables (b)</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5.9</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10.7</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13.8</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19.1</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Processed/Beef/lamb</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18.1</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10.6</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6.8</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8.7</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meat</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10.6</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10.8</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24.9</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19.3</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Cereals/Bread/Cakes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13.3</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13.0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Meals out and fast foods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1.0</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1.7</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Soft drink</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2.5</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5.8</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5.9</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Water</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0.3</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0.7</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0.6</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1.2</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food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15.8</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22.1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37.1</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39.6</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food (c)</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42.5</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55.9</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100.0</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100.0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Clothing &amp; foot</w:t>
            </w:r>
            <w:r w:rsidR="00A70B3C">
              <w:t>w</w:t>
            </w:r>
            <w:r w:rsidRPr="00B32874">
              <w:t>ear</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21.4</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12.5</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Phone &amp; acc</w:t>
            </w:r>
            <w:r w:rsidR="00A70B3C">
              <w:t>.</w:t>
            </w:r>
            <w:r w:rsidRPr="00B32874">
              <w:t xml:space="preserve">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2.8</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Phone card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1.4</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AV equip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2.4</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DVD/CD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Elect Games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0.6</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Music downloads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0.5</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0.2</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22.2</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27.0</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right w:val="nil"/>
            </w:tcBorders>
            <w:shd w:val="clear" w:color="auto" w:fill="auto"/>
            <w:noWrap/>
            <w:vAlign w:val="bottom"/>
            <w:hideMark/>
          </w:tcPr>
          <w:p w:rsidR="00B32874" w:rsidRPr="00B32874" w:rsidRDefault="00B32874" w:rsidP="006654AE">
            <w:pPr>
              <w:pStyle w:val="tabletextleft"/>
            </w:pPr>
          </w:p>
        </w:tc>
        <w:tc>
          <w:tcPr>
            <w:tcW w:w="1462"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107"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236"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2883" w:type="dxa"/>
            <w:gridSpan w:val="2"/>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left"/>
            </w:pPr>
            <w:r w:rsidRPr="00B32874">
              <w:t>Total</w:t>
            </w:r>
          </w:p>
        </w:tc>
        <w:tc>
          <w:tcPr>
            <w:tcW w:w="1462"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r w:rsidRPr="00B32874">
              <w:t>100.0</w:t>
            </w:r>
          </w:p>
        </w:tc>
        <w:tc>
          <w:tcPr>
            <w:tcW w:w="1107"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r w:rsidRPr="00B32874">
              <w:t>100.0</w:t>
            </w:r>
          </w:p>
        </w:tc>
        <w:tc>
          <w:tcPr>
            <w:tcW w:w="236"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r>
    </w:tbl>
    <w:p w:rsidR="00BF56C6" w:rsidRDefault="00BF56C6" w:rsidP="006654AE">
      <w:pPr>
        <w:pStyle w:val="tablenotes"/>
      </w:pPr>
      <w:r>
        <w:t>Notes:</w:t>
      </w:r>
    </w:p>
    <w:p w:rsidR="00B32874" w:rsidRDefault="00B32874" w:rsidP="006654AE">
      <w:pPr>
        <w:pStyle w:val="tablenotes"/>
      </w:pPr>
      <w:proofErr w:type="gramStart"/>
      <w:r>
        <w:t>(a)</w:t>
      </w:r>
      <w:r w:rsidR="00BF56C6">
        <w:tab/>
      </w:r>
      <w:r>
        <w:t>ABS Household Classification Coding</w:t>
      </w:r>
      <w:r w:rsidR="00B66EA5">
        <w:t>,</w:t>
      </w:r>
      <w:r>
        <w:t xml:space="preserve"> except as noted </w:t>
      </w:r>
      <w:r w:rsidR="000F06BF">
        <w:t xml:space="preserve">in (b) below </w:t>
      </w:r>
      <w:r w:rsidR="00B66EA5">
        <w:t>(</w:t>
      </w:r>
      <w:r>
        <w:t>ABS 2011</w:t>
      </w:r>
      <w:r w:rsidR="00D7119A">
        <w:t>b</w:t>
      </w:r>
      <w:r w:rsidR="00BE5FEA">
        <w:t>)</w:t>
      </w:r>
      <w:r>
        <w:t>.</w:t>
      </w:r>
      <w:proofErr w:type="gramEnd"/>
    </w:p>
    <w:p w:rsidR="00B32874" w:rsidRDefault="00B32874" w:rsidP="006654AE">
      <w:pPr>
        <w:pStyle w:val="tablenotes"/>
        <w:ind w:left="1437" w:hanging="870"/>
      </w:pPr>
      <w:r>
        <w:t xml:space="preserve">(b) </w:t>
      </w:r>
      <w:r w:rsidR="00BF56C6">
        <w:tab/>
      </w:r>
      <w:r>
        <w:t>Excludes HEC 30703 Dried fruit and nuts (although this is included in total food expenditure)</w:t>
      </w:r>
      <w:r w:rsidR="00A70B3C">
        <w:t>; i</w:t>
      </w:r>
      <w:r>
        <w:t>f this is included</w:t>
      </w:r>
      <w:r w:rsidR="00A70B3C">
        <w:t>,</w:t>
      </w:r>
      <w:r>
        <w:t xml:space="preserve"> then the share of BasicsCard expenditure on HEC 3 </w:t>
      </w:r>
      <w:r w:rsidR="00A70B3C">
        <w:t>“</w:t>
      </w:r>
      <w:r>
        <w:t>Fruit and vegetables</w:t>
      </w:r>
      <w:r w:rsidR="00A70B3C">
        <w:t>”</w:t>
      </w:r>
      <w:r>
        <w:t xml:space="preserve"> increases to 6.0 per cent</w:t>
      </w:r>
      <w:r w:rsidR="00A70B3C">
        <w:t>,</w:t>
      </w:r>
      <w:r>
        <w:t xml:space="preserve"> and of other expenditure to 11.6 per cent.</w:t>
      </w:r>
    </w:p>
    <w:p w:rsidR="00B32874" w:rsidRDefault="00B32874" w:rsidP="006654AE">
      <w:pPr>
        <w:pStyle w:val="tablenotes"/>
      </w:pPr>
      <w:r>
        <w:t>(c)</w:t>
      </w:r>
      <w:r w:rsidR="00BF56C6">
        <w:tab/>
      </w:r>
      <w:r>
        <w:t>HEC Level 1 grouping 3 Food.</w:t>
      </w:r>
    </w:p>
    <w:p w:rsidR="00B32874" w:rsidRDefault="00B32874" w:rsidP="006654AE">
      <w:pPr>
        <w:pStyle w:val="tablenotes"/>
      </w:pPr>
      <w:r>
        <w:t>(d)</w:t>
      </w:r>
      <w:r w:rsidR="00BF56C6">
        <w:tab/>
      </w:r>
      <w:r>
        <w:t>Non-HEC coding directly from detailed item description</w:t>
      </w:r>
    </w:p>
    <w:p w:rsidR="005E1FE0" w:rsidRDefault="005E1FE0" w:rsidP="006654AE">
      <w:pPr>
        <w:pStyle w:val="tablenotes"/>
      </w:pPr>
      <w:r w:rsidRPr="00DF38B2">
        <w:t xml:space="preserve">Source: </w:t>
      </w:r>
      <w:r w:rsidRPr="00DF38B2">
        <w:tab/>
        <w:t>Data provided by selected merchants for the purposes of the evaluation.</w:t>
      </w:r>
    </w:p>
    <w:p w:rsidR="003928BD" w:rsidRPr="00DF38B2" w:rsidRDefault="003928BD" w:rsidP="006654AE">
      <w:pPr>
        <w:pStyle w:val="tablefootnoteslastline"/>
      </w:pPr>
    </w:p>
    <w:p w:rsidR="005E1FE0" w:rsidRPr="00DF38B2" w:rsidRDefault="005E1FE0" w:rsidP="006654AE">
      <w:r w:rsidRPr="00DF38B2">
        <w:t xml:space="preserve">Clothing and footwear sales accounted for 21.4 per cent of BasicsCard sales, well above the share of other sales. This reflects the use of </w:t>
      </w:r>
      <w:r w:rsidR="00433A52">
        <w:t>some urban stores</w:t>
      </w:r>
      <w:r w:rsidRPr="00DF38B2">
        <w:t xml:space="preserve"> as a major source of clothing for people on BasicsCard. Th</w:t>
      </w:r>
      <w:r w:rsidR="00115F4A">
        <w:t>ese</w:t>
      </w:r>
      <w:r w:rsidRPr="00DF38B2">
        <w:t xml:space="preserve"> data span over a year of sales and also pick up the surge of sales associated with the July FTB reconciliation payment. As well as being much higher at the aggregate level</w:t>
      </w:r>
      <w:r w:rsidR="00A70B3C">
        <w:t>,</w:t>
      </w:r>
      <w:r w:rsidRPr="00DF38B2">
        <w:t xml:space="preserve"> the composition of sales is </w:t>
      </w:r>
      <w:r w:rsidR="00A70B3C">
        <w:t>noticeably</w:t>
      </w:r>
      <w:r w:rsidRPr="00DF38B2">
        <w:t xml:space="preserve"> different</w:t>
      </w:r>
      <w:r w:rsidR="00A70B3C">
        <w:t>,</w:t>
      </w:r>
      <w:r w:rsidRPr="00DF38B2">
        <w:t xml:space="preserve"> with BasicsCard sales being disproportionately allocated to men’s, children’s and infant’s clothing, but lesser on women’s clothing.</w:t>
      </w:r>
    </w:p>
    <w:p w:rsidR="005E1FE0" w:rsidRPr="00DF38B2" w:rsidRDefault="005E1FE0" w:rsidP="006654AE">
      <w:r w:rsidRPr="00DF38B2">
        <w:t>Sales on BasicsCard are also disproportionately high with regard to entertainment and recreation, with this being particularly marked with regard to mobile phones and accessories, electronic games and DVDs. Within this product grouping</w:t>
      </w:r>
      <w:r w:rsidR="00A70B3C">
        <w:t>,</w:t>
      </w:r>
      <w:r w:rsidRPr="00DF38B2">
        <w:t xml:space="preserve"> the sale of phone cards accounts for 2.7 per cent of </w:t>
      </w:r>
      <w:r w:rsidR="00666BF3" w:rsidRPr="00DF38B2">
        <w:t xml:space="preserve">all BasicsCard </w:t>
      </w:r>
      <w:r w:rsidRPr="00DF38B2">
        <w:t xml:space="preserve">sales. While this proportion is well below that seen in the community stores, it is almost double the proportion of other sales on this item. The level of spending on DVDs and related items is consistent with information obtained in fieldwork. In </w:t>
      </w:r>
      <w:r w:rsidR="00A70B3C" w:rsidRPr="00DF38B2">
        <w:t>particular</w:t>
      </w:r>
      <w:r w:rsidR="00A70B3C">
        <w:t xml:space="preserve">, </w:t>
      </w:r>
      <w:r w:rsidRPr="00DF38B2">
        <w:t>it was put to the evaluation team that in overcrowded housing personal DVD players are frequently used by young people as a means of creating private space.</w:t>
      </w:r>
    </w:p>
    <w:p w:rsidR="005E1FE0" w:rsidRPr="00DF38B2" w:rsidRDefault="005E1FE0" w:rsidP="006654AE">
      <w:pPr>
        <w:pStyle w:val="Heading3"/>
      </w:pPr>
      <w:bookmarkStart w:id="365" w:name="_Toc403739052"/>
      <w:r w:rsidRPr="00DF38B2">
        <w:t>Spending over time – evidence of change</w:t>
      </w:r>
      <w:bookmarkEnd w:id="365"/>
    </w:p>
    <w:p w:rsidR="005E1FE0" w:rsidRPr="009655C3" w:rsidRDefault="000F06BF" w:rsidP="006654AE">
      <w:r>
        <w:fldChar w:fldCharType="begin"/>
      </w:r>
      <w:r>
        <w:instrText xml:space="preserve"> REF _Ref391753438 \h </w:instrText>
      </w:r>
      <w:r>
        <w:fldChar w:fldCharType="separate"/>
      </w:r>
      <w:r w:rsidR="00906D13" w:rsidRPr="00DF38B2">
        <w:t xml:space="preserve">Figure </w:t>
      </w:r>
      <w:r w:rsidR="00906D13">
        <w:rPr>
          <w:noProof/>
        </w:rPr>
        <w:t>6</w:t>
      </w:r>
      <w:r w:rsidR="00906D13" w:rsidRPr="00DF38B2">
        <w:noBreakHyphen/>
      </w:r>
      <w:r w:rsidR="00906D13">
        <w:rPr>
          <w:noProof/>
        </w:rPr>
        <w:t>6</w:t>
      </w:r>
      <w:r>
        <w:fldChar w:fldCharType="end"/>
      </w:r>
      <w:r>
        <w:t xml:space="preserve"> </w:t>
      </w:r>
      <w:r w:rsidR="005E1FE0" w:rsidRPr="00DF38B2">
        <w:t xml:space="preserve">and </w:t>
      </w:r>
      <w:r w:rsidR="005E1FE0" w:rsidRPr="00DF38B2">
        <w:fldChar w:fldCharType="begin"/>
      </w:r>
      <w:r w:rsidR="005E1FE0" w:rsidRPr="00DF38B2">
        <w:instrText xml:space="preserve"> REF _Ref391481501 \h </w:instrText>
      </w:r>
      <w:r w:rsidR="005E1FE0" w:rsidRPr="00DF38B2">
        <w:fldChar w:fldCharType="separate"/>
      </w:r>
      <w:r w:rsidR="00906D13" w:rsidRPr="00DF38B2">
        <w:t xml:space="preserve">Table </w:t>
      </w:r>
      <w:r w:rsidR="00906D13">
        <w:rPr>
          <w:noProof/>
        </w:rPr>
        <w:t>6</w:t>
      </w:r>
      <w:r w:rsidR="00906D13">
        <w:noBreakHyphen/>
      </w:r>
      <w:r w:rsidR="00906D13">
        <w:rPr>
          <w:noProof/>
        </w:rPr>
        <w:t>7</w:t>
      </w:r>
      <w:r w:rsidR="005E1FE0" w:rsidRPr="00DF38B2">
        <w:fldChar w:fldCharType="end"/>
      </w:r>
      <w:r w:rsidR="005E1FE0" w:rsidRPr="00DF38B2">
        <w:t xml:space="preserve"> present time series data on the sales of tobacco and fruit and vegetables for a subset of remote community stores. The purpose of th</w:t>
      </w:r>
      <w:r w:rsidR="00A70B3C">
        <w:t>ese</w:t>
      </w:r>
      <w:r w:rsidR="005E1FE0" w:rsidRPr="00DF38B2">
        <w:t xml:space="preserve"> data was to enable th</w:t>
      </w:r>
      <w:r w:rsidR="005E1FE0" w:rsidRPr="00FE502F">
        <w:t>e analysis of the impact of income management on the shares of spending o</w:t>
      </w:r>
      <w:r w:rsidR="005E1FE0" w:rsidRPr="009655C3">
        <w:t>n these items.</w:t>
      </w:r>
    </w:p>
    <w:p w:rsidR="009225E7" w:rsidRPr="00DF38B2" w:rsidRDefault="005E1FE0" w:rsidP="006654AE">
      <w:r w:rsidRPr="00DF38B2">
        <w:t>The relationship between income management and fruit and vegetable sales has been a contentious question. Research by the Menzies School of Health Research based on store sales data (</w:t>
      </w:r>
      <w:proofErr w:type="spellStart"/>
      <w:r w:rsidRPr="00DF38B2">
        <w:t>Brindlecombe</w:t>
      </w:r>
      <w:proofErr w:type="spellEnd"/>
      <w:r w:rsidRPr="00DF38B2">
        <w:t xml:space="preserve"> et al</w:t>
      </w:r>
      <w:r w:rsidR="005E57E9">
        <w:t>.,</w:t>
      </w:r>
      <w:r w:rsidRPr="00DF38B2">
        <w:t xml:space="preserve"> 2010) found that “Income management independent of the government stimulus payment appears to have had no beneficial effect on … fruit and vegetable sales.” In contrast the AIHW using a survey of 76 </w:t>
      </w:r>
      <w:r w:rsidRPr="00DF38B2">
        <w:lastRenderedPageBreak/>
        <w:t>people on income management and reports from 66 store operators reports “The data suggested that income management had resulted in some changes in people</w:t>
      </w:r>
      <w:r w:rsidR="005E57E9">
        <w:t>’</w:t>
      </w:r>
      <w:r w:rsidRPr="00DF38B2">
        <w:t>s expenditure patterns … with half (50.0 per cent or 37) [of the interviewees] buying more fruit and vegetables.” and that “More than two-thirds of store operators (68.2 per cent or 45) reported an increase in sales of fruit and vegetables and healthy food.”</w:t>
      </w:r>
      <w:r w:rsidR="005E57E9">
        <w:t xml:space="preserve"> </w:t>
      </w:r>
      <w:proofErr w:type="gramStart"/>
      <w:r w:rsidRPr="00DF38B2">
        <w:t>(AIHW</w:t>
      </w:r>
      <w:r w:rsidR="002532F6">
        <w:t>,</w:t>
      </w:r>
      <w:r w:rsidRPr="00DF38B2">
        <w:t xml:space="preserve"> 2010).</w:t>
      </w:r>
      <w:proofErr w:type="gramEnd"/>
    </w:p>
    <w:tbl>
      <w:tblPr>
        <w:tblStyle w:val="TableGrid"/>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contains two figures figure 6-6 and 6-7 in two columns"/>
      </w:tblPr>
      <w:tblGrid>
        <w:gridCol w:w="4910"/>
        <w:gridCol w:w="5013"/>
      </w:tblGrid>
      <w:tr w:rsidR="005E1FE0" w:rsidRPr="00DF38B2" w:rsidTr="00753044">
        <w:trPr>
          <w:tblHeader/>
        </w:trPr>
        <w:tc>
          <w:tcPr>
            <w:tcW w:w="4910" w:type="dxa"/>
          </w:tcPr>
          <w:p w:rsidR="005E1FE0" w:rsidRPr="00DF38B2" w:rsidRDefault="005E1FE0" w:rsidP="006654AE">
            <w:pPr>
              <w:pStyle w:val="Caption"/>
              <w:rPr>
                <w:b w:val="0"/>
              </w:rPr>
            </w:pPr>
            <w:bookmarkStart w:id="366" w:name="_Ref391753438"/>
            <w:bookmarkStart w:id="367" w:name="_Toc403739541"/>
            <w:r w:rsidRPr="00DF38B2">
              <w:t xml:space="preserve">Figure </w:t>
            </w:r>
            <w:r w:rsidR="00040708" w:rsidRPr="00F157EE">
              <w:rPr>
                <w:b w:val="0"/>
                <w:bCs w:val="0"/>
              </w:rPr>
              <w:fldChar w:fldCharType="begin"/>
            </w:r>
            <w:r w:rsidR="00040708" w:rsidRPr="00DF38B2">
              <w:instrText xml:space="preserve"> STYLEREF 1 \s </w:instrText>
            </w:r>
            <w:r w:rsidR="00040708" w:rsidRPr="00F157EE">
              <w:rPr>
                <w:b w:val="0"/>
                <w:bCs w:val="0"/>
              </w:rPr>
              <w:fldChar w:fldCharType="separate"/>
            </w:r>
            <w:r w:rsidR="00906D13">
              <w:rPr>
                <w:noProof/>
              </w:rPr>
              <w:t>6</w:t>
            </w:r>
            <w:r w:rsidR="00040708" w:rsidRPr="00F157EE">
              <w:rPr>
                <w:b w:val="0"/>
                <w:bCs w:val="0"/>
              </w:rPr>
              <w:fldChar w:fldCharType="end"/>
            </w:r>
            <w:r w:rsidRPr="00DF38B2">
              <w:noBreakHyphen/>
            </w:r>
            <w:r w:rsidR="00040708" w:rsidRPr="00F157EE">
              <w:rPr>
                <w:b w:val="0"/>
                <w:bCs w:val="0"/>
              </w:rPr>
              <w:fldChar w:fldCharType="begin"/>
            </w:r>
            <w:r w:rsidR="00040708" w:rsidRPr="00DF38B2">
              <w:instrText xml:space="preserve"> SEQ Figure \* ARABIC \s 1 </w:instrText>
            </w:r>
            <w:r w:rsidR="00040708" w:rsidRPr="00F157EE">
              <w:rPr>
                <w:b w:val="0"/>
                <w:bCs w:val="0"/>
              </w:rPr>
              <w:fldChar w:fldCharType="separate"/>
            </w:r>
            <w:r w:rsidR="00906D13">
              <w:rPr>
                <w:noProof/>
              </w:rPr>
              <w:t>6</w:t>
            </w:r>
            <w:r w:rsidR="00040708" w:rsidRPr="00F157EE">
              <w:rPr>
                <w:b w:val="0"/>
                <w:bCs w:val="0"/>
              </w:rPr>
              <w:fldChar w:fldCharType="end"/>
            </w:r>
            <w:bookmarkEnd w:id="366"/>
            <w:r w:rsidRPr="00DF38B2">
              <w:tab/>
              <w:t>Selected community stores, proportion of total expenditure on fruit and vegetables and tobacco, April 2009 to October 2013</w:t>
            </w:r>
            <w:bookmarkEnd w:id="367"/>
          </w:p>
        </w:tc>
        <w:tc>
          <w:tcPr>
            <w:tcW w:w="5013" w:type="dxa"/>
          </w:tcPr>
          <w:p w:rsidR="005E1FE0" w:rsidRPr="00DF38B2" w:rsidRDefault="005E1FE0" w:rsidP="006654AE">
            <w:pPr>
              <w:pStyle w:val="Caption"/>
            </w:pPr>
            <w:bookmarkStart w:id="368" w:name="_Ref391753445"/>
            <w:bookmarkStart w:id="369" w:name="_Toc403739542"/>
            <w:r w:rsidRPr="00F157EE">
              <w:t xml:space="preserve">Figure </w:t>
            </w:r>
            <w:fldSimple w:instr=" STYLEREF 1 \s ">
              <w:r w:rsidR="00906D13">
                <w:rPr>
                  <w:noProof/>
                </w:rPr>
                <w:t>6</w:t>
              </w:r>
            </w:fldSimple>
            <w:r w:rsidRPr="00F157EE">
              <w:noBreakHyphen/>
            </w:r>
            <w:fldSimple w:instr=" SEQ Figure \* ARABIC \s 1 ">
              <w:r w:rsidR="00906D13">
                <w:rPr>
                  <w:noProof/>
                </w:rPr>
                <w:t>7</w:t>
              </w:r>
            </w:fldSimple>
            <w:bookmarkEnd w:id="368"/>
            <w:r w:rsidRPr="00F157EE">
              <w:t xml:space="preserve"> </w:t>
            </w:r>
            <w:r w:rsidRPr="00F157EE">
              <w:tab/>
              <w:t>Selected community stores, tobacco price and estimated volume of sales, August 2009 to October 2013</w:t>
            </w:r>
            <w:bookmarkEnd w:id="369"/>
          </w:p>
        </w:tc>
      </w:tr>
    </w:tbl>
    <w:p w:rsidR="00F37B32" w:rsidRDefault="00D6046B" w:rsidP="00D6046B">
      <w:pPr>
        <w:jc w:val="center"/>
      </w:pPr>
      <w:r>
        <w:rPr>
          <w:noProof/>
        </w:rPr>
        <w:drawing>
          <wp:inline distT="0" distB="0" distL="0" distR="0" wp14:anchorId="32DC6C50" wp14:editId="4D340856">
            <wp:extent cx="5695950" cy="2716999"/>
            <wp:effectExtent l="0" t="0" r="0" b="7620"/>
            <wp:docPr id="25" name="Picture 25" descr="Two figures (6-6 and 6-7) are presented here. The first shows change in spending on fruit and veg compared with tobacco in community stores (April 2009 to October 2013) as a proportion of total expenditure.  It shows a slight upward trend in the proportion of sales on tobacco and a relatively flat pattern of expenditure on fruit and vegetables. This is discussed in the text above and below.&#10;The second shows estimated volume of tobacco sales compared with price per pack (August 2009 to October 2013). &#10;This chart has time on the horizontal axis, from August 2009 to October 2013, and has two vertical axes. The trends and relationship between these two variables is discussed in the text below.&#10;Figures are not included for reasons of commercial confidenti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439" r="884" b="2661"/>
                    <a:stretch/>
                  </pic:blipFill>
                  <pic:spPr bwMode="auto">
                    <a:xfrm>
                      <a:off x="0" y="0"/>
                      <a:ext cx="5702244" cy="2720001"/>
                    </a:xfrm>
                    <a:prstGeom prst="rect">
                      <a:avLst/>
                    </a:prstGeom>
                    <a:noFill/>
                    <a:ln>
                      <a:noFill/>
                    </a:ln>
                    <a:extLst>
                      <a:ext uri="{53640926-AAD7-44D8-BBD7-CCE9431645EC}">
                        <a14:shadowObscured xmlns:a14="http://schemas.microsoft.com/office/drawing/2010/main"/>
                      </a:ext>
                    </a:extLst>
                  </pic:spPr>
                </pic:pic>
              </a:graphicData>
            </a:graphic>
          </wp:inline>
        </w:drawing>
      </w:r>
    </w:p>
    <w:p w:rsidR="005E1FE0" w:rsidRPr="00DF38B2" w:rsidRDefault="005E1FE0" w:rsidP="006654AE">
      <w:pPr>
        <w:pStyle w:val="tablenotes"/>
        <w:ind w:left="1437" w:hanging="870"/>
      </w:pPr>
      <w:r w:rsidRPr="00DF38B2">
        <w:t xml:space="preserve">Note: </w:t>
      </w:r>
      <w:r w:rsidRPr="00DF38B2">
        <w:tab/>
        <w:t>Values omitted from vertical axis to protect commercial data. The later commencement of the tobacco quantity series reflects initial data problems in the series</w:t>
      </w:r>
      <w:r w:rsidR="00BF56C6">
        <w:t>.</w:t>
      </w:r>
    </w:p>
    <w:p w:rsidR="005E1FE0" w:rsidRPr="00DF38B2" w:rsidRDefault="005E1FE0" w:rsidP="006654AE">
      <w:pPr>
        <w:pStyle w:val="tablenotes"/>
        <w:keepNext w:val="0"/>
      </w:pPr>
      <w:r w:rsidRPr="00DF38B2">
        <w:t>Source:</w:t>
      </w:r>
      <w:r w:rsidRPr="00DF38B2">
        <w:tab/>
        <w:t>Data provided by selected merchants for the purposes of the evaluation.</w:t>
      </w:r>
    </w:p>
    <w:p w:rsidR="005E1FE0" w:rsidRDefault="005E1FE0" w:rsidP="006654AE">
      <w:pPr>
        <w:pStyle w:val="tablefootnoteslastline"/>
      </w:pPr>
    </w:p>
    <w:p w:rsidR="00B66EA5" w:rsidRPr="00DF38B2" w:rsidRDefault="00B66EA5" w:rsidP="006654AE">
      <w:r w:rsidRPr="00DF38B2">
        <w:t xml:space="preserve">In the case of tobacco one of the expressed goals of income management was to seek to limit the funds spent on this, along with alcohol and gambling. As can be seen in </w:t>
      </w:r>
      <w:r w:rsidRPr="00DF38B2">
        <w:fldChar w:fldCharType="begin"/>
      </w:r>
      <w:r w:rsidRPr="00DF38B2">
        <w:instrText xml:space="preserve"> REF _Ref391753438 \h </w:instrText>
      </w:r>
      <w:r w:rsidRPr="00DF38B2">
        <w:fldChar w:fldCharType="separate"/>
      </w:r>
      <w:r w:rsidR="00906D13" w:rsidRPr="00DF38B2">
        <w:t xml:space="preserve">Figure </w:t>
      </w:r>
      <w:r w:rsidR="00906D13">
        <w:rPr>
          <w:noProof/>
        </w:rPr>
        <w:t>6</w:t>
      </w:r>
      <w:r w:rsidR="00906D13" w:rsidRPr="00DF38B2">
        <w:noBreakHyphen/>
      </w:r>
      <w:r w:rsidR="00906D13">
        <w:rPr>
          <w:noProof/>
        </w:rPr>
        <w:t>6</w:t>
      </w:r>
      <w:r w:rsidRPr="00DF38B2">
        <w:fldChar w:fldCharType="end"/>
      </w:r>
      <w:r w:rsidRPr="00DF38B2">
        <w:t xml:space="preserve"> and </w:t>
      </w:r>
      <w:r w:rsidRPr="00DF38B2">
        <w:fldChar w:fldCharType="begin"/>
      </w:r>
      <w:r w:rsidRPr="00DF38B2">
        <w:instrText xml:space="preserve"> REF _Ref391753445 \h </w:instrText>
      </w:r>
      <w:r w:rsidRPr="00DF38B2">
        <w:fldChar w:fldCharType="separate"/>
      </w:r>
      <w:r w:rsidR="00906D13" w:rsidRPr="00F157EE">
        <w:t xml:space="preserve">Figure </w:t>
      </w:r>
      <w:r w:rsidR="00906D13">
        <w:rPr>
          <w:noProof/>
        </w:rPr>
        <w:t>6</w:t>
      </w:r>
      <w:r w:rsidR="00906D13" w:rsidRPr="00F157EE">
        <w:noBreakHyphen/>
      </w:r>
      <w:r w:rsidR="00906D13">
        <w:rPr>
          <w:noProof/>
        </w:rPr>
        <w:t>7</w:t>
      </w:r>
      <w:r w:rsidRPr="00DF38B2">
        <w:fldChar w:fldCharType="end"/>
      </w:r>
      <w:r w:rsidRPr="00DF38B2">
        <w:t>:</w:t>
      </w:r>
    </w:p>
    <w:p w:rsidR="00B66EA5" w:rsidRPr="009655C3" w:rsidRDefault="00B66EA5" w:rsidP="006654AE">
      <w:pPr>
        <w:pStyle w:val="dot"/>
      </w:pPr>
      <w:r w:rsidRPr="00FE502F">
        <w:t>While there has been some decrease in the volume of tobacco from the level reached in late 2009, this is linked to the steep price increase in mid-2010</w:t>
      </w:r>
      <w:r>
        <w:t>,</w:t>
      </w:r>
      <w:r w:rsidRPr="00FE502F">
        <w:t xml:space="preserve"> which saw the volume of sales slid</w:t>
      </w:r>
      <w:r w:rsidRPr="009655C3">
        <w:t>e over the subsequent year, after which they recovered some of the loss and have remained stable since. The proportion of value of spending on tobacco has increased slightly over the period, with this again being most marked at the time of the initial steep increase in prices, but potentially more recently also reflecting subsequent increases.</w:t>
      </w:r>
    </w:p>
    <w:p w:rsidR="00B66EA5" w:rsidRPr="00DF38B2" w:rsidRDefault="00B66EA5" w:rsidP="006654AE">
      <w:pPr>
        <w:pStyle w:val="dot"/>
      </w:pPr>
      <w:r w:rsidRPr="00DF38B2">
        <w:t>The share of spending on fruit and vegetables has been largely stable and low over the period</w:t>
      </w:r>
      <w:r>
        <w:t>,</w:t>
      </w:r>
      <w:r w:rsidRPr="00DF38B2">
        <w:t xml:space="preserve"> with no evidence of any trend.</w:t>
      </w:r>
    </w:p>
    <w:p w:rsidR="00B66EA5" w:rsidRPr="00DF38B2" w:rsidRDefault="00B66EA5" w:rsidP="006654AE">
      <w:r w:rsidRPr="00DF38B2">
        <w:t>Despite extensive analysis, which drew upon detailed income support data at the community level, no significant and consistent relationship was able to be found between the share of spending on tobacco or fruit and vegetables and the proportion of individuals on income management or the level of income</w:t>
      </w:r>
      <w:r>
        <w:t xml:space="preserve"> </w:t>
      </w:r>
      <w:r w:rsidRPr="00DF38B2">
        <w:t>managed funds in communities.</w:t>
      </w:r>
    </w:p>
    <w:p w:rsidR="005E1FE0" w:rsidRPr="00DF38B2" w:rsidRDefault="005E1FE0" w:rsidP="006654AE">
      <w:pPr>
        <w:pStyle w:val="Heading4"/>
      </w:pPr>
      <w:r w:rsidRPr="00DF38B2">
        <w:t>Other possible explanations for low fruit and vegetable consumption – availability and low incomes</w:t>
      </w:r>
    </w:p>
    <w:p w:rsidR="005E1FE0" w:rsidRPr="00DF38B2" w:rsidRDefault="005E1FE0" w:rsidP="006654AE">
      <w:r w:rsidRPr="00DF38B2">
        <w:t>Two questions which arise from this and earlier analysis regarding the level of fruit and vegetable purchases are whether it is a consequence of poor supply, especially in remote stores, and secondly whether the low level of relative consumption in both remote locations and urban areas can be attributed to an income effect.</w:t>
      </w:r>
    </w:p>
    <w:p w:rsidR="005E1FE0" w:rsidRPr="00DF38B2" w:rsidRDefault="005E1FE0" w:rsidP="006654AE">
      <w:r w:rsidRPr="00DF38B2">
        <w:t xml:space="preserve">The question of supply of fresh fruit and vegetables is a concern to the Northern Territory Department of Health and is one of the subjects </w:t>
      </w:r>
      <w:r w:rsidR="005E57E9">
        <w:t>it</w:t>
      </w:r>
      <w:r w:rsidRPr="00DF38B2">
        <w:t xml:space="preserve"> focus</w:t>
      </w:r>
      <w:r w:rsidR="005E57E9">
        <w:t>es</w:t>
      </w:r>
      <w:r w:rsidRPr="00DF38B2">
        <w:t xml:space="preserve"> on in the annual Market Basket Survey</w:t>
      </w:r>
      <w:r w:rsidR="004B6B41">
        <w:t xml:space="preserve">. This survey </w:t>
      </w:r>
      <w:r w:rsidRPr="00DF38B2">
        <w:t xml:space="preserve">collects </w:t>
      </w:r>
      <w:r w:rsidRPr="00DF38B2">
        <w:lastRenderedPageBreak/>
        <w:t>information on the cost of foods in remote stores, the range available to people to choose from</w:t>
      </w:r>
      <w:r w:rsidR="005E57E9">
        <w:t>,</w:t>
      </w:r>
      <w:r w:rsidRPr="00DF38B2">
        <w:t xml:space="preserve"> and in the case of fruit and vegetables</w:t>
      </w:r>
      <w:r w:rsidR="005E57E9">
        <w:t>,</w:t>
      </w:r>
      <w:r w:rsidRPr="00DF38B2">
        <w:t xml:space="preserve"> the quality of the produce on offer</w:t>
      </w:r>
      <w:r w:rsidR="00A1421A">
        <w:t xml:space="preserve">. </w:t>
      </w:r>
      <w:r w:rsidRPr="00DF38B2">
        <w:t>In 2013 the study collected data from 72 rural and remote stores</w:t>
      </w:r>
      <w:r w:rsidR="00A1421A">
        <w:t xml:space="preserve">. </w:t>
      </w:r>
      <w:r w:rsidRPr="00DF38B2">
        <w:t xml:space="preserve">The results of this survey as </w:t>
      </w:r>
      <w:r w:rsidR="005E57E9">
        <w:t>they</w:t>
      </w:r>
      <w:r w:rsidRPr="00DF38B2">
        <w:t xml:space="preserve"> concern</w:t>
      </w:r>
      <w:r w:rsidR="004B6B41">
        <w:t xml:space="preserve"> the quality and range of</w:t>
      </w:r>
      <w:r w:rsidRPr="00DF38B2">
        <w:t xml:space="preserve"> fruit and vegetables </w:t>
      </w:r>
      <w:r w:rsidR="005E57E9">
        <w:t>are</w:t>
      </w:r>
      <w:r w:rsidRPr="00DF38B2">
        <w:t xml:space="preserve"> shown in </w:t>
      </w:r>
      <w:r w:rsidRPr="00DF38B2">
        <w:fldChar w:fldCharType="begin"/>
      </w:r>
      <w:r w:rsidRPr="00DF38B2">
        <w:instrText xml:space="preserve"> REF _Ref391840567 \h </w:instrText>
      </w:r>
      <w:r w:rsidRPr="00DF38B2">
        <w:fldChar w:fldCharType="separate"/>
      </w:r>
      <w:r w:rsidR="00906D13" w:rsidRPr="00C132CB">
        <w:t xml:space="preserve">Figure </w:t>
      </w:r>
      <w:r w:rsidR="00906D13">
        <w:rPr>
          <w:noProof/>
        </w:rPr>
        <w:t>6</w:t>
      </w:r>
      <w:r w:rsidR="00906D13" w:rsidRPr="00C132CB">
        <w:noBreakHyphen/>
      </w:r>
      <w:r w:rsidR="00906D13">
        <w:rPr>
          <w:noProof/>
        </w:rPr>
        <w:t>8</w:t>
      </w:r>
      <w:r w:rsidRPr="00DF38B2">
        <w:fldChar w:fldCharType="end"/>
      </w:r>
      <w:r w:rsidRPr="00DF38B2">
        <w:t>.</w:t>
      </w:r>
    </w:p>
    <w:p w:rsidR="005E1FE0" w:rsidRPr="00DF38B2" w:rsidRDefault="005E1FE0" w:rsidP="006654AE">
      <w:pPr>
        <w:pStyle w:val="Caption"/>
      </w:pPr>
      <w:bookmarkStart w:id="370" w:name="_Ref391840567"/>
      <w:bookmarkStart w:id="371" w:name="_Toc403739543"/>
      <w:r w:rsidRPr="00C132CB">
        <w:t xml:space="preserve">Figure </w:t>
      </w:r>
      <w:fldSimple w:instr=" STYLEREF 1 \s ">
        <w:r w:rsidR="00906D13">
          <w:rPr>
            <w:noProof/>
          </w:rPr>
          <w:t>6</w:t>
        </w:r>
      </w:fldSimple>
      <w:r w:rsidRPr="00C132CB">
        <w:noBreakHyphen/>
      </w:r>
      <w:fldSimple w:instr=" SEQ Figure \* ARABIC \s 1 ">
        <w:r w:rsidR="00906D13">
          <w:rPr>
            <w:noProof/>
          </w:rPr>
          <w:t>8</w:t>
        </w:r>
      </w:fldSimple>
      <w:bookmarkEnd w:id="370"/>
      <w:r w:rsidRPr="00C132CB">
        <w:tab/>
        <w:t>Availability and quality of fruit and vegetables in Northern Territory remote stores</w:t>
      </w:r>
      <w:r w:rsidR="00B66EA5">
        <w:t>,</w:t>
      </w:r>
      <w:r w:rsidRPr="00C132CB">
        <w:t xml:space="preserve"> 2000</w:t>
      </w:r>
      <w:r w:rsidR="005E57E9" w:rsidRPr="00C132CB">
        <w:t>–</w:t>
      </w:r>
      <w:r w:rsidRPr="00C132CB">
        <w:t>2013</w:t>
      </w:r>
      <w:bookmarkEnd w:id="371"/>
    </w:p>
    <w:p w:rsidR="005E1FE0" w:rsidRPr="00DF38B2" w:rsidRDefault="005E1FE0" w:rsidP="006654AE">
      <w:pPr>
        <w:pStyle w:val="graphicpaste"/>
      </w:pPr>
      <w:r w:rsidRPr="008E4D9D">
        <w:rPr>
          <w:noProof/>
        </w:rPr>
        <w:drawing>
          <wp:inline distT="0" distB="0" distL="0" distR="0" wp14:anchorId="6030ABD3" wp14:editId="463C9CA9">
            <wp:extent cx="4286707" cy="2572024"/>
            <wp:effectExtent l="0" t="0" r="0" b="0"/>
            <wp:docPr id="60" name="Picture 60" descr="This graph shows the availabiliy and quality of fruit and vegetables over time in NT remote stores (200-2013). The trends are discussed in the text. In 2013 the chart reports the presence of an average of 10 different fruits and 17 vegetables with 81 per cent of fruit and 80 per cent of vegetables being of good quality. In comparison, in 2000 there was an average of 5 varieties of fruit and 11 vegetables and 66 per cent of each were rated as g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6708" cy="2572025"/>
                    </a:xfrm>
                    <a:prstGeom prst="rect">
                      <a:avLst/>
                    </a:prstGeom>
                    <a:noFill/>
                    <a:ln>
                      <a:noFill/>
                    </a:ln>
                  </pic:spPr>
                </pic:pic>
              </a:graphicData>
            </a:graphic>
          </wp:inline>
        </w:drawing>
      </w:r>
    </w:p>
    <w:p w:rsidR="005E1FE0" w:rsidRDefault="005E1FE0" w:rsidP="006654AE">
      <w:pPr>
        <w:pStyle w:val="tablenotes"/>
        <w:ind w:left="1437" w:hanging="870"/>
      </w:pPr>
      <w:r w:rsidRPr="00FE502F">
        <w:t>Source:</w:t>
      </w:r>
      <w:r w:rsidR="00B84AFE">
        <w:t xml:space="preserve"> </w:t>
      </w:r>
      <w:r w:rsidR="00BF56C6">
        <w:tab/>
      </w:r>
      <w:r w:rsidRPr="00FE502F">
        <w:t>Derived from Northern Territory Market Basket Survey 2013</w:t>
      </w:r>
      <w:r w:rsidR="00BF56C6">
        <w:t xml:space="preserve"> (</w:t>
      </w:r>
      <w:r w:rsidR="00BF56C6" w:rsidRPr="00FE502F">
        <w:t>Northern Territory Department of Health</w:t>
      </w:r>
      <w:r w:rsidR="00227C83">
        <w:t xml:space="preserve">, </w:t>
      </w:r>
      <w:r w:rsidR="00BF56C6" w:rsidRPr="00FE502F">
        <w:t>2013</w:t>
      </w:r>
      <w:r w:rsidR="002F74BE">
        <w:t>a</w:t>
      </w:r>
      <w:r w:rsidR="00BF56C6">
        <w:t>)</w:t>
      </w:r>
      <w:r w:rsidRPr="00FE502F">
        <w:t>.</w:t>
      </w:r>
    </w:p>
    <w:p w:rsidR="003928BD" w:rsidRPr="00FE502F" w:rsidRDefault="003928BD" w:rsidP="006654AE">
      <w:pPr>
        <w:pStyle w:val="tablefootnoteslastline"/>
      </w:pPr>
    </w:p>
    <w:p w:rsidR="005E1FE0" w:rsidRPr="00DF38B2" w:rsidRDefault="005E1FE0" w:rsidP="006654AE">
      <w:r w:rsidRPr="009655C3">
        <w:t>The data reveals an increasing variety in the supply of fresh fruit and vegetables in these stores since 2000. Although there wer</w:t>
      </w:r>
      <w:r w:rsidRPr="00DF38B2">
        <w:t>e also improvements in the quality of the goods available for purchase up until the mid to late 2000s, this then stabilised and has fallen slightly over the past two years. This does not suggest that the range of products may be a major constraint on purchase</w:t>
      </w:r>
      <w:r w:rsidR="00A1421A">
        <w:t xml:space="preserve">. </w:t>
      </w:r>
      <w:r w:rsidRPr="00DF38B2">
        <w:t>This finding is also reinforced by the higher spending, at the same stores, on fruit and vegetables by those who were not using BasicsCard, again suggesting that the question of supply is not the dominant explanation</w:t>
      </w:r>
      <w:r w:rsidR="00A1421A">
        <w:t xml:space="preserve">. </w:t>
      </w:r>
    </w:p>
    <w:p w:rsidR="005E1FE0" w:rsidRPr="00DF38B2" w:rsidRDefault="005E1FE0" w:rsidP="006654AE">
      <w:r w:rsidRPr="00DF38B2">
        <w:t xml:space="preserve">The second question is whether or not it is an income effect and the low incomes of people who are on income management </w:t>
      </w:r>
      <w:r w:rsidR="00D25EAF">
        <w:t>are</w:t>
      </w:r>
      <w:r w:rsidRPr="00DF38B2">
        <w:t xml:space="preserve"> driving the low consumption. To provide</w:t>
      </w:r>
      <w:r w:rsidR="00D25EAF">
        <w:t xml:space="preserve"> one</w:t>
      </w:r>
      <w:r w:rsidRPr="00DF38B2">
        <w:t xml:space="preserve"> perspective on this, data ha</w:t>
      </w:r>
      <w:r w:rsidR="00D25EAF">
        <w:t>ve</w:t>
      </w:r>
      <w:r w:rsidRPr="00DF38B2">
        <w:t xml:space="preserve"> been extracted from the 2009</w:t>
      </w:r>
      <w:r w:rsidR="00462A0B">
        <w:t>–</w:t>
      </w:r>
      <w:r w:rsidRPr="00DF38B2">
        <w:t xml:space="preserve">10 Household Expenditure Survey (HES) </w:t>
      </w:r>
      <w:r w:rsidR="00666BF3" w:rsidRPr="00DF38B2">
        <w:t xml:space="preserve">and analysed </w:t>
      </w:r>
      <w:r w:rsidRPr="00DF38B2">
        <w:t>to look at the spending patterns of low</w:t>
      </w:r>
      <w:r w:rsidR="00D25EAF">
        <w:t>-</w:t>
      </w:r>
      <w:r w:rsidRPr="00DF38B2">
        <w:t xml:space="preserve">income households, specifically whether or not these households spend a smaller proportion of their budget </w:t>
      </w:r>
      <w:r w:rsidR="00666BF3" w:rsidRPr="00DF38B2">
        <w:t xml:space="preserve">than others </w:t>
      </w:r>
      <w:r w:rsidRPr="00DF38B2">
        <w:t>on fruit and vegetables</w:t>
      </w:r>
      <w:r w:rsidR="00A1421A">
        <w:t xml:space="preserve">. </w:t>
      </w:r>
      <w:r w:rsidRPr="00DF38B2">
        <w:fldChar w:fldCharType="begin"/>
      </w:r>
      <w:r w:rsidRPr="00DF38B2">
        <w:instrText xml:space="preserve"> REF _Ref391770245 \h </w:instrText>
      </w:r>
      <w:r w:rsidRPr="00DF38B2">
        <w:fldChar w:fldCharType="separate"/>
      </w:r>
      <w:r w:rsidR="00906D13" w:rsidRPr="00DF38B2">
        <w:t xml:space="preserve">Table </w:t>
      </w:r>
      <w:r w:rsidR="00906D13">
        <w:rPr>
          <w:noProof/>
        </w:rPr>
        <w:t>6</w:t>
      </w:r>
      <w:r w:rsidR="00906D13">
        <w:noBreakHyphen/>
      </w:r>
      <w:r w:rsidR="00906D13">
        <w:rPr>
          <w:noProof/>
        </w:rPr>
        <w:t>15</w:t>
      </w:r>
      <w:r w:rsidRPr="00DF38B2">
        <w:fldChar w:fldCharType="end"/>
      </w:r>
      <w:r w:rsidRPr="00DF38B2">
        <w:t xml:space="preserve"> presents the results of this analysis</w:t>
      </w:r>
      <w:r w:rsidR="00A1421A">
        <w:t xml:space="preserve">. </w:t>
      </w:r>
      <w:r w:rsidRPr="00DF38B2">
        <w:t>The data in the table shows the spending pattern of low</w:t>
      </w:r>
      <w:r w:rsidR="00D25EAF">
        <w:t>-</w:t>
      </w:r>
      <w:r w:rsidRPr="00DF38B2">
        <w:t xml:space="preserve">income households </w:t>
      </w:r>
      <w:r w:rsidR="00D25EAF">
        <w:t xml:space="preserve">– </w:t>
      </w:r>
      <w:r w:rsidRPr="00DF38B2">
        <w:t xml:space="preserve">those with </w:t>
      </w:r>
      <w:proofErr w:type="spellStart"/>
      <w:r w:rsidRPr="00DF38B2">
        <w:t>equivalised</w:t>
      </w:r>
      <w:proofErr w:type="spellEnd"/>
      <w:r w:rsidRPr="00DF38B2">
        <w:t xml:space="preserve"> disposable incomes </w:t>
      </w:r>
      <w:r w:rsidR="00D25EAF">
        <w:t>that</w:t>
      </w:r>
      <w:r w:rsidRPr="00DF38B2">
        <w:t xml:space="preserve"> place them in the </w:t>
      </w:r>
      <w:r w:rsidR="00D25EAF">
        <w:t>fifth</w:t>
      </w:r>
      <w:r w:rsidRPr="00DF38B2">
        <w:t xml:space="preserve"> to </w:t>
      </w:r>
      <w:r w:rsidR="00D25EAF">
        <w:t>nineteenth</w:t>
      </w:r>
      <w:r w:rsidRPr="00DF38B2">
        <w:t xml:space="preserve"> percentiles of hou</w:t>
      </w:r>
      <w:r w:rsidRPr="00FE502F">
        <w:t>seholds</w:t>
      </w:r>
      <w:r w:rsidR="00D25EAF">
        <w:t xml:space="preserve"> –</w:t>
      </w:r>
      <w:r w:rsidRPr="00FE502F">
        <w:t xml:space="preserve"> relative to those with incomes above this point</w:t>
      </w:r>
      <w:r w:rsidR="00A1421A">
        <w:t xml:space="preserve">. </w:t>
      </w:r>
      <w:r w:rsidRPr="00FE502F">
        <w:t>The results ar</w:t>
      </w:r>
      <w:r w:rsidRPr="009655C3">
        <w:t>e presented for Australia as a whole, and for non-urban locations in Queensland, South Australia</w:t>
      </w:r>
      <w:r w:rsidR="00D25EAF">
        <w:t>,</w:t>
      </w:r>
      <w:r w:rsidRPr="009655C3">
        <w:t xml:space="preserve"> and Western Australia</w:t>
      </w:r>
      <w:r w:rsidR="00A1421A">
        <w:t xml:space="preserve">. </w:t>
      </w:r>
      <w:r w:rsidRPr="009655C3">
        <w:t>These latter have been chosen as quasi</w:t>
      </w:r>
      <w:r w:rsidR="00D25EAF">
        <w:t>-</w:t>
      </w:r>
      <w:r w:rsidRPr="009655C3">
        <w:t>comparator</w:t>
      </w:r>
      <w:r w:rsidR="00D25EAF">
        <w:t>s</w:t>
      </w:r>
      <w:r w:rsidRPr="009655C3">
        <w:t xml:space="preserve"> with the Northern Territory</w:t>
      </w:r>
      <w:r w:rsidR="00A1421A">
        <w:t xml:space="preserve">. </w:t>
      </w:r>
      <w:r w:rsidRPr="009655C3">
        <w:t>Data for the</w:t>
      </w:r>
      <w:r w:rsidR="00DD3886">
        <w:t xml:space="preserve"> Northern Territory </w:t>
      </w:r>
      <w:r w:rsidRPr="009655C3">
        <w:t>cannot be extracted f</w:t>
      </w:r>
      <w:r w:rsidRPr="00DF38B2">
        <w:t>rom the HES.</w:t>
      </w:r>
    </w:p>
    <w:p w:rsidR="005E1FE0" w:rsidRPr="00DF38B2" w:rsidRDefault="005E1FE0" w:rsidP="006654AE">
      <w:pPr>
        <w:pStyle w:val="Caption"/>
      </w:pPr>
      <w:bookmarkStart w:id="372" w:name="_Ref391770245"/>
      <w:bookmarkStart w:id="373" w:name="_Toc403739454"/>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15</w:t>
        </w:r>
      </w:fldSimple>
      <w:bookmarkEnd w:id="372"/>
      <w:r w:rsidRPr="00DF38B2">
        <w:tab/>
        <w:t>Spending on fruit and vegetables as a share of total food spending excluding restaurant meals, Household Expenditure Survey 2009</w:t>
      </w:r>
      <w:r w:rsidR="00462A0B">
        <w:t>–</w:t>
      </w:r>
      <w:r w:rsidRPr="00DF38B2">
        <w:t>10</w:t>
      </w:r>
      <w:bookmarkEnd w:id="373"/>
    </w:p>
    <w:tbl>
      <w:tblPr>
        <w:tblStyle w:val="TableGrid"/>
        <w:tblW w:w="8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llustrates expenditures on fruit and vegetables as a share of total food expenditure as reported in the ABS HES. As well as presenting the total fruit and vegetable spending the table presents in its rows seven sub-categories of fruit and vegetables. There are six data columns. The first three relate to a sub-population of households in non-metropolitan Queensland, South Australia and Western Australia, and the second three to Australia as a whole.  Within these classifications data is given for low income households, other households and total households.&#10;The main finding from the data is discussed in the text.&#10;"/>
      </w:tblPr>
      <w:tblGrid>
        <w:gridCol w:w="1694"/>
        <w:gridCol w:w="1419"/>
        <w:gridCol w:w="1275"/>
        <w:gridCol w:w="1276"/>
        <w:gridCol w:w="357"/>
        <w:gridCol w:w="1044"/>
        <w:gridCol w:w="938"/>
        <w:gridCol w:w="866"/>
      </w:tblGrid>
      <w:tr w:rsidR="000B1518" w:rsidRPr="00DF38B2" w:rsidTr="000B1518">
        <w:trPr>
          <w:tblHeader/>
        </w:trPr>
        <w:tc>
          <w:tcPr>
            <w:tcW w:w="1694" w:type="dxa"/>
            <w:tcBorders>
              <w:top w:val="single" w:sz="4" w:space="0" w:color="auto"/>
              <w:bottom w:val="single" w:sz="4" w:space="0" w:color="auto"/>
            </w:tcBorders>
          </w:tcPr>
          <w:p w:rsidR="005E1FE0" w:rsidRPr="00DF38B2" w:rsidRDefault="005E1FE0" w:rsidP="006654AE">
            <w:pPr>
              <w:pStyle w:val="tabletextleft"/>
            </w:pPr>
          </w:p>
        </w:tc>
        <w:tc>
          <w:tcPr>
            <w:tcW w:w="1419"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Low income</w:t>
            </w:r>
            <w:r w:rsidR="000B1518">
              <w:t xml:space="preserve"> (%)</w:t>
            </w:r>
          </w:p>
        </w:tc>
        <w:tc>
          <w:tcPr>
            <w:tcW w:w="1275"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 xml:space="preserve">Other </w:t>
            </w:r>
            <w:r w:rsidR="000B1518">
              <w:t>(%)</w:t>
            </w:r>
          </w:p>
        </w:tc>
        <w:tc>
          <w:tcPr>
            <w:tcW w:w="1276"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Total</w:t>
            </w:r>
            <w:r w:rsidR="000B1518">
              <w:t xml:space="preserve"> (%)</w:t>
            </w:r>
          </w:p>
        </w:tc>
        <w:tc>
          <w:tcPr>
            <w:tcW w:w="357" w:type="dxa"/>
            <w:tcBorders>
              <w:top w:val="single" w:sz="4" w:space="0" w:color="auto"/>
              <w:bottom w:val="single" w:sz="4" w:space="0" w:color="auto"/>
            </w:tcBorders>
          </w:tcPr>
          <w:p w:rsidR="005E1FE0" w:rsidRPr="00DF38B2" w:rsidRDefault="005E1FE0" w:rsidP="006654AE">
            <w:pPr>
              <w:pStyle w:val="tabletextright"/>
            </w:pPr>
          </w:p>
        </w:tc>
        <w:tc>
          <w:tcPr>
            <w:tcW w:w="1044" w:type="dxa"/>
            <w:tcBorders>
              <w:top w:val="single" w:sz="4" w:space="0" w:color="auto"/>
              <w:bottom w:val="single" w:sz="4" w:space="0" w:color="auto"/>
            </w:tcBorders>
          </w:tcPr>
          <w:p w:rsidR="000B1518" w:rsidRDefault="000B1518" w:rsidP="006654AE">
            <w:pPr>
              <w:pStyle w:val="tabletextright"/>
            </w:pPr>
            <w:r>
              <w:t xml:space="preserve">Australia </w:t>
            </w:r>
          </w:p>
          <w:p w:rsidR="005E1FE0" w:rsidRPr="00DF38B2" w:rsidRDefault="005E1FE0" w:rsidP="006654AE">
            <w:pPr>
              <w:pStyle w:val="tabletextright"/>
            </w:pPr>
            <w:r w:rsidRPr="00DF38B2">
              <w:t>Low income</w:t>
            </w:r>
            <w:r w:rsidR="000B1518">
              <w:t xml:space="preserve"> (%)</w:t>
            </w:r>
          </w:p>
        </w:tc>
        <w:tc>
          <w:tcPr>
            <w:tcW w:w="938" w:type="dxa"/>
            <w:tcBorders>
              <w:top w:val="single" w:sz="4" w:space="0" w:color="auto"/>
              <w:bottom w:val="single" w:sz="4" w:space="0" w:color="auto"/>
            </w:tcBorders>
          </w:tcPr>
          <w:p w:rsidR="000B1518" w:rsidRDefault="000B1518" w:rsidP="006654AE">
            <w:pPr>
              <w:pStyle w:val="tabletextright"/>
            </w:pPr>
            <w:r>
              <w:t>Australia</w:t>
            </w:r>
          </w:p>
          <w:p w:rsidR="005E1FE0" w:rsidRPr="00DF38B2" w:rsidRDefault="005E1FE0" w:rsidP="006654AE">
            <w:pPr>
              <w:pStyle w:val="tabletextright"/>
            </w:pPr>
            <w:r w:rsidRPr="00DF38B2">
              <w:t xml:space="preserve">Other </w:t>
            </w:r>
            <w:r w:rsidR="000B1518">
              <w:t>(%)</w:t>
            </w:r>
          </w:p>
        </w:tc>
        <w:tc>
          <w:tcPr>
            <w:tcW w:w="866" w:type="dxa"/>
            <w:tcBorders>
              <w:top w:val="single" w:sz="4" w:space="0" w:color="auto"/>
              <w:bottom w:val="single" w:sz="4" w:space="0" w:color="auto"/>
            </w:tcBorders>
          </w:tcPr>
          <w:p w:rsidR="000B1518" w:rsidRDefault="000B1518" w:rsidP="006654AE">
            <w:pPr>
              <w:pStyle w:val="tabletextright"/>
            </w:pPr>
            <w:r>
              <w:t>Australia</w:t>
            </w:r>
          </w:p>
          <w:p w:rsidR="005E1FE0" w:rsidRPr="00DF38B2" w:rsidRDefault="005E1FE0" w:rsidP="006654AE">
            <w:pPr>
              <w:pStyle w:val="tabletextright"/>
            </w:pPr>
            <w:r w:rsidRPr="00DF38B2">
              <w:t>Total</w:t>
            </w:r>
            <w:r w:rsidR="000B1518">
              <w:t xml:space="preserve"> (%)</w:t>
            </w:r>
          </w:p>
        </w:tc>
      </w:tr>
      <w:tr w:rsidR="000B1518" w:rsidRPr="00DF38B2" w:rsidTr="000B1518">
        <w:tc>
          <w:tcPr>
            <w:tcW w:w="1694" w:type="dxa"/>
          </w:tcPr>
          <w:p w:rsidR="005E1FE0" w:rsidRPr="00DF38B2" w:rsidRDefault="005E1FE0" w:rsidP="006654AE">
            <w:pPr>
              <w:pStyle w:val="tabletextleft"/>
            </w:pPr>
            <w:r w:rsidRPr="00DF38B2">
              <w:t>Fresh fruit</w:t>
            </w:r>
          </w:p>
        </w:tc>
        <w:tc>
          <w:tcPr>
            <w:tcW w:w="1419" w:type="dxa"/>
          </w:tcPr>
          <w:p w:rsidR="005E1FE0" w:rsidRPr="00DF38B2" w:rsidRDefault="005E1FE0" w:rsidP="006654AE">
            <w:pPr>
              <w:pStyle w:val="tabletextright"/>
            </w:pPr>
            <w:r w:rsidRPr="00DF38B2">
              <w:t>5.8</w:t>
            </w:r>
          </w:p>
        </w:tc>
        <w:tc>
          <w:tcPr>
            <w:tcW w:w="1275" w:type="dxa"/>
          </w:tcPr>
          <w:p w:rsidR="005E1FE0" w:rsidRPr="00DF38B2" w:rsidRDefault="005E1FE0" w:rsidP="006654AE">
            <w:pPr>
              <w:pStyle w:val="tabletextright"/>
            </w:pPr>
            <w:r w:rsidRPr="00DF38B2">
              <w:t>5.3</w:t>
            </w:r>
          </w:p>
        </w:tc>
        <w:tc>
          <w:tcPr>
            <w:tcW w:w="1276" w:type="dxa"/>
          </w:tcPr>
          <w:p w:rsidR="005E1FE0" w:rsidRPr="00DF38B2" w:rsidRDefault="005E1FE0" w:rsidP="006654AE">
            <w:pPr>
              <w:pStyle w:val="tabletextright"/>
            </w:pPr>
            <w:r w:rsidRPr="00DF38B2">
              <w:t>5.4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5.8</w:t>
            </w:r>
          </w:p>
        </w:tc>
        <w:tc>
          <w:tcPr>
            <w:tcW w:w="938" w:type="dxa"/>
          </w:tcPr>
          <w:p w:rsidR="005E1FE0" w:rsidRPr="00DF38B2" w:rsidRDefault="005E1FE0" w:rsidP="006654AE">
            <w:pPr>
              <w:pStyle w:val="tabletextright"/>
            </w:pPr>
            <w:r w:rsidRPr="00DF38B2">
              <w:t>5.5</w:t>
            </w:r>
          </w:p>
        </w:tc>
        <w:tc>
          <w:tcPr>
            <w:tcW w:w="866" w:type="dxa"/>
          </w:tcPr>
          <w:p w:rsidR="005E1FE0" w:rsidRPr="00DF38B2" w:rsidRDefault="005E1FE0" w:rsidP="006654AE">
            <w:pPr>
              <w:pStyle w:val="tabletextright"/>
            </w:pPr>
            <w:r w:rsidRPr="00DF38B2">
              <w:t>5.6</w:t>
            </w:r>
          </w:p>
        </w:tc>
      </w:tr>
      <w:tr w:rsidR="000B1518" w:rsidRPr="00DF38B2" w:rsidTr="000B1518">
        <w:tc>
          <w:tcPr>
            <w:tcW w:w="1694" w:type="dxa"/>
          </w:tcPr>
          <w:p w:rsidR="005E1FE0" w:rsidRPr="00DF38B2" w:rsidRDefault="005E1FE0" w:rsidP="006654AE">
            <w:pPr>
              <w:pStyle w:val="tabletextleft"/>
            </w:pPr>
            <w:r w:rsidRPr="00DF38B2">
              <w:t>Canned, frozen and bottled fruit</w:t>
            </w:r>
          </w:p>
        </w:tc>
        <w:tc>
          <w:tcPr>
            <w:tcW w:w="1419" w:type="dxa"/>
          </w:tcPr>
          <w:p w:rsidR="005E1FE0" w:rsidRPr="00DF38B2" w:rsidRDefault="005E1FE0" w:rsidP="006654AE">
            <w:pPr>
              <w:pStyle w:val="tabletextright"/>
            </w:pPr>
            <w:r w:rsidRPr="00DF38B2">
              <w:t>0.7</w:t>
            </w:r>
          </w:p>
        </w:tc>
        <w:tc>
          <w:tcPr>
            <w:tcW w:w="1275" w:type="dxa"/>
          </w:tcPr>
          <w:p w:rsidR="005E1FE0" w:rsidRPr="00DF38B2" w:rsidRDefault="005E1FE0" w:rsidP="006654AE">
            <w:pPr>
              <w:pStyle w:val="tabletextright"/>
            </w:pPr>
            <w:r w:rsidRPr="00DF38B2">
              <w:t>0.4</w:t>
            </w:r>
          </w:p>
        </w:tc>
        <w:tc>
          <w:tcPr>
            <w:tcW w:w="1276" w:type="dxa"/>
          </w:tcPr>
          <w:p w:rsidR="005E1FE0" w:rsidRPr="00DF38B2" w:rsidRDefault="005E1FE0" w:rsidP="006654AE">
            <w:pPr>
              <w:pStyle w:val="tabletextright"/>
            </w:pPr>
            <w:r w:rsidRPr="00DF38B2">
              <w:t>0.4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0.6</w:t>
            </w:r>
          </w:p>
        </w:tc>
        <w:tc>
          <w:tcPr>
            <w:tcW w:w="938" w:type="dxa"/>
          </w:tcPr>
          <w:p w:rsidR="005E1FE0" w:rsidRPr="00DF38B2" w:rsidRDefault="005E1FE0" w:rsidP="006654AE">
            <w:pPr>
              <w:pStyle w:val="tabletextright"/>
            </w:pPr>
            <w:r w:rsidRPr="00DF38B2">
              <w:t>0.4</w:t>
            </w:r>
          </w:p>
        </w:tc>
        <w:tc>
          <w:tcPr>
            <w:tcW w:w="866" w:type="dxa"/>
          </w:tcPr>
          <w:p w:rsidR="005E1FE0" w:rsidRPr="00DF38B2" w:rsidRDefault="005E1FE0" w:rsidP="006654AE">
            <w:pPr>
              <w:pStyle w:val="tabletextright"/>
            </w:pPr>
            <w:r w:rsidRPr="00DF38B2">
              <w:t>0.4</w:t>
            </w:r>
          </w:p>
        </w:tc>
      </w:tr>
      <w:tr w:rsidR="000B1518" w:rsidRPr="00DF38B2" w:rsidTr="000B1518">
        <w:tc>
          <w:tcPr>
            <w:tcW w:w="1694" w:type="dxa"/>
          </w:tcPr>
          <w:p w:rsidR="005E1FE0" w:rsidRPr="00DF38B2" w:rsidRDefault="005E1FE0" w:rsidP="006654AE">
            <w:pPr>
              <w:pStyle w:val="tabletextleft"/>
            </w:pPr>
            <w:r w:rsidRPr="00DF38B2">
              <w:t>Dried fruit and nuts</w:t>
            </w:r>
          </w:p>
        </w:tc>
        <w:tc>
          <w:tcPr>
            <w:tcW w:w="1419" w:type="dxa"/>
          </w:tcPr>
          <w:p w:rsidR="005E1FE0" w:rsidRPr="00DF38B2" w:rsidRDefault="005E1FE0" w:rsidP="006654AE">
            <w:pPr>
              <w:pStyle w:val="tabletextright"/>
            </w:pPr>
            <w:r w:rsidRPr="00DF38B2">
              <w:t>1.3</w:t>
            </w:r>
          </w:p>
        </w:tc>
        <w:tc>
          <w:tcPr>
            <w:tcW w:w="1275" w:type="dxa"/>
          </w:tcPr>
          <w:p w:rsidR="005E1FE0" w:rsidRPr="00DF38B2" w:rsidRDefault="005E1FE0" w:rsidP="006654AE">
            <w:pPr>
              <w:pStyle w:val="tabletextright"/>
            </w:pPr>
            <w:r w:rsidRPr="00DF38B2">
              <w:t>1.2</w:t>
            </w:r>
          </w:p>
        </w:tc>
        <w:tc>
          <w:tcPr>
            <w:tcW w:w="1276" w:type="dxa"/>
          </w:tcPr>
          <w:p w:rsidR="005E1FE0" w:rsidRPr="00DF38B2" w:rsidRDefault="005E1FE0" w:rsidP="006654AE">
            <w:pPr>
              <w:pStyle w:val="tabletextright"/>
            </w:pPr>
            <w:r w:rsidRPr="00DF38B2">
              <w:t>1.2</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1.1</w:t>
            </w:r>
          </w:p>
        </w:tc>
        <w:tc>
          <w:tcPr>
            <w:tcW w:w="938" w:type="dxa"/>
          </w:tcPr>
          <w:p w:rsidR="005E1FE0" w:rsidRPr="00DF38B2" w:rsidRDefault="005E1FE0" w:rsidP="006654AE">
            <w:pPr>
              <w:pStyle w:val="tabletextright"/>
            </w:pPr>
            <w:r w:rsidRPr="00DF38B2">
              <w:t>1.1</w:t>
            </w:r>
          </w:p>
        </w:tc>
        <w:tc>
          <w:tcPr>
            <w:tcW w:w="866" w:type="dxa"/>
          </w:tcPr>
          <w:p w:rsidR="005E1FE0" w:rsidRPr="00DF38B2" w:rsidRDefault="005E1FE0" w:rsidP="006654AE">
            <w:pPr>
              <w:pStyle w:val="tabletextright"/>
            </w:pPr>
            <w:r w:rsidRPr="00DF38B2">
              <w:t>1.1</w:t>
            </w:r>
          </w:p>
        </w:tc>
      </w:tr>
      <w:tr w:rsidR="000B1518" w:rsidRPr="00DF38B2" w:rsidTr="000B1518">
        <w:tc>
          <w:tcPr>
            <w:tcW w:w="1694" w:type="dxa"/>
          </w:tcPr>
          <w:p w:rsidR="005E1FE0" w:rsidRPr="00DF38B2" w:rsidRDefault="005E1FE0" w:rsidP="006654AE">
            <w:pPr>
              <w:pStyle w:val="tabletextleft"/>
            </w:pPr>
            <w:r w:rsidRPr="00C132CB">
              <w:t xml:space="preserve">Vegetables </w:t>
            </w:r>
            <w:proofErr w:type="spellStart"/>
            <w:r w:rsidRPr="00C132CB">
              <w:t>nfd</w:t>
            </w:r>
            <w:proofErr w:type="spellEnd"/>
          </w:p>
        </w:tc>
        <w:tc>
          <w:tcPr>
            <w:tcW w:w="1419" w:type="dxa"/>
          </w:tcPr>
          <w:p w:rsidR="005E1FE0" w:rsidRPr="00DF38B2" w:rsidRDefault="005E1FE0" w:rsidP="006654AE">
            <w:pPr>
              <w:pStyle w:val="tabletextright"/>
            </w:pPr>
            <w:r w:rsidRPr="00DF38B2">
              <w:t>0.3</w:t>
            </w:r>
          </w:p>
        </w:tc>
        <w:tc>
          <w:tcPr>
            <w:tcW w:w="1275" w:type="dxa"/>
          </w:tcPr>
          <w:p w:rsidR="005E1FE0" w:rsidRPr="00DF38B2" w:rsidRDefault="005E1FE0" w:rsidP="006654AE">
            <w:pPr>
              <w:pStyle w:val="tabletextright"/>
            </w:pPr>
            <w:r w:rsidRPr="00DF38B2">
              <w:t>0.0</w:t>
            </w:r>
          </w:p>
        </w:tc>
        <w:tc>
          <w:tcPr>
            <w:tcW w:w="1276" w:type="dxa"/>
          </w:tcPr>
          <w:p w:rsidR="005E1FE0" w:rsidRPr="00DF38B2" w:rsidRDefault="005E1FE0" w:rsidP="006654AE">
            <w:pPr>
              <w:pStyle w:val="tabletextright"/>
            </w:pPr>
            <w:r w:rsidRPr="00DF38B2">
              <w:t>0.1</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0.1</w:t>
            </w:r>
          </w:p>
        </w:tc>
        <w:tc>
          <w:tcPr>
            <w:tcW w:w="938" w:type="dxa"/>
          </w:tcPr>
          <w:p w:rsidR="005E1FE0" w:rsidRPr="00DF38B2" w:rsidRDefault="005E1FE0" w:rsidP="006654AE">
            <w:pPr>
              <w:pStyle w:val="tabletextright"/>
            </w:pPr>
            <w:r w:rsidRPr="00DF38B2">
              <w:t>0.1</w:t>
            </w:r>
          </w:p>
        </w:tc>
        <w:tc>
          <w:tcPr>
            <w:tcW w:w="866" w:type="dxa"/>
          </w:tcPr>
          <w:p w:rsidR="005E1FE0" w:rsidRPr="00DF38B2" w:rsidRDefault="005E1FE0" w:rsidP="006654AE">
            <w:pPr>
              <w:pStyle w:val="tabletextright"/>
            </w:pPr>
            <w:r w:rsidRPr="00DF38B2">
              <w:t>0.1</w:t>
            </w:r>
          </w:p>
        </w:tc>
      </w:tr>
      <w:tr w:rsidR="000B1518" w:rsidRPr="00DF38B2" w:rsidTr="000B1518">
        <w:tc>
          <w:tcPr>
            <w:tcW w:w="1694" w:type="dxa"/>
          </w:tcPr>
          <w:p w:rsidR="005E1FE0" w:rsidRPr="00DF38B2" w:rsidRDefault="005E1FE0" w:rsidP="006654AE">
            <w:pPr>
              <w:pStyle w:val="tabletextleft"/>
            </w:pPr>
            <w:r w:rsidRPr="00DF38B2">
              <w:t>Fresh vegetables</w:t>
            </w:r>
          </w:p>
        </w:tc>
        <w:tc>
          <w:tcPr>
            <w:tcW w:w="1419" w:type="dxa"/>
          </w:tcPr>
          <w:p w:rsidR="005E1FE0" w:rsidRPr="00DF38B2" w:rsidRDefault="005E1FE0" w:rsidP="006654AE">
            <w:pPr>
              <w:pStyle w:val="tabletextright"/>
            </w:pPr>
            <w:r w:rsidRPr="00DF38B2">
              <w:t>6.0</w:t>
            </w:r>
          </w:p>
        </w:tc>
        <w:tc>
          <w:tcPr>
            <w:tcW w:w="1275" w:type="dxa"/>
          </w:tcPr>
          <w:p w:rsidR="005E1FE0" w:rsidRPr="00DF38B2" w:rsidRDefault="005E1FE0" w:rsidP="006654AE">
            <w:pPr>
              <w:pStyle w:val="tabletextright"/>
            </w:pPr>
            <w:r w:rsidRPr="00DF38B2">
              <w:t>6.5</w:t>
            </w:r>
          </w:p>
        </w:tc>
        <w:tc>
          <w:tcPr>
            <w:tcW w:w="1276" w:type="dxa"/>
          </w:tcPr>
          <w:p w:rsidR="005E1FE0" w:rsidRPr="00DF38B2" w:rsidRDefault="005E1FE0" w:rsidP="006654AE">
            <w:pPr>
              <w:pStyle w:val="tabletextright"/>
            </w:pPr>
            <w:r w:rsidRPr="00DF38B2">
              <w:t>6.4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6.6</w:t>
            </w:r>
          </w:p>
        </w:tc>
        <w:tc>
          <w:tcPr>
            <w:tcW w:w="938" w:type="dxa"/>
          </w:tcPr>
          <w:p w:rsidR="005E1FE0" w:rsidRPr="00DF38B2" w:rsidRDefault="005E1FE0" w:rsidP="006654AE">
            <w:pPr>
              <w:pStyle w:val="tabletextright"/>
            </w:pPr>
            <w:r w:rsidRPr="00DF38B2">
              <w:t>6.2</w:t>
            </w:r>
          </w:p>
        </w:tc>
        <w:tc>
          <w:tcPr>
            <w:tcW w:w="866" w:type="dxa"/>
          </w:tcPr>
          <w:p w:rsidR="005E1FE0" w:rsidRPr="00DF38B2" w:rsidRDefault="005E1FE0" w:rsidP="006654AE">
            <w:pPr>
              <w:pStyle w:val="tabletextright"/>
            </w:pPr>
            <w:r w:rsidRPr="00DF38B2">
              <w:t>6.3</w:t>
            </w:r>
          </w:p>
        </w:tc>
      </w:tr>
      <w:tr w:rsidR="000B1518" w:rsidRPr="00DF38B2" w:rsidTr="000B1518">
        <w:tc>
          <w:tcPr>
            <w:tcW w:w="1694" w:type="dxa"/>
          </w:tcPr>
          <w:p w:rsidR="005E1FE0" w:rsidRPr="00DF38B2" w:rsidRDefault="005E1FE0" w:rsidP="006654AE">
            <w:pPr>
              <w:pStyle w:val="tabletextleft"/>
            </w:pPr>
            <w:r w:rsidRPr="00DF38B2">
              <w:t>Frozen vegetables</w:t>
            </w:r>
          </w:p>
        </w:tc>
        <w:tc>
          <w:tcPr>
            <w:tcW w:w="1419" w:type="dxa"/>
          </w:tcPr>
          <w:p w:rsidR="005E1FE0" w:rsidRPr="00DF38B2" w:rsidRDefault="005E1FE0" w:rsidP="006654AE">
            <w:pPr>
              <w:pStyle w:val="tabletextright"/>
            </w:pPr>
            <w:r w:rsidRPr="00DF38B2">
              <w:t>1.2</w:t>
            </w:r>
          </w:p>
        </w:tc>
        <w:tc>
          <w:tcPr>
            <w:tcW w:w="1275" w:type="dxa"/>
          </w:tcPr>
          <w:p w:rsidR="005E1FE0" w:rsidRPr="00DF38B2" w:rsidRDefault="005E1FE0" w:rsidP="006654AE">
            <w:pPr>
              <w:pStyle w:val="tabletextright"/>
            </w:pPr>
            <w:r w:rsidRPr="00DF38B2">
              <w:t>0.7</w:t>
            </w:r>
          </w:p>
        </w:tc>
        <w:tc>
          <w:tcPr>
            <w:tcW w:w="1276" w:type="dxa"/>
          </w:tcPr>
          <w:p w:rsidR="005E1FE0" w:rsidRPr="00DF38B2" w:rsidRDefault="005E1FE0" w:rsidP="006654AE">
            <w:pPr>
              <w:pStyle w:val="tabletextright"/>
            </w:pPr>
            <w:r w:rsidRPr="00DF38B2">
              <w:t>0.8</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1.1</w:t>
            </w:r>
          </w:p>
        </w:tc>
        <w:tc>
          <w:tcPr>
            <w:tcW w:w="938" w:type="dxa"/>
          </w:tcPr>
          <w:p w:rsidR="005E1FE0" w:rsidRPr="00DF38B2" w:rsidRDefault="005E1FE0" w:rsidP="006654AE">
            <w:pPr>
              <w:pStyle w:val="tabletextright"/>
            </w:pPr>
            <w:r w:rsidRPr="00DF38B2">
              <w:t>0.7</w:t>
            </w:r>
          </w:p>
        </w:tc>
        <w:tc>
          <w:tcPr>
            <w:tcW w:w="866" w:type="dxa"/>
          </w:tcPr>
          <w:p w:rsidR="005E1FE0" w:rsidRPr="00DF38B2" w:rsidRDefault="005E1FE0" w:rsidP="006654AE">
            <w:pPr>
              <w:pStyle w:val="tabletextright"/>
            </w:pPr>
            <w:r w:rsidRPr="00DF38B2">
              <w:t>0.7</w:t>
            </w:r>
          </w:p>
        </w:tc>
      </w:tr>
      <w:tr w:rsidR="000B1518" w:rsidRPr="00DF38B2" w:rsidTr="000B1518">
        <w:tc>
          <w:tcPr>
            <w:tcW w:w="1694" w:type="dxa"/>
          </w:tcPr>
          <w:p w:rsidR="005E1FE0" w:rsidRPr="00DF38B2" w:rsidRDefault="005E1FE0" w:rsidP="006654AE">
            <w:pPr>
              <w:pStyle w:val="tabletextleft"/>
            </w:pPr>
            <w:r w:rsidRPr="00DF38B2">
              <w:t>Other vegetables</w:t>
            </w:r>
          </w:p>
        </w:tc>
        <w:tc>
          <w:tcPr>
            <w:tcW w:w="1419" w:type="dxa"/>
          </w:tcPr>
          <w:p w:rsidR="005E1FE0" w:rsidRPr="00DF38B2" w:rsidRDefault="005E1FE0" w:rsidP="006654AE">
            <w:pPr>
              <w:pStyle w:val="tabletextright"/>
            </w:pPr>
            <w:r w:rsidRPr="00DF38B2">
              <w:t>0.8</w:t>
            </w:r>
          </w:p>
        </w:tc>
        <w:tc>
          <w:tcPr>
            <w:tcW w:w="1275" w:type="dxa"/>
          </w:tcPr>
          <w:p w:rsidR="005E1FE0" w:rsidRPr="00DF38B2" w:rsidRDefault="005E1FE0" w:rsidP="006654AE">
            <w:pPr>
              <w:pStyle w:val="tabletextright"/>
            </w:pPr>
            <w:r w:rsidRPr="00DF38B2">
              <w:t>0.8</w:t>
            </w:r>
          </w:p>
        </w:tc>
        <w:tc>
          <w:tcPr>
            <w:tcW w:w="1276" w:type="dxa"/>
          </w:tcPr>
          <w:p w:rsidR="005E1FE0" w:rsidRPr="00DF38B2" w:rsidRDefault="005E1FE0" w:rsidP="006654AE">
            <w:pPr>
              <w:pStyle w:val="tabletextright"/>
            </w:pPr>
            <w:r w:rsidRPr="00DF38B2">
              <w:t>0.8</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0.9</w:t>
            </w:r>
          </w:p>
        </w:tc>
        <w:tc>
          <w:tcPr>
            <w:tcW w:w="938" w:type="dxa"/>
          </w:tcPr>
          <w:p w:rsidR="005E1FE0" w:rsidRPr="00DF38B2" w:rsidRDefault="005E1FE0" w:rsidP="006654AE">
            <w:pPr>
              <w:pStyle w:val="tabletextright"/>
            </w:pPr>
            <w:r w:rsidRPr="00DF38B2">
              <w:t>0.9</w:t>
            </w:r>
          </w:p>
        </w:tc>
        <w:tc>
          <w:tcPr>
            <w:tcW w:w="866" w:type="dxa"/>
          </w:tcPr>
          <w:p w:rsidR="005E1FE0" w:rsidRPr="00DF38B2" w:rsidRDefault="005E1FE0" w:rsidP="006654AE">
            <w:pPr>
              <w:pStyle w:val="tabletextright"/>
            </w:pPr>
            <w:r w:rsidRPr="00DF38B2">
              <w:t>0.9</w:t>
            </w:r>
          </w:p>
        </w:tc>
      </w:tr>
      <w:tr w:rsidR="000B1518" w:rsidRPr="00DF38B2" w:rsidTr="000B1518">
        <w:tc>
          <w:tcPr>
            <w:tcW w:w="1694" w:type="dxa"/>
            <w:tcBorders>
              <w:bottom w:val="single" w:sz="4" w:space="0" w:color="auto"/>
            </w:tcBorders>
          </w:tcPr>
          <w:p w:rsidR="005E1FE0" w:rsidRPr="00DF38B2" w:rsidRDefault="005E1FE0" w:rsidP="006654AE">
            <w:pPr>
              <w:pStyle w:val="tabletextleft"/>
            </w:pPr>
            <w:r w:rsidRPr="00DF38B2">
              <w:t xml:space="preserve">Total </w:t>
            </w:r>
          </w:p>
        </w:tc>
        <w:tc>
          <w:tcPr>
            <w:tcW w:w="1419" w:type="dxa"/>
            <w:tcBorders>
              <w:bottom w:val="single" w:sz="4" w:space="0" w:color="auto"/>
            </w:tcBorders>
          </w:tcPr>
          <w:p w:rsidR="005E1FE0" w:rsidRPr="00DF38B2" w:rsidRDefault="005E1FE0" w:rsidP="006654AE">
            <w:pPr>
              <w:pStyle w:val="tabletextright"/>
            </w:pPr>
            <w:r w:rsidRPr="00DF38B2">
              <w:t>16.2</w:t>
            </w:r>
          </w:p>
        </w:tc>
        <w:tc>
          <w:tcPr>
            <w:tcW w:w="1275" w:type="dxa"/>
            <w:tcBorders>
              <w:bottom w:val="single" w:sz="4" w:space="0" w:color="auto"/>
            </w:tcBorders>
          </w:tcPr>
          <w:p w:rsidR="005E1FE0" w:rsidRPr="00DF38B2" w:rsidRDefault="005E1FE0" w:rsidP="006654AE">
            <w:pPr>
              <w:pStyle w:val="tabletextright"/>
            </w:pPr>
            <w:r w:rsidRPr="00DF38B2">
              <w:t>15.1</w:t>
            </w:r>
          </w:p>
        </w:tc>
        <w:tc>
          <w:tcPr>
            <w:tcW w:w="1276" w:type="dxa"/>
            <w:tcBorders>
              <w:bottom w:val="single" w:sz="4" w:space="0" w:color="auto"/>
            </w:tcBorders>
          </w:tcPr>
          <w:p w:rsidR="005E1FE0" w:rsidRPr="00DF38B2" w:rsidRDefault="005E1FE0" w:rsidP="006654AE">
            <w:pPr>
              <w:pStyle w:val="tabletextright"/>
            </w:pPr>
            <w:r w:rsidRPr="00DF38B2">
              <w:t>15.3</w:t>
            </w:r>
          </w:p>
        </w:tc>
        <w:tc>
          <w:tcPr>
            <w:tcW w:w="357" w:type="dxa"/>
            <w:tcBorders>
              <w:bottom w:val="single" w:sz="4" w:space="0" w:color="auto"/>
            </w:tcBorders>
          </w:tcPr>
          <w:p w:rsidR="005E1FE0" w:rsidRPr="00DF38B2" w:rsidRDefault="005E1FE0" w:rsidP="006654AE">
            <w:pPr>
              <w:pStyle w:val="tabletextright"/>
            </w:pPr>
          </w:p>
        </w:tc>
        <w:tc>
          <w:tcPr>
            <w:tcW w:w="1044" w:type="dxa"/>
            <w:tcBorders>
              <w:bottom w:val="single" w:sz="4" w:space="0" w:color="auto"/>
            </w:tcBorders>
          </w:tcPr>
          <w:p w:rsidR="005E1FE0" w:rsidRPr="00DF38B2" w:rsidRDefault="005E1FE0" w:rsidP="006654AE">
            <w:pPr>
              <w:pStyle w:val="tabletextright"/>
            </w:pPr>
            <w:r w:rsidRPr="00DF38B2">
              <w:t>16.3</w:t>
            </w:r>
          </w:p>
        </w:tc>
        <w:tc>
          <w:tcPr>
            <w:tcW w:w="938" w:type="dxa"/>
            <w:tcBorders>
              <w:bottom w:val="single" w:sz="4" w:space="0" w:color="auto"/>
            </w:tcBorders>
          </w:tcPr>
          <w:p w:rsidR="005E1FE0" w:rsidRPr="00DF38B2" w:rsidRDefault="005E1FE0" w:rsidP="006654AE">
            <w:pPr>
              <w:pStyle w:val="tabletextright"/>
            </w:pPr>
            <w:r w:rsidRPr="00DF38B2">
              <w:t>15.0</w:t>
            </w:r>
          </w:p>
        </w:tc>
        <w:tc>
          <w:tcPr>
            <w:tcW w:w="866" w:type="dxa"/>
            <w:tcBorders>
              <w:bottom w:val="single" w:sz="4" w:space="0" w:color="auto"/>
            </w:tcBorders>
          </w:tcPr>
          <w:p w:rsidR="005E1FE0" w:rsidRPr="00DF38B2" w:rsidRDefault="005E1FE0" w:rsidP="006654AE">
            <w:pPr>
              <w:pStyle w:val="tabletextright"/>
            </w:pPr>
            <w:r w:rsidRPr="00DF38B2">
              <w:t>15.1</w:t>
            </w:r>
          </w:p>
        </w:tc>
      </w:tr>
    </w:tbl>
    <w:p w:rsidR="004B6B41" w:rsidRDefault="004B6B41" w:rsidP="006654AE">
      <w:pPr>
        <w:pStyle w:val="tablenotes"/>
      </w:pPr>
      <w:r>
        <w:t>Note:</w:t>
      </w:r>
      <w:r>
        <w:tab/>
      </w:r>
      <w:proofErr w:type="spellStart"/>
      <w:r>
        <w:t>nfd</w:t>
      </w:r>
      <w:proofErr w:type="spellEnd"/>
      <w:r>
        <w:t xml:space="preserve"> – not further defined.</w:t>
      </w:r>
    </w:p>
    <w:p w:rsidR="005E1FE0" w:rsidRDefault="005E1FE0" w:rsidP="006654AE">
      <w:pPr>
        <w:pStyle w:val="tablenotes"/>
      </w:pPr>
      <w:r w:rsidRPr="00DF38B2">
        <w:t>Source:</w:t>
      </w:r>
      <w:r w:rsidR="00227C83">
        <w:tab/>
        <w:t>ABS Household Expenditure Survey 2009</w:t>
      </w:r>
      <w:r w:rsidR="00462A0B">
        <w:t>–</w:t>
      </w:r>
      <w:r w:rsidR="00227C83">
        <w:t xml:space="preserve">10. </w:t>
      </w:r>
      <w:proofErr w:type="gramStart"/>
      <w:r w:rsidR="00227C83">
        <w:t xml:space="preserve">Derived from </w:t>
      </w:r>
      <w:r w:rsidRPr="00DF38B2">
        <w:t xml:space="preserve">ABS </w:t>
      </w:r>
      <w:r w:rsidR="00227C83">
        <w:t>(</w:t>
      </w:r>
      <w:r w:rsidR="00EB570A">
        <w:t>2009</w:t>
      </w:r>
      <w:r w:rsidR="00462A0B">
        <w:t>–</w:t>
      </w:r>
      <w:r w:rsidR="00EB570A">
        <w:t>10)</w:t>
      </w:r>
      <w:r w:rsidR="00227C83">
        <w:t>.</w:t>
      </w:r>
      <w:proofErr w:type="gramEnd"/>
      <w:r w:rsidR="00EB570A">
        <w:t xml:space="preserve"> </w:t>
      </w:r>
    </w:p>
    <w:p w:rsidR="003928BD" w:rsidRPr="00DF38B2" w:rsidRDefault="003928BD" w:rsidP="006654AE">
      <w:pPr>
        <w:pStyle w:val="tablefootnoteslastline"/>
      </w:pPr>
    </w:p>
    <w:p w:rsidR="005E1FE0" w:rsidRPr="00DF38B2" w:rsidRDefault="005E1FE0" w:rsidP="006654AE">
      <w:r w:rsidRPr="00DF38B2">
        <w:t>These results indicate that in the HES these low</w:t>
      </w:r>
      <w:r w:rsidR="00462A0B">
        <w:t>-</w:t>
      </w:r>
      <w:r w:rsidRPr="00DF38B2">
        <w:t>income households, regardless of location, spend a higher proportion of their food budget on fruit and vegetable products than higher</w:t>
      </w:r>
      <w:r w:rsidR="00462A0B">
        <w:t>-</w:t>
      </w:r>
      <w:r w:rsidRPr="00DF38B2">
        <w:t>income households</w:t>
      </w:r>
      <w:r w:rsidR="00A1421A">
        <w:t xml:space="preserve">. </w:t>
      </w:r>
      <w:r w:rsidRPr="00DF38B2">
        <w:t>This result also stands for fresh fruit sales, although those in non-metropolitan locations in Queensland, South Australia and Western Australia spend less on fresh vegetables. This</w:t>
      </w:r>
      <w:r w:rsidR="00462A0B">
        <w:t>, however,</w:t>
      </w:r>
      <w:r w:rsidRPr="00DF38B2">
        <w:t xml:space="preserve"> is fully compensated for by higher spending on frozen vegetables.</w:t>
      </w:r>
    </w:p>
    <w:p w:rsidR="005E1FE0" w:rsidRPr="00DF38B2" w:rsidRDefault="005E1FE0" w:rsidP="006654AE">
      <w:r w:rsidRPr="00DF38B2">
        <w:t>Similar analysis for all Australian households by main source of income (excluding those with zero and negative incomes</w:t>
      </w:r>
      <w:r w:rsidR="00462A0B">
        <w:t>,</w:t>
      </w:r>
      <w:r w:rsidRPr="00DF38B2">
        <w:t xml:space="preserve"> for which a source of income cannot be derived) shows that those households with income support payments as their main source of income spend on average 16.5 per cent of their non-restaurant food budget on fruit and vegetables, compared with 14.9 per cent for those with incomes derived from other sources. The households with income support payments as their main source tended to spend more of their food budget on fresh fruit than those with other sources (5.8 per cent compared with 5.6 per cent)</w:t>
      </w:r>
      <w:r w:rsidR="00A1421A">
        <w:t xml:space="preserve">. </w:t>
      </w:r>
      <w:r w:rsidRPr="00DF38B2">
        <w:t>This was also true of fresh vegetables (7.0 per cent compared with 6.2 per cent)</w:t>
      </w:r>
      <w:r w:rsidR="00A1421A">
        <w:t xml:space="preserve">. </w:t>
      </w:r>
      <w:r w:rsidRPr="00DF38B2">
        <w:t>In addition they spent more, 1.1 per cent, on frozen vegetables than the 0.7 per cent spent by the other households.</w:t>
      </w:r>
    </w:p>
    <w:p w:rsidR="005E1FE0" w:rsidRPr="00DF38B2" w:rsidRDefault="005E1FE0" w:rsidP="006654AE">
      <w:r w:rsidRPr="00DF38B2">
        <w:t>These results suggest that there is no evidence that the low consumption of fruit and vegetables seen in the store</w:t>
      </w:r>
      <w:r w:rsidR="00462A0B">
        <w:t>-</w:t>
      </w:r>
      <w:r w:rsidRPr="00DF38B2">
        <w:t>level data is simply a consequence of income support recipients subject to income management hav</w:t>
      </w:r>
      <w:r w:rsidR="00462A0B">
        <w:t>ing</w:t>
      </w:r>
      <w:r w:rsidRPr="00DF38B2">
        <w:t xml:space="preserve"> low incomes and that low income households consume less of these items</w:t>
      </w:r>
      <w:r w:rsidR="00A1421A">
        <w:t xml:space="preserve">. </w:t>
      </w:r>
    </w:p>
    <w:p w:rsidR="005E1FE0" w:rsidRPr="00DF38B2" w:rsidRDefault="005E1FE0" w:rsidP="006654AE">
      <w:r w:rsidRPr="00DF38B2">
        <w:t xml:space="preserve">Although it is likely that the high prices in remote stores may have </w:t>
      </w:r>
      <w:r w:rsidR="00462A0B">
        <w:t>affect</w:t>
      </w:r>
      <w:r w:rsidRPr="00DF38B2">
        <w:t xml:space="preserve"> total consumption, it is unlikely to be a driver of the pattern </w:t>
      </w:r>
      <w:r w:rsidR="00462A0B">
        <w:t>that</w:t>
      </w:r>
      <w:r w:rsidRPr="00DF38B2">
        <w:t xml:space="preserve"> has been seen. Relative to a Darwin supermarket</w:t>
      </w:r>
      <w:r w:rsidR="00462A0B">
        <w:t>,</w:t>
      </w:r>
      <w:r w:rsidRPr="00DF38B2">
        <w:t xml:space="preserve"> the Market Basket Survey reports that prices are 46 per cent higher for fruit and 61 per cent </w:t>
      </w:r>
      <w:r w:rsidR="00462A0B">
        <w:t xml:space="preserve">higher </w:t>
      </w:r>
      <w:r w:rsidRPr="00DF38B2">
        <w:t>for vegetables in the remote locations. This</w:t>
      </w:r>
      <w:r w:rsidR="00462A0B">
        <w:t>,</w:t>
      </w:r>
      <w:r w:rsidRPr="00DF38B2">
        <w:t xml:space="preserve"> however</w:t>
      </w:r>
      <w:r w:rsidR="00462A0B">
        <w:t>,</w:t>
      </w:r>
      <w:r w:rsidRPr="00DF38B2">
        <w:t xml:space="preserve"> is not disproportionate to the overall cost difference of the basket between these locations of 49 per cent</w:t>
      </w:r>
      <w:r w:rsidR="00462A0B">
        <w:t xml:space="preserve"> </w:t>
      </w:r>
      <w:r w:rsidR="009B7F69">
        <w:t>(</w:t>
      </w:r>
      <w:r w:rsidR="009B7F69" w:rsidRPr="00FE502F">
        <w:t xml:space="preserve">Northern </w:t>
      </w:r>
      <w:r w:rsidR="009B7F69">
        <w:t>Territory Department of Health</w:t>
      </w:r>
      <w:r w:rsidR="00087BE9">
        <w:t>,</w:t>
      </w:r>
      <w:r w:rsidR="009B7F69">
        <w:t xml:space="preserve"> </w:t>
      </w:r>
      <w:r w:rsidR="009B7F69" w:rsidRPr="00FE502F">
        <w:t>2013</w:t>
      </w:r>
      <w:r w:rsidR="009B7F69">
        <w:t>)</w:t>
      </w:r>
      <w:r w:rsidR="00462A0B">
        <w:t>.</w:t>
      </w:r>
      <w:r w:rsidR="00B84AFE">
        <w:t xml:space="preserve"> </w:t>
      </w:r>
      <w:r w:rsidRPr="00DF38B2">
        <w:t>As well as not explaining the difference with the pattern of consumption of others making their purchases in the same location but not on BasicsCard, the issue of costs in remote locations does not explain the existence of the differential in stores in the major urban areas as well.</w:t>
      </w:r>
    </w:p>
    <w:p w:rsidR="005E1FE0" w:rsidRPr="00DF38B2" w:rsidRDefault="005E1FE0" w:rsidP="006654AE">
      <w:r w:rsidRPr="00DF38B2">
        <w:t>The more probable explanation</w:t>
      </w:r>
      <w:r w:rsidR="00666BF3" w:rsidRPr="00DF38B2">
        <w:t xml:space="preserve"> of the low spending on fruit and vegetables by those on income management both today and prior to the introduction of income management</w:t>
      </w:r>
      <w:r w:rsidRPr="00DF38B2">
        <w:t xml:space="preserve"> is related to historical patterns of diet and is not the consequence of misallocation of spending to items such as alcohol and tobacco.</w:t>
      </w:r>
    </w:p>
    <w:p w:rsidR="005E1FE0" w:rsidRPr="00DF38B2" w:rsidRDefault="005E1FE0" w:rsidP="006654AE">
      <w:pPr>
        <w:pStyle w:val="Heading3"/>
      </w:pPr>
      <w:bookmarkStart w:id="374" w:name="_Toc403739053"/>
      <w:r w:rsidRPr="00DF38B2">
        <w:t>BasicsCard failed transactions at the store level</w:t>
      </w:r>
      <w:bookmarkEnd w:id="374"/>
    </w:p>
    <w:p w:rsidR="005E1FE0" w:rsidRPr="00DF38B2" w:rsidRDefault="005E1FE0" w:rsidP="006654AE">
      <w:r w:rsidRPr="00DF38B2">
        <w:t xml:space="preserve">Section 6.5.2 provides aggregate data on the consequences of failed transactions. The detailed information from stores allows for </w:t>
      </w:r>
      <w:r w:rsidR="004B6B41">
        <w:t xml:space="preserve">some limited </w:t>
      </w:r>
      <w:r w:rsidRPr="00DF38B2">
        <w:t>additional analysis of this</w:t>
      </w:r>
      <w:r w:rsidR="00462A0B">
        <w:t>,</w:t>
      </w:r>
      <w:r w:rsidRPr="00DF38B2">
        <w:t xml:space="preserve"> especially on how it impacts at the individual level. In the data there were 45 cases where a rejection could be studied</w:t>
      </w:r>
      <w:r w:rsidR="00EA3A7C" w:rsidRPr="00DF38B2">
        <w:t>. These cases of ‘put back’ transactions are where a person makes an unsuccessful transaction</w:t>
      </w:r>
      <w:r w:rsidR="00462A0B">
        <w:t>,</w:t>
      </w:r>
      <w:r w:rsidR="00EA3A7C" w:rsidRPr="00DF38B2">
        <w:t xml:space="preserve"> </w:t>
      </w:r>
      <w:r w:rsidR="00DF38B2" w:rsidRPr="00DF38B2">
        <w:t>but</w:t>
      </w:r>
      <w:r w:rsidR="00EA3A7C" w:rsidRPr="00DF38B2">
        <w:t xml:space="preserve"> then tries again while still at the checkout to make a reduced set of purchases</w:t>
      </w:r>
      <w:r w:rsidR="00462A0B">
        <w:t>,</w:t>
      </w:r>
      <w:r w:rsidR="00EA3A7C" w:rsidRPr="00DF38B2">
        <w:t xml:space="preserve"> which is then </w:t>
      </w:r>
      <w:r w:rsidR="00DF38B2" w:rsidRPr="00DF38B2">
        <w:t>successful</w:t>
      </w:r>
      <w:r w:rsidR="00EA3A7C" w:rsidRPr="00DF38B2">
        <w:t xml:space="preserve">. The cases considered here </w:t>
      </w:r>
      <w:r w:rsidRPr="00DF38B2">
        <w:t>represent just 3.3</w:t>
      </w:r>
      <w:r w:rsidR="00462A0B">
        <w:t xml:space="preserve"> per cent</w:t>
      </w:r>
      <w:r w:rsidRPr="00DF38B2">
        <w:t xml:space="preserve"> of the successful BasicsCard transactions under consideration. As noted in the aggregate </w:t>
      </w:r>
      <w:r w:rsidR="00060511">
        <w:lastRenderedPageBreak/>
        <w:t>DHS</w:t>
      </w:r>
      <w:r w:rsidRPr="00DF38B2">
        <w:t xml:space="preserve"> administrative data, most card rejections end in termination rather than continuation of the transaction. These are</w:t>
      </w:r>
      <w:r w:rsidR="00433A52">
        <w:t>,</w:t>
      </w:r>
      <w:r w:rsidRPr="00DF38B2">
        <w:t xml:space="preserve"> however</w:t>
      </w:r>
      <w:r w:rsidR="00462A0B">
        <w:t>,</w:t>
      </w:r>
      <w:r w:rsidRPr="00DF38B2">
        <w:t xml:space="preserve"> not identified in the store data used in this section.</w:t>
      </w:r>
      <w:r w:rsidR="00EA3A7C" w:rsidRPr="00DF38B2">
        <w:rPr>
          <w:rStyle w:val="FootnoteReference"/>
        </w:rPr>
        <w:footnoteReference w:id="106"/>
      </w:r>
    </w:p>
    <w:p w:rsidR="005E1FE0" w:rsidRPr="00DF38B2" w:rsidRDefault="005E1FE0" w:rsidP="006654AE">
      <w:r w:rsidRPr="00FE502F">
        <w:t>In the cases where people reduced the number of items in their basket, most simply removed a single item (64.4 per cent) with two items being removed in 13.3 per cent of cases</w:t>
      </w:r>
      <w:r w:rsidR="00981F65">
        <w:t>,</w:t>
      </w:r>
      <w:r w:rsidRPr="00FE502F">
        <w:t xml:space="preserve"> and three or more items in the </w:t>
      </w:r>
      <w:r w:rsidR="00981F65">
        <w:t>remainder</w:t>
      </w:r>
      <w:r w:rsidRPr="00FE502F">
        <w:t xml:space="preserve">. In </w:t>
      </w:r>
      <w:r w:rsidR="00981F65">
        <w:t>ten</w:t>
      </w:r>
      <w:r w:rsidRPr="00FE502F">
        <w:t xml:space="preserve"> of the 29 cases where a single item was</w:t>
      </w:r>
      <w:r w:rsidRPr="009655C3">
        <w:t xml:space="preserve"> removed, the original purchase was only for two items, with a further </w:t>
      </w:r>
      <w:r w:rsidR="00981F65">
        <w:t>seven</w:t>
      </w:r>
      <w:r w:rsidRPr="009655C3">
        <w:t xml:space="preserve"> involving an initial purchase of three items. On average the removal of items reduced the original total purchase of $78.90 by $18.54. The movement at the median was much less – a med</w:t>
      </w:r>
      <w:r w:rsidRPr="00DF38B2">
        <w:t>ian reduction of $11.56 from a basket worth $46.13.</w:t>
      </w:r>
    </w:p>
    <w:p w:rsidR="005E1FE0" w:rsidRPr="00DF38B2" w:rsidRDefault="005E1FE0" w:rsidP="006654AE">
      <w:r w:rsidRPr="00DF38B2">
        <w:t>People who recorded a</w:t>
      </w:r>
      <w:r w:rsidR="00EA3A7C" w:rsidRPr="00DF38B2">
        <w:t>n</w:t>
      </w:r>
      <w:r w:rsidRPr="00DF38B2">
        <w:t xml:space="preserve"> </w:t>
      </w:r>
      <w:r w:rsidR="00EA3A7C" w:rsidRPr="00DF38B2">
        <w:t xml:space="preserve">initial </w:t>
      </w:r>
      <w:r w:rsidRPr="00DF38B2">
        <w:t xml:space="preserve">rejection </w:t>
      </w:r>
      <w:r w:rsidR="00EA3A7C" w:rsidRPr="00DF38B2">
        <w:t>of</w:t>
      </w:r>
      <w:r w:rsidRPr="00DF38B2">
        <w:t xml:space="preserve"> their transaction</w:t>
      </w:r>
      <w:r w:rsidR="00EA3A7C" w:rsidRPr="00DF38B2">
        <w:t xml:space="preserve"> due to insufficient funds</w:t>
      </w:r>
      <w:r w:rsidRPr="00DF38B2">
        <w:t>, but still completed a purchase, not only involved additional time after the rejection (on average 64.9 seconds) to process the purchase, but also had a longer transaction period prior to the rejection (85 seconds compared to 45 seconds).</w:t>
      </w:r>
    </w:p>
    <w:p w:rsidR="005E1FE0" w:rsidRPr="00DF38B2" w:rsidRDefault="005E1FE0" w:rsidP="006654AE">
      <w:pPr>
        <w:pStyle w:val="Heading3"/>
      </w:pPr>
      <w:bookmarkStart w:id="375" w:name="_Toc403739054"/>
      <w:r w:rsidRPr="00DF38B2">
        <w:t>Summary of store</w:t>
      </w:r>
      <w:r w:rsidR="00981F65">
        <w:t>-</w:t>
      </w:r>
      <w:r w:rsidRPr="00DF38B2">
        <w:t>level findings</w:t>
      </w:r>
      <w:bookmarkEnd w:id="375"/>
    </w:p>
    <w:p w:rsidR="005E1FE0" w:rsidRPr="00DF38B2" w:rsidRDefault="005E1FE0" w:rsidP="006654AE">
      <w:r w:rsidRPr="00DF38B2">
        <w:t>Data on the sales by stores in the above section, while not comprehensive, provides important insight into the way in which income</w:t>
      </w:r>
      <w:r w:rsidR="00A04470">
        <w:t xml:space="preserve"> </w:t>
      </w:r>
      <w:r w:rsidRPr="00DF38B2">
        <w:t>managed funds are used. Some of the key issues to arise from it are:</w:t>
      </w:r>
    </w:p>
    <w:p w:rsidR="005E1FE0" w:rsidRPr="00DF38B2" w:rsidRDefault="005E1FE0" w:rsidP="006654AE">
      <w:pPr>
        <w:pStyle w:val="dot"/>
      </w:pPr>
      <w:r w:rsidRPr="00DF38B2">
        <w:t>In large part spending on BasicsCard reflects overall patterns of consumption, and is not limited to what have been identified as priority items, but rather has been shaped by the lifestyles and aspirations of the population on income management.</w:t>
      </w:r>
    </w:p>
    <w:p w:rsidR="005E1FE0" w:rsidRPr="00DF38B2" w:rsidRDefault="005E1FE0" w:rsidP="006654AE">
      <w:pPr>
        <w:pStyle w:val="dash"/>
      </w:pPr>
      <w:r w:rsidRPr="00DF38B2">
        <w:t xml:space="preserve">This is clearly seen in areas such as spending on electronic gaming – in clear contrast to the language of </w:t>
      </w:r>
      <w:r w:rsidR="00060511">
        <w:t>DHS</w:t>
      </w:r>
      <w:r w:rsidRPr="00DF38B2">
        <w:t xml:space="preserve"> in describing priority goods as including “toys that Human Services is satisfied are educational – this does not include electronic toys” (</w:t>
      </w:r>
      <w:r w:rsidR="00060511">
        <w:t>DHS</w:t>
      </w:r>
      <w:r w:rsidR="00DC17C4">
        <w:t>,</w:t>
      </w:r>
      <w:r w:rsidRPr="00DF38B2">
        <w:t xml:space="preserve"> 2014)</w:t>
      </w:r>
      <w:r w:rsidR="00981F65">
        <w:t>.</w:t>
      </w:r>
    </w:p>
    <w:p w:rsidR="005E1FE0" w:rsidRPr="00DF38B2" w:rsidRDefault="005E1FE0" w:rsidP="006654AE">
      <w:pPr>
        <w:pStyle w:val="dash"/>
      </w:pPr>
      <w:r w:rsidRPr="00DF38B2">
        <w:t xml:space="preserve">While </w:t>
      </w:r>
      <w:r w:rsidR="00EA3A7C" w:rsidRPr="00DF38B2">
        <w:t xml:space="preserve">BasicsCard spending </w:t>
      </w:r>
      <w:r w:rsidRPr="00DF38B2">
        <w:t>does include significant spending on mobile phone cards and phones, these have a very important role in enabling people to maintain networks, especially with the very diverse and mobile population of the Northern Territory. There was little evidence of mobile phone cards being used any more than other mechanisms to work around restrictions imposed by income management.</w:t>
      </w:r>
    </w:p>
    <w:p w:rsidR="005E1FE0" w:rsidRPr="00DF38B2" w:rsidRDefault="005E1FE0" w:rsidP="006654AE">
      <w:pPr>
        <w:pStyle w:val="dot"/>
      </w:pPr>
      <w:r w:rsidRPr="00DF38B2">
        <w:t xml:space="preserve">The pattern of food consumption revealed by purchasing behaviour, especially in remote communities, has significant health and </w:t>
      </w:r>
      <w:r w:rsidR="00593D5C">
        <w:t>wellbeing</w:t>
      </w:r>
      <w:r w:rsidRPr="00DF38B2">
        <w:t xml:space="preserve"> implications. In making this comment it is noted by the evaluation that the major store groups are very much aware of these issues and have been working over an extended period to address this problem. </w:t>
      </w:r>
    </w:p>
    <w:p w:rsidR="005E1FE0" w:rsidRPr="00DF38B2" w:rsidRDefault="005E1FE0" w:rsidP="006654AE">
      <w:pPr>
        <w:pStyle w:val="dash"/>
      </w:pPr>
      <w:r w:rsidRPr="00DF38B2">
        <w:t>In particular</w:t>
      </w:r>
      <w:r w:rsidR="00981F65">
        <w:t>,</w:t>
      </w:r>
      <w:r w:rsidRPr="00DF38B2">
        <w:t xml:space="preserve"> the data reveal very low expenditures on fruit and vegetables. There is no evidence of income management or the BasicsCard having any significant positive impact on this, and while the time series data used in this evaluation do not extend to the period prior to the initial introduction of NTER Income Management, the very low levels of consumption seen in the data presented above suggest that some of the claims about substantive change in the level of consumption do not appear to be validated.</w:t>
      </w:r>
    </w:p>
    <w:p w:rsidR="005E1FE0" w:rsidRPr="00DF38B2" w:rsidRDefault="005E1FE0" w:rsidP="006654AE">
      <w:pPr>
        <w:pStyle w:val="dot"/>
      </w:pPr>
      <w:r w:rsidRPr="00DF38B2">
        <w:t>In addition to the absence of any significant change in the level of fresh fruit and vegetable consumption, the evaluation could not identify any change in the tobacco sales which can be attribut</w:t>
      </w:r>
      <w:r w:rsidR="003317C9">
        <w:t>ed</w:t>
      </w:r>
      <w:r w:rsidRPr="00DF38B2">
        <w:t xml:space="preserve"> to income management. While there is evidence that changes in price have affected the volume of sales, the value of sales has increased.</w:t>
      </w:r>
    </w:p>
    <w:p w:rsidR="005E1FE0" w:rsidRPr="00DF38B2" w:rsidRDefault="005E1FE0" w:rsidP="006654AE">
      <w:pPr>
        <w:pStyle w:val="Heading2"/>
      </w:pPr>
      <w:bookmarkStart w:id="376" w:name="_Toc403739055"/>
      <w:r w:rsidRPr="00DF38B2">
        <w:t>Changing financial capabilities?</w:t>
      </w:r>
      <w:bookmarkEnd w:id="376"/>
    </w:p>
    <w:p w:rsidR="005E1FE0" w:rsidRPr="00DF38B2" w:rsidRDefault="005E1FE0" w:rsidP="006654AE">
      <w:r w:rsidRPr="00DF38B2">
        <w:t xml:space="preserve">The final section of this chapter considers what information can be gained from BasicsCard transactions and income management accounts </w:t>
      </w:r>
      <w:r w:rsidR="00981F65">
        <w:t>that</w:t>
      </w:r>
      <w:r w:rsidRPr="00DF38B2">
        <w:t xml:space="preserve"> can help </w:t>
      </w:r>
      <w:r w:rsidR="00981F65">
        <w:t>in</w:t>
      </w:r>
      <w:r w:rsidRPr="00DF38B2">
        <w:t xml:space="preserve"> understanding whether or not the imposition of income management is helping individuals to manage their finances in a more responsible way</w:t>
      </w:r>
      <w:r w:rsidR="00981F65">
        <w:t>,</w:t>
      </w:r>
      <w:r w:rsidRPr="00DF38B2">
        <w:t xml:space="preserve"> and hence being more effective at managing their own and their family’s needs.</w:t>
      </w:r>
    </w:p>
    <w:p w:rsidR="005E1FE0" w:rsidRPr="00DF38B2" w:rsidRDefault="005E1FE0" w:rsidP="006654AE">
      <w:pPr>
        <w:pStyle w:val="Heading3"/>
      </w:pPr>
      <w:bookmarkStart w:id="377" w:name="_Ref391666798"/>
      <w:bookmarkStart w:id="378" w:name="_Toc403739056"/>
      <w:r w:rsidRPr="00DF38B2">
        <w:lastRenderedPageBreak/>
        <w:t>BasicsCard replacements</w:t>
      </w:r>
      <w:bookmarkEnd w:id="377"/>
      <w:bookmarkEnd w:id="378"/>
    </w:p>
    <w:p w:rsidR="005E1FE0" w:rsidRPr="00DF38B2" w:rsidRDefault="005E1FE0" w:rsidP="006654AE">
      <w:r w:rsidRPr="00DF38B2">
        <w:t xml:space="preserve">BasicsCards are issued with a </w:t>
      </w:r>
      <w:r w:rsidR="005D3B79">
        <w:t>three-</w:t>
      </w:r>
      <w:r w:rsidRPr="00DF38B2">
        <w:t xml:space="preserve">year period of validity. As shown in Section </w:t>
      </w:r>
      <w:r w:rsidRPr="003D75FE">
        <w:fldChar w:fldCharType="begin"/>
      </w:r>
      <w:r w:rsidRPr="00DF38B2">
        <w:instrText xml:space="preserve"> REF _Ref391538651 \r \h </w:instrText>
      </w:r>
      <w:r w:rsidRPr="003D75FE">
        <w:fldChar w:fldCharType="separate"/>
      </w:r>
      <w:r w:rsidR="00906D13">
        <w:t>6.3.1</w:t>
      </w:r>
      <w:r w:rsidRPr="003D75FE">
        <w:fldChar w:fldCharType="end"/>
      </w:r>
      <w:r w:rsidRPr="00DF38B2">
        <w:t xml:space="preserve">, only a small proportion of people, including those who are on income management for the </w:t>
      </w:r>
      <w:r w:rsidR="005D3B79">
        <w:t>three-</w:t>
      </w:r>
      <w:r w:rsidRPr="00DF38B2">
        <w:t>year validity of the card</w:t>
      </w:r>
      <w:r w:rsidR="00644732">
        <w:t>,</w:t>
      </w:r>
      <w:r w:rsidRPr="00DF38B2">
        <w:t xml:space="preserve"> appear to hold their card for the full </w:t>
      </w:r>
      <w:r w:rsidR="005D3B79">
        <w:t>three</w:t>
      </w:r>
      <w:r w:rsidR="00EA3A7C" w:rsidRPr="00DF38B2">
        <w:t xml:space="preserve"> </w:t>
      </w:r>
      <w:r w:rsidRPr="00DF38B2">
        <w:t xml:space="preserve">years. Cards are very frequently replaced. While some loss and replacement of cards can be expected with any form of debit card, the rates identified with respect to BasicsCard appear to be very high. </w:t>
      </w:r>
    </w:p>
    <w:p w:rsidR="005E1FE0" w:rsidRPr="00DF38B2" w:rsidRDefault="005E1FE0" w:rsidP="006654AE">
      <w:r w:rsidRPr="00DF38B2">
        <w:t>This high rate of loss and replacement can be considered as being contrary to basic good financial management practice which places some importance on this type of PIN</w:t>
      </w:r>
      <w:r w:rsidR="000059DA">
        <w:t>-</w:t>
      </w:r>
      <w:r w:rsidRPr="00DF38B2">
        <w:t>secured debit card being held securely and treated with care. While it can be suggested that the free replacement of these cards, and the relative ease of replacement for those living in locations with easy access to a Centrelink office, makes replacement of the card a relatively costless exercise and hence makes people indifferent as to whether they bother about making sure they have the card with them when they go shopping or keeping the card secure, this ignores the more fundamental question as to what behaviour is consistent with being in control of one’s finances. (It is to be emphasised here that while it is very easy to obtain a replacement card if one has convenient access to a Centrelink office, this is not the case for people without this access. In remote areas for example, people must either travel very long distances or wait some weeks for the next visit from the Centrelink remote service team.)</w:t>
      </w:r>
    </w:p>
    <w:p w:rsidR="005E1FE0" w:rsidRPr="00DF38B2" w:rsidRDefault="005E1FE0" w:rsidP="006654AE">
      <w:r w:rsidRPr="00DF38B2">
        <w:t xml:space="preserve">Similarly, while it has been noted that it </w:t>
      </w:r>
      <w:r w:rsidR="00EA3A7C" w:rsidRPr="00DF38B2">
        <w:t>was</w:t>
      </w:r>
      <w:r w:rsidRPr="00DF38B2">
        <w:t xml:space="preserve"> reported that some people when initially placed on income management may have treated the cards as a one</w:t>
      </w:r>
      <w:r w:rsidR="000059DA">
        <w:t>-</w:t>
      </w:r>
      <w:r w:rsidRPr="00DF38B2">
        <w:t>off stored value card, it would be expected that after this difference was explained to them</w:t>
      </w:r>
      <w:r w:rsidR="00EA3A7C" w:rsidRPr="00DF38B2">
        <w:t xml:space="preserve"> at the time their initial replacement card was issued and</w:t>
      </w:r>
      <w:r w:rsidRPr="00DF38B2">
        <w:t xml:space="preserve">, if their financial management skills had improved, this type of misunderstanding would soon </w:t>
      </w:r>
      <w:r w:rsidR="000059DA" w:rsidRPr="00DF38B2">
        <w:t xml:space="preserve">be </w:t>
      </w:r>
      <w:r w:rsidRPr="00DF38B2">
        <w:t>corrected.</w:t>
      </w:r>
    </w:p>
    <w:p w:rsidR="005E1FE0" w:rsidRPr="00DF38B2" w:rsidRDefault="005E1FE0" w:rsidP="006654AE">
      <w:r w:rsidRPr="00DF38B2">
        <w:t>Finally</w:t>
      </w:r>
      <w:r w:rsidR="000059DA">
        <w:t>,</w:t>
      </w:r>
      <w:r w:rsidRPr="00DF38B2">
        <w:t xml:space="preserve"> if the card is seen as valued in the service it provides to individuals, it would be expected that it would be treated in a way that reflected this value.</w:t>
      </w:r>
    </w:p>
    <w:p w:rsidR="005E1FE0" w:rsidRPr="00DF38B2" w:rsidRDefault="005E1FE0" w:rsidP="006654AE">
      <w:r w:rsidRPr="00DF38B2">
        <w:t xml:space="preserve">For all of these reasons the extent to which cards need to be replaced can be interpreted as one indicator of good financial practice, and changes in the incidence of card replacement as evidence of change in this practice. As illustrated in </w:t>
      </w:r>
      <w:r w:rsidRPr="003D75FE">
        <w:fldChar w:fldCharType="begin"/>
      </w:r>
      <w:r w:rsidRPr="00DF38B2">
        <w:instrText xml:space="preserve"> REF _Ref391544598 \h </w:instrText>
      </w:r>
      <w:r w:rsidRPr="003D75FE">
        <w:fldChar w:fldCharType="separate"/>
      </w:r>
      <w:r w:rsidR="00906D13" w:rsidRPr="00DF38B2">
        <w:t xml:space="preserve">Figure </w:t>
      </w:r>
      <w:r w:rsidR="00906D13">
        <w:rPr>
          <w:noProof/>
        </w:rPr>
        <w:t>6</w:t>
      </w:r>
      <w:r w:rsidR="00906D13" w:rsidRPr="00DF38B2">
        <w:noBreakHyphen/>
      </w:r>
      <w:r w:rsidR="00906D13">
        <w:rPr>
          <w:noProof/>
        </w:rPr>
        <w:t>9</w:t>
      </w:r>
      <w:r w:rsidRPr="003D75FE">
        <w:fldChar w:fldCharType="end"/>
      </w:r>
      <w:r w:rsidRPr="00DF38B2">
        <w:t xml:space="preserve">, the number of cards replaced per month has increased from around five thousand in late 2010 to around six thousand per month. The rate of replacement has mainly been around 30 to 35 cards per </w:t>
      </w:r>
      <w:r w:rsidR="00EA3A7C" w:rsidRPr="00DF38B2">
        <w:t xml:space="preserve">100 </w:t>
      </w:r>
      <w:r w:rsidRPr="00DF38B2">
        <w:t>person</w:t>
      </w:r>
      <w:r w:rsidR="00EA3A7C" w:rsidRPr="00DF38B2">
        <w:t>s</w:t>
      </w:r>
      <w:r w:rsidRPr="00DF38B2">
        <w:t xml:space="preserve"> on income management, although the data suggests there may have been a</w:t>
      </w:r>
      <w:r w:rsidR="003317C9">
        <w:t xml:space="preserve"> small but marked</w:t>
      </w:r>
      <w:r w:rsidRPr="00DF38B2">
        <w:t xml:space="preserve"> structural shift in late 2012.</w:t>
      </w:r>
    </w:p>
    <w:p w:rsidR="005E1FE0" w:rsidRPr="00DF38B2" w:rsidRDefault="005E1FE0" w:rsidP="006654AE">
      <w:pPr>
        <w:pStyle w:val="Caption"/>
      </w:pPr>
      <w:bookmarkStart w:id="379" w:name="_Ref391544598"/>
      <w:bookmarkStart w:id="380" w:name="_Toc40373954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379"/>
      <w:r w:rsidRPr="00DF38B2">
        <w:t xml:space="preserve"> </w:t>
      </w:r>
      <w:r w:rsidR="00B235E1">
        <w:tab/>
      </w:r>
      <w:r w:rsidRPr="00DF38B2">
        <w:t>Replacement BasicsCards, number issued and rate of replacement per month</w:t>
      </w:r>
      <w:r w:rsidR="00B66EA5">
        <w:t>,</w:t>
      </w:r>
      <w:r w:rsidR="003C1097">
        <w:t xml:space="preserve"> </w:t>
      </w:r>
      <w:r w:rsidR="006F51EF">
        <w:t xml:space="preserve">NIM, </w:t>
      </w:r>
      <w:r w:rsidR="003C1097">
        <w:t>September 2009 to December 2013</w:t>
      </w:r>
      <w:bookmarkEnd w:id="380"/>
    </w:p>
    <w:p w:rsidR="005E1FE0" w:rsidRPr="00DF38B2" w:rsidRDefault="005E1FE0" w:rsidP="006654AE">
      <w:pPr>
        <w:pStyle w:val="graphicpaste"/>
      </w:pPr>
      <w:r w:rsidRPr="008E4D9D">
        <w:rPr>
          <w:noProof/>
        </w:rPr>
        <w:drawing>
          <wp:inline distT="0" distB="0" distL="0" distR="0" wp14:anchorId="34DFC703" wp14:editId="07E27C82">
            <wp:extent cx="4572000" cy="2743200"/>
            <wp:effectExtent l="0" t="0" r="0" b="0"/>
            <wp:docPr id="64" name="Picture 64" descr="This line chart shows the number of BasicsCards issued and rate of replacement per month from September 2010 to December 2013. The key results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DF38B2">
        <w:t xml:space="preserve">Source: </w:t>
      </w:r>
      <w:r w:rsidR="00305D80">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EA3A7C" w:rsidP="006654AE">
      <w:r w:rsidRPr="00DF38B2">
        <w:t xml:space="preserve">One way of clarifying the </w:t>
      </w:r>
      <w:r w:rsidR="006E54E4" w:rsidRPr="00DF38B2">
        <w:t xml:space="preserve">association of a </w:t>
      </w:r>
      <w:r w:rsidR="005E1FE0" w:rsidRPr="00DF38B2">
        <w:t>range of characteristics of individuals subject to income management with requiring replacement cards is to use regression analysis</w:t>
      </w:r>
      <w:r w:rsidR="006E54E4" w:rsidRPr="00DF38B2">
        <w:t xml:space="preserve">. This allows the identification of </w:t>
      </w:r>
      <w:r w:rsidR="006E54E4" w:rsidRPr="00DF38B2">
        <w:lastRenderedPageBreak/>
        <w:t xml:space="preserve">the contributions </w:t>
      </w:r>
      <w:r w:rsidR="005E1FE0" w:rsidRPr="00DF38B2">
        <w:t xml:space="preserve">individual characteristics </w:t>
      </w:r>
      <w:r w:rsidR="006E54E4" w:rsidRPr="00DF38B2">
        <w:t>make to the outcome – and here two are considered</w:t>
      </w:r>
      <w:r w:rsidR="009C646F">
        <w:t>:</w:t>
      </w:r>
      <w:r w:rsidR="006E54E4" w:rsidRPr="00DF38B2">
        <w:t xml:space="preserve"> the</w:t>
      </w:r>
      <w:r w:rsidR="005E1FE0" w:rsidRPr="00DF38B2">
        <w:t xml:space="preserve"> number of replacement cards a person has required</w:t>
      </w:r>
      <w:r w:rsidR="009C646F">
        <w:t>,</w:t>
      </w:r>
      <w:r w:rsidR="005E1FE0" w:rsidRPr="00DF38B2">
        <w:t xml:space="preserve"> and changes in this over time. </w:t>
      </w:r>
      <w:r w:rsidR="005E1FE0" w:rsidRPr="00F157EE">
        <w:fldChar w:fldCharType="begin"/>
      </w:r>
      <w:r w:rsidR="005E1FE0" w:rsidRPr="00DF38B2">
        <w:instrText xml:space="preserve"> REF _Ref391544848 \h </w:instrText>
      </w:r>
      <w:r w:rsidR="005E1FE0" w:rsidRPr="00F157EE">
        <w:fldChar w:fldCharType="separate"/>
      </w:r>
      <w:r w:rsidR="00906D13" w:rsidRPr="00DF38B2">
        <w:t xml:space="preserve">Table </w:t>
      </w:r>
      <w:r w:rsidR="00906D13">
        <w:rPr>
          <w:noProof/>
        </w:rPr>
        <w:t>6</w:t>
      </w:r>
      <w:r w:rsidR="00906D13">
        <w:noBreakHyphen/>
      </w:r>
      <w:r w:rsidR="00906D13">
        <w:rPr>
          <w:noProof/>
        </w:rPr>
        <w:t>16</w:t>
      </w:r>
      <w:r w:rsidR="005E1FE0" w:rsidRPr="00F157EE">
        <w:fldChar w:fldCharType="end"/>
      </w:r>
      <w:r w:rsidR="005E1FE0" w:rsidRPr="00DF38B2">
        <w:t xml:space="preserve"> presents the results of regression analysis.</w:t>
      </w:r>
      <w:r w:rsidR="005E1FE0" w:rsidRPr="00DF38B2">
        <w:rPr>
          <w:rStyle w:val="FootnoteReference"/>
        </w:rPr>
        <w:footnoteReference w:id="107"/>
      </w:r>
      <w:r w:rsidR="005E1FE0" w:rsidRPr="00DF38B2">
        <w:t xml:space="preserve"> Three regression models pertaining to replacement cards have been estimated. </w:t>
      </w:r>
    </w:p>
    <w:p w:rsidR="005E1FE0" w:rsidRPr="00DF38B2" w:rsidRDefault="005E1FE0" w:rsidP="006654AE">
      <w:pPr>
        <w:pStyle w:val="dot"/>
      </w:pPr>
      <w:r w:rsidRPr="00DF38B2">
        <w:t>The first seeks to identify the characteristics which best predict the number of cards issued to a person in 2013. This regression is based upon a population of 15,158 people who were on income management for most of the year</w:t>
      </w:r>
      <w:r w:rsidR="009C646F">
        <w:t>.</w:t>
      </w:r>
      <w:r w:rsidRPr="00DF38B2">
        <w:rPr>
          <w:rStyle w:val="FootnoteReference"/>
        </w:rPr>
        <w:footnoteReference w:id="108"/>
      </w:r>
      <w:r w:rsidRPr="00DF38B2">
        <w:t xml:space="preserve"> This model has a reasonably good fit, with an R</w:t>
      </w:r>
      <w:r w:rsidRPr="00DF38B2">
        <w:rPr>
          <w:vertAlign w:val="superscript"/>
        </w:rPr>
        <w:t xml:space="preserve">2 </w:t>
      </w:r>
      <w:r w:rsidRPr="00DF38B2">
        <w:t>of 0.149. For this population there was an average of 5.31 cards issued in the year, (given in the table as the mean value of the dependent variable)</w:t>
      </w:r>
      <w:r w:rsidR="00A1421A">
        <w:t xml:space="preserve">. </w:t>
      </w:r>
      <w:r w:rsidRPr="00F157EE">
        <w:fldChar w:fldCharType="begin"/>
      </w:r>
      <w:r w:rsidRPr="00DF38B2">
        <w:instrText xml:space="preserve"> REF _Ref391544848 \h </w:instrText>
      </w:r>
      <w:r w:rsidRPr="00F157EE">
        <w:fldChar w:fldCharType="separate"/>
      </w:r>
      <w:r w:rsidR="00906D13" w:rsidRPr="00DF38B2">
        <w:t xml:space="preserve">Table </w:t>
      </w:r>
      <w:r w:rsidR="00906D13">
        <w:rPr>
          <w:noProof/>
        </w:rPr>
        <w:t>6</w:t>
      </w:r>
      <w:r w:rsidR="00906D13">
        <w:noBreakHyphen/>
      </w:r>
      <w:r w:rsidR="00906D13">
        <w:rPr>
          <w:noProof/>
        </w:rPr>
        <w:t>16</w:t>
      </w:r>
      <w:r w:rsidRPr="00F157EE">
        <w:fldChar w:fldCharType="end"/>
      </w:r>
      <w:r w:rsidRPr="00DF38B2">
        <w:t xml:space="preserve"> also shows, in the final columns, the distribution of characteristics of the population. This is provided for the full 2013 population and for the matched 2011 to 2013 population (</w:t>
      </w:r>
      <w:r w:rsidR="000461E7">
        <w:t>that is</w:t>
      </w:r>
      <w:r w:rsidRPr="00DF38B2">
        <w:t>, the population that was subject to income management in 2011 and 2013)</w:t>
      </w:r>
      <w:r w:rsidR="005C211E">
        <w:t>,</w:t>
      </w:r>
      <w:r w:rsidRPr="00DF38B2">
        <w:t xml:space="preserve"> which is used in the regressions modelling </w:t>
      </w:r>
      <w:r w:rsidR="005C211E">
        <w:t xml:space="preserve">of </w:t>
      </w:r>
      <w:r w:rsidRPr="00DF38B2">
        <w:t>the factors associated with changes, at the individual level, in the number of BasicsCards issued.</w:t>
      </w:r>
    </w:p>
    <w:p w:rsidR="005E1FE0" w:rsidRPr="00DF38B2" w:rsidRDefault="005E1FE0" w:rsidP="006654AE">
      <w:pPr>
        <w:pStyle w:val="dot"/>
      </w:pPr>
      <w:r w:rsidRPr="00DF38B2">
        <w:t xml:space="preserve">The second and third models seek to predict the extent to which there was a reduction in the number of cards issued over </w:t>
      </w:r>
      <w:r w:rsidR="006E54E4" w:rsidRPr="00DF38B2">
        <w:t>time. T</w:t>
      </w:r>
      <w:r w:rsidRPr="00DF38B2">
        <w:t>wo time periods</w:t>
      </w:r>
      <w:r w:rsidR="006E54E4" w:rsidRPr="00DF38B2">
        <w:t xml:space="preserve"> are modelled</w:t>
      </w:r>
      <w:r w:rsidRPr="00DF38B2">
        <w:t>: between 2012 and 2013</w:t>
      </w:r>
      <w:r w:rsidR="006E54E4" w:rsidRPr="00DF38B2">
        <w:t>;</w:t>
      </w:r>
      <w:r w:rsidRPr="00DF38B2">
        <w:t xml:space="preserve"> and between 2011 and 2013. As can be expected</w:t>
      </w:r>
      <w:r w:rsidR="005C211E">
        <w:t>,</w:t>
      </w:r>
      <w:r w:rsidRPr="00DF38B2">
        <w:t xml:space="preserve"> the populations for these models w</w:t>
      </w:r>
      <w:r w:rsidR="00732819">
        <w:t>ere</w:t>
      </w:r>
      <w:r w:rsidRPr="00DF38B2">
        <w:t xml:space="preserve"> smaller</w:t>
      </w:r>
      <w:r w:rsidR="00732819">
        <w:t>,</w:t>
      </w:r>
      <w:r w:rsidRPr="00DF38B2">
        <w:t xml:space="preserve"> at 11,888 and 9,876 respectively</w:t>
      </w:r>
      <w:r w:rsidR="00732819">
        <w:t>,</w:t>
      </w:r>
      <w:r w:rsidRPr="00DF38B2">
        <w:t xml:space="preserve"> as people had to be within the population in both the base and the final year to be included. Both these models had a very poor fit</w:t>
      </w:r>
      <w:r w:rsidR="00732819">
        <w:t>,</w:t>
      </w:r>
      <w:r w:rsidRPr="00DF38B2">
        <w:t xml:space="preserve"> with an R</w:t>
      </w:r>
      <w:r w:rsidRPr="00DF38B2">
        <w:rPr>
          <w:vertAlign w:val="superscript"/>
        </w:rPr>
        <w:t>2</w:t>
      </w:r>
      <w:r w:rsidRPr="00DF38B2">
        <w:t xml:space="preserve"> </w:t>
      </w:r>
      <w:r w:rsidR="006E54E4" w:rsidRPr="00DF38B2">
        <w:t xml:space="preserve">= </w:t>
      </w:r>
      <w:r w:rsidRPr="00DF38B2">
        <w:t>0.013 for the model for the one</w:t>
      </w:r>
      <w:r w:rsidR="00732819">
        <w:t>-</w:t>
      </w:r>
      <w:r w:rsidRPr="00DF38B2">
        <w:t>year change and R</w:t>
      </w:r>
      <w:r w:rsidRPr="00DF38B2">
        <w:rPr>
          <w:vertAlign w:val="superscript"/>
        </w:rPr>
        <w:t>2</w:t>
      </w:r>
      <w:r w:rsidRPr="00DF38B2">
        <w:t xml:space="preserve"> = 0.018 over the longer period. As indicated at the end of the table, over both periods there was on average a very slight increase in the number of replacement cards. That is, in the coding of the data there is a decrease in the reduction of the number of replacement cards</w:t>
      </w:r>
      <w:r w:rsidR="006E54E4" w:rsidRPr="00DF38B2">
        <w:t xml:space="preserve">. This was </w:t>
      </w:r>
      <w:r w:rsidRPr="00DF38B2">
        <w:t>-0.131 over the one</w:t>
      </w:r>
      <w:r w:rsidR="00732819">
        <w:t>-</w:t>
      </w:r>
      <w:r w:rsidRPr="00DF38B2">
        <w:t>year period and -0.388 over the two</w:t>
      </w:r>
      <w:r w:rsidR="00732819">
        <w:t>-</w:t>
      </w:r>
      <w:r w:rsidRPr="00DF38B2">
        <w:t>year period.</w:t>
      </w:r>
    </w:p>
    <w:p w:rsidR="005E1FE0" w:rsidRPr="00DF38B2" w:rsidRDefault="005E1FE0" w:rsidP="006654AE">
      <w:pPr>
        <w:pStyle w:val="Heading4"/>
      </w:pPr>
      <w:r w:rsidRPr="00DF38B2">
        <w:t>Characteristics associated with the frequency of replacement cards</w:t>
      </w:r>
    </w:p>
    <w:p w:rsidR="005E1FE0" w:rsidRPr="00DF38B2" w:rsidRDefault="005E1FE0" w:rsidP="006654AE">
      <w:r w:rsidRPr="00DF38B2">
        <w:t>Looking at the first model:</w:t>
      </w:r>
    </w:p>
    <w:p w:rsidR="005E1FE0" w:rsidRPr="00DF38B2" w:rsidRDefault="005E1FE0" w:rsidP="006654AE">
      <w:pPr>
        <w:pStyle w:val="dot"/>
      </w:pPr>
      <w:r w:rsidRPr="00DF38B2">
        <w:t xml:space="preserve">Relative to women, men </w:t>
      </w:r>
      <w:r w:rsidR="00B66EA5">
        <w:t>ha</w:t>
      </w:r>
      <w:r w:rsidR="00D1211F">
        <w:t>ve</w:t>
      </w:r>
      <w:r w:rsidR="00B66EA5" w:rsidRPr="00DF38B2">
        <w:t xml:space="preserve"> </w:t>
      </w:r>
      <w:r w:rsidRPr="00DF38B2">
        <w:t xml:space="preserve">slightly </w:t>
      </w:r>
      <w:r w:rsidR="00B66EA5">
        <w:t xml:space="preserve">fewer </w:t>
      </w:r>
      <w:r w:rsidRPr="00DF38B2">
        <w:t>replacement card</w:t>
      </w:r>
      <w:r w:rsidR="00B66EA5">
        <w:t>s</w:t>
      </w:r>
      <w:r w:rsidRPr="00DF38B2">
        <w:t>, but this difference was not statistically significant</w:t>
      </w:r>
      <w:r w:rsidR="00732819">
        <w:t>.</w:t>
      </w:r>
    </w:p>
    <w:p w:rsidR="005E1FE0" w:rsidRPr="00DF38B2" w:rsidRDefault="005E1FE0" w:rsidP="006654AE">
      <w:pPr>
        <w:pStyle w:val="dot"/>
      </w:pPr>
      <w:r w:rsidRPr="00DF38B2">
        <w:t xml:space="preserve">A number of family types were statistically significant. Relative to a person who was part of a couple without </w:t>
      </w:r>
      <w:r w:rsidR="009B7F69">
        <w:t xml:space="preserve">dependent </w:t>
      </w:r>
      <w:r w:rsidRPr="00DF38B2">
        <w:t xml:space="preserve">children, people who were members of a couple with a child had almost one less replacement card per year, with little difference </w:t>
      </w:r>
      <w:r w:rsidR="00D1211F">
        <w:t>by the</w:t>
      </w:r>
      <w:r w:rsidR="00D1211F" w:rsidRPr="00DF38B2">
        <w:t xml:space="preserve"> </w:t>
      </w:r>
      <w:r w:rsidRPr="00DF38B2">
        <w:t xml:space="preserve">age of the youngest child. Being a single parent with a child aged over </w:t>
      </w:r>
      <w:r w:rsidR="00732819">
        <w:t>five</w:t>
      </w:r>
      <w:r w:rsidRPr="00DF38B2">
        <w:t xml:space="preserve"> years was associated with having 0.33 fewer replacement cards. In contrast</w:t>
      </w:r>
      <w:r w:rsidR="00732819">
        <w:t>,</w:t>
      </w:r>
      <w:r w:rsidRPr="00DF38B2">
        <w:t xml:space="preserve"> a single person was associated with having an additional 0.5 replacement cards. </w:t>
      </w:r>
      <w:r w:rsidR="00732819">
        <w:t>H</w:t>
      </w:r>
      <w:r w:rsidR="00732819" w:rsidRPr="00DF38B2">
        <w:t>owever</w:t>
      </w:r>
      <w:r w:rsidR="00732819">
        <w:t>, to</w:t>
      </w:r>
      <w:r w:rsidRPr="00DF38B2">
        <w:t xml:space="preserve"> the extent that these parameter values are relative to an average of 5.3 replacement cards, these differences must be seen as being slight, rather than </w:t>
      </w:r>
      <w:r w:rsidR="00732819">
        <w:t>constituting</w:t>
      </w:r>
      <w:r w:rsidRPr="00DF38B2">
        <w:t xml:space="preserve"> important differences.</w:t>
      </w:r>
    </w:p>
    <w:p w:rsidR="005E1FE0" w:rsidRPr="00DF38B2" w:rsidRDefault="005E1FE0" w:rsidP="006654AE">
      <w:pPr>
        <w:pStyle w:val="dot"/>
      </w:pPr>
      <w:r w:rsidRPr="00DF38B2">
        <w:t xml:space="preserve">Some of the largest differences are </w:t>
      </w:r>
      <w:r w:rsidR="00732819">
        <w:t>evident in</w:t>
      </w:r>
      <w:r w:rsidRPr="00DF38B2">
        <w:t xml:space="preserve"> the type of income management a person was on, although it should be noted that the classification used is that of the last status the person had in the year, and not their status at the time a card may have been replaced. Relative to a person who was on the Long Term </w:t>
      </w:r>
      <w:r w:rsidR="00732819">
        <w:t>W</w:t>
      </w:r>
      <w:r w:rsidRPr="00DF38B2">
        <w:t xml:space="preserve">elfare Payment Recipient measure, being on SPAR is associated with an additional </w:t>
      </w:r>
      <w:r w:rsidR="00732819">
        <w:t>ten</w:t>
      </w:r>
      <w:r w:rsidRPr="00DF38B2">
        <w:t xml:space="preserve"> replacement cards</w:t>
      </w:r>
      <w:r w:rsidR="00732819">
        <w:t>;</w:t>
      </w:r>
      <w:r w:rsidRPr="00DF38B2">
        <w:t xml:space="preserve"> on the Assessed Vulnerable measure</w:t>
      </w:r>
      <w:r w:rsidR="00732819">
        <w:t>,</w:t>
      </w:r>
      <w:r w:rsidRPr="00DF38B2">
        <w:t xml:space="preserve"> </w:t>
      </w:r>
      <w:r w:rsidR="00732819">
        <w:t>five</w:t>
      </w:r>
      <w:r w:rsidRPr="00DF38B2">
        <w:t xml:space="preserve"> additional cards</w:t>
      </w:r>
      <w:r w:rsidR="00732819">
        <w:t>;</w:t>
      </w:r>
      <w:r w:rsidRPr="00DF38B2">
        <w:t xml:space="preserve"> and on Child Protection</w:t>
      </w:r>
      <w:r w:rsidR="00732819">
        <w:t>,</w:t>
      </w:r>
      <w:r w:rsidRPr="00DF38B2">
        <w:t xml:space="preserve"> 1.8 additional cards. This result would suggest that these measures can be considered as having, by this metric, a high degree of targeting at those who are particularly poor financial managers. </w:t>
      </w:r>
    </w:p>
    <w:p w:rsidR="005E1FE0" w:rsidRPr="00DF38B2" w:rsidRDefault="005E1FE0" w:rsidP="006654AE">
      <w:pPr>
        <w:sectPr w:rsidR="005E1FE0" w:rsidRPr="00DF38B2" w:rsidSect="00285084">
          <w:headerReference w:type="even" r:id="rId110"/>
          <w:headerReference w:type="default" r:id="rId111"/>
          <w:footerReference w:type="even" r:id="rId112"/>
          <w:footerReference w:type="default" r:id="rId113"/>
          <w:headerReference w:type="first" r:id="rId114"/>
          <w:footerReference w:type="first" r:id="rId115"/>
          <w:pgSz w:w="11906" w:h="16838" w:code="9"/>
          <w:pgMar w:top="1247" w:right="1701" w:bottom="1134" w:left="1871" w:header="567" w:footer="340" w:gutter="0"/>
          <w:cols w:space="708"/>
          <w:titlePg/>
          <w:docGrid w:linePitch="360"/>
        </w:sectPr>
      </w:pPr>
    </w:p>
    <w:p w:rsidR="005E1FE0" w:rsidRPr="00DF38B2" w:rsidRDefault="005E1FE0" w:rsidP="006654AE">
      <w:pPr>
        <w:pStyle w:val="Caption"/>
      </w:pPr>
      <w:bookmarkStart w:id="381" w:name="_Ref391544848"/>
      <w:bookmarkStart w:id="382" w:name="_Toc403739455"/>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16</w:t>
        </w:r>
      </w:fldSimple>
      <w:bookmarkEnd w:id="381"/>
      <w:r w:rsidRPr="00DF38B2">
        <w:tab/>
        <w:t xml:space="preserve"> Regression analysis of the incidence of replacement of BasicsCards and transactions which fail due to insufficient funds, and changes over time</w:t>
      </w:r>
      <w:r w:rsidR="006F51EF">
        <w:t>, NIM</w:t>
      </w:r>
      <w:bookmarkEnd w:id="382"/>
    </w:p>
    <w:tbl>
      <w:tblPr>
        <w:tblW w:w="14859" w:type="dxa"/>
        <w:tblInd w:w="93" w:type="dxa"/>
        <w:tblLook w:val="04A0" w:firstRow="1" w:lastRow="0" w:firstColumn="1" w:lastColumn="0" w:noHBand="0" w:noVBand="1"/>
        <w:tblDescription w:val="This is a large and very complex table flowing over two pages presenting the results of a series of six regression models and reporting on some of the base population characteristics.&#10;It does not contain a header row as the chart flows over two facing landscape pages and just fits in without a repeat of the header and in this layout it is possible to read down columns using the single set of headers.&#10;The data is subject to very extensive discussion in Section 6.5.1 relating to BasicsCard replacement and section and the final two pages of section 6.5.2 relating to failed transactions and it is considered that these discussions document the major significant findings of the analysis presented in the table.&#10;"/>
      </w:tblPr>
      <w:tblGrid>
        <w:gridCol w:w="1433"/>
        <w:gridCol w:w="1134"/>
        <w:gridCol w:w="1010"/>
        <w:gridCol w:w="485"/>
        <w:gridCol w:w="1056"/>
        <w:gridCol w:w="485"/>
        <w:gridCol w:w="1216"/>
        <w:gridCol w:w="485"/>
        <w:gridCol w:w="1183"/>
        <w:gridCol w:w="485"/>
        <w:gridCol w:w="1309"/>
        <w:gridCol w:w="485"/>
        <w:gridCol w:w="1263"/>
        <w:gridCol w:w="488"/>
        <w:gridCol w:w="222"/>
        <w:gridCol w:w="1120"/>
        <w:gridCol w:w="1000"/>
      </w:tblGrid>
      <w:tr w:rsidR="005E1FE0" w:rsidRPr="00DF38B2" w:rsidTr="00D6046B">
        <w:trPr>
          <w:trHeight w:val="220"/>
          <w:tblHeader/>
        </w:trPr>
        <w:tc>
          <w:tcPr>
            <w:tcW w:w="143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495"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Number of BC replacements in 2013</w:t>
            </w:r>
          </w:p>
        </w:tc>
        <w:tc>
          <w:tcPr>
            <w:tcW w:w="154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Proportion of trans</w:t>
            </w:r>
            <w:r w:rsidR="00F529F4">
              <w:rPr>
                <w:rFonts w:eastAsia="Times New Roman"/>
              </w:rPr>
              <w:t>.</w:t>
            </w:r>
            <w:r w:rsidRPr="00DF38B2">
              <w:rPr>
                <w:rFonts w:eastAsia="Times New Roman"/>
              </w:rPr>
              <w:t xml:space="preserve"> insufficient funds 2013</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 in number of BasicsCards 2012 to 2013 (+ = fall)</w:t>
            </w:r>
          </w:p>
        </w:tc>
        <w:tc>
          <w:tcPr>
            <w:tcW w:w="1668"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 in number of BasicsCards 2011 to 2013 (+ = fall)</w:t>
            </w:r>
          </w:p>
        </w:tc>
        <w:tc>
          <w:tcPr>
            <w:tcW w:w="1794"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Change </w:t>
            </w:r>
            <w:r w:rsidR="00F529F4">
              <w:rPr>
                <w:rFonts w:eastAsia="Times New Roman"/>
              </w:rPr>
              <w:t xml:space="preserve">in </w:t>
            </w:r>
            <w:r w:rsidRPr="00DF38B2">
              <w:rPr>
                <w:rFonts w:eastAsia="Times New Roman"/>
              </w:rPr>
              <w:t xml:space="preserve">failure </w:t>
            </w:r>
            <w:r w:rsidR="00F529F4">
              <w:rPr>
                <w:rFonts w:eastAsia="Times New Roman"/>
              </w:rPr>
              <w:t xml:space="preserve">rate </w:t>
            </w:r>
            <w:r w:rsidRPr="00DF38B2">
              <w:rPr>
                <w:rFonts w:eastAsia="Times New Roman"/>
              </w:rPr>
              <w:t>2012 to 2013</w:t>
            </w:r>
          </w:p>
          <w:p w:rsidR="005E1FE0" w:rsidRPr="00DF38B2" w:rsidRDefault="005E1FE0" w:rsidP="006654AE">
            <w:pPr>
              <w:pStyle w:val="tabletextleft"/>
              <w:jc w:val="left"/>
              <w:rPr>
                <w:rFonts w:eastAsia="Times New Roman"/>
              </w:rPr>
            </w:pPr>
            <w:r w:rsidRPr="00DF38B2">
              <w:rPr>
                <w:rFonts w:eastAsia="Times New Roman"/>
              </w:rPr>
              <w:t>(+ = fall)</w:t>
            </w:r>
          </w:p>
        </w:tc>
        <w:tc>
          <w:tcPr>
            <w:tcW w:w="1973" w:type="dxa"/>
            <w:gridSpan w:val="3"/>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w:t>
            </w:r>
            <w:r w:rsidR="00F529F4">
              <w:rPr>
                <w:rFonts w:eastAsia="Times New Roman"/>
              </w:rPr>
              <w:t xml:space="preserve"> in</w:t>
            </w:r>
            <w:r w:rsidRPr="00DF38B2">
              <w:rPr>
                <w:rFonts w:eastAsia="Times New Roman"/>
              </w:rPr>
              <w:t xml:space="preserve"> failure </w:t>
            </w:r>
            <w:r w:rsidR="00F529F4">
              <w:rPr>
                <w:rFonts w:eastAsia="Times New Roman"/>
              </w:rPr>
              <w:t xml:space="preserve">rate </w:t>
            </w:r>
            <w:r w:rsidRPr="00DF38B2">
              <w:rPr>
                <w:rFonts w:eastAsia="Times New Roman"/>
              </w:rPr>
              <w:t>2011 to 2013</w:t>
            </w:r>
          </w:p>
          <w:p w:rsidR="005E1FE0" w:rsidRPr="00DF38B2" w:rsidRDefault="005E1FE0" w:rsidP="006654AE">
            <w:pPr>
              <w:pStyle w:val="tabletextleft"/>
              <w:jc w:val="left"/>
              <w:rPr>
                <w:rFonts w:eastAsia="Times New Roman"/>
              </w:rPr>
            </w:pPr>
            <w:r w:rsidRPr="00DF38B2">
              <w:rPr>
                <w:rFonts w:eastAsia="Times New Roman"/>
              </w:rPr>
              <w:t>(+ =fall)</w:t>
            </w:r>
          </w:p>
        </w:tc>
        <w:tc>
          <w:tcPr>
            <w:tcW w:w="112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Full 2013 pop</w:t>
            </w:r>
          </w:p>
        </w:tc>
        <w:tc>
          <w:tcPr>
            <w:tcW w:w="10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2011 to 2013 pop</w:t>
            </w:r>
          </w:p>
        </w:tc>
      </w:tr>
      <w:tr w:rsidR="005E1FE0" w:rsidRPr="00DF38B2" w:rsidTr="00535C84">
        <w:trPr>
          <w:trHeight w:val="220"/>
        </w:trPr>
        <w:tc>
          <w:tcPr>
            <w:tcW w:w="143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Population</w:t>
            </w:r>
          </w:p>
        </w:tc>
        <w:tc>
          <w:tcPr>
            <w:tcW w:w="1134"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15,158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15,158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11,888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11,888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c>
          <w:tcPr>
            <w:tcW w:w="488"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15,158 </w:t>
            </w:r>
          </w:p>
        </w:tc>
        <w:tc>
          <w:tcPr>
            <w:tcW w:w="100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r>
      <w:tr w:rsidR="005E1FE0" w:rsidRPr="00DF38B2" w:rsidTr="00535C84">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R-square</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0.015</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0.032</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r>
      <w:tr w:rsidR="005E1FE0" w:rsidRPr="00DF38B2" w:rsidTr="00535C84">
        <w:trPr>
          <w:trHeight w:val="220"/>
        </w:trPr>
        <w:tc>
          <w:tcPr>
            <w:tcW w:w="143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668"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center"/>
              <w:rPr>
                <w:rFonts w:eastAsia="Times New Roman"/>
              </w:rPr>
            </w:pPr>
            <w:r w:rsidRPr="00DF38B2">
              <w:rPr>
                <w:rFonts w:eastAsia="Times New Roman"/>
              </w:rPr>
              <w:t>Coefficient</w:t>
            </w:r>
          </w:p>
        </w:tc>
        <w:tc>
          <w:tcPr>
            <w:tcW w:w="130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75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center"/>
              <w:rPr>
                <w:rFonts w:eastAsia="Times New Roman"/>
              </w:rPr>
            </w:pPr>
            <w:r w:rsidRPr="00DF38B2">
              <w:rPr>
                <w:rFonts w:eastAsia="Times New Roman"/>
              </w:rPr>
              <w:t>Coefficient</w:t>
            </w:r>
          </w:p>
        </w:tc>
        <w:tc>
          <w:tcPr>
            <w:tcW w:w="222"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120"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roofErr w:type="spellStart"/>
            <w:r w:rsidRPr="00DF38B2">
              <w:rPr>
                <w:rFonts w:eastAsia="Times New Roman"/>
              </w:rPr>
              <w:t>Prop</w:t>
            </w:r>
            <w:r w:rsidR="00AA1DA0">
              <w:rPr>
                <w:rFonts w:eastAsia="Times New Roman"/>
              </w:rPr>
              <w:t>’</w:t>
            </w:r>
            <w:r w:rsidRPr="00DF38B2">
              <w:rPr>
                <w:rFonts w:eastAsia="Times New Roman"/>
              </w:rPr>
              <w:t>n</w:t>
            </w:r>
            <w:proofErr w:type="spellEnd"/>
            <w:r w:rsidRPr="00DF38B2">
              <w:rPr>
                <w:rFonts w:eastAsia="Times New Roman"/>
              </w:rPr>
              <w:t xml:space="preserve"> population</w:t>
            </w:r>
          </w:p>
        </w:tc>
      </w:tr>
      <w:tr w:rsidR="005E1FE0" w:rsidRPr="00DF38B2" w:rsidTr="00535C84">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Female</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0.622</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Male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0.440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0.378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0.331</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 </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Final family type</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w:t>
            </w:r>
            <w:proofErr w:type="spellStart"/>
            <w:r w:rsidRPr="00DF38B2">
              <w:rPr>
                <w:rFonts w:eastAsia="Times New Roman"/>
              </w:rPr>
              <w:t>yng</w:t>
            </w:r>
            <w:proofErr w:type="spellEnd"/>
            <w:r w:rsidRPr="00DF38B2">
              <w:rPr>
                <w:rFonts w:eastAsia="Times New Roman"/>
              </w:rPr>
              <w:t xml:space="preserve"> &lt;5</w:t>
            </w:r>
            <w:r w:rsidR="00F529F4">
              <w:rPr>
                <w:rFonts w:eastAsia="Times New Roman"/>
              </w:rPr>
              <w:t xml:space="preserve">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kids</w:t>
            </w:r>
            <w:r w:rsidR="00F529F4">
              <w:rPr>
                <w:rFonts w:eastAsia="Times New Roman"/>
              </w:rPr>
              <w:t xml:space="preserve"> 5+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0.343</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only</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0.137</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Sngl</w:t>
            </w:r>
            <w:proofErr w:type="spellEnd"/>
            <w:r w:rsidRPr="00DF38B2">
              <w:rPr>
                <w:rFonts w:eastAsia="Times New Roman"/>
              </w:rPr>
              <w:t xml:space="preserve"> </w:t>
            </w:r>
            <w:proofErr w:type="spellStart"/>
            <w:r w:rsidRPr="00DF38B2">
              <w:rPr>
                <w:rFonts w:eastAsia="Times New Roman"/>
              </w:rPr>
              <w:t>yng</w:t>
            </w:r>
            <w:proofErr w:type="spellEnd"/>
            <w:r w:rsidRPr="00DF38B2">
              <w:rPr>
                <w:rFonts w:eastAsia="Times New Roman"/>
              </w:rPr>
              <w:t xml:space="preserve"> &lt;5</w:t>
            </w:r>
            <w:r w:rsidR="00F529F4">
              <w:rPr>
                <w:rFonts w:eastAsia="Times New Roman"/>
              </w:rPr>
              <w:t xml:space="preserve">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0.265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Sngl</w:t>
            </w:r>
            <w:proofErr w:type="spellEnd"/>
            <w:r w:rsidRPr="00DF38B2">
              <w:rPr>
                <w:rFonts w:eastAsia="Times New Roman"/>
              </w:rPr>
              <w:t xml:space="preserve"> kids</w:t>
            </w:r>
            <w:r w:rsidR="00F529F4">
              <w:rPr>
                <w:rFonts w:eastAsia="Times New Roman"/>
              </w:rPr>
              <w:t xml:space="preserve"> 5+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-0.237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0.645</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Single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0.340</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 </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2567" w:type="dxa"/>
            <w:gridSpan w:val="2"/>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Last IM status on record</w:t>
            </w: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Diseng</w:t>
            </w:r>
            <w:proofErr w:type="spellEnd"/>
            <w:r w:rsidRPr="00DF38B2">
              <w:rPr>
                <w:rFonts w:eastAsia="Times New Roman"/>
              </w:rPr>
              <w:t xml:space="preserve"> </w:t>
            </w:r>
            <w:proofErr w:type="spellStart"/>
            <w:r w:rsidRPr="00DF38B2">
              <w:rPr>
                <w:rFonts w:eastAsia="Times New Roman"/>
              </w:rPr>
              <w:t>Yth</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0.304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LTWPR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1.790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1.245</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-0.574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Crisis Pay</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-0.903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0.390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1.467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SPAR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-2.789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-5.107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2.569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Nominee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-0.596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VIM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-0.767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exempt VIM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-0.855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0.389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-0.737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I/S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OOS exempt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1.688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F529F4" w:rsidP="006654AE">
            <w:pPr>
              <w:pStyle w:val="tabletextleft"/>
              <w:jc w:val="left"/>
              <w:rPr>
                <w:rFonts w:eastAsia="Times New Roman"/>
              </w:rPr>
            </w:pPr>
            <w:r>
              <w:rPr>
                <w:rFonts w:eastAsia="Times New Roman"/>
              </w:rPr>
              <w:t>E</w:t>
            </w:r>
            <w:r w:rsidR="005E1FE0" w:rsidRPr="00DF38B2">
              <w:rPr>
                <w:rFonts w:eastAsia="Times New Roman"/>
              </w:rPr>
              <w:t>xempt no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3577" w:type="dxa"/>
            <w:gridSpan w:val="3"/>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Last type of income support received </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120" w:type="dxa"/>
            <w:gridSpan w:val="2"/>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NSA</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0.436</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YAL</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-0.309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0.856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-0.051</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PPP</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-0.248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PPS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-1.018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CAR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1.352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DSP</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1.934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1.544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0.600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AGE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0.936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0.063</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Oth</w:t>
            </w:r>
            <w:r w:rsidR="009B7F69">
              <w:rPr>
                <w:rFonts w:eastAsia="Times New Roman"/>
              </w:rPr>
              <w:t>er</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0.323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0.627</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-0.455</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-0.714</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1.045</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Values</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lastRenderedPageBreak/>
              <w:t>Advance payments (IHS)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3.320</w:t>
            </w: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Urgent payments (IHS)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0.434</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F529F4" w:rsidRPr="00DF38B2" w:rsidTr="000F06BF">
        <w:trPr>
          <w:trHeight w:val="220"/>
        </w:trPr>
        <w:tc>
          <w:tcPr>
            <w:tcW w:w="4062" w:type="dxa"/>
            <w:gridSpan w:val="4"/>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left"/>
              <w:rPr>
                <w:rFonts w:eastAsia="Times New Roman"/>
              </w:rPr>
            </w:pPr>
            <w:r w:rsidRPr="00DF38B2">
              <w:rPr>
                <w:rFonts w:eastAsia="Times New Roman"/>
              </w:rPr>
              <w:t>Last location while on Income support</w:t>
            </w:r>
            <w:r>
              <w:rPr>
                <w:rFonts w:eastAsia="Times New Roman"/>
              </w:rPr>
              <w:t>/Indigeneity</w:t>
            </w:r>
          </w:p>
        </w:tc>
        <w:tc>
          <w:tcPr>
            <w:tcW w:w="1056"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2120" w:type="dxa"/>
            <w:gridSpan w:val="2"/>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roofErr w:type="spellStart"/>
            <w:r w:rsidRPr="00DF38B2">
              <w:rPr>
                <w:rFonts w:eastAsia="Times New Roman"/>
              </w:rPr>
              <w:t>Prop</w:t>
            </w:r>
            <w:r>
              <w:rPr>
                <w:rFonts w:eastAsia="Times New Roman"/>
              </w:rPr>
              <w:t>’</w:t>
            </w:r>
            <w:r w:rsidRPr="00DF38B2">
              <w:rPr>
                <w:rFonts w:eastAsia="Times New Roman"/>
              </w:rPr>
              <w:t>n</w:t>
            </w:r>
            <w:proofErr w:type="spellEnd"/>
            <w:r w:rsidRPr="00DF38B2">
              <w:rPr>
                <w:rFonts w:eastAsia="Times New Roman"/>
              </w:rPr>
              <w:t xml:space="preserve"> population</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Greater Darwin</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0.057</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Alice Springs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-1.881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Katherine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-0.886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Barkly inc</w:t>
            </w:r>
            <w:r w:rsidR="00AA1DA0">
              <w:rPr>
                <w:rFonts w:eastAsia="Times New Roman"/>
              </w:rPr>
              <w:t>l.</w:t>
            </w:r>
            <w:r w:rsidRPr="00DF38B2">
              <w:rPr>
                <w:rFonts w:eastAsia="Times New Roman"/>
              </w:rPr>
              <w:t xml:space="preserve"> TC</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-0.932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East Arnhem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6.231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1.575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0.835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0.167</w:t>
            </w:r>
          </w:p>
        </w:tc>
      </w:tr>
      <w:tr w:rsidR="005E1FE0" w:rsidRPr="00DF38B2" w:rsidTr="00535C84">
        <w:trPr>
          <w:trHeight w:val="220"/>
        </w:trPr>
        <w:tc>
          <w:tcPr>
            <w:tcW w:w="1433" w:type="dxa"/>
            <w:vMerge w:val="restart"/>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Top &amp; W Arnhem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-0.988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0.838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535C84">
        <w:trPr>
          <w:trHeight w:val="220"/>
        </w:trPr>
        <w:tc>
          <w:tcPr>
            <w:tcW w:w="1433" w:type="dxa"/>
            <w:vMerge/>
            <w:tcBorders>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1.298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SE Desert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1.223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3.621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0.481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0.096</w:t>
            </w:r>
          </w:p>
        </w:tc>
      </w:tr>
      <w:tr w:rsidR="005E1FE0" w:rsidRPr="00DF38B2" w:rsidTr="00535C84">
        <w:trPr>
          <w:trHeight w:val="220"/>
        </w:trPr>
        <w:tc>
          <w:tcPr>
            <w:tcW w:w="1433" w:type="dxa"/>
            <w:vMerge w:val="restart"/>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Mid-West Desert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3.034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2.022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vMerge/>
            <w:tcBorders>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2.092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Other locations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12.144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2.338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4.729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-1.103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1.424</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-6.649</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Values</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Time on IM (years)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-2.909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w:t>
            </w: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Time on IM (years) squared</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Age years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38.7</w:t>
            </w:r>
          </w:p>
        </w:tc>
      </w:tr>
      <w:tr w:rsidR="005E1FE0" w:rsidRPr="00DF38B2" w:rsidTr="000F06BF">
        <w:trPr>
          <w:trHeight w:val="220"/>
        </w:trPr>
        <w:tc>
          <w:tcPr>
            <w:tcW w:w="2567" w:type="dxa"/>
            <w:gridSpan w:val="2"/>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 years square</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1,537 </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1,705 </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Constant</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0.290</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4.153</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1.252</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2.190</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2.815</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4.500</w:t>
            </w: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134"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single" w:sz="4" w:space="0" w:color="auto"/>
              <w:right w:val="nil"/>
            </w:tcBorders>
            <w:shd w:val="clear" w:color="auto" w:fill="auto"/>
            <w:noWrap/>
            <w:vAlign w:val="bottom"/>
            <w:hideMark/>
          </w:tcPr>
          <w:p w:rsidR="005E1FE0" w:rsidRPr="00DF38B2" w:rsidRDefault="00F529F4" w:rsidP="006654AE">
            <w:pPr>
              <w:pStyle w:val="tabletextleft"/>
              <w:rPr>
                <w:rFonts w:eastAsia="Times New Roman"/>
              </w:rPr>
            </w:pPr>
            <w:r>
              <w:rPr>
                <w:rFonts w:eastAsia="Times New Roman"/>
              </w:rPr>
              <w:t>Dependent variable – av. value</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5.310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10.077</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-0.388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1.290</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bl>
    <w:p w:rsidR="001F1187" w:rsidRPr="00DF38B2" w:rsidRDefault="005E1FE0" w:rsidP="001F1187">
      <w:pPr>
        <w:pStyle w:val="tablenotes"/>
        <w:ind w:left="720"/>
        <w:jc w:val="left"/>
      </w:pPr>
      <w:r w:rsidRPr="00DF38B2">
        <w:rPr>
          <w:sz w:val="18"/>
          <w:szCs w:val="18"/>
        </w:rPr>
        <w:t xml:space="preserve">Source: </w:t>
      </w:r>
      <w:r w:rsidR="00060511">
        <w:rPr>
          <w:sz w:val="18"/>
          <w:szCs w:val="18"/>
        </w:rPr>
        <w:t>DHS</w:t>
      </w:r>
      <w:r w:rsidRPr="00DF38B2">
        <w:rPr>
          <w:sz w:val="18"/>
          <w:szCs w:val="18"/>
        </w:rPr>
        <w:t xml:space="preserve"> administrative data provided for the purpose of the evaluation</w:t>
      </w:r>
      <w:r w:rsidR="00C61A58">
        <w:rPr>
          <w:sz w:val="18"/>
          <w:szCs w:val="18"/>
        </w:rPr>
        <w:t>.</w:t>
      </w:r>
      <w:r w:rsidR="001F1187">
        <w:rPr>
          <w:sz w:val="18"/>
          <w:szCs w:val="18"/>
        </w:rPr>
        <w:t xml:space="preserve"> </w:t>
      </w:r>
      <w:r w:rsidR="001F1187" w:rsidRPr="00DF38B2">
        <w:t>*</w:t>
      </w:r>
      <w:r w:rsidR="001F1187">
        <w:t xml:space="preserve"> </w:t>
      </w:r>
      <w:proofErr w:type="gramStart"/>
      <w:r w:rsidR="001F1187">
        <w:t>statistically</w:t>
      </w:r>
      <w:proofErr w:type="gramEnd"/>
      <w:r w:rsidR="001F1187">
        <w:t xml:space="preserve"> s</w:t>
      </w:r>
      <w:r w:rsidR="001F1187" w:rsidRPr="00DF38B2">
        <w:t>ignificant at p&lt;0.10, ** significant at p&lt;0.05, *** significant at p&lt;</w:t>
      </w:r>
      <w:r w:rsidR="001F1187">
        <w:t>0</w:t>
      </w:r>
      <w:r w:rsidR="001F1187" w:rsidRPr="00DF38B2">
        <w:t>.01</w:t>
      </w:r>
    </w:p>
    <w:p w:rsidR="005E1FE0" w:rsidRPr="00DF38B2" w:rsidRDefault="005E1FE0" w:rsidP="006654AE">
      <w:pPr>
        <w:jc w:val="left"/>
        <w:rPr>
          <w:sz w:val="18"/>
          <w:szCs w:val="18"/>
        </w:rPr>
        <w:sectPr w:rsidR="005E1FE0" w:rsidRPr="00DF38B2" w:rsidSect="009225E7">
          <w:headerReference w:type="even" r:id="rId116"/>
          <w:headerReference w:type="default" r:id="rId117"/>
          <w:headerReference w:type="first" r:id="rId118"/>
          <w:pgSz w:w="16838" w:h="11906" w:orient="landscape" w:code="9"/>
          <w:pgMar w:top="964" w:right="1191" w:bottom="964" w:left="1191" w:header="567" w:footer="340" w:gutter="0"/>
          <w:cols w:space="708"/>
          <w:titlePg/>
          <w:docGrid w:linePitch="360"/>
        </w:sectPr>
      </w:pPr>
    </w:p>
    <w:p w:rsidR="006E54E4" w:rsidRPr="00DF38B2" w:rsidRDefault="006E54E4" w:rsidP="006654AE">
      <w:pPr>
        <w:pStyle w:val="undot"/>
      </w:pPr>
      <w:r w:rsidRPr="00DF38B2">
        <w:lastRenderedPageBreak/>
        <w:t>In contrast</w:t>
      </w:r>
      <w:r w:rsidR="00BF0717">
        <w:t>,</w:t>
      </w:r>
      <w:r w:rsidRPr="00DF38B2">
        <w:t xml:space="preserve"> the automatic vulnerable crisis payment stream was associated with a weakly significant increase of 0.75 cards, and the result for the automatic Un</w:t>
      </w:r>
      <w:r w:rsidR="00EF3E03">
        <w:t>reason</w:t>
      </w:r>
      <w:r w:rsidRPr="00DF38B2">
        <w:t>able to Live at Home was not significant. (The data also shows a higher number of cards being associated with a final status of being automatically exempted because of being a full-time student or apprentice. The inclusion of this category reflects the use of end</w:t>
      </w:r>
      <w:r w:rsidR="00BF0717">
        <w:t>-</w:t>
      </w:r>
      <w:r w:rsidRPr="00DF38B2">
        <w:t xml:space="preserve">2013 status as the basis of individual description.) The population size of these groups is very small. Of note in these data is that while the parameter value of being on </w:t>
      </w:r>
      <w:r w:rsidR="001544DF">
        <w:t>Voluntary Income Management</w:t>
      </w:r>
      <w:r w:rsidRPr="00DF38B2">
        <w:t xml:space="preserve"> is the equivalent to half a replacement card less, this is not statistically significant – despite the fact that this is a large segment of the population</w:t>
      </w:r>
      <w:r w:rsidR="00BF0717">
        <w:t>; t</w:t>
      </w:r>
      <w:r w:rsidRPr="00DF38B2">
        <w:t xml:space="preserve">his points to a high degree of variability within this group. </w:t>
      </w:r>
    </w:p>
    <w:p w:rsidR="006E54E4" w:rsidRPr="00DF38B2" w:rsidRDefault="006E54E4" w:rsidP="006654AE">
      <w:pPr>
        <w:pStyle w:val="dot"/>
      </w:pPr>
      <w:r w:rsidRPr="00DF38B2">
        <w:t>Relative to being on Newstart, the largest differences were being on Disability Support Pension</w:t>
      </w:r>
      <w:r w:rsidR="00BF0717">
        <w:t>,</w:t>
      </w:r>
      <w:r w:rsidRPr="00DF38B2">
        <w:t xml:space="preserve"> which was associated with </w:t>
      </w:r>
      <w:r w:rsidR="00BF0717">
        <w:t>two</w:t>
      </w:r>
      <w:r w:rsidRPr="00DF38B2">
        <w:t xml:space="preserve"> additional </w:t>
      </w:r>
      <w:proofErr w:type="gramStart"/>
      <w:r w:rsidRPr="00DF38B2">
        <w:t>cards</w:t>
      </w:r>
      <w:r w:rsidR="00BF0717">
        <w:t>,</w:t>
      </w:r>
      <w:proofErr w:type="gramEnd"/>
      <w:r w:rsidRPr="00DF38B2">
        <w:t xml:space="preserve"> and the Age Pension an additional 0.95 cards. Smaller differences were seen with being on Youth Allowance</w:t>
      </w:r>
      <w:r w:rsidR="00BF0717">
        <w:t>,</w:t>
      </w:r>
      <w:r w:rsidRPr="00DF38B2">
        <w:t xml:space="preserve"> which was associated with 0.3 of a card less, while being on Parenting Payment </w:t>
      </w:r>
      <w:r w:rsidR="00BF0717">
        <w:t>P</w:t>
      </w:r>
      <w:r w:rsidRPr="00DF38B2">
        <w:t xml:space="preserve">artnered with 0.4 </w:t>
      </w:r>
      <w:r w:rsidR="00BF0717">
        <w:t xml:space="preserve">of </w:t>
      </w:r>
      <w:r w:rsidRPr="00DF38B2">
        <w:t xml:space="preserve">a card more. </w:t>
      </w:r>
    </w:p>
    <w:p w:rsidR="006E54E4" w:rsidRPr="00DF38B2" w:rsidRDefault="006E54E4" w:rsidP="006654AE">
      <w:pPr>
        <w:pStyle w:val="dot"/>
      </w:pPr>
      <w:r w:rsidRPr="00DF38B2">
        <w:t>Having received an advance or urgent payment was associated with having more replacement BasicsCards. Because of the characteristics of the distribution of this variable it has entered the model as an Inverse Hyperbolic Sine function</w:t>
      </w:r>
      <w:r w:rsidRPr="00DF38B2">
        <w:rPr>
          <w:rStyle w:val="FootnoteReference"/>
        </w:rPr>
        <w:footnoteReference w:id="109"/>
      </w:r>
      <w:r w:rsidRPr="00DF38B2">
        <w:t xml:space="preserve"> of the number of episodes, but can be interpreted as a doubling in the number of episodes being associated with an additional half a card.</w:t>
      </w:r>
    </w:p>
    <w:p w:rsidR="006E54E4" w:rsidRPr="00DF38B2" w:rsidRDefault="006E54E4" w:rsidP="006654AE">
      <w:pPr>
        <w:pStyle w:val="dot"/>
      </w:pPr>
      <w:r w:rsidRPr="00DF38B2">
        <w:t xml:space="preserve">Whether or not a person identifies as being Indigenous is entered into the model as an interaction effect with the geographic location of the person. In all cases the interaction with being Indigenous was significant, with being Indigenous being associated with having more replacement cards relative to a non-Indigenous person in </w:t>
      </w:r>
      <w:r w:rsidR="00D95B12">
        <w:t>Greater Darwin</w:t>
      </w:r>
      <w:r w:rsidRPr="00DF38B2">
        <w:t xml:space="preserve">. The number of additional cards ranged from 0.8 in East Arnhem to more than two in </w:t>
      </w:r>
      <w:r w:rsidR="00D95B12">
        <w:t>Greater Darwin</w:t>
      </w:r>
      <w:r w:rsidRPr="00DF38B2">
        <w:t xml:space="preserve">, Alice Springs, the Top and West Arnhem and the Mid-West Desert. The only strongly significant regional difference for non-Indigenous people (other than a residual group of </w:t>
      </w:r>
      <w:r w:rsidR="00DC1746">
        <w:t>“</w:t>
      </w:r>
      <w:r w:rsidRPr="00DF38B2">
        <w:t>other locations</w:t>
      </w:r>
      <w:r w:rsidR="00DC1746">
        <w:t>”</w:t>
      </w:r>
      <w:r w:rsidRPr="00DF38B2">
        <w:t>) was in the Top and West Arnhem region – an additional 1.9 cards.</w:t>
      </w:r>
    </w:p>
    <w:p w:rsidR="00417B51" w:rsidRPr="00DF38B2" w:rsidRDefault="00417B51" w:rsidP="006654AE">
      <w:pPr>
        <w:pStyle w:val="dot"/>
      </w:pPr>
      <w:r w:rsidRPr="00DF38B2">
        <w:t>Both time on income management and age enter the regressions as a quadratic</w:t>
      </w:r>
      <w:r w:rsidR="00DC1746">
        <w:t>,</w:t>
      </w:r>
      <w:r w:rsidRPr="00DF38B2">
        <w:t xml:space="preserve"> since the relationship between age and the time people spend on income management, with the number of cards, was not expected to be linear. Essentially the parameters on time suggest that being on income management for just one year was associated with 0.3 of a card less; for two years 0.2 of a replacement card less; three years with 0.3 of a card more; and 4 years 1.3 of a card more, with the number of replacement cards increasing rapidly beyond this point. The age parameter is more complex – being roughly flat at one additional card (relative to the intercept value) for ages between 20 and 45</w:t>
      </w:r>
      <w:r w:rsidR="00DC1746">
        <w:t xml:space="preserve">, </w:t>
      </w:r>
      <w:r w:rsidRPr="00DF38B2">
        <w:t>although peaking at 1.24 cards at age 35, and then declining to almost zero at age 65 and negative 0.3 at age 70. As such, it appears that this factor largely offsets the Age Pension effect seen earlier.</w:t>
      </w:r>
    </w:p>
    <w:p w:rsidR="00417B51" w:rsidRPr="00DF38B2" w:rsidRDefault="00417B51" w:rsidP="006654AE">
      <w:r w:rsidRPr="00DF38B2">
        <w:t>Overall</w:t>
      </w:r>
      <w:r w:rsidR="00DC1746">
        <w:t>,</w:t>
      </w:r>
      <w:r w:rsidRPr="00DF38B2">
        <w:t xml:space="preserve"> these results indicate that, while some of the variation in the number of BasicsCards issue</w:t>
      </w:r>
      <w:r w:rsidR="00DC1746">
        <w:t>d</w:t>
      </w:r>
      <w:r w:rsidRPr="00DF38B2">
        <w:t xml:space="preserve"> can be explained by the characteristics of the population that are available from the administrative data, very few appear to have a very marked effect on the number of replacement cards issued, particular</w:t>
      </w:r>
      <w:r w:rsidR="00167549">
        <w:t>ly</w:t>
      </w:r>
      <w:r w:rsidRPr="00DF38B2">
        <w:t xml:space="preserve"> when the high average number of replacement cards is taken into account. Those characteristics</w:t>
      </w:r>
      <w:r w:rsidR="00167549">
        <w:t xml:space="preserve"> –</w:t>
      </w:r>
      <w:r w:rsidRPr="00DF38B2">
        <w:t xml:space="preserve"> which do have a major impact on making a person more likely to have more replacement cards</w:t>
      </w:r>
      <w:r w:rsidR="00167549">
        <w:t xml:space="preserve"> –</w:t>
      </w:r>
      <w:r w:rsidRPr="00DF38B2">
        <w:t xml:space="preserve"> are being identified as vulnerable, being on Disability Support Pension, and being Indigenous</w:t>
      </w:r>
      <w:r w:rsidR="00167549">
        <w:t xml:space="preserve">, </w:t>
      </w:r>
      <w:r w:rsidRPr="00DF38B2">
        <w:t>although this varies by location. Conversely</w:t>
      </w:r>
      <w:r w:rsidR="00167549">
        <w:t>,</w:t>
      </w:r>
      <w:r w:rsidRPr="00DF38B2">
        <w:t xml:space="preserve"> being in a couple with children reduces the number of replacement cards. </w:t>
      </w:r>
    </w:p>
    <w:p w:rsidR="00417B51" w:rsidRPr="00DF38B2" w:rsidRDefault="00417B51" w:rsidP="006654AE">
      <w:pPr>
        <w:pStyle w:val="Heading4"/>
      </w:pPr>
      <w:r w:rsidRPr="00DF38B2">
        <w:t>Changes in the number of replacement cards over time</w:t>
      </w:r>
    </w:p>
    <w:p w:rsidR="00417B51" w:rsidRPr="00DF38B2" w:rsidRDefault="00417B51" w:rsidP="006654AE">
      <w:r w:rsidRPr="00DF38B2">
        <w:t xml:space="preserve">The regression modelling of change in the number of replacement cards over time, as indicated above, only had very low predictive power. </w:t>
      </w:r>
      <w:r w:rsidR="002E6340">
        <w:t>T</w:t>
      </w:r>
      <w:r w:rsidRPr="00DF38B2">
        <w:t xml:space="preserve">o the extent that it varies by the characteristics of people on income management, </w:t>
      </w:r>
      <w:r w:rsidR="002E6340">
        <w:t xml:space="preserve">this </w:t>
      </w:r>
      <w:r w:rsidR="00C132CB">
        <w:t xml:space="preserve">poor fit </w:t>
      </w:r>
      <w:r w:rsidR="002E6340">
        <w:t>indicates that</w:t>
      </w:r>
      <w:r w:rsidR="002E6340" w:rsidRPr="00DF38B2">
        <w:t xml:space="preserve"> </w:t>
      </w:r>
      <w:r w:rsidR="00C132CB">
        <w:t xml:space="preserve">these are </w:t>
      </w:r>
      <w:r w:rsidRPr="00DF38B2">
        <w:t xml:space="preserve">characteristics which are not available to us in </w:t>
      </w:r>
      <w:r w:rsidR="00060511">
        <w:t>DHS</w:t>
      </w:r>
      <w:r w:rsidRPr="00DF38B2">
        <w:t xml:space="preserve"> data. Looking at the aggregate matched data indicates that the average number of replacement cards for this matched population rose from 5.34 in 2012 to 5.48 in </w:t>
      </w:r>
      <w:proofErr w:type="gramStart"/>
      <w:r w:rsidRPr="00DF38B2">
        <w:t>2013,</w:t>
      </w:r>
      <w:proofErr w:type="gramEnd"/>
      <w:r w:rsidRPr="00DF38B2">
        <w:t xml:space="preserve"> and from 5.25 in 2011 to 5.66 in 2013. (The differences between the </w:t>
      </w:r>
      <w:proofErr w:type="gramStart"/>
      <w:r w:rsidRPr="00DF38B2">
        <w:t>number</w:t>
      </w:r>
      <w:proofErr w:type="gramEnd"/>
      <w:r w:rsidRPr="00DF38B2">
        <w:t xml:space="preserve"> of replacement cards in 2013 are a consequence of the use of a matched sample for each period and hence differences in the 2013 population which can be matched to the earlier period.) </w:t>
      </w:r>
    </w:p>
    <w:p w:rsidR="00417B51" w:rsidRPr="00DF38B2" w:rsidRDefault="00417B51" w:rsidP="006654AE">
      <w:r w:rsidRPr="00DF38B2">
        <w:lastRenderedPageBreak/>
        <w:t>Given the relatively poor fit of these models, the results given in the table will not be considered in detail. In interpreting the parameters it also should be noted that the data has been coded so that the model seeks to predict the fall in the number of replacement cards issued per person over time</w:t>
      </w:r>
      <w:r w:rsidR="002E6340">
        <w:t>;</w:t>
      </w:r>
      <w:r w:rsidRPr="00DF38B2">
        <w:t xml:space="preserve"> hence a positive parameter value indicates a positive outcome</w:t>
      </w:r>
      <w:r w:rsidR="002E6340">
        <w:t>;</w:t>
      </w:r>
      <w:r w:rsidRPr="00DF38B2">
        <w:t xml:space="preserve"> that is</w:t>
      </w:r>
      <w:r w:rsidR="002E6340">
        <w:t>,</w:t>
      </w:r>
      <w:r w:rsidRPr="00DF38B2">
        <w:t xml:space="preserve"> fewer replacement cards being required over time.</w:t>
      </w:r>
    </w:p>
    <w:p w:rsidR="00417B51" w:rsidRPr="00DF38B2" w:rsidRDefault="00417B51" w:rsidP="006654AE">
      <w:pPr>
        <w:pStyle w:val="dot"/>
      </w:pPr>
      <w:r w:rsidRPr="00DF38B2">
        <w:t xml:space="preserve">Gender is not significant over </w:t>
      </w:r>
      <w:proofErr w:type="gramStart"/>
      <w:r w:rsidRPr="00DF38B2">
        <w:t>either time period, nor</w:t>
      </w:r>
      <w:proofErr w:type="gramEnd"/>
      <w:r w:rsidRPr="00DF38B2">
        <w:t xml:space="preserve"> most family characteristics. Those couples with a young child show some deterioration in the short term</w:t>
      </w:r>
      <w:r w:rsidR="002E6340">
        <w:t>,</w:t>
      </w:r>
      <w:r w:rsidRPr="00DF38B2">
        <w:t xml:space="preserve"> but this is weakly significant only, and over the longer term has the opposite sign. The parameter for single parents with a youngest child aged over </w:t>
      </w:r>
      <w:r w:rsidR="002E6340">
        <w:t>five</w:t>
      </w:r>
      <w:r w:rsidRPr="00DF38B2">
        <w:t xml:space="preserve"> years in 2013 are negative over both periods, but only weakly significant in the first.</w:t>
      </w:r>
    </w:p>
    <w:p w:rsidR="005E1FE0" w:rsidRPr="00DF38B2" w:rsidRDefault="005E1FE0" w:rsidP="00644732">
      <w:pPr>
        <w:pStyle w:val="dot"/>
      </w:pPr>
      <w:r w:rsidRPr="00DF38B2">
        <w:t>By income management status the most significant result is the strong and negative change for those on the S</w:t>
      </w:r>
      <w:r w:rsidR="00644732">
        <w:t xml:space="preserve">upporting </w:t>
      </w:r>
      <w:r w:rsidRPr="00DF38B2">
        <w:t>P</w:t>
      </w:r>
      <w:r w:rsidR="00644732">
        <w:t xml:space="preserve">eople at </w:t>
      </w:r>
      <w:r w:rsidRPr="00DF38B2">
        <w:t>R</w:t>
      </w:r>
      <w:r w:rsidR="00644732">
        <w:t>isk</w:t>
      </w:r>
      <w:r w:rsidRPr="00DF38B2">
        <w:t xml:space="preserve"> measure relative to the base case of people on </w:t>
      </w:r>
      <w:r w:rsidR="00644732" w:rsidRPr="00644732">
        <w:t>Long Term Welfare Payment Recipient</w:t>
      </w:r>
      <w:r w:rsidRPr="00DF38B2">
        <w:t xml:space="preserve"> measure. The parameter is weakly significant in the short term and strongly </w:t>
      </w:r>
      <w:r w:rsidR="002E6340" w:rsidRPr="00DF38B2">
        <w:t xml:space="preserve">significant </w:t>
      </w:r>
      <w:r w:rsidRPr="00DF38B2">
        <w:t>in the second</w:t>
      </w:r>
      <w:r w:rsidR="002E6340">
        <w:t>,</w:t>
      </w:r>
      <w:r w:rsidRPr="00DF38B2">
        <w:t xml:space="preserve"> and the effect size is large – an increase of 2.8 replacement cards over the one</w:t>
      </w:r>
      <w:r w:rsidR="002E6340">
        <w:t>-</w:t>
      </w:r>
      <w:r w:rsidRPr="00DF38B2">
        <w:t>year period</w:t>
      </w:r>
      <w:r w:rsidR="002E6340">
        <w:t>,</w:t>
      </w:r>
      <w:r w:rsidRPr="00DF38B2">
        <w:t xml:space="preserve"> and </w:t>
      </w:r>
      <w:r w:rsidR="002E6340">
        <w:t>five</w:t>
      </w:r>
      <w:r w:rsidRPr="00DF38B2">
        <w:t xml:space="preserve"> cards over the two</w:t>
      </w:r>
      <w:r w:rsidR="002E6340">
        <w:t>-</w:t>
      </w:r>
      <w:r w:rsidRPr="00DF38B2">
        <w:t xml:space="preserve">year period. People on the disengaged youth stream also showed a negative movement </w:t>
      </w:r>
      <w:r w:rsidR="002E6340">
        <w:t>that</w:t>
      </w:r>
      <w:r w:rsidRPr="00DF38B2">
        <w:t xml:space="preserve"> was weakly significant in the second period. There were also some changes for those who had moved interstate or had received an exemption. </w:t>
      </w:r>
    </w:p>
    <w:p w:rsidR="005E1FE0" w:rsidRPr="00DF38B2" w:rsidRDefault="005E1FE0" w:rsidP="006654AE">
      <w:pPr>
        <w:pStyle w:val="dot"/>
      </w:pPr>
      <w:r w:rsidRPr="00DF38B2">
        <w:t>There were no significant changes associated with type of income support.</w:t>
      </w:r>
    </w:p>
    <w:p w:rsidR="005E1FE0" w:rsidRPr="00DF38B2" w:rsidRDefault="005E1FE0" w:rsidP="006654AE">
      <w:pPr>
        <w:pStyle w:val="dot"/>
      </w:pPr>
      <w:r w:rsidRPr="00DF38B2">
        <w:t xml:space="preserve">Indigenous identification was significant in the analysis by location – with most </w:t>
      </w:r>
      <w:proofErr w:type="gramStart"/>
      <w:r w:rsidRPr="00DF38B2">
        <w:t>Indigenous</w:t>
      </w:r>
      <w:proofErr w:type="gramEnd"/>
      <w:r w:rsidRPr="00DF38B2">
        <w:t xml:space="preserve"> people, except those in </w:t>
      </w:r>
      <w:r w:rsidR="00D95B12">
        <w:t>Greater Darwin</w:t>
      </w:r>
      <w:r w:rsidRPr="00DF38B2">
        <w:t xml:space="preserve">, reporting an improvement relative to non-Indigenous people in </w:t>
      </w:r>
      <w:r w:rsidR="00D95B12">
        <w:t>Greater Darwin</w:t>
      </w:r>
      <w:r w:rsidRPr="00DF38B2">
        <w:t>. This was more consistent in the shorter time period, and points to a decline between 0.4 and 0.8 of a card per year. By location there was little significant change for non-Indigenous people</w:t>
      </w:r>
      <w:r w:rsidR="00863DBE">
        <w:t>,</w:t>
      </w:r>
      <w:r w:rsidRPr="00DF38B2">
        <w:t xml:space="preserve"> although there was an improvement of one card per year in the short term in East Arnhem, and two cards per year in the longer term in the mid-West Desert region, but with no consistent result in the shorter term.</w:t>
      </w:r>
    </w:p>
    <w:p w:rsidR="005E1FE0" w:rsidRPr="00DF38B2" w:rsidRDefault="005E1FE0" w:rsidP="006654AE">
      <w:pPr>
        <w:pStyle w:val="dot"/>
      </w:pPr>
      <w:r w:rsidRPr="00DF38B2">
        <w:t>Age was significant in both models and pointed to a U</w:t>
      </w:r>
      <w:r w:rsidR="00863DBE">
        <w:t>-</w:t>
      </w:r>
      <w:r w:rsidRPr="00DF38B2">
        <w:t>shaped effect</w:t>
      </w:r>
      <w:r w:rsidR="00863DBE">
        <w:t>,</w:t>
      </w:r>
      <w:r w:rsidRPr="00DF38B2">
        <w:t xml:space="preserve"> which over the shorter term ranged from -0.8 at age 20, </w:t>
      </w:r>
      <w:r w:rsidR="00863DBE">
        <w:t xml:space="preserve">through </w:t>
      </w:r>
      <w:r w:rsidRPr="00DF38B2">
        <w:t>a low of -1.4 at age 55</w:t>
      </w:r>
      <w:r w:rsidR="00863DBE">
        <w:t>,</w:t>
      </w:r>
      <w:r w:rsidRPr="00DF38B2">
        <w:t xml:space="preserve"> before slightly improving to -1.3 at age 65 years.</w:t>
      </w:r>
    </w:p>
    <w:p w:rsidR="005E1FE0" w:rsidRPr="00DF38B2" w:rsidRDefault="005E1FE0" w:rsidP="006654AE">
      <w:r w:rsidRPr="00DF38B2">
        <w:t xml:space="preserve">At most </w:t>
      </w:r>
      <w:r w:rsidR="00115F4A">
        <w:t>these data</w:t>
      </w:r>
      <w:r w:rsidRPr="00DF38B2">
        <w:t xml:space="preserve"> would suggest that there has been a very slight improvement in the number of replacement cards issued to Indigenous people over time, relative to the non-Indigenous population on income management. While there are clear and quite large differences in the number of replacement cards </w:t>
      </w:r>
      <w:r w:rsidR="00863DBE">
        <w:t xml:space="preserve">that </w:t>
      </w:r>
      <w:r w:rsidRPr="00DF38B2">
        <w:t xml:space="preserve">different population </w:t>
      </w:r>
      <w:r w:rsidR="00270A0E">
        <w:t>subgroup</w:t>
      </w:r>
      <w:r w:rsidRPr="00DF38B2">
        <w:t xml:space="preserve">s have sought, there is no clear evidence of any population </w:t>
      </w:r>
      <w:r w:rsidR="00270A0E">
        <w:t>subgroup</w:t>
      </w:r>
      <w:r w:rsidRPr="00DF38B2">
        <w:t xml:space="preserve"> showing marked improvement over time.</w:t>
      </w:r>
    </w:p>
    <w:p w:rsidR="005E1FE0" w:rsidRPr="00DF38B2" w:rsidRDefault="005E1FE0" w:rsidP="006654AE">
      <w:pPr>
        <w:pStyle w:val="Heading3"/>
      </w:pPr>
      <w:bookmarkStart w:id="383" w:name="_Toc403739057"/>
      <w:r w:rsidRPr="00DF38B2">
        <w:t>Failed BasicsCard transactions</w:t>
      </w:r>
      <w:bookmarkEnd w:id="383"/>
    </w:p>
    <w:p w:rsidR="005E1FE0" w:rsidRPr="009655C3" w:rsidRDefault="005E1FE0" w:rsidP="006654AE">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xml:space="preserve"> and </w:t>
      </w:r>
      <w:r w:rsidRPr="00DF38B2">
        <w:fldChar w:fldCharType="begin"/>
      </w:r>
      <w:r w:rsidRPr="00DF38B2">
        <w:instrText xml:space="preserve"> REF _Ref391488696 \h </w:instrText>
      </w:r>
      <w:r w:rsidRPr="00DF38B2">
        <w:fldChar w:fldCharType="separate"/>
      </w:r>
      <w:r w:rsidR="00906D13" w:rsidRPr="00DF38B2">
        <w:t xml:space="preserve">Table </w:t>
      </w:r>
      <w:r w:rsidR="00906D13">
        <w:rPr>
          <w:noProof/>
        </w:rPr>
        <w:t>6</w:t>
      </w:r>
      <w:r w:rsidR="00906D13">
        <w:noBreakHyphen/>
      </w:r>
      <w:r w:rsidR="00906D13">
        <w:rPr>
          <w:noProof/>
        </w:rPr>
        <w:t>9</w:t>
      </w:r>
      <w:r w:rsidRPr="00DF38B2">
        <w:fldChar w:fldCharType="end"/>
      </w:r>
      <w:r w:rsidRPr="00DF38B2">
        <w:t xml:space="preserve"> </w:t>
      </w:r>
      <w:r w:rsidR="009B7F69">
        <w:t>have already presented some information on</w:t>
      </w:r>
      <w:r w:rsidRPr="00DF38B2">
        <w:t xml:space="preserve"> the proportion of BasicsCard transactions </w:t>
      </w:r>
      <w:r w:rsidR="003573ED">
        <w:t>that</w:t>
      </w:r>
      <w:r w:rsidRPr="00DF38B2">
        <w:t xml:space="preserve"> fail because the person had insufficient funds in their account. As has been discussed earlier in this chapter, such failed transaction can be seen as evidence of poor financial management skills, and to the extent income management seeks to stabilise households and </w:t>
      </w:r>
      <w:r w:rsidRPr="00FE502F">
        <w:t>improve the control that people have over their spending, it is to be exp</w:t>
      </w:r>
      <w:r w:rsidRPr="009655C3">
        <w:t xml:space="preserve">ected that the incidence of this type of failure should reduce over time. </w:t>
      </w:r>
    </w:p>
    <w:p w:rsidR="005E1FE0" w:rsidRPr="00DF38B2" w:rsidRDefault="005E1FE0" w:rsidP="006654AE">
      <w:r w:rsidRPr="00DF38B2">
        <w:t>Across the income</w:t>
      </w:r>
      <w:r w:rsidR="00A04470">
        <w:t xml:space="preserve"> </w:t>
      </w:r>
      <w:r w:rsidRPr="00DF38B2">
        <w:t xml:space="preserve">managed population </w:t>
      </w:r>
      <w:r w:rsidR="003573ED">
        <w:t xml:space="preserve">of people </w:t>
      </w:r>
      <w:r w:rsidRPr="00DF38B2">
        <w:t>who used a BasicsCard, in 2013 only 6.</w:t>
      </w:r>
      <w:r w:rsidR="009B7F69">
        <w:t>9</w:t>
      </w:r>
      <w:r w:rsidRPr="00DF38B2">
        <w:t> per cent did not record at least one failed transaction. By gender men had a higher incidence of no failed transactions (</w:t>
      </w:r>
      <w:r w:rsidR="009B7F69">
        <w:t>8.6</w:t>
      </w:r>
      <w:r w:rsidRPr="00DF38B2">
        <w:t xml:space="preserve"> per cent) than women (5.6 per cent). Only 2.5 per cent of those on </w:t>
      </w:r>
      <w:r w:rsidR="001544DF">
        <w:t>Voluntary Income Management</w:t>
      </w:r>
      <w:r w:rsidRPr="00DF38B2">
        <w:t xml:space="preserve"> did not record a failure, along with 4.4 per cent of Indigenous people on compulsory measures. Among non-Indigenous people on compulsory measures</w:t>
      </w:r>
      <w:r w:rsidR="003573ED">
        <w:t>,</w:t>
      </w:r>
      <w:r w:rsidRPr="00DF38B2">
        <w:t xml:space="preserve"> 19.0 per cent reported no failures. </w:t>
      </w:r>
    </w:p>
    <w:p w:rsidR="005E1FE0" w:rsidRPr="00DF38B2" w:rsidRDefault="005E1FE0" w:rsidP="006654AE">
      <w:pPr>
        <w:pStyle w:val="Heading4"/>
      </w:pPr>
      <w:r w:rsidRPr="00DF38B2">
        <w:t>Who experiences failed BasicsCard transactions?</w:t>
      </w:r>
    </w:p>
    <w:p w:rsidR="005E1FE0" w:rsidRPr="00FE502F" w:rsidRDefault="005E1FE0" w:rsidP="006654AE">
      <w:r w:rsidRPr="00DF38B2">
        <w:t xml:space="preserve">There is considerable variation in the incidence of failed transactions on BasicsCard due to insufficient funds </w:t>
      </w:r>
      <w:r w:rsidR="009B7F69">
        <w:t xml:space="preserve">by different personal and program characteristics. </w:t>
      </w:r>
      <w:r w:rsidR="003573ED">
        <w:t>S</w:t>
      </w:r>
      <w:r w:rsidR="009B7F69">
        <w:t xml:space="preserve">ome of these are illustrated </w:t>
      </w:r>
      <w:r w:rsidRPr="00DF38B2">
        <w:t xml:space="preserve">in </w:t>
      </w:r>
      <w:r w:rsidRPr="00DF38B2">
        <w:fldChar w:fldCharType="begin"/>
      </w:r>
      <w:r w:rsidRPr="00DF38B2">
        <w:instrText xml:space="preserve"> REF _Ref391571536 \h </w:instrText>
      </w:r>
      <w:r w:rsidRPr="00DF38B2">
        <w:fldChar w:fldCharType="separate"/>
      </w:r>
      <w:r w:rsidR="00906D13" w:rsidRPr="00DF38B2">
        <w:t xml:space="preserve">Table </w:t>
      </w:r>
      <w:r w:rsidR="00906D13">
        <w:rPr>
          <w:noProof/>
        </w:rPr>
        <w:t>6</w:t>
      </w:r>
      <w:r w:rsidR="00906D13">
        <w:noBreakHyphen/>
      </w:r>
      <w:r w:rsidR="00906D13">
        <w:rPr>
          <w:noProof/>
        </w:rPr>
        <w:t>17</w:t>
      </w:r>
      <w:r w:rsidRPr="00DF38B2">
        <w:fldChar w:fldCharType="end"/>
      </w:r>
      <w:r w:rsidRPr="00DF38B2">
        <w:t xml:space="preserve">. The overall rate </w:t>
      </w:r>
      <w:r w:rsidR="009B7F69">
        <w:t xml:space="preserve">of failed transactions by </w:t>
      </w:r>
      <w:r w:rsidRPr="00DF38B2">
        <w:t xml:space="preserve">Indigenous people on income management in the Northern Territory of 10.4 per cent is well above that of the non-Indigenous population of 5.7 per cent, although </w:t>
      </w:r>
      <w:r w:rsidRPr="00FE502F">
        <w:t>this differential varies considerably at the more detailed level.</w:t>
      </w:r>
    </w:p>
    <w:p w:rsidR="005E1FE0" w:rsidRPr="00DF38B2" w:rsidRDefault="005E1FE0" w:rsidP="006654AE">
      <w:r w:rsidRPr="009655C3">
        <w:lastRenderedPageBreak/>
        <w:t xml:space="preserve">Across age groups, at the aggregate level there is a marked trend to increasing levels of failed transactions for older age groups. This ranges from 8.0 per cent for those aged </w:t>
      </w:r>
      <w:r w:rsidR="009C7410">
        <w:t>less than</w:t>
      </w:r>
      <w:r w:rsidRPr="009655C3">
        <w:t xml:space="preserve"> 20 years to 13.1 per cent for those aged 65 years and over. Although this patte</w:t>
      </w:r>
      <w:r w:rsidRPr="00DF38B2">
        <w:t xml:space="preserve">rn holds for Indigenous people, it does not for the non-Indigenous population on the program. For this group the rate for those </w:t>
      </w:r>
      <w:r w:rsidR="009C7410">
        <w:t>less than</w:t>
      </w:r>
      <w:r w:rsidRPr="00DF38B2">
        <w:t xml:space="preserve"> 20 years of age is 7.1 per cent</w:t>
      </w:r>
      <w:r w:rsidR="009C7410">
        <w:t>;</w:t>
      </w:r>
      <w:r w:rsidRPr="00DF38B2">
        <w:t xml:space="preserve"> it then falls across ages to a low in the 45 to 64</w:t>
      </w:r>
      <w:r w:rsidR="003317C9">
        <w:t xml:space="preserve"> </w:t>
      </w:r>
      <w:r w:rsidR="009C7410">
        <w:t>year</w:t>
      </w:r>
      <w:r w:rsidRPr="00DF38B2">
        <w:t xml:space="preserve"> age group</w:t>
      </w:r>
      <w:r w:rsidR="009C7410">
        <w:t>,</w:t>
      </w:r>
      <w:r w:rsidRPr="00DF38B2">
        <w:t xml:space="preserve"> and then rises slightly. As a consequence, while the Indigenous rate for the 45</w:t>
      </w:r>
      <w:r w:rsidR="003317C9">
        <w:t xml:space="preserve"> to </w:t>
      </w:r>
      <w:r w:rsidRPr="00DF38B2">
        <w:t>64</w:t>
      </w:r>
      <w:r w:rsidR="003317C9">
        <w:t xml:space="preserve"> </w:t>
      </w:r>
      <w:r w:rsidRPr="00DF38B2">
        <w:t xml:space="preserve">year age group is two </w:t>
      </w:r>
      <w:r w:rsidR="00D3490D">
        <w:t>and-a-half</w:t>
      </w:r>
      <w:r w:rsidRPr="00DF38B2">
        <w:t xml:space="preserve"> times that of the non-Indigenous population</w:t>
      </w:r>
      <w:r w:rsidR="009B7F69">
        <w:t xml:space="preserve"> of the same age</w:t>
      </w:r>
      <w:r w:rsidRPr="00DF38B2">
        <w:t xml:space="preserve">, for the under 20 age group it is just one percentage point higher. By family type the rate is highest across the population as a whole for those who are members of a couple without dependent </w:t>
      </w:r>
      <w:proofErr w:type="gramStart"/>
      <w:r w:rsidRPr="00DF38B2">
        <w:t>children</w:t>
      </w:r>
      <w:r w:rsidR="009C7410">
        <w:t>,</w:t>
      </w:r>
      <w:proofErr w:type="gramEnd"/>
      <w:r w:rsidRPr="00DF38B2">
        <w:t xml:space="preserve"> and lowest for sole parents with a child above the age of five. The biggest difference by Indigenous stat</w:t>
      </w:r>
      <w:r w:rsidR="009C7410">
        <w:t>u</w:t>
      </w:r>
      <w:r w:rsidRPr="00DF38B2">
        <w:t>s</w:t>
      </w:r>
      <w:r w:rsidR="009C7410">
        <w:t xml:space="preserve"> </w:t>
      </w:r>
      <w:r w:rsidR="009B7F69">
        <w:t>for these family types</w:t>
      </w:r>
      <w:r w:rsidRPr="00DF38B2">
        <w:t xml:space="preserve"> is among couples with children above the age of five only. For non-Indigenous </w:t>
      </w:r>
      <w:r w:rsidR="009B7F69">
        <w:t xml:space="preserve">people of this family type </w:t>
      </w:r>
      <w:r w:rsidRPr="00DF38B2">
        <w:t xml:space="preserve">on income management the rate </w:t>
      </w:r>
      <w:r w:rsidR="006F1365">
        <w:t xml:space="preserve">of failed transactions </w:t>
      </w:r>
      <w:r w:rsidRPr="00DF38B2">
        <w:t>is 5.2 per cent, while for those identifying as Indigenous it is over double this at 11.8 per cent.</w:t>
      </w:r>
    </w:p>
    <w:p w:rsidR="005E1FE0" w:rsidRPr="00DF38B2" w:rsidRDefault="005E1FE0" w:rsidP="006654AE">
      <w:pPr>
        <w:pStyle w:val="Caption"/>
      </w:pPr>
      <w:bookmarkStart w:id="384" w:name="_Ref391571536"/>
      <w:bookmarkStart w:id="385" w:name="_Toc403739456"/>
      <w:r w:rsidRPr="00DF38B2">
        <w:t xml:space="preserve">Table </w:t>
      </w:r>
      <w:fldSimple w:instr=" STYLEREF 1 \s ">
        <w:r w:rsidR="00906D13">
          <w:rPr>
            <w:noProof/>
          </w:rPr>
          <w:t>6</w:t>
        </w:r>
      </w:fldSimple>
      <w:r w:rsidR="00D40B64">
        <w:noBreakHyphen/>
      </w:r>
      <w:fldSimple w:instr=" SEQ Table \* ARABIC \s 1 ">
        <w:r w:rsidR="00906D13">
          <w:rPr>
            <w:noProof/>
          </w:rPr>
          <w:t>17</w:t>
        </w:r>
      </w:fldSimple>
      <w:bookmarkEnd w:id="384"/>
      <w:r w:rsidRPr="00DF38B2">
        <w:tab/>
        <w:t xml:space="preserve">Proportion of transactions which fail due to insufficient funds, </w:t>
      </w:r>
      <w:r w:rsidR="006F51EF">
        <w:t xml:space="preserve">NIM, </w:t>
      </w:r>
      <w:r w:rsidRPr="00DF38B2">
        <w:t>2013</w:t>
      </w:r>
      <w:bookmarkEnd w:id="385"/>
    </w:p>
    <w:tbl>
      <w:tblPr>
        <w:tblW w:w="8550" w:type="dxa"/>
        <w:jc w:val="center"/>
        <w:tblLook w:val="04A0" w:firstRow="1" w:lastRow="0" w:firstColumn="1" w:lastColumn="0" w:noHBand="0" w:noVBand="1"/>
        <w:tblDescription w:val="This table shows the incidence of failed BasicsCard transactions (that is the percentage of transactions that failed due to insufficient funds) by a range of characteristics of the income managed population.  The table consists five horizontal panels which present data by gender, by age group (6 categories); family type (6 Categories); 11 streams of income management; and 8 different income support payment classifications.  Columns provide data for the non-Indigenous and Indigenous populations individually and then combined.&#10;Some of the key statistics from the table are discussed in the text&#10;"/>
      </w:tblPr>
      <w:tblGrid>
        <w:gridCol w:w="1914"/>
        <w:gridCol w:w="3634"/>
        <w:gridCol w:w="1021"/>
        <w:gridCol w:w="1021"/>
        <w:gridCol w:w="960"/>
      </w:tblGrid>
      <w:tr w:rsidR="000B1518" w:rsidRPr="00DF38B2" w:rsidTr="000B1518">
        <w:trPr>
          <w:trHeight w:val="20"/>
          <w:tblHeader/>
          <w:jc w:val="center"/>
        </w:trPr>
        <w:tc>
          <w:tcPr>
            <w:tcW w:w="1914" w:type="dxa"/>
            <w:tcBorders>
              <w:top w:val="single" w:sz="4" w:space="0" w:color="auto"/>
              <w:left w:val="nil"/>
              <w:bottom w:val="single" w:sz="4" w:space="0" w:color="auto"/>
              <w:right w:val="nil"/>
            </w:tcBorders>
          </w:tcPr>
          <w:p w:rsidR="000B1518" w:rsidRPr="00DF38B2" w:rsidRDefault="000B1518" w:rsidP="006654AE">
            <w:pPr>
              <w:pStyle w:val="tabletextleft"/>
              <w:rPr>
                <w:rFonts w:eastAsia="Times New Roman"/>
              </w:rPr>
            </w:pPr>
          </w:p>
        </w:tc>
        <w:tc>
          <w:tcPr>
            <w:tcW w:w="3634"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rPr>
                <w:rFonts w:eastAsia="Times New Roman"/>
              </w:rPr>
            </w:pPr>
          </w:p>
        </w:tc>
        <w:tc>
          <w:tcPr>
            <w:tcW w:w="1021"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Non-Indigenous</w:t>
            </w:r>
          </w:p>
        </w:tc>
        <w:tc>
          <w:tcPr>
            <w:tcW w:w="1021"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Indigenous</w:t>
            </w:r>
          </w:p>
        </w:tc>
        <w:tc>
          <w:tcPr>
            <w:tcW w:w="960"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Total</w:t>
            </w:r>
          </w:p>
        </w:tc>
      </w:tr>
      <w:tr w:rsidR="000B1518" w:rsidRPr="00DF38B2" w:rsidTr="000B1518">
        <w:trPr>
          <w:trHeight w:val="20"/>
          <w:jc w:val="center"/>
        </w:trPr>
        <w:tc>
          <w:tcPr>
            <w:tcW w:w="1914" w:type="dxa"/>
            <w:tcBorders>
              <w:top w:val="nil"/>
              <w:left w:val="nil"/>
              <w:bottom w:val="nil"/>
              <w:right w:val="nil"/>
            </w:tcBorders>
          </w:tcPr>
          <w:p w:rsidR="000B1518" w:rsidRPr="00DF38B2" w:rsidRDefault="000B1518" w:rsidP="006654AE">
            <w:pPr>
              <w:pStyle w:val="tabletextleft"/>
            </w:pPr>
            <w:r>
              <w:t>Gender (%)</w:t>
            </w:r>
          </w:p>
        </w:tc>
        <w:tc>
          <w:tcPr>
            <w:tcW w:w="3634" w:type="dxa"/>
            <w:tcBorders>
              <w:top w:val="nil"/>
              <w:left w:val="nil"/>
              <w:bottom w:val="nil"/>
              <w:right w:val="nil"/>
            </w:tcBorders>
            <w:shd w:val="clear" w:color="auto" w:fill="auto"/>
            <w:noWrap/>
            <w:vAlign w:val="bottom"/>
          </w:tcPr>
          <w:p w:rsidR="000B1518" w:rsidRPr="00DF38B2" w:rsidRDefault="000B1518" w:rsidP="006654AE">
            <w:pPr>
              <w:pStyle w:val="tabletextleft"/>
            </w:pPr>
            <w:r w:rsidRPr="00DF38B2">
              <w:t>Female</w:t>
            </w:r>
          </w:p>
        </w:tc>
        <w:tc>
          <w:tcPr>
            <w:tcW w:w="1021"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5.6</w:t>
            </w:r>
          </w:p>
        </w:tc>
        <w:tc>
          <w:tcPr>
            <w:tcW w:w="1021"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9.6</w:t>
            </w:r>
          </w:p>
        </w:tc>
        <w:tc>
          <w:tcPr>
            <w:tcW w:w="960"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9.4</w:t>
            </w:r>
          </w:p>
        </w:tc>
      </w:tr>
      <w:tr w:rsidR="000B1518" w:rsidRPr="00DF38B2" w:rsidTr="000B1518">
        <w:trPr>
          <w:trHeight w:val="20"/>
          <w:jc w:val="center"/>
        </w:trPr>
        <w:tc>
          <w:tcPr>
            <w:tcW w:w="1914" w:type="dxa"/>
            <w:tcBorders>
              <w:top w:val="nil"/>
              <w:left w:val="nil"/>
              <w:bottom w:val="single" w:sz="4" w:space="0" w:color="auto"/>
              <w:right w:val="nil"/>
            </w:tcBorders>
          </w:tcPr>
          <w:p w:rsidR="000B1518" w:rsidRPr="00DF38B2" w:rsidRDefault="000B1518" w:rsidP="006654AE">
            <w:pPr>
              <w:pStyle w:val="tabletextleft"/>
            </w:pPr>
          </w:p>
        </w:tc>
        <w:tc>
          <w:tcPr>
            <w:tcW w:w="3634"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left"/>
            </w:pPr>
            <w:r w:rsidRPr="00DF38B2">
              <w:t>Male</w:t>
            </w:r>
          </w:p>
        </w:tc>
        <w:tc>
          <w:tcPr>
            <w:tcW w:w="1021"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5.9</w:t>
            </w:r>
          </w:p>
        </w:tc>
        <w:tc>
          <w:tcPr>
            <w:tcW w:w="1021"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12.0</w:t>
            </w:r>
          </w:p>
        </w:tc>
        <w:tc>
          <w:tcPr>
            <w:tcW w:w="960"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11.3</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Age group (years) (%)</w:t>
            </w: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Under 20 years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20</w:t>
            </w:r>
            <w:r>
              <w:rPr>
                <w:rFonts w:eastAsia="Times New Roman"/>
              </w:rPr>
              <w:t>–</w:t>
            </w:r>
            <w:r w:rsidRPr="00DF38B2">
              <w:rPr>
                <w:rFonts w:eastAsia="Times New Roman"/>
              </w:rPr>
              <w:t>24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8.5</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8.2</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25</w:t>
            </w:r>
            <w:r>
              <w:rPr>
                <w:rFonts w:eastAsia="Times New Roman"/>
              </w:rPr>
              <w:t>–</w:t>
            </w:r>
            <w:r w:rsidRPr="00DF38B2">
              <w:rPr>
                <w:rFonts w:eastAsia="Times New Roman"/>
              </w:rPr>
              <w:t>34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35</w:t>
            </w:r>
            <w:r>
              <w:rPr>
                <w:rFonts w:eastAsia="Times New Roman"/>
              </w:rPr>
              <w:t>–</w:t>
            </w: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10.5</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45</w:t>
            </w:r>
            <w:r>
              <w:rPr>
                <w:rFonts w:eastAsia="Times New Roman"/>
              </w:rPr>
              <w:t>–</w:t>
            </w:r>
            <w:r w:rsidRPr="00DF38B2">
              <w:rPr>
                <w:rFonts w:eastAsia="Times New Roman"/>
              </w:rPr>
              <w:t>64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12.2</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65 years and over+</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13.1</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Family type (%)</w:t>
            </w: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Couple youngest child under 5yrs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8.9</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Couple youngest dependent 5yrs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Couple only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Sole parent youngest child under 5yrs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parent youngest dependent 5yrs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person</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6.2</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11.7</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10.9</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0B1518">
            <w:pPr>
              <w:pStyle w:val="tabletextleft"/>
              <w:rPr>
                <w:rFonts w:eastAsia="Times New Roman"/>
              </w:rPr>
            </w:pPr>
            <w:r>
              <w:rPr>
                <w:rFonts w:eastAsia="Times New Roman"/>
              </w:rPr>
              <w:t>IM stream (%)</w:t>
            </w: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Disengaged Youth</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8.3</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Long-Term Welfare Payment Recipient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9.3</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Child Protection</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8.7</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Vulnerable </w:t>
            </w:r>
            <w:r>
              <w:rPr>
                <w:rFonts w:eastAsia="Times New Roman"/>
              </w:rPr>
              <w:t>–</w:t>
            </w:r>
            <w:r w:rsidRPr="00DF38B2">
              <w:rPr>
                <w:rFonts w:eastAsia="Times New Roman"/>
              </w:rPr>
              <w:t xml:space="preserve"> Assessed</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19.0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18.8</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Vulnerable </w:t>
            </w:r>
            <w:r>
              <w:rPr>
                <w:rFonts w:eastAsia="Times New Roman"/>
              </w:rPr>
              <w:t xml:space="preserve">– </w:t>
            </w:r>
            <w:r w:rsidRPr="00DF38B2">
              <w:rPr>
                <w:rFonts w:eastAsia="Times New Roman"/>
              </w:rPr>
              <w:t>Crisis Payment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Vulnerable – Un</w:t>
            </w:r>
            <w:r>
              <w:rPr>
                <w:rFonts w:eastAsia="Times New Roman"/>
              </w:rPr>
              <w:t>reason</w:t>
            </w:r>
            <w:r w:rsidRPr="00DF38B2">
              <w:rPr>
                <w:rFonts w:eastAsia="Times New Roman"/>
              </w:rPr>
              <w:t>able to Live at Home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Vulnerable – Special Benefit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3.7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2.0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SPAR</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Nominee IM</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7.3</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10.5</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Voluntary Income Management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7.9</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Exempt on VIM</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4.5</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8.2</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7.3</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IS payment (%</w:t>
            </w:r>
            <w:proofErr w:type="gramStart"/>
            <w:r>
              <w:rPr>
                <w:rFonts w:eastAsia="Times New Roman"/>
              </w:rPr>
              <w:t>)</w:t>
            </w:r>
            <w:proofErr w:type="gramEnd"/>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Newstart Allowance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Youth Allowance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9.3</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Parenting Payment Partnered</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8.5</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8.4</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Parenting Payment Single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Carer Payment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Disability Support Pension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13.9</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Age Pension</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r>
      <w:tr w:rsidR="00EB5275" w:rsidRPr="00DF38B2" w:rsidTr="00EB5275">
        <w:trPr>
          <w:trHeight w:val="20"/>
          <w:jc w:val="center"/>
        </w:trPr>
        <w:tc>
          <w:tcPr>
            <w:tcW w:w="1914" w:type="dxa"/>
            <w:vMerge/>
            <w:tcBorders>
              <w:left w:val="nil"/>
              <w:bottom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Other</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12.6</w:t>
            </w:r>
          </w:p>
        </w:tc>
      </w:tr>
      <w:tr w:rsidR="000B1518" w:rsidRPr="00DF38B2" w:rsidTr="000B1518">
        <w:trPr>
          <w:trHeight w:val="20"/>
          <w:jc w:val="center"/>
        </w:trPr>
        <w:tc>
          <w:tcPr>
            <w:tcW w:w="1914" w:type="dxa"/>
            <w:tcBorders>
              <w:top w:val="single" w:sz="4" w:space="0" w:color="auto"/>
              <w:left w:val="nil"/>
              <w:bottom w:val="single" w:sz="4" w:space="0" w:color="auto"/>
              <w:right w:val="nil"/>
            </w:tcBorders>
          </w:tcPr>
          <w:p w:rsidR="000B1518" w:rsidRPr="00DF38B2" w:rsidRDefault="000B1518" w:rsidP="006654AE">
            <w:pPr>
              <w:pStyle w:val="tabletextleft"/>
              <w:rPr>
                <w:rFonts w:eastAsia="Times New Roman"/>
              </w:rPr>
            </w:pPr>
            <w:r>
              <w:rPr>
                <w:rFonts w:eastAsia="Times New Roman"/>
              </w:rPr>
              <w:t>Total</w:t>
            </w:r>
          </w:p>
        </w:tc>
        <w:tc>
          <w:tcPr>
            <w:tcW w:w="3634"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rPr>
                <w:rFonts w:eastAsia="Times New Roman"/>
              </w:rPr>
            </w:pPr>
          </w:p>
        </w:tc>
        <w:tc>
          <w:tcPr>
            <w:tcW w:w="1021"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5.7</w:t>
            </w:r>
          </w:p>
        </w:tc>
        <w:tc>
          <w:tcPr>
            <w:tcW w:w="1021"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10.4</w:t>
            </w:r>
          </w:p>
        </w:tc>
        <w:tc>
          <w:tcPr>
            <w:tcW w:w="960"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10.0</w:t>
            </w:r>
          </w:p>
        </w:tc>
      </w:tr>
    </w:tbl>
    <w:p w:rsidR="000F06BF" w:rsidRDefault="000F06BF" w:rsidP="006654AE">
      <w:pPr>
        <w:pStyle w:val="tablenotes"/>
        <w:keepNext w:val="0"/>
      </w:pP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r w:rsidR="000B1518">
        <w:t xml:space="preserve"> IM – income management, IS – income support.</w:t>
      </w:r>
    </w:p>
    <w:p w:rsidR="003928BD" w:rsidRPr="00DF38B2" w:rsidRDefault="003928BD" w:rsidP="006654AE">
      <w:pPr>
        <w:pStyle w:val="tablefootnoteslastline"/>
      </w:pPr>
    </w:p>
    <w:p w:rsidR="005E1FE0" w:rsidRPr="00DF38B2" w:rsidRDefault="005E1FE0" w:rsidP="006654AE">
      <w:r w:rsidRPr="00DF38B2">
        <w:t xml:space="preserve">By income management stream there are some very </w:t>
      </w:r>
      <w:r w:rsidR="009C7410">
        <w:t>apparent</w:t>
      </w:r>
      <w:r w:rsidRPr="00DF38B2">
        <w:t xml:space="preserve"> differences. The highest level of failed transactions, with 18.8 per cent of their transactions failing due to insufficient funds, is among those who have been assessed as being vulnerable. In contrast</w:t>
      </w:r>
      <w:r w:rsidR="009C7410">
        <w:t>,</w:t>
      </w:r>
      <w:r w:rsidRPr="00DF38B2">
        <w:t xml:space="preserve"> the rate for those on the automatic vulnerable measures is much lower. For those on special benefit it is 2.0 per cent, and for those who have been classified as being un</w:t>
      </w:r>
      <w:r w:rsidR="00EF3E03">
        <w:t>reason</w:t>
      </w:r>
      <w:r w:rsidRPr="00DF38B2">
        <w:t>able to live at home it is 6.6 per cent. For those who have been placed on income management because they have received a crisis payment on release from prison the rate is 8.6 per cent, with this being the one category where the rate for Indigenous people is below that of others.</w:t>
      </w:r>
    </w:p>
    <w:p w:rsidR="005E1FE0" w:rsidRPr="00DF38B2" w:rsidRDefault="005E1FE0" w:rsidP="006654AE">
      <w:r w:rsidRPr="00DF38B2">
        <w:lastRenderedPageBreak/>
        <w:t>The experience of failed transactions is substantially higher for people on Voluntary Income Management</w:t>
      </w:r>
      <w:r w:rsidR="009C7410">
        <w:t>,</w:t>
      </w:r>
      <w:r w:rsidRPr="00DF38B2">
        <w:t xml:space="preserve"> with 13.2 per cent of attempted transactions being unable to be made because of insufficient funds in people’s BasicsCard accounts. This is well above the rate for those on the compulsory measures. </w:t>
      </w:r>
    </w:p>
    <w:p w:rsidR="005E1FE0" w:rsidRPr="00DF38B2" w:rsidRDefault="005E1FE0" w:rsidP="006654AE">
      <w:r w:rsidRPr="00DF38B2">
        <w:t xml:space="preserve">By type of income support </w:t>
      </w:r>
      <w:r w:rsidR="006F1365">
        <w:t xml:space="preserve">payment </w:t>
      </w:r>
      <w:r w:rsidRPr="00DF38B2">
        <w:t xml:space="preserve">the lowest rates of these failed transactions are recorded by those on Parenting Payment Single (6.7 per cent), and the highest by those on Disability Support Pensions (13.9 per cent). It is also somewhat elevated at 13.2 per cent for Age pensioners. </w:t>
      </w:r>
    </w:p>
    <w:p w:rsidR="005E1FE0" w:rsidRPr="00DF38B2" w:rsidRDefault="005E1FE0" w:rsidP="006654AE">
      <w:pPr>
        <w:pStyle w:val="Heading4"/>
      </w:pPr>
      <w:r w:rsidRPr="00DF38B2">
        <w:t>What happens when a transaction fails?</w:t>
      </w:r>
    </w:p>
    <w:p w:rsidR="005E1FE0" w:rsidRPr="00DF38B2" w:rsidRDefault="005E1FE0" w:rsidP="006654AE">
      <w:r w:rsidRPr="00DF38B2">
        <w:t>A failed transaction because of insufficient funds can be responded to in several ways. In some cases a person may be able to complete their purchase by using cash or a personal credit or debit card. We have no information on the extent to which this occurs.</w:t>
      </w:r>
    </w:p>
    <w:p w:rsidR="005E1FE0" w:rsidRPr="00DF38B2" w:rsidRDefault="005E1FE0" w:rsidP="006654AE">
      <w:r w:rsidRPr="00DF38B2">
        <w:t>Alternatively</w:t>
      </w:r>
      <w:r w:rsidR="009C7410">
        <w:t>,</w:t>
      </w:r>
      <w:r w:rsidRPr="00DF38B2">
        <w:t xml:space="preserve"> they can either give up on the transaction (</w:t>
      </w:r>
      <w:r w:rsidR="009C7410">
        <w:t>that is,</w:t>
      </w:r>
      <w:r w:rsidRPr="00DF38B2">
        <w:t xml:space="preserve"> </w:t>
      </w:r>
      <w:r w:rsidR="009C7410">
        <w:t>abandon</w:t>
      </w:r>
      <w:r w:rsidRPr="00DF38B2">
        <w:t xml:space="preserve"> it as failed) and attempt to make their purchases at a later point when they have funds, or they can reduce the number of items they are trying to purchase in order to </w:t>
      </w:r>
      <w:r w:rsidR="009C7410">
        <w:t>lower</w:t>
      </w:r>
      <w:r w:rsidRPr="00DF38B2">
        <w:t xml:space="preserve"> the cost to a level </w:t>
      </w:r>
      <w:r w:rsidR="009C7410">
        <w:t>that</w:t>
      </w:r>
      <w:r w:rsidRPr="00DF38B2">
        <w:t xml:space="preserve"> can be met from their available funds</w:t>
      </w:r>
      <w:r w:rsidR="00730C83" w:rsidRPr="00DF38B2">
        <w:t xml:space="preserve"> – a ‘put back’ transaction</w:t>
      </w:r>
      <w:r w:rsidRPr="00DF38B2">
        <w:t>.</w:t>
      </w:r>
    </w:p>
    <w:p w:rsidR="005E1FE0" w:rsidRPr="00DF38B2" w:rsidRDefault="005E1FE0" w:rsidP="006654AE">
      <w:r w:rsidRPr="00DF38B2">
        <w:t xml:space="preserve">In 2013 there were 287,632 cases where a person had a failed transaction because of a lack of funds in their account followed by a successful transaction. In 39.9 per cent of cases the gap between these transactions was more than </w:t>
      </w:r>
      <w:r w:rsidR="009C7410">
        <w:t>ten</w:t>
      </w:r>
      <w:r w:rsidRPr="00DF38B2">
        <w:t xml:space="preserve"> hours</w:t>
      </w:r>
      <w:r w:rsidR="009C7410">
        <w:t>,</w:t>
      </w:r>
      <w:r w:rsidRPr="00DF38B2">
        <w:t xml:space="preserve"> and in 7.6 per cent of cases it was between one and </w:t>
      </w:r>
      <w:r w:rsidR="009C7410">
        <w:t>ten</w:t>
      </w:r>
      <w:r w:rsidRPr="00DF38B2">
        <w:t xml:space="preserve"> hours</w:t>
      </w:r>
      <w:r w:rsidR="009C7410">
        <w:t>, while</w:t>
      </w:r>
      <w:r w:rsidRPr="00DF38B2">
        <w:t xml:space="preserve"> in 4.3 per cent it was between 15 minutes and an hour. </w:t>
      </w:r>
      <w:r w:rsidR="009C7410">
        <w:t>Five</w:t>
      </w:r>
      <w:r w:rsidRPr="00DF38B2">
        <w:t xml:space="preserve"> per cent involved a gap of </w:t>
      </w:r>
      <w:r w:rsidR="009C7410">
        <w:t>five</w:t>
      </w:r>
      <w:r w:rsidR="00730C83" w:rsidRPr="00DF38B2">
        <w:t xml:space="preserve"> to </w:t>
      </w:r>
      <w:r w:rsidRPr="00DF38B2">
        <w:t>15 minutes and 44.1 per cent involved gaps of less than five minutes. It is this latter group which is being considered here</w:t>
      </w:r>
      <w:r w:rsidR="009C7410">
        <w:t>,</w:t>
      </w:r>
      <w:r w:rsidRPr="00DF38B2">
        <w:t xml:space="preserve"> as </w:t>
      </w:r>
      <w:r w:rsidR="009C7410">
        <w:t>people in this group</w:t>
      </w:r>
      <w:r w:rsidRPr="00DF38B2">
        <w:t xml:space="preserve"> </w:t>
      </w:r>
      <w:r w:rsidR="006F1365">
        <w:t>usually</w:t>
      </w:r>
      <w:r w:rsidR="00B84AFE">
        <w:t xml:space="preserve"> </w:t>
      </w:r>
      <w:r w:rsidR="009C7410">
        <w:t>undertake</w:t>
      </w:r>
      <w:r w:rsidRPr="00DF38B2">
        <w:t xml:space="preserve"> a follow</w:t>
      </w:r>
      <w:r w:rsidR="009C7410">
        <w:t>-</w:t>
      </w:r>
      <w:r w:rsidRPr="00DF38B2">
        <w:t>on attempt at a transaction at the same store, usually with a reduced basket of goods.</w:t>
      </w:r>
    </w:p>
    <w:p w:rsidR="005E1FE0" w:rsidRPr="00DF38B2" w:rsidRDefault="005E1FE0" w:rsidP="006654AE">
      <w:r w:rsidRPr="00DF38B2">
        <w:t xml:space="preserve">The data suggests this second process is very frequent. Data on the phenomenon </w:t>
      </w:r>
      <w:r w:rsidR="00BC1EFF">
        <w:t>are</w:t>
      </w:r>
      <w:r w:rsidRPr="00DF38B2">
        <w:t xml:space="preserve"> in </w:t>
      </w:r>
      <w:r w:rsidRPr="00DF38B2">
        <w:fldChar w:fldCharType="begin"/>
      </w:r>
      <w:r w:rsidRPr="00DF38B2">
        <w:instrText xml:space="preserve"> REF _Ref391575465 \h </w:instrText>
      </w:r>
      <w:r w:rsidRPr="00DF38B2">
        <w:fldChar w:fldCharType="separate"/>
      </w:r>
      <w:r w:rsidR="00906D13" w:rsidRPr="00DF38B2">
        <w:t xml:space="preserve">Table </w:t>
      </w:r>
      <w:r w:rsidR="00906D13">
        <w:rPr>
          <w:noProof/>
        </w:rPr>
        <w:t>6</w:t>
      </w:r>
      <w:r w:rsidR="00906D13">
        <w:noBreakHyphen/>
      </w:r>
      <w:r w:rsidR="00906D13">
        <w:rPr>
          <w:noProof/>
        </w:rPr>
        <w:t>18</w:t>
      </w:r>
      <w:r w:rsidRPr="00DF38B2">
        <w:fldChar w:fldCharType="end"/>
      </w:r>
      <w:r w:rsidRPr="00DF38B2">
        <w:t xml:space="preserve"> and </w:t>
      </w:r>
      <w:r w:rsidRPr="00DF38B2">
        <w:fldChar w:fldCharType="begin"/>
      </w:r>
      <w:r w:rsidRPr="00DF38B2">
        <w:instrText xml:space="preserve"> REF _Ref391575473 \h </w:instrText>
      </w:r>
      <w:r w:rsidRPr="00DF38B2">
        <w:fldChar w:fldCharType="separate"/>
      </w:r>
      <w:r w:rsidR="00906D13" w:rsidRPr="009655C3">
        <w:t xml:space="preserve">Table </w:t>
      </w:r>
      <w:r w:rsidR="00906D13">
        <w:rPr>
          <w:noProof/>
        </w:rPr>
        <w:t>6</w:t>
      </w:r>
      <w:r w:rsidR="00906D13">
        <w:noBreakHyphen/>
      </w:r>
      <w:r w:rsidR="00906D13">
        <w:rPr>
          <w:noProof/>
        </w:rPr>
        <w:t>19</w:t>
      </w:r>
      <w:r w:rsidRPr="00DF38B2">
        <w:fldChar w:fldCharType="end"/>
      </w:r>
      <w:r w:rsidRPr="00DF38B2">
        <w:t xml:space="preserve">. The first table </w:t>
      </w:r>
      <w:r w:rsidR="00BC1EFF">
        <w:t>indicates frequency of occurrence</w:t>
      </w:r>
      <w:r w:rsidR="00B52C92">
        <w:t xml:space="preserve"> of these ‘put back’ or reduced item purchases</w:t>
      </w:r>
      <w:r w:rsidRPr="00DF38B2">
        <w:t>, while the second looks at some of the operational aspects of it. The first very clear difference in the table is the level of incidence. While 42.7 per cent of the non-Indigenous population subject to compulsory income manag</w:t>
      </w:r>
      <w:r w:rsidRPr="00FE502F">
        <w:t>ement do not have at least one episode of this type of transaction, the</w:t>
      </w:r>
      <w:r w:rsidRPr="009655C3">
        <w:t xml:space="preserve"> </w:t>
      </w:r>
      <w:r w:rsidR="006F1365">
        <w:t>equivalent proportion</w:t>
      </w:r>
      <w:r w:rsidR="006F1365" w:rsidRPr="009655C3">
        <w:t xml:space="preserve"> </w:t>
      </w:r>
      <w:r w:rsidRPr="009655C3">
        <w:t xml:space="preserve">is just 8.1 per cent for Indigenous people on the compulsory measures and 5.1 per cent for people on </w:t>
      </w:r>
      <w:r w:rsidR="001544DF">
        <w:t>Voluntary Income Management</w:t>
      </w:r>
      <w:r w:rsidRPr="009655C3">
        <w:t xml:space="preserve">. Most people in these latter two groups report some </w:t>
      </w:r>
      <w:r w:rsidR="00BC1EFF">
        <w:t>two to nine</w:t>
      </w:r>
      <w:r w:rsidRPr="009655C3">
        <w:t xml:space="preserve"> episodes</w:t>
      </w:r>
      <w:r w:rsidR="00BC1EFF">
        <w:t>,</w:t>
      </w:r>
      <w:r w:rsidRPr="009655C3">
        <w:t xml:space="preserve"> although 18.6 per cent of Indigenous people on compulsory mea</w:t>
      </w:r>
      <w:r w:rsidRPr="00DF38B2">
        <w:t xml:space="preserve">sures and 28.4 </w:t>
      </w:r>
      <w:r w:rsidR="00BC1EFF">
        <w:t xml:space="preserve">per cent </w:t>
      </w:r>
      <w:r w:rsidRPr="00DF38B2">
        <w:t xml:space="preserve">of people on </w:t>
      </w:r>
      <w:r w:rsidR="001544DF">
        <w:t>Voluntary Income Management</w:t>
      </w:r>
      <w:r w:rsidRPr="00DF38B2">
        <w:t xml:space="preserve"> had </w:t>
      </w:r>
      <w:r w:rsidR="00BC1EFF">
        <w:t>ten</w:t>
      </w:r>
      <w:r w:rsidRPr="00DF38B2">
        <w:t xml:space="preserve"> or more such episodes in 2013.</w:t>
      </w:r>
    </w:p>
    <w:p w:rsidR="005E1FE0" w:rsidRPr="00DF38B2" w:rsidRDefault="005E1FE0" w:rsidP="006654AE">
      <w:pPr>
        <w:pStyle w:val="Caption"/>
        <w:ind w:left="1439" w:hanging="1155"/>
      </w:pPr>
      <w:bookmarkStart w:id="386" w:name="_Ref391575465"/>
      <w:bookmarkStart w:id="387" w:name="_Toc403739457"/>
      <w:r w:rsidRPr="00DF38B2">
        <w:t xml:space="preserve">Table </w:t>
      </w:r>
      <w:fldSimple w:instr=" STYLEREF 1 \s ">
        <w:r w:rsidR="00906D13">
          <w:rPr>
            <w:noProof/>
          </w:rPr>
          <w:t>6</w:t>
        </w:r>
      </w:fldSimple>
      <w:r w:rsidR="00D40B64">
        <w:noBreakHyphen/>
      </w:r>
      <w:fldSimple w:instr=" SEQ Table \* ARABIC \s 1 ">
        <w:r w:rsidR="00906D13">
          <w:rPr>
            <w:noProof/>
          </w:rPr>
          <w:t>18</w:t>
        </w:r>
      </w:fldSimple>
      <w:bookmarkEnd w:id="386"/>
      <w:r w:rsidRPr="00DF38B2">
        <w:tab/>
        <w:t xml:space="preserve">Incidence of reducing purchases to have a successful transaction within </w:t>
      </w:r>
      <w:r w:rsidR="00BC1EFF">
        <w:t>five</w:t>
      </w:r>
      <w:r w:rsidR="007D7A3B">
        <w:t> </w:t>
      </w:r>
      <w:r w:rsidRPr="00DF38B2">
        <w:t xml:space="preserve">minutes of having a failed transaction, </w:t>
      </w:r>
      <w:r w:rsidR="006F51EF">
        <w:t xml:space="preserve">NIM, </w:t>
      </w:r>
      <w:r w:rsidRPr="00DF38B2">
        <w:t>2013</w:t>
      </w:r>
      <w:bookmarkEnd w:id="387"/>
    </w:p>
    <w:tbl>
      <w:tblPr>
        <w:tblW w:w="7854" w:type="dxa"/>
        <w:jc w:val="center"/>
        <w:tblLayout w:type="fixed"/>
        <w:tblLook w:val="04A0" w:firstRow="1" w:lastRow="0" w:firstColumn="1" w:lastColumn="0" w:noHBand="0" w:noVBand="1"/>
        <w:tblDescription w:val="This table reports on the distribution of the occurrence of reduced item/put back transactions undertaken by people on BasicsCard.  In the rows there are 6 categories of incidence – from nil to 20 or more with the percentage distributions of these being in the columns. Data is given in the columns for 3 populations: Indigenous people on compulsory measures, non-Indigenous people on these measures, and  all persons on voluntary income management.&#10;There is some discussion of the data in the text.&#10;"/>
      </w:tblPr>
      <w:tblGrid>
        <w:gridCol w:w="1928"/>
        <w:gridCol w:w="1928"/>
        <w:gridCol w:w="2070"/>
        <w:gridCol w:w="1928"/>
      </w:tblGrid>
      <w:tr w:rsidR="005E1FE0" w:rsidRPr="00DF38B2" w:rsidTr="002456DD">
        <w:trPr>
          <w:trHeight w:val="20"/>
          <w:tblHeader/>
          <w:jc w:val="center"/>
        </w:trPr>
        <w:tc>
          <w:tcPr>
            <w:tcW w:w="1928" w:type="dxa"/>
            <w:tcBorders>
              <w:top w:val="single" w:sz="4" w:space="0" w:color="auto"/>
              <w:left w:val="nil"/>
              <w:bottom w:val="single" w:sz="4" w:space="0" w:color="auto"/>
              <w:right w:val="nil"/>
            </w:tcBorders>
            <w:shd w:val="clear" w:color="auto" w:fill="auto"/>
            <w:noWrap/>
            <w:vAlign w:val="bottom"/>
            <w:hideMark/>
          </w:tcPr>
          <w:p w:rsidR="005E1FE0" w:rsidRPr="00DF38B2" w:rsidRDefault="00FD30B2" w:rsidP="006654AE">
            <w:pPr>
              <w:pStyle w:val="tabletextleft"/>
              <w:jc w:val="left"/>
              <w:rPr>
                <w:rFonts w:eastAsia="Times New Roman"/>
              </w:rPr>
            </w:pPr>
            <w:r w:rsidRPr="00DF38B2">
              <w:rPr>
                <w:rFonts w:eastAsia="Times New Roman"/>
              </w:rPr>
              <w:t xml:space="preserve">Number of reduced </w:t>
            </w:r>
            <w:r>
              <w:rPr>
                <w:rFonts w:eastAsia="Times New Roman"/>
              </w:rPr>
              <w:t xml:space="preserve">item </w:t>
            </w:r>
            <w:r w:rsidRPr="00DF38B2">
              <w:rPr>
                <w:rFonts w:eastAsia="Times New Roman"/>
              </w:rPr>
              <w:t>purchase transactions</w:t>
            </w:r>
          </w:p>
        </w:tc>
        <w:tc>
          <w:tcPr>
            <w:tcW w:w="1928" w:type="dxa"/>
            <w:tcBorders>
              <w:top w:val="single" w:sz="4" w:space="0" w:color="auto"/>
              <w:left w:val="nil"/>
              <w:bottom w:val="single" w:sz="4" w:space="0" w:color="auto"/>
              <w:right w:val="nil"/>
            </w:tcBorders>
            <w:shd w:val="clear" w:color="auto" w:fill="auto"/>
            <w:noWrap/>
            <w:hideMark/>
          </w:tcPr>
          <w:p w:rsidR="005E1FE0" w:rsidRPr="00DF38B2" w:rsidRDefault="00FD30B2" w:rsidP="006654AE">
            <w:pPr>
              <w:pStyle w:val="tabletextleft"/>
              <w:jc w:val="right"/>
              <w:rPr>
                <w:rFonts w:eastAsia="Times New Roman"/>
              </w:rPr>
            </w:pPr>
            <w:r w:rsidRPr="00DF38B2">
              <w:rPr>
                <w:rFonts w:eastAsia="Times New Roman"/>
              </w:rPr>
              <w:t xml:space="preserve">Compulsory Income Management </w:t>
            </w:r>
            <w:r w:rsidR="005E1FE0" w:rsidRPr="00DF38B2">
              <w:rPr>
                <w:rFonts w:eastAsia="Times New Roman"/>
              </w:rPr>
              <w:t>Indigenous</w:t>
            </w:r>
            <w:r w:rsidR="002456DD">
              <w:rPr>
                <w:rFonts w:eastAsia="Times New Roman"/>
              </w:rPr>
              <w:t xml:space="preserve"> (%) (a)</w:t>
            </w:r>
          </w:p>
        </w:tc>
        <w:tc>
          <w:tcPr>
            <w:tcW w:w="2070" w:type="dxa"/>
            <w:tcBorders>
              <w:top w:val="single" w:sz="4" w:space="0" w:color="auto"/>
              <w:left w:val="nil"/>
              <w:bottom w:val="single" w:sz="4" w:space="0" w:color="auto"/>
              <w:right w:val="nil"/>
            </w:tcBorders>
            <w:shd w:val="clear" w:color="auto" w:fill="auto"/>
            <w:noWrap/>
            <w:hideMark/>
          </w:tcPr>
          <w:p w:rsidR="002456DD" w:rsidRDefault="00FD30B2" w:rsidP="006654AE">
            <w:pPr>
              <w:pStyle w:val="tabletextleft"/>
              <w:jc w:val="right"/>
              <w:rPr>
                <w:rFonts w:eastAsia="Times New Roman"/>
              </w:rPr>
            </w:pPr>
            <w:r w:rsidRPr="00DF38B2">
              <w:rPr>
                <w:rFonts w:eastAsia="Times New Roman"/>
              </w:rPr>
              <w:t xml:space="preserve">Compulsory Income Management </w:t>
            </w:r>
          </w:p>
          <w:p w:rsidR="005E1FE0" w:rsidRPr="00DF38B2" w:rsidRDefault="005E1FE0" w:rsidP="006654AE">
            <w:pPr>
              <w:pStyle w:val="tabletextleft"/>
              <w:jc w:val="right"/>
              <w:rPr>
                <w:rFonts w:eastAsia="Times New Roman"/>
              </w:rPr>
            </w:pPr>
            <w:r w:rsidRPr="00DF38B2">
              <w:rPr>
                <w:rFonts w:eastAsia="Times New Roman"/>
              </w:rPr>
              <w:t>Non- Indigenous</w:t>
            </w:r>
            <w:r w:rsidR="002456DD">
              <w:rPr>
                <w:rFonts w:eastAsia="Times New Roman"/>
              </w:rPr>
              <w:t xml:space="preserve"> (%) (a)</w:t>
            </w:r>
          </w:p>
        </w:tc>
        <w:tc>
          <w:tcPr>
            <w:tcW w:w="1928" w:type="dxa"/>
            <w:tcBorders>
              <w:top w:val="single" w:sz="4" w:space="0" w:color="auto"/>
              <w:left w:val="nil"/>
              <w:bottom w:val="single" w:sz="4" w:space="0" w:color="auto"/>
              <w:right w:val="nil"/>
            </w:tcBorders>
            <w:shd w:val="clear" w:color="auto" w:fill="auto"/>
            <w:noWrap/>
            <w:hideMark/>
          </w:tcPr>
          <w:p w:rsidR="005E1FE0" w:rsidRPr="00DF38B2" w:rsidRDefault="00FD30B2" w:rsidP="002456DD">
            <w:pPr>
              <w:pStyle w:val="tabletextleft"/>
              <w:jc w:val="right"/>
              <w:rPr>
                <w:rFonts w:eastAsia="Times New Roman"/>
              </w:rPr>
            </w:pPr>
            <w:r w:rsidRPr="00DF38B2">
              <w:rPr>
                <w:rFonts w:eastAsia="Times New Roman"/>
              </w:rPr>
              <w:t>Voluntary Income Management</w:t>
            </w:r>
            <w:r w:rsidR="002456DD">
              <w:rPr>
                <w:rFonts w:eastAsia="Times New Roman"/>
              </w:rPr>
              <w:t xml:space="preserve"> (%) (a)</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0</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42.7</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11.8</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7.3</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r w:rsidR="00BC1EFF">
              <w:rPr>
                <w:rFonts w:eastAsia="Times New Roman"/>
              </w:rPr>
              <w:t>–</w:t>
            </w:r>
            <w:r w:rsidRPr="00DF38B2">
              <w:rPr>
                <w:rFonts w:eastAsia="Times New Roman"/>
              </w:rPr>
              <w:t>4</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31.2</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24.7</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23.4</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BC1EFF">
              <w:rPr>
                <w:rFonts w:eastAsia="Times New Roman"/>
              </w:rPr>
              <w:t>–</w:t>
            </w:r>
            <w:r w:rsidRPr="00DF38B2">
              <w:rPr>
                <w:rFonts w:eastAsia="Times New Roman"/>
              </w:rPr>
              <w:t>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30.3</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35.8</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BC1EFF">
              <w:rPr>
                <w:rFonts w:eastAsia="Times New Roman"/>
              </w:rPr>
              <w:t>–</w:t>
            </w:r>
            <w:r w:rsidRPr="00DF38B2">
              <w:rPr>
                <w:rFonts w:eastAsia="Times New Roman"/>
              </w:rPr>
              <w:t>19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16.2</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24.2</w:t>
            </w:r>
          </w:p>
        </w:tc>
      </w:tr>
      <w:tr w:rsidR="005E1FE0" w:rsidRPr="00DF38B2" w:rsidTr="002456DD">
        <w:trPr>
          <w:trHeight w:val="20"/>
          <w:jc w:val="center"/>
        </w:trPr>
        <w:tc>
          <w:tcPr>
            <w:tcW w:w="1928"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p>
        </w:tc>
        <w:tc>
          <w:tcPr>
            <w:tcW w:w="192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w:t>
            </w:r>
          </w:p>
        </w:tc>
        <w:tc>
          <w:tcPr>
            <w:tcW w:w="207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92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w:t>
            </w:r>
          </w:p>
        </w:tc>
      </w:tr>
      <w:tr w:rsidR="005E1FE0" w:rsidRPr="00DF38B2" w:rsidTr="002456DD">
        <w:trPr>
          <w:trHeight w:val="20"/>
          <w:jc w:val="center"/>
        </w:trPr>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left"/>
              <w:rPr>
                <w:rFonts w:eastAsia="Times New Roman"/>
              </w:rPr>
            </w:pPr>
          </w:p>
        </w:tc>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c>
          <w:tcPr>
            <w:tcW w:w="2070"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keepNext w:val="0"/>
      </w:pPr>
    </w:p>
    <w:p w:rsidR="002456DD" w:rsidRDefault="002456DD" w:rsidP="006654AE">
      <w:pPr>
        <w:pStyle w:val="tablenotes"/>
        <w:keepNext w:val="0"/>
      </w:pPr>
      <w:r>
        <w:t>Notes:</w:t>
      </w:r>
      <w:r>
        <w:tab/>
        <w:t>(a) Distribution of incidence (%)</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9655C3" w:rsidRDefault="005E1FE0" w:rsidP="006654AE">
      <w:r w:rsidRPr="00DF38B2">
        <w:t>A high proportion of these actions involve relatively small transactions; a quarter involve</w:t>
      </w:r>
      <w:r w:rsidR="00BC1EFF">
        <w:t>s</w:t>
      </w:r>
      <w:r w:rsidRPr="00DF38B2">
        <w:t xml:space="preserve"> an initial transaction</w:t>
      </w:r>
      <w:r w:rsidRPr="00DF38B2">
        <w:rPr>
          <w:rStyle w:val="FootnoteReference"/>
        </w:rPr>
        <w:footnoteReference w:id="110"/>
      </w:r>
      <w:r w:rsidRPr="00DF38B2">
        <w:t xml:space="preserve"> of less than $16.00</w:t>
      </w:r>
      <w:r w:rsidR="00BC1EFF">
        <w:t>,</w:t>
      </w:r>
      <w:r w:rsidRPr="00DF38B2">
        <w:t xml:space="preserve"> and half involve</w:t>
      </w:r>
      <w:r w:rsidR="00BC1EFF">
        <w:t>s</w:t>
      </w:r>
      <w:r w:rsidRPr="00DF38B2">
        <w:t xml:space="preserve"> an initial transaction of less than $33.</w:t>
      </w:r>
      <w:r w:rsidR="006F1365">
        <w:t>1</w:t>
      </w:r>
      <w:r w:rsidRPr="00DF38B2">
        <w:t xml:space="preserve">5. The median final transaction </w:t>
      </w:r>
      <w:r w:rsidR="00BC1EFF">
        <w:t>that</w:t>
      </w:r>
      <w:r w:rsidRPr="00DF38B2">
        <w:t xml:space="preserve"> is successful is $20.00, and the median amount ‘put back’ is $7.77. Indeed</w:t>
      </w:r>
      <w:r w:rsidR="00BC1EFF">
        <w:t>,</w:t>
      </w:r>
      <w:r w:rsidRPr="00DF38B2">
        <w:t xml:space="preserve"> in three</w:t>
      </w:r>
      <w:r w:rsidR="00BC1EFF">
        <w:t>-</w:t>
      </w:r>
      <w:r w:rsidRPr="00DF38B2">
        <w:t xml:space="preserve">quarters of these transactions the amount put back is less than $17.70. (It should be noted here that the </w:t>
      </w:r>
      <w:r w:rsidRPr="00DF38B2">
        <w:lastRenderedPageBreak/>
        <w:t>distribution of the percentile points is undertaken independently on each of these thr</w:t>
      </w:r>
      <w:r w:rsidRPr="00FE502F">
        <w:t>ee values. That is, the median final transaction is the median value of</w:t>
      </w:r>
      <w:r w:rsidRPr="009655C3">
        <w:t xml:space="preserve"> the successful transaction </w:t>
      </w:r>
      <w:r w:rsidR="00BC1EFF">
        <w:t>that</w:t>
      </w:r>
      <w:r w:rsidRPr="009655C3">
        <w:t xml:space="preserve"> finished the episode, not the value of the amount of the final transaction of the median initial transaction).</w:t>
      </w:r>
    </w:p>
    <w:p w:rsidR="005E1FE0" w:rsidRPr="00DF38B2" w:rsidRDefault="005E1FE0" w:rsidP="006654AE">
      <w:pPr>
        <w:pStyle w:val="Caption"/>
      </w:pPr>
      <w:bookmarkStart w:id="388" w:name="_Ref391575473"/>
      <w:bookmarkStart w:id="389" w:name="_Toc403739458"/>
      <w:r w:rsidRPr="009655C3">
        <w:t xml:space="preserve">Table </w:t>
      </w:r>
      <w:fldSimple w:instr=" STYLEREF 1 \s ">
        <w:r w:rsidR="00906D13">
          <w:rPr>
            <w:noProof/>
          </w:rPr>
          <w:t>6</w:t>
        </w:r>
      </w:fldSimple>
      <w:r w:rsidR="00D40B64">
        <w:noBreakHyphen/>
      </w:r>
      <w:fldSimple w:instr=" SEQ Table \* ARABIC \s 1 ">
        <w:r w:rsidR="00906D13">
          <w:rPr>
            <w:noProof/>
          </w:rPr>
          <w:t>19</w:t>
        </w:r>
      </w:fldSimple>
      <w:bookmarkEnd w:id="388"/>
      <w:r w:rsidRPr="00DF38B2">
        <w:tab/>
        <w:t>‘Put back’ transactions, distributions of initial and final value and time taken</w:t>
      </w:r>
      <w:r w:rsidR="003C1097">
        <w:t xml:space="preserve">, </w:t>
      </w:r>
      <w:r w:rsidR="006F51EF">
        <w:t xml:space="preserve">NIM, </w:t>
      </w:r>
      <w:r w:rsidR="003C1097">
        <w:t>2013</w:t>
      </w:r>
      <w:bookmarkEnd w:id="389"/>
    </w:p>
    <w:tbl>
      <w:tblPr>
        <w:tblW w:w="8501" w:type="dxa"/>
        <w:jc w:val="center"/>
        <w:tblLook w:val="04A0" w:firstRow="1" w:lastRow="0" w:firstColumn="1" w:lastColumn="0" w:noHBand="0" w:noVBand="1"/>
        <w:tblDescription w:val="This table documents some of the distributional characteristics of the value of aspects of transactions which involve put back. The first row reports the initial value, in dollars of the transaction, the second row the final value, the third row the amount by which transactions are reduced and the final row the time taken between the initial and the final transaction in minutes.The data columns are the fifth, twenty-fifth, median seventy-fifth and ninety fifth percentile points and the mean&#10;Key data from the table is cited in the text.&#10;"/>
      </w:tblPr>
      <w:tblGrid>
        <w:gridCol w:w="1814"/>
        <w:gridCol w:w="1587"/>
        <w:gridCol w:w="850"/>
        <w:gridCol w:w="850"/>
        <w:gridCol w:w="850"/>
        <w:gridCol w:w="850"/>
        <w:gridCol w:w="850"/>
        <w:gridCol w:w="850"/>
      </w:tblGrid>
      <w:tr w:rsidR="002456DD" w:rsidRPr="00DF38B2" w:rsidTr="002456DD">
        <w:trPr>
          <w:trHeight w:val="20"/>
          <w:tblHeader/>
          <w:jc w:val="center"/>
        </w:trPr>
        <w:tc>
          <w:tcPr>
            <w:tcW w:w="1814" w:type="dxa"/>
            <w:tcBorders>
              <w:top w:val="single" w:sz="4" w:space="0" w:color="auto"/>
              <w:left w:val="nil"/>
              <w:bottom w:val="single" w:sz="4" w:space="0" w:color="auto"/>
              <w:right w:val="nil"/>
            </w:tcBorders>
          </w:tcPr>
          <w:p w:rsidR="002456DD" w:rsidRDefault="002456DD" w:rsidP="006654AE">
            <w:pPr>
              <w:pStyle w:val="tabletextleft"/>
              <w:rPr>
                <w:rFonts w:eastAsia="Times New Roman"/>
              </w:rPr>
            </w:pPr>
          </w:p>
        </w:tc>
        <w:tc>
          <w:tcPr>
            <w:tcW w:w="1587"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left"/>
              <w:rPr>
                <w:rFonts w:eastAsia="Times New Roman"/>
              </w:rPr>
            </w:pPr>
            <w:r>
              <w:rPr>
                <w:rFonts w:eastAsia="Times New Roman"/>
              </w:rPr>
              <w:t>Characteristic</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p25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p50</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p75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p95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Average Value</w:t>
            </w:r>
          </w:p>
        </w:tc>
      </w:tr>
      <w:tr w:rsidR="00EB5275" w:rsidRPr="00DF38B2" w:rsidTr="00EB5275">
        <w:trPr>
          <w:trHeight w:val="20"/>
          <w:jc w:val="center"/>
        </w:trPr>
        <w:tc>
          <w:tcPr>
            <w:tcW w:w="18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Value of ($)</w:t>
            </w: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‘Initial’ attempt</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16.00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33.15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71.75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177.00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55.91</w:t>
            </w:r>
          </w:p>
        </w:tc>
      </w:tr>
      <w:tr w:rsidR="00EB5275" w:rsidRPr="00DF38B2" w:rsidTr="00EB5275">
        <w:trPr>
          <w:trHeight w:val="20"/>
          <w:jc w:val="center"/>
        </w:trPr>
        <w:tc>
          <w:tcPr>
            <w:tcW w:w="1814" w:type="dxa"/>
            <w:vMerge/>
            <w:tcBorders>
              <w:left w:val="nil"/>
              <w:right w:val="nil"/>
            </w:tcBorders>
          </w:tcPr>
          <w:p w:rsidR="00EB5275" w:rsidRPr="00DF38B2" w:rsidRDefault="00EB5275" w:rsidP="006654AE">
            <w:pPr>
              <w:pStyle w:val="tabletextleft"/>
              <w:rPr>
                <w:rFonts w:eastAsia="Times New Roman"/>
              </w:rPr>
            </w:pP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Final Transaction</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8.40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146.63</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40.68</w:t>
            </w:r>
          </w:p>
        </w:tc>
      </w:tr>
      <w:tr w:rsidR="00EB5275" w:rsidRPr="00DF38B2" w:rsidTr="00EB5275">
        <w:trPr>
          <w:trHeight w:val="20"/>
          <w:jc w:val="center"/>
        </w:trPr>
        <w:tc>
          <w:tcPr>
            <w:tcW w:w="1814" w:type="dxa"/>
            <w:vMerge/>
            <w:tcBorders>
              <w:left w:val="nil"/>
              <w:bottom w:val="nil"/>
              <w:right w:val="nil"/>
            </w:tcBorders>
          </w:tcPr>
          <w:p w:rsidR="00EB5275" w:rsidRPr="00DF38B2" w:rsidRDefault="00EB5275" w:rsidP="006654AE">
            <w:pPr>
              <w:pStyle w:val="tabletextleft"/>
              <w:rPr>
                <w:rFonts w:eastAsia="Times New Roman"/>
              </w:rPr>
            </w:pP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Amount deducted</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3.78</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7.77</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17.70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15.23</w:t>
            </w:r>
          </w:p>
        </w:tc>
      </w:tr>
      <w:tr w:rsidR="002456DD" w:rsidRPr="00DF38B2" w:rsidTr="002456DD">
        <w:trPr>
          <w:trHeight w:val="20"/>
          <w:jc w:val="center"/>
        </w:trPr>
        <w:tc>
          <w:tcPr>
            <w:tcW w:w="1814" w:type="dxa"/>
            <w:tcBorders>
              <w:top w:val="nil"/>
              <w:left w:val="nil"/>
              <w:bottom w:val="single" w:sz="4" w:space="0" w:color="auto"/>
              <w:right w:val="nil"/>
            </w:tcBorders>
          </w:tcPr>
          <w:p w:rsidR="002456DD" w:rsidRPr="00DF38B2" w:rsidRDefault="002456DD" w:rsidP="002456DD">
            <w:pPr>
              <w:pStyle w:val="tabletextleft"/>
              <w:rPr>
                <w:rFonts w:eastAsia="Times New Roman"/>
              </w:rPr>
            </w:pPr>
            <w:r>
              <w:rPr>
                <w:rFonts w:eastAsia="Times New Roman"/>
              </w:rPr>
              <w:t>Time taken (minutes)</w:t>
            </w:r>
          </w:p>
        </w:tc>
        <w:tc>
          <w:tcPr>
            <w:tcW w:w="1587"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left"/>
              <w:rPr>
                <w:rFonts w:eastAsia="Times New Roman"/>
              </w:rPr>
            </w:pPr>
            <w:r w:rsidRPr="00DF38B2">
              <w:rPr>
                <w:rFonts w:eastAsia="Times New Roman"/>
              </w:rPr>
              <w:t xml:space="preserve">Time taken </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0.40</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0.58</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0.87</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1.58</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3.67</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1.27</w:t>
            </w:r>
          </w:p>
        </w:tc>
      </w:tr>
    </w:tbl>
    <w:p w:rsidR="000F06BF" w:rsidRDefault="000F06BF" w:rsidP="006654AE">
      <w:pPr>
        <w:pStyle w:val="tablenotes"/>
      </w:pPr>
    </w:p>
    <w:p w:rsidR="002456DD" w:rsidRDefault="002456DD" w:rsidP="006654AE">
      <w:pPr>
        <w:pStyle w:val="tablenotes"/>
      </w:pPr>
      <w:r>
        <w:t>Notes:</w:t>
      </w:r>
      <w:r>
        <w:tab/>
        <w:t>(a) Value and other characteristics at selected points of the distribution.</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 xml:space="preserve">The second characteristic </w:t>
      </w:r>
      <w:r w:rsidR="003317C9">
        <w:t>shown</w:t>
      </w:r>
      <w:r w:rsidRPr="00DF38B2">
        <w:t xml:space="preserve"> in the table is the amount of time between the initial and final transaction. This averages a bit over one</w:t>
      </w:r>
      <w:r w:rsidR="00BC1EFF">
        <w:t xml:space="preserve"> </w:t>
      </w:r>
      <w:r w:rsidRPr="00DF38B2">
        <w:t>and-a-quarter minutes and usually reflects the time taken at the checkout while a person works out which items they need to take out of their purchases and the operator makes the second transaction. This</w:t>
      </w:r>
      <w:r w:rsidR="00BC1EFF">
        <w:t>,</w:t>
      </w:r>
      <w:r w:rsidRPr="00DF38B2">
        <w:t xml:space="preserve"> however</w:t>
      </w:r>
      <w:r w:rsidR="00BC1EFF">
        <w:t>,</w:t>
      </w:r>
      <w:r w:rsidRPr="00DF38B2">
        <w:t xml:space="preserve"> is of course only one aspect of the time costs these transactions impose on stores</w:t>
      </w:r>
      <w:r w:rsidR="00BC1EFF">
        <w:t>,</w:t>
      </w:r>
      <w:r w:rsidRPr="00DF38B2">
        <w:t xml:space="preserve"> wh</w:t>
      </w:r>
      <w:r w:rsidR="00BC1EFF">
        <w:t>ich</w:t>
      </w:r>
      <w:r w:rsidRPr="00DF38B2">
        <w:t xml:space="preserve"> then have to follow up the transaction by restocking items, which if they involve a perishable item often needs to be done as a matter of urgency. Discussions with stores suggest that most have a routine for this and the overall level of stock loss, as opposed to time loss, is relatively small. </w:t>
      </w:r>
    </w:p>
    <w:p w:rsidR="005E1FE0" w:rsidRPr="00DF38B2" w:rsidRDefault="005E1FE0" w:rsidP="006654AE">
      <w:r w:rsidRPr="00DF38B2">
        <w:t xml:space="preserve">As indicated, the transactions analysed here are only those which are completed within </w:t>
      </w:r>
      <w:r w:rsidR="00BC1EFF">
        <w:t>five</w:t>
      </w:r>
      <w:r w:rsidRPr="00DF38B2">
        <w:t xml:space="preserve"> minutes of the initial rejection. A more detailed review of the data suggests that a significant proportion of the additional transactions in the 15 minutes following rejection should also be included, although in some cases it is less clear as to whether these are put backs or second attempts. </w:t>
      </w:r>
    </w:p>
    <w:p w:rsidR="005E1FE0" w:rsidRPr="00DF38B2" w:rsidRDefault="005E1FE0" w:rsidP="006654AE">
      <w:pPr>
        <w:pStyle w:val="Heading4"/>
      </w:pPr>
      <w:r w:rsidRPr="00DF38B2">
        <w:t>Case studies of serial rejections</w:t>
      </w:r>
    </w:p>
    <w:p w:rsidR="005E1FE0" w:rsidRPr="00DF38B2" w:rsidRDefault="005E1FE0" w:rsidP="006654AE">
      <w:r w:rsidRPr="00DF38B2">
        <w:t>The vast majority (92.7 per cent) of people on income management in 2013 had some repeated episodes of unsuccessful transactions</w:t>
      </w:r>
      <w:r w:rsidR="00BC1EFF">
        <w:t>;</w:t>
      </w:r>
      <w:r w:rsidRPr="00DF38B2">
        <w:t xml:space="preserve"> that is, two or more unsuccessful transactions unbroken by a successful purchase. Most people had fewer than three such episodes. Some</w:t>
      </w:r>
      <w:r w:rsidR="00BC1EFF">
        <w:t>,</w:t>
      </w:r>
      <w:r w:rsidRPr="00DF38B2">
        <w:t xml:space="preserve"> however</w:t>
      </w:r>
      <w:r w:rsidR="00BC1EFF">
        <w:t>,</w:t>
      </w:r>
      <w:r w:rsidRPr="00DF38B2">
        <w:t xml:space="preserve"> had considerable sequences of rejection. Detailed below are some examples of these:</w:t>
      </w:r>
    </w:p>
    <w:p w:rsidR="005E1FE0" w:rsidRPr="00DF38B2" w:rsidRDefault="005E1FE0" w:rsidP="006654AE">
      <w:pPr>
        <w:pStyle w:val="dot"/>
      </w:pPr>
      <w:r w:rsidRPr="00DF38B2">
        <w:t>On 29 January a middle</w:t>
      </w:r>
      <w:r w:rsidR="00713331">
        <w:t>-</w:t>
      </w:r>
      <w:r w:rsidRPr="00DF38B2">
        <w:t>aged woman made a minor purchase of a value of $4.10 on her BasicsCard in the late afternoon. Apparently aware that she had only a limited balance left</w:t>
      </w:r>
      <w:r w:rsidR="00713331">
        <w:t>,</w:t>
      </w:r>
      <w:r w:rsidRPr="00DF38B2">
        <w:t xml:space="preserve"> she attempted a few minutes later to make a further purchase for $5.00, but this was rejected due to a shortage of funds. The next day she attempted to make a purchase just before noon</w:t>
      </w:r>
      <w:r w:rsidR="00713331">
        <w:t>,</w:t>
      </w:r>
      <w:r w:rsidRPr="00DF38B2">
        <w:t xml:space="preserve"> which was again rejected. Later that afternoon she attempted unsuccessfully </w:t>
      </w:r>
      <w:r w:rsidR="006F1365" w:rsidRPr="00DF38B2">
        <w:t>t</w:t>
      </w:r>
      <w:r w:rsidR="006F1365">
        <w:t>hree</w:t>
      </w:r>
      <w:r w:rsidR="006F1365" w:rsidRPr="00DF38B2">
        <w:t xml:space="preserve"> </w:t>
      </w:r>
      <w:r w:rsidRPr="00DF38B2">
        <w:t xml:space="preserve">further purchases, initially for </w:t>
      </w:r>
      <w:r w:rsidR="006F1365">
        <w:t xml:space="preserve">$21.75, then for </w:t>
      </w:r>
      <w:r w:rsidRPr="00DF38B2">
        <w:t xml:space="preserve">$15.60 and </w:t>
      </w:r>
      <w:r w:rsidR="006F1365">
        <w:t>finally</w:t>
      </w:r>
      <w:r w:rsidR="006F1365" w:rsidRPr="00DF38B2">
        <w:t xml:space="preserve"> </w:t>
      </w:r>
      <w:r w:rsidRPr="00DF38B2">
        <w:t>for $10.70. The following day, she tried to make a more major purchase of $55.58</w:t>
      </w:r>
      <w:r w:rsidR="00713331">
        <w:t>,</w:t>
      </w:r>
      <w:r w:rsidRPr="00DF38B2">
        <w:t xml:space="preserve"> which was again rejected. The next day she again made two attempts, one around lunchtime and one in the evening, both of which failed due to insufficient funds. By 5 February when she next tried using her BasicsCard, some money had been transferred into her account. This amount</w:t>
      </w:r>
      <w:r w:rsidR="00713331">
        <w:t>,</w:t>
      </w:r>
      <w:r w:rsidRPr="00DF38B2">
        <w:t xml:space="preserve"> though</w:t>
      </w:r>
      <w:r w:rsidR="00713331">
        <w:t>,</w:t>
      </w:r>
      <w:r w:rsidRPr="00DF38B2">
        <w:t xml:space="preserve"> was not sufficient to enable her to pay for the $209.43 worth of groceries she presented to the checkout at 11 am</w:t>
      </w:r>
      <w:r w:rsidR="00713331">
        <w:t>;</w:t>
      </w:r>
      <w:r w:rsidRPr="00DF38B2">
        <w:t xml:space="preserve"> half an hour later she pared her purchases back to $86.92 and was successful.</w:t>
      </w:r>
    </w:p>
    <w:p w:rsidR="005E1FE0" w:rsidRPr="00DF38B2" w:rsidRDefault="005E1FE0" w:rsidP="006654AE">
      <w:pPr>
        <w:pStyle w:val="dot"/>
      </w:pPr>
      <w:r w:rsidRPr="00DF38B2">
        <w:t>On 1 July a young man made a successful purchase for $7.00 just before 9 am. In the mid-afternoon of the same day he tried to make a purchase for $4.00 but had this rejected due to insufficient funds. The next morning he visited another store and tried to make a purchase for $4.50 which was rejected. Over the next five days he attempted to make a purchase at three different stores for amounts between $2.00 and $5.50 on a further 12 occasions, failing each time. Finally on 9 July he had some funds transferred into his account and his attempt to make a $4.00 purchase succeeded.</w:t>
      </w:r>
    </w:p>
    <w:p w:rsidR="005E1FE0" w:rsidRPr="00DF38B2" w:rsidRDefault="005E1FE0" w:rsidP="006654AE">
      <w:pPr>
        <w:pStyle w:val="dot"/>
      </w:pPr>
      <w:r w:rsidRPr="00DF38B2">
        <w:t xml:space="preserve">On 18 April a woman aged over 65 years who was on Voluntary Income Management, and who was responsible along with her partner for some children, made a successful purchase. She then sought to buy a range of goods, initially valued at $105.17. This was in excess of the balance she had left in her account, and was rejected on the basis of having insufficient funds. Over the next seven minutes she reduced her attempted purchases on five occasions – until it was a total of $4.67, with this also being </w:t>
      </w:r>
      <w:r w:rsidRPr="00DF38B2">
        <w:lastRenderedPageBreak/>
        <w:t>rejected. Later that day she attempted to make a minor purchase for $5.45</w:t>
      </w:r>
      <w:r w:rsidR="008432E5">
        <w:t>,</w:t>
      </w:r>
      <w:r w:rsidRPr="00DF38B2">
        <w:t xml:space="preserve"> which was also rejected. This was also the case the next day when she tried again</w:t>
      </w:r>
      <w:r w:rsidR="006F1365">
        <w:t xml:space="preserve"> to make a purchase of this value</w:t>
      </w:r>
      <w:r w:rsidRPr="00DF38B2">
        <w:t>. After this she did not try to use her BasicsCard for two days, but then tried again early in the morning on both 22 and 23 April with minor purchases, but again was rejected. She returned later that morning when some funds had been transferred to her BasicsCard. This amount</w:t>
      </w:r>
      <w:r w:rsidR="008432E5">
        <w:t>,</w:t>
      </w:r>
      <w:r w:rsidRPr="00DF38B2">
        <w:t xml:space="preserve"> however</w:t>
      </w:r>
      <w:r w:rsidR="008432E5">
        <w:t>,</w:t>
      </w:r>
      <w:r w:rsidRPr="00DF38B2">
        <w:t xml:space="preserve"> was not sufficient for her $227.79 of purchases. She </w:t>
      </w:r>
      <w:r w:rsidR="008432E5">
        <w:t>nonetheless</w:t>
      </w:r>
      <w:r w:rsidRPr="00DF38B2">
        <w:t xml:space="preserve"> was able to remove some items and then made a successful purchase for $206.68.</w:t>
      </w:r>
    </w:p>
    <w:p w:rsidR="005E1FE0" w:rsidRPr="00DF38B2" w:rsidRDefault="005E1FE0" w:rsidP="006654AE">
      <w:pPr>
        <w:pStyle w:val="Heading4"/>
      </w:pPr>
      <w:r w:rsidRPr="00DF38B2">
        <w:t>Actions taken to address failed transactions</w:t>
      </w:r>
    </w:p>
    <w:p w:rsidR="005E1FE0" w:rsidRPr="00DF38B2" w:rsidRDefault="005E1FE0" w:rsidP="006654AE">
      <w:r w:rsidRPr="00DF38B2">
        <w:t>Over time Centrelink has taken a range of measures to make it easier for people to check the balances they have on their BasicsCard and hence reduce the potential for them to attempt to make transactions which are rejected because of inadequate funds. These include:</w:t>
      </w:r>
    </w:p>
    <w:p w:rsidR="005E1FE0" w:rsidRPr="00DF38B2" w:rsidRDefault="005E1FE0" w:rsidP="006654AE">
      <w:pPr>
        <w:pStyle w:val="dot"/>
      </w:pPr>
      <w:r w:rsidRPr="00DF38B2">
        <w:t>The installation of 11 free standing BasicsCard Kiosks in key shopping centres and some stores which enable people to check their balances as they commence shopping</w:t>
      </w:r>
      <w:r w:rsidR="00D1211F">
        <w:t>.</w:t>
      </w:r>
    </w:p>
    <w:p w:rsidR="005E1FE0" w:rsidRPr="00DF38B2" w:rsidRDefault="005E1FE0" w:rsidP="006654AE">
      <w:pPr>
        <w:pStyle w:val="dot"/>
      </w:pPr>
      <w:r w:rsidRPr="00DF38B2">
        <w:t>The installation of phones in some community stores linked to the income management line</w:t>
      </w:r>
      <w:r w:rsidR="00D1211F">
        <w:t>.</w:t>
      </w:r>
    </w:p>
    <w:p w:rsidR="005E1FE0" w:rsidRPr="00DF38B2" w:rsidRDefault="005E1FE0" w:rsidP="006654AE">
      <w:pPr>
        <w:pStyle w:val="dot"/>
      </w:pPr>
      <w:r w:rsidRPr="00DF38B2">
        <w:t>An internet</w:t>
      </w:r>
      <w:r w:rsidR="008432E5">
        <w:t>-</w:t>
      </w:r>
      <w:r w:rsidRPr="00DF38B2">
        <w:t xml:space="preserve">based BasicsCard balance enquiry service </w:t>
      </w:r>
      <w:r w:rsidR="008432E5">
        <w:t xml:space="preserve">– </w:t>
      </w:r>
      <w:r w:rsidRPr="00DF38B2">
        <w:t>this has been supplemented by the development by some stores of a smartphone application</w:t>
      </w:r>
      <w:r w:rsidR="00D1211F">
        <w:t>.</w:t>
      </w:r>
    </w:p>
    <w:p w:rsidR="005E1FE0" w:rsidRPr="00DF38B2" w:rsidRDefault="005E1FE0" w:rsidP="006654AE">
      <w:pPr>
        <w:pStyle w:val="dot"/>
      </w:pPr>
      <w:proofErr w:type="spellStart"/>
      <w:r w:rsidRPr="00DF38B2">
        <w:t>Freecall</w:t>
      </w:r>
      <w:proofErr w:type="spellEnd"/>
      <w:r w:rsidRPr="00DF38B2">
        <w:t xml:space="preserve"> phone facilities. This type of facility was originally introduced in May 2009 but involved costs for people using mobile phones. In November 2012 a </w:t>
      </w:r>
      <w:proofErr w:type="spellStart"/>
      <w:r w:rsidRPr="00DF38B2">
        <w:t>freecall</w:t>
      </w:r>
      <w:proofErr w:type="spellEnd"/>
      <w:r w:rsidRPr="00DF38B2">
        <w:t xml:space="preserve"> facility from Telstra mobile phones was introduced</w:t>
      </w:r>
      <w:r w:rsidR="00D1211F">
        <w:t>.</w:t>
      </w:r>
    </w:p>
    <w:p w:rsidR="005E1FE0" w:rsidRPr="00DF38B2" w:rsidRDefault="005E1FE0" w:rsidP="006654AE">
      <w:pPr>
        <w:pStyle w:val="dot"/>
      </w:pPr>
      <w:r w:rsidRPr="00DF38B2">
        <w:t>One of the major retail/supermarket groups has an opt-in balance printing arrangement which allows people using their BasicsCard to have their remaining balance printed on the receipt when they make a purchase.</w:t>
      </w:r>
    </w:p>
    <w:p w:rsidR="005E1FE0" w:rsidRPr="00DF38B2" w:rsidRDefault="005E1FE0" w:rsidP="006654AE">
      <w:r w:rsidRPr="00DF38B2">
        <w:t>It would be expected that the progressive rollout of these facilities should have had a major effect in improving the ability of people to avoid the failure of transactions due to insufficient balances.</w:t>
      </w:r>
      <w:r w:rsidR="00F529F4">
        <w:rPr>
          <w:rStyle w:val="FootnoteReference"/>
        </w:rPr>
        <w:footnoteReference w:id="111"/>
      </w:r>
    </w:p>
    <w:p w:rsidR="005E1FE0" w:rsidRPr="00DF38B2" w:rsidRDefault="005E1FE0" w:rsidP="006654AE">
      <w:pPr>
        <w:pStyle w:val="Heading4"/>
      </w:pPr>
      <w:r w:rsidRPr="00DF38B2">
        <w:t>Trends in failed BasicsCard transactions by date of entry onto income management (entry cohort)</w:t>
      </w:r>
    </w:p>
    <w:p w:rsidR="005E1FE0" w:rsidRPr="00DF38B2" w:rsidRDefault="005E1FE0" w:rsidP="006654AE">
      <w:r w:rsidRPr="00DF38B2">
        <w:t>Over time there has been a reduction in the rate at which transactions have failed due to inadequate balances. In part this trend has been a cohort effect</w:t>
      </w:r>
      <w:r w:rsidR="008432E5">
        <w:t>,</w:t>
      </w:r>
      <w:r w:rsidRPr="00DF38B2">
        <w:t xml:space="preserve"> with each successive cohort entering income management having a lower rate, potentially reflecting their higher level of financial capability. This, and the trends for cohorts over time, </w:t>
      </w:r>
      <w:r w:rsidR="008432E5">
        <w:t>is</w:t>
      </w:r>
      <w:r w:rsidRPr="00DF38B2">
        <w:t xml:space="preserve"> shown in </w:t>
      </w:r>
      <w:r w:rsidRPr="00DF38B2">
        <w:fldChar w:fldCharType="begin"/>
      </w:r>
      <w:r w:rsidRPr="00DF38B2">
        <w:instrText xml:space="preserve"> REF _Ref391588745 \h </w:instrText>
      </w:r>
      <w:r w:rsidRPr="00DF38B2">
        <w:fldChar w:fldCharType="separate"/>
      </w:r>
      <w:r w:rsidR="00906D13" w:rsidRPr="00DF38B2">
        <w:t xml:space="preserve">Figure </w:t>
      </w:r>
      <w:r w:rsidR="00906D13">
        <w:rPr>
          <w:noProof/>
        </w:rPr>
        <w:t>6</w:t>
      </w:r>
      <w:r w:rsidR="00906D13" w:rsidRPr="00DF38B2">
        <w:noBreakHyphen/>
      </w:r>
      <w:r w:rsidR="00906D13">
        <w:rPr>
          <w:noProof/>
        </w:rPr>
        <w:t>10</w:t>
      </w:r>
      <w:r w:rsidRPr="00DF38B2">
        <w:fldChar w:fldCharType="end"/>
      </w:r>
      <w:r w:rsidRPr="00DF38B2">
        <w:t>.</w:t>
      </w:r>
      <w:r w:rsidR="006F1365">
        <w:rPr>
          <w:rStyle w:val="FootnoteReference"/>
        </w:rPr>
        <w:footnoteReference w:id="112"/>
      </w:r>
    </w:p>
    <w:p w:rsidR="005E1FE0" w:rsidRDefault="005E1FE0" w:rsidP="006654AE">
      <w:pPr>
        <w:pStyle w:val="Caption"/>
        <w:ind w:left="1439" w:hanging="1155"/>
      </w:pPr>
      <w:bookmarkStart w:id="390" w:name="_Ref391588745"/>
      <w:bookmarkStart w:id="391" w:name="_Toc403739545"/>
      <w:r w:rsidRPr="00DF38B2">
        <w:lastRenderedPageBreak/>
        <w:t xml:space="preserve">Figure </w:t>
      </w:r>
      <w:fldSimple w:instr=" STYLEREF 1 \s ">
        <w:r w:rsidR="00906D13">
          <w:rPr>
            <w:noProof/>
          </w:rPr>
          <w:t>6</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390"/>
      <w:r w:rsidRPr="00DF38B2">
        <w:t xml:space="preserve"> </w:t>
      </w:r>
      <w:r w:rsidRPr="00DF38B2">
        <w:tab/>
        <w:t>Monthly rate of failed transactions due to inadequate balances by entry cohort</w:t>
      </w:r>
      <w:r w:rsidR="00730C83" w:rsidRPr="00DF38B2">
        <w:t xml:space="preserve">, persons on income management </w:t>
      </w:r>
      <w:r w:rsidR="006F51EF">
        <w:t>in the Northern Territory in</w:t>
      </w:r>
      <w:r w:rsidR="00730C83" w:rsidRPr="00DF38B2">
        <w:t xml:space="preserve"> December 2013</w:t>
      </w:r>
      <w:r w:rsidR="00CA60AC">
        <w:t xml:space="preserve">, </w:t>
      </w:r>
      <w:r w:rsidR="00CA60AC" w:rsidRPr="00DF38B2">
        <w:t>June 2010 to December 2013</w:t>
      </w:r>
      <w:bookmarkEnd w:id="391"/>
    </w:p>
    <w:p w:rsidR="00F63BB0" w:rsidRPr="00F63BB0" w:rsidRDefault="00F63BB0" w:rsidP="006654AE">
      <w:pPr>
        <w:jc w:val="center"/>
      </w:pPr>
      <w:r w:rsidRPr="00F63BB0">
        <w:rPr>
          <w:noProof/>
        </w:rPr>
        <w:drawing>
          <wp:inline distT="0" distB="0" distL="0" distR="0" wp14:anchorId="5569C9D6" wp14:editId="5670EC4F">
            <wp:extent cx="4572000" cy="2710180"/>
            <wp:effectExtent l="0" t="0" r="0" b="0"/>
            <wp:docPr id="152" name="Picture 152" descr="This chart shows the proportion of transactions which fail because of inadequate funds (vertical axis) by month (horizontal axis) over the period from June 2010 to December 2013. Five lines are plotted – for the cohorts which commenced being income managed in 2009, 2010, 2011, 2012 and 2013. The plots show a strong seasonal pattern with declines in July each year and small trend declines in the series. There is some discussion of the patterns and possible factors for these in the text with further data being given in Table 6-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72000" cy="2710180"/>
                    </a:xfrm>
                    <a:prstGeom prst="rect">
                      <a:avLst/>
                    </a:prstGeom>
                    <a:noFill/>
                    <a:ln>
                      <a:noFill/>
                    </a:ln>
                  </pic:spPr>
                </pic:pic>
              </a:graphicData>
            </a:graphic>
          </wp:inline>
        </w:drawing>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In addition to the cohort effect and time trends the data show a very strong seasonal pattern</w:t>
      </w:r>
      <w:r w:rsidR="00E006A5">
        <w:t>,</w:t>
      </w:r>
      <w:r w:rsidRPr="00DF38B2">
        <w:t xml:space="preserve"> with the rate of failed transactions falling strongly each July. This again is likely to be the effect of the payment of the FTB supplement. It is not possible on the data available to the evaluation to determine whether the fall in the rate of failed transactions is a result of people making more planned and structured </w:t>
      </w:r>
      <w:r w:rsidR="006F1365" w:rsidRPr="00DF38B2">
        <w:t>p</w:t>
      </w:r>
      <w:r w:rsidR="006F1365">
        <w:t>urchases</w:t>
      </w:r>
      <w:r w:rsidR="006F1365" w:rsidRPr="00DF38B2">
        <w:t xml:space="preserve"> </w:t>
      </w:r>
      <w:r w:rsidRPr="00DF38B2">
        <w:t>related to how they intend to spend this additional income, or simply a matter of people being less financially constrained and hence less likely to be running very low balances.</w:t>
      </w:r>
    </w:p>
    <w:p w:rsidR="005E1FE0" w:rsidRPr="00DF38B2" w:rsidRDefault="005E1FE0" w:rsidP="006654AE">
      <w:r w:rsidRPr="00DF38B2">
        <w:t xml:space="preserve">The </w:t>
      </w:r>
      <w:r w:rsidR="00730C83" w:rsidRPr="00DF38B2">
        <w:t xml:space="preserve">entry </w:t>
      </w:r>
      <w:r w:rsidRPr="00DF38B2">
        <w:t xml:space="preserve">cohort effect can be seen in comparing the experiences of the cohorts in the first three months of data which </w:t>
      </w:r>
      <w:r w:rsidR="00E006A5">
        <w:t>are</w:t>
      </w:r>
      <w:r w:rsidRPr="00DF38B2">
        <w:t xml:space="preserve"> available for them. In the case of the 2009 and 2010 cohorts</w:t>
      </w:r>
      <w:r w:rsidR="00875B4C">
        <w:t xml:space="preserve"> (mainly those who had been on NTER I</w:t>
      </w:r>
      <w:r w:rsidR="00CC7910">
        <w:t xml:space="preserve">ncome </w:t>
      </w:r>
      <w:r w:rsidR="00875B4C">
        <w:t>M</w:t>
      </w:r>
      <w:r w:rsidR="00CC7910">
        <w:t>anagement</w:t>
      </w:r>
      <w:r w:rsidR="00875B4C">
        <w:t>)</w:t>
      </w:r>
      <w:r w:rsidRPr="00DF38B2">
        <w:t>, it has been necessary to use the data from June 2010. Th</w:t>
      </w:r>
      <w:r w:rsidR="00E006A5">
        <w:t>ese</w:t>
      </w:r>
      <w:r w:rsidRPr="00DF38B2">
        <w:t xml:space="preserve"> give an average </w:t>
      </w:r>
      <w:r w:rsidR="00730C83" w:rsidRPr="00DF38B2">
        <w:t xml:space="preserve">failure rate </w:t>
      </w:r>
      <w:r w:rsidRPr="00DF38B2">
        <w:t>of 13.1 per cent and 12.7 per cent. The 2011 cohort can be seen in its entirety, and has an average in the first three months</w:t>
      </w:r>
      <w:r w:rsidR="00E006A5">
        <w:t xml:space="preserve"> –</w:t>
      </w:r>
      <w:r w:rsidRPr="00DF38B2">
        <w:t xml:space="preserve"> January to March 2011</w:t>
      </w:r>
      <w:r w:rsidR="00E006A5">
        <w:t xml:space="preserve"> –</w:t>
      </w:r>
      <w:r w:rsidRPr="00DF38B2">
        <w:t xml:space="preserve"> of 9.8 per cent, with the rate for the 2012 cohort being 9.5 per cent</w:t>
      </w:r>
      <w:r w:rsidR="00E006A5">
        <w:t>,</w:t>
      </w:r>
      <w:r w:rsidRPr="00DF38B2">
        <w:t xml:space="preserve"> and </w:t>
      </w:r>
      <w:r w:rsidR="00E006A5">
        <w:t xml:space="preserve">for </w:t>
      </w:r>
      <w:r w:rsidRPr="00DF38B2">
        <w:t>that entering in 2013</w:t>
      </w:r>
      <w:r w:rsidR="00E006A5">
        <w:t>,</w:t>
      </w:r>
      <w:r w:rsidRPr="00DF38B2">
        <w:t xml:space="preserve"> 8.8 per cent. </w:t>
      </w:r>
    </w:p>
    <w:p w:rsidR="005E1FE0" w:rsidRPr="009655C3" w:rsidRDefault="005E1FE0" w:rsidP="006654AE">
      <w:r w:rsidRPr="00DF38B2">
        <w:t>There is also evidence of some decline in the failure rate over time</w:t>
      </w:r>
      <w:r w:rsidR="006F1365">
        <w:t xml:space="preserve"> within cohorts</w:t>
      </w:r>
      <w:r w:rsidRPr="00DF38B2">
        <w:t xml:space="preserve">. For the periods up to 2012 </w:t>
      </w:r>
      <w:r w:rsidR="00875B4C">
        <w:t>to</w:t>
      </w:r>
      <w:r w:rsidR="00875B4C" w:rsidRPr="00DF38B2">
        <w:t xml:space="preserve"> </w:t>
      </w:r>
      <w:r w:rsidRPr="00DF38B2">
        <w:t xml:space="preserve">2013 these changes have on the whole been quite small. However, as seen in </w:t>
      </w:r>
      <w:r w:rsidRPr="00DF38B2">
        <w:fldChar w:fldCharType="begin"/>
      </w:r>
      <w:r w:rsidRPr="00DF38B2">
        <w:instrText xml:space="preserve"> REF _Ref391590314 \h </w:instrText>
      </w:r>
      <w:r w:rsidRPr="00DF38B2">
        <w:fldChar w:fldCharType="separate"/>
      </w:r>
      <w:r w:rsidR="00906D13" w:rsidRPr="009655C3">
        <w:t xml:space="preserve">Table </w:t>
      </w:r>
      <w:r w:rsidR="00906D13">
        <w:rPr>
          <w:noProof/>
        </w:rPr>
        <w:t>6</w:t>
      </w:r>
      <w:r w:rsidR="00906D13">
        <w:noBreakHyphen/>
      </w:r>
      <w:r w:rsidR="00906D13">
        <w:rPr>
          <w:noProof/>
        </w:rPr>
        <w:t>20</w:t>
      </w:r>
      <w:r w:rsidRPr="00DF38B2">
        <w:fldChar w:fldCharType="end"/>
      </w:r>
      <w:r w:rsidRPr="00DF38B2">
        <w:t>, they have been very marked between 2012 and 2013, e</w:t>
      </w:r>
      <w:r w:rsidRPr="00FE502F">
        <w:t xml:space="preserve">ven for those cohorts which have prior to this shown </w:t>
      </w:r>
      <w:r w:rsidR="00875B4C">
        <w:t xml:space="preserve">only </w:t>
      </w:r>
      <w:r w:rsidRPr="00FE502F">
        <w:t>relatively small d</w:t>
      </w:r>
      <w:r w:rsidRPr="009655C3">
        <w:t>eclines.</w:t>
      </w:r>
      <w:r w:rsidR="006F1365">
        <w:t xml:space="preserve"> In this table the failure rate is that recorded in the last </w:t>
      </w:r>
      <w:r w:rsidR="00E006A5">
        <w:t>three</w:t>
      </w:r>
      <w:r w:rsidR="006F1365">
        <w:t xml:space="preserve"> months of the year. This has been done to mini</w:t>
      </w:r>
      <w:r w:rsidR="00E006A5">
        <w:t>mi</w:t>
      </w:r>
      <w:r w:rsidR="006F1365">
        <w:t>se the immediate impact of new entrants</w:t>
      </w:r>
      <w:r w:rsidR="00E006A5">
        <w:t>;</w:t>
      </w:r>
      <w:r w:rsidR="006F1365">
        <w:t xml:space="preserve"> </w:t>
      </w:r>
      <w:r w:rsidR="00875B4C">
        <w:t xml:space="preserve">and </w:t>
      </w:r>
      <w:r w:rsidR="006F1365">
        <w:t>the population is limited to those who are still on income managem</w:t>
      </w:r>
      <w:r w:rsidR="00E006A5">
        <w:t>ent</w:t>
      </w:r>
      <w:r w:rsidR="006F1365">
        <w:t xml:space="preserve"> in December 2013.</w:t>
      </w:r>
    </w:p>
    <w:p w:rsidR="005E1FE0" w:rsidRPr="00DF38B2" w:rsidRDefault="005E1FE0" w:rsidP="006654AE">
      <w:pPr>
        <w:pStyle w:val="Caption"/>
      </w:pPr>
      <w:bookmarkStart w:id="392" w:name="_Ref391590314"/>
      <w:bookmarkStart w:id="393" w:name="_Toc403739459"/>
      <w:r w:rsidRPr="009655C3">
        <w:lastRenderedPageBreak/>
        <w:t xml:space="preserve">Table </w:t>
      </w:r>
      <w:fldSimple w:instr=" STYLEREF 1 \s ">
        <w:r w:rsidR="00906D13">
          <w:rPr>
            <w:noProof/>
          </w:rPr>
          <w:t>6</w:t>
        </w:r>
      </w:fldSimple>
      <w:r w:rsidR="00D40B64">
        <w:noBreakHyphen/>
      </w:r>
      <w:fldSimple w:instr=" SEQ Table \* ARABIC \s 1 ">
        <w:r w:rsidR="00906D13">
          <w:rPr>
            <w:noProof/>
          </w:rPr>
          <w:t>20</w:t>
        </w:r>
      </w:fldSimple>
      <w:bookmarkEnd w:id="392"/>
      <w:r w:rsidRPr="00DF38B2">
        <w:t xml:space="preserve"> </w:t>
      </w:r>
      <w:r w:rsidRPr="00DF38B2">
        <w:tab/>
        <w:t xml:space="preserve">Changes in the rate of failed transactions by </w:t>
      </w:r>
      <w:r w:rsidR="006F51EF">
        <w:t xml:space="preserve">NIM </w:t>
      </w:r>
      <w:r w:rsidRPr="00DF38B2">
        <w:t>cohort 2010 to 2013</w:t>
      </w:r>
      <w:r w:rsidR="006F1365">
        <w:t xml:space="preserve"> for persons on income management in </w:t>
      </w:r>
      <w:r w:rsidR="000F06BF">
        <w:t xml:space="preserve">the Northern Territory, </w:t>
      </w:r>
      <w:r w:rsidR="006F1365">
        <w:t>December 2013</w:t>
      </w:r>
      <w:bookmarkEnd w:id="393"/>
    </w:p>
    <w:tbl>
      <w:tblPr>
        <w:tblStyle w:val="TableGrid"/>
        <w:tblW w:w="7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 different entry cohorts (in the columns) the table shows in the first panel the failed transaction rate in the years from 2010 to 2013.  The second panel shows – where the data are available the changes in the failure rate between years.&#10;This is briefly discussed in the text complementing the more general discussion of the data by cohort in the preceding figure.&#10;"/>
      </w:tblPr>
      <w:tblGrid>
        <w:gridCol w:w="2379"/>
        <w:gridCol w:w="1786"/>
        <w:gridCol w:w="904"/>
        <w:gridCol w:w="725"/>
        <w:gridCol w:w="725"/>
        <w:gridCol w:w="725"/>
        <w:gridCol w:w="725"/>
      </w:tblGrid>
      <w:tr w:rsidR="00435CC0" w:rsidRPr="00DF38B2" w:rsidTr="00256FDF">
        <w:trPr>
          <w:cantSplit/>
          <w:tblHeader/>
          <w:jc w:val="center"/>
        </w:trPr>
        <w:tc>
          <w:tcPr>
            <w:tcW w:w="2379" w:type="dxa"/>
            <w:tcBorders>
              <w:top w:val="single" w:sz="4" w:space="0" w:color="auto"/>
              <w:bottom w:val="single" w:sz="4" w:space="0" w:color="auto"/>
            </w:tcBorders>
          </w:tcPr>
          <w:p w:rsidR="00435CC0" w:rsidRDefault="00435CC0" w:rsidP="002456DD">
            <w:pPr>
              <w:keepNext/>
              <w:keepLines/>
              <w:jc w:val="left"/>
              <w:rPr>
                <w:rFonts w:ascii="Calibri" w:hAnsi="Calibri"/>
                <w:sz w:val="18"/>
              </w:rPr>
            </w:pPr>
          </w:p>
        </w:tc>
        <w:tc>
          <w:tcPr>
            <w:tcW w:w="1786" w:type="dxa"/>
            <w:tcBorders>
              <w:top w:val="single" w:sz="4" w:space="0" w:color="auto"/>
              <w:bottom w:val="single" w:sz="4" w:space="0" w:color="auto"/>
            </w:tcBorders>
          </w:tcPr>
          <w:p w:rsidR="00435CC0" w:rsidRPr="00DF38B2" w:rsidRDefault="00435CC0" w:rsidP="002456DD">
            <w:pPr>
              <w:keepNext/>
              <w:keepLines/>
              <w:jc w:val="left"/>
            </w:pPr>
            <w:r>
              <w:rPr>
                <w:rFonts w:ascii="Calibri" w:hAnsi="Calibri"/>
                <w:sz w:val="18"/>
              </w:rPr>
              <w:t>A</w:t>
            </w:r>
            <w:r w:rsidRPr="002456DD">
              <w:rPr>
                <w:rFonts w:ascii="Calibri" w:hAnsi="Calibri"/>
                <w:sz w:val="18"/>
              </w:rPr>
              <w:t>verage October to December failed transaction rate</w:t>
            </w:r>
          </w:p>
        </w:tc>
        <w:tc>
          <w:tcPr>
            <w:tcW w:w="904" w:type="dxa"/>
            <w:tcBorders>
              <w:top w:val="single" w:sz="4" w:space="0" w:color="auto"/>
              <w:bottom w:val="single" w:sz="4" w:space="0" w:color="auto"/>
            </w:tcBorders>
            <w:vAlign w:val="bottom"/>
          </w:tcPr>
          <w:p w:rsidR="00435CC0" w:rsidRPr="00DF38B2" w:rsidRDefault="00435CC0" w:rsidP="002456DD">
            <w:pPr>
              <w:pStyle w:val="tabletextright"/>
            </w:pPr>
            <w:r w:rsidRPr="00DF38B2">
              <w:t>2009</w:t>
            </w:r>
            <w:r>
              <w:t xml:space="preserve"> (a)</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2010</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2011</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2012</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2013</w:t>
            </w:r>
          </w:p>
        </w:tc>
      </w:tr>
      <w:tr w:rsidR="00EB5275" w:rsidRPr="00DF38B2" w:rsidTr="00256FDF">
        <w:trPr>
          <w:cantSplit/>
          <w:jc w:val="center"/>
        </w:trPr>
        <w:tc>
          <w:tcPr>
            <w:tcW w:w="2379" w:type="dxa"/>
            <w:vMerge w:val="restart"/>
          </w:tcPr>
          <w:p w:rsidR="00EB5275" w:rsidRPr="00DF38B2" w:rsidRDefault="00EB5275" w:rsidP="00256FDF">
            <w:pPr>
              <w:pStyle w:val="tabletextleft"/>
              <w:jc w:val="left"/>
            </w:pPr>
            <w:r w:rsidRPr="00DF38B2">
              <w:t>Transactions failed due to inadequate funds as a proportion of all transactions</w:t>
            </w:r>
            <w:r>
              <w:t xml:space="preserve"> (%)</w:t>
            </w:r>
          </w:p>
        </w:tc>
        <w:tc>
          <w:tcPr>
            <w:tcW w:w="1786" w:type="dxa"/>
            <w:vAlign w:val="bottom"/>
          </w:tcPr>
          <w:p w:rsidR="00EB5275" w:rsidRPr="00DF38B2" w:rsidRDefault="00EB5275" w:rsidP="00435CC0">
            <w:pPr>
              <w:pStyle w:val="tabletextleft"/>
              <w:jc w:val="left"/>
            </w:pPr>
            <w:r w:rsidRPr="00DF38B2">
              <w:t>2010</w:t>
            </w:r>
          </w:p>
        </w:tc>
        <w:tc>
          <w:tcPr>
            <w:tcW w:w="904" w:type="dxa"/>
            <w:vAlign w:val="bottom"/>
          </w:tcPr>
          <w:p w:rsidR="00EB5275" w:rsidRPr="00DF38B2" w:rsidRDefault="00EB5275" w:rsidP="00435CC0">
            <w:pPr>
              <w:pStyle w:val="tabletextright"/>
            </w:pPr>
            <w:r w:rsidRPr="00DF38B2">
              <w:t>14.1</w:t>
            </w:r>
          </w:p>
        </w:tc>
        <w:tc>
          <w:tcPr>
            <w:tcW w:w="725" w:type="dxa"/>
            <w:vAlign w:val="bottom"/>
          </w:tcPr>
          <w:p w:rsidR="00EB5275" w:rsidRPr="00DF38B2" w:rsidRDefault="00EB5275" w:rsidP="00435CC0">
            <w:pPr>
              <w:pStyle w:val="tabletextright"/>
            </w:pPr>
            <w:r w:rsidRPr="00DF38B2">
              <w:t>11.7</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r>
      <w:tr w:rsidR="00EB5275" w:rsidRPr="00DF38B2" w:rsidTr="00256FDF">
        <w:trPr>
          <w:cantSplit/>
          <w:jc w:val="center"/>
        </w:trPr>
        <w:tc>
          <w:tcPr>
            <w:tcW w:w="2379" w:type="dxa"/>
            <w:vMerge/>
          </w:tcPr>
          <w:p w:rsidR="00EB5275" w:rsidRPr="00DF38B2" w:rsidRDefault="00EB5275" w:rsidP="006654AE">
            <w:pPr>
              <w:pStyle w:val="tabletextleft"/>
            </w:pPr>
          </w:p>
        </w:tc>
        <w:tc>
          <w:tcPr>
            <w:tcW w:w="1786" w:type="dxa"/>
          </w:tcPr>
          <w:p w:rsidR="00EB5275" w:rsidRPr="00DF38B2" w:rsidRDefault="00EB5275" w:rsidP="006654AE">
            <w:pPr>
              <w:pStyle w:val="tabletextleft"/>
            </w:pPr>
            <w:r w:rsidRPr="00DF38B2">
              <w:t>2011</w:t>
            </w:r>
          </w:p>
        </w:tc>
        <w:tc>
          <w:tcPr>
            <w:tcW w:w="904" w:type="dxa"/>
          </w:tcPr>
          <w:p w:rsidR="00EB5275" w:rsidRPr="00DF38B2" w:rsidRDefault="00EB5275" w:rsidP="006654AE">
            <w:pPr>
              <w:pStyle w:val="tabletextright"/>
            </w:pPr>
            <w:r w:rsidRPr="00DF38B2">
              <w:t>13.7</w:t>
            </w:r>
          </w:p>
        </w:tc>
        <w:tc>
          <w:tcPr>
            <w:tcW w:w="725" w:type="dxa"/>
          </w:tcPr>
          <w:p w:rsidR="00EB5275" w:rsidRPr="00DF38B2" w:rsidRDefault="00EB5275" w:rsidP="006654AE">
            <w:pPr>
              <w:pStyle w:val="tabletextright"/>
            </w:pPr>
            <w:r w:rsidRPr="00DF38B2">
              <w:t>10.5</w:t>
            </w:r>
          </w:p>
        </w:tc>
        <w:tc>
          <w:tcPr>
            <w:tcW w:w="725" w:type="dxa"/>
          </w:tcPr>
          <w:p w:rsidR="00EB5275" w:rsidRPr="00DF38B2" w:rsidRDefault="00EB5275" w:rsidP="006654AE">
            <w:pPr>
              <w:pStyle w:val="tabletextright"/>
            </w:pPr>
            <w:r w:rsidRPr="00DF38B2">
              <w:t>9.4</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r>
      <w:tr w:rsidR="00EB5275" w:rsidRPr="00DF38B2" w:rsidTr="00256FDF">
        <w:trPr>
          <w:cantSplit/>
          <w:jc w:val="center"/>
        </w:trPr>
        <w:tc>
          <w:tcPr>
            <w:tcW w:w="2379" w:type="dxa"/>
            <w:vMerge/>
          </w:tcPr>
          <w:p w:rsidR="00EB5275" w:rsidRPr="00DF38B2" w:rsidRDefault="00EB5275" w:rsidP="006654AE">
            <w:pPr>
              <w:pStyle w:val="tabletextleft"/>
            </w:pPr>
          </w:p>
        </w:tc>
        <w:tc>
          <w:tcPr>
            <w:tcW w:w="1786" w:type="dxa"/>
          </w:tcPr>
          <w:p w:rsidR="00EB5275" w:rsidRPr="00DF38B2" w:rsidRDefault="00EB5275" w:rsidP="006654AE">
            <w:pPr>
              <w:pStyle w:val="tabletextleft"/>
            </w:pPr>
            <w:r w:rsidRPr="00DF38B2">
              <w:t>2012</w:t>
            </w:r>
          </w:p>
        </w:tc>
        <w:tc>
          <w:tcPr>
            <w:tcW w:w="904" w:type="dxa"/>
          </w:tcPr>
          <w:p w:rsidR="00EB5275" w:rsidRPr="00DF38B2" w:rsidRDefault="00EB5275" w:rsidP="006654AE">
            <w:pPr>
              <w:pStyle w:val="tabletextright"/>
            </w:pPr>
            <w:r w:rsidRPr="00DF38B2">
              <w:t>13.5</w:t>
            </w:r>
          </w:p>
        </w:tc>
        <w:tc>
          <w:tcPr>
            <w:tcW w:w="725" w:type="dxa"/>
          </w:tcPr>
          <w:p w:rsidR="00EB5275" w:rsidRPr="00DF38B2" w:rsidRDefault="00EB5275" w:rsidP="006654AE">
            <w:pPr>
              <w:pStyle w:val="tabletextright"/>
            </w:pPr>
            <w:r w:rsidRPr="00DF38B2">
              <w:t>10.4</w:t>
            </w:r>
          </w:p>
        </w:tc>
        <w:tc>
          <w:tcPr>
            <w:tcW w:w="725" w:type="dxa"/>
          </w:tcPr>
          <w:p w:rsidR="00EB5275" w:rsidRPr="00DF38B2" w:rsidRDefault="00EB5275" w:rsidP="006654AE">
            <w:pPr>
              <w:pStyle w:val="tabletextright"/>
            </w:pPr>
            <w:r w:rsidRPr="00DF38B2">
              <w:t>8.8</w:t>
            </w:r>
          </w:p>
        </w:tc>
        <w:tc>
          <w:tcPr>
            <w:tcW w:w="725" w:type="dxa"/>
          </w:tcPr>
          <w:p w:rsidR="00EB5275" w:rsidRPr="00DF38B2" w:rsidRDefault="00EB5275" w:rsidP="006654AE">
            <w:pPr>
              <w:pStyle w:val="tabletextright"/>
            </w:pPr>
            <w:r w:rsidRPr="00DF38B2">
              <w:t>10.4</w:t>
            </w:r>
          </w:p>
        </w:tc>
        <w:tc>
          <w:tcPr>
            <w:tcW w:w="725" w:type="dxa"/>
          </w:tcPr>
          <w:p w:rsidR="00EB5275" w:rsidRPr="00DF38B2" w:rsidRDefault="00EB5275" w:rsidP="006654AE">
            <w:pPr>
              <w:pStyle w:val="tabletextright"/>
            </w:pPr>
            <w:r>
              <w:t>-</w:t>
            </w:r>
          </w:p>
        </w:tc>
      </w:tr>
      <w:tr w:rsidR="00EB5275" w:rsidRPr="00DF38B2" w:rsidTr="00256FDF">
        <w:trPr>
          <w:cantSplit/>
          <w:trHeight w:val="384"/>
          <w:jc w:val="center"/>
        </w:trPr>
        <w:tc>
          <w:tcPr>
            <w:tcW w:w="2379" w:type="dxa"/>
            <w:vMerge/>
            <w:tcBorders>
              <w:bottom w:val="single" w:sz="4" w:space="0" w:color="auto"/>
            </w:tcBorders>
          </w:tcPr>
          <w:p w:rsidR="00EB5275" w:rsidRPr="00DF38B2" w:rsidRDefault="00EB5275" w:rsidP="006654AE">
            <w:pPr>
              <w:pStyle w:val="tabletextleft"/>
            </w:pPr>
          </w:p>
        </w:tc>
        <w:tc>
          <w:tcPr>
            <w:tcW w:w="1786" w:type="dxa"/>
            <w:tcBorders>
              <w:bottom w:val="single" w:sz="4" w:space="0" w:color="auto"/>
            </w:tcBorders>
          </w:tcPr>
          <w:p w:rsidR="00EB5275" w:rsidRPr="00DF38B2" w:rsidRDefault="00EB5275" w:rsidP="006654AE">
            <w:pPr>
              <w:pStyle w:val="tabletextleft"/>
            </w:pPr>
            <w:r w:rsidRPr="00DF38B2">
              <w:t>2013</w:t>
            </w:r>
          </w:p>
        </w:tc>
        <w:tc>
          <w:tcPr>
            <w:tcW w:w="904" w:type="dxa"/>
            <w:tcBorders>
              <w:bottom w:val="single" w:sz="4" w:space="0" w:color="auto"/>
            </w:tcBorders>
          </w:tcPr>
          <w:p w:rsidR="00EB5275" w:rsidRPr="00DF38B2" w:rsidRDefault="00EB5275" w:rsidP="006654AE">
            <w:pPr>
              <w:pStyle w:val="tabletextright"/>
            </w:pPr>
            <w:r w:rsidRPr="00DF38B2">
              <w:t>11.5</w:t>
            </w:r>
          </w:p>
        </w:tc>
        <w:tc>
          <w:tcPr>
            <w:tcW w:w="725" w:type="dxa"/>
            <w:tcBorders>
              <w:bottom w:val="single" w:sz="4" w:space="0" w:color="auto"/>
            </w:tcBorders>
          </w:tcPr>
          <w:p w:rsidR="00EB5275" w:rsidRPr="00DF38B2" w:rsidRDefault="00EB5275" w:rsidP="006654AE">
            <w:pPr>
              <w:pStyle w:val="tabletextright"/>
            </w:pPr>
            <w:r w:rsidRPr="00DF38B2">
              <w:t>8.9</w:t>
            </w:r>
          </w:p>
        </w:tc>
        <w:tc>
          <w:tcPr>
            <w:tcW w:w="725" w:type="dxa"/>
            <w:tcBorders>
              <w:bottom w:val="single" w:sz="4" w:space="0" w:color="auto"/>
            </w:tcBorders>
          </w:tcPr>
          <w:p w:rsidR="00EB5275" w:rsidRPr="00DF38B2" w:rsidRDefault="00EB5275" w:rsidP="006654AE">
            <w:pPr>
              <w:pStyle w:val="tabletextright"/>
            </w:pPr>
            <w:r w:rsidRPr="00DF38B2">
              <w:t>7.6</w:t>
            </w:r>
          </w:p>
        </w:tc>
        <w:tc>
          <w:tcPr>
            <w:tcW w:w="725" w:type="dxa"/>
            <w:tcBorders>
              <w:bottom w:val="single" w:sz="4" w:space="0" w:color="auto"/>
            </w:tcBorders>
          </w:tcPr>
          <w:p w:rsidR="00EB5275" w:rsidRPr="00DF38B2" w:rsidRDefault="00EB5275" w:rsidP="006654AE">
            <w:pPr>
              <w:pStyle w:val="tabletextright"/>
            </w:pPr>
            <w:r w:rsidRPr="00DF38B2">
              <w:t>8.1</w:t>
            </w:r>
          </w:p>
        </w:tc>
        <w:tc>
          <w:tcPr>
            <w:tcW w:w="725" w:type="dxa"/>
            <w:tcBorders>
              <w:bottom w:val="single" w:sz="4" w:space="0" w:color="auto"/>
            </w:tcBorders>
          </w:tcPr>
          <w:p w:rsidR="00EB5275" w:rsidRPr="00DF38B2" w:rsidRDefault="00EB5275" w:rsidP="006654AE">
            <w:pPr>
              <w:pStyle w:val="tabletextright"/>
            </w:pPr>
            <w:r w:rsidRPr="00DF38B2">
              <w:t>7.8</w:t>
            </w:r>
          </w:p>
        </w:tc>
      </w:tr>
      <w:tr w:rsidR="00256FDF" w:rsidRPr="00DF38B2" w:rsidTr="00256FDF">
        <w:trPr>
          <w:cantSplit/>
          <w:trHeight w:val="188"/>
          <w:jc w:val="center"/>
        </w:trPr>
        <w:tc>
          <w:tcPr>
            <w:tcW w:w="2379" w:type="dxa"/>
            <w:vMerge w:val="restart"/>
            <w:tcBorders>
              <w:top w:val="single" w:sz="4" w:space="0" w:color="auto"/>
            </w:tcBorders>
          </w:tcPr>
          <w:p w:rsidR="00256FDF" w:rsidRPr="00DF38B2" w:rsidRDefault="00256FDF" w:rsidP="006654AE">
            <w:pPr>
              <w:pStyle w:val="tabletextleft"/>
            </w:pPr>
            <w:r>
              <w:t>Change in failure rate</w:t>
            </w:r>
          </w:p>
        </w:tc>
        <w:tc>
          <w:tcPr>
            <w:tcW w:w="1786" w:type="dxa"/>
            <w:tcBorders>
              <w:top w:val="single" w:sz="4" w:space="0" w:color="auto"/>
            </w:tcBorders>
          </w:tcPr>
          <w:p w:rsidR="00256FDF" w:rsidRPr="00DF38B2" w:rsidRDefault="00256FDF" w:rsidP="006654AE">
            <w:pPr>
              <w:pStyle w:val="tabletextleft"/>
            </w:pPr>
            <w:r>
              <w:t>2010-2011</w:t>
            </w:r>
          </w:p>
        </w:tc>
        <w:tc>
          <w:tcPr>
            <w:tcW w:w="904" w:type="dxa"/>
            <w:tcBorders>
              <w:top w:val="single" w:sz="4" w:space="0" w:color="auto"/>
            </w:tcBorders>
          </w:tcPr>
          <w:p w:rsidR="00256FDF" w:rsidRPr="00DF38B2" w:rsidRDefault="00256FDF" w:rsidP="006654AE">
            <w:pPr>
              <w:pStyle w:val="tabletextright"/>
            </w:pPr>
            <w:r>
              <w:t>-0.4</w:t>
            </w:r>
          </w:p>
        </w:tc>
        <w:tc>
          <w:tcPr>
            <w:tcW w:w="725" w:type="dxa"/>
            <w:tcBorders>
              <w:top w:val="single" w:sz="4" w:space="0" w:color="auto"/>
            </w:tcBorders>
          </w:tcPr>
          <w:p w:rsidR="00256FDF" w:rsidRPr="00DF38B2" w:rsidRDefault="00256FDF" w:rsidP="006654AE">
            <w:pPr>
              <w:pStyle w:val="tabletextright"/>
            </w:pPr>
            <w:r>
              <w:t>-1.2</w:t>
            </w:r>
          </w:p>
        </w:tc>
        <w:tc>
          <w:tcPr>
            <w:tcW w:w="725" w:type="dxa"/>
            <w:tcBorders>
              <w:top w:val="single" w:sz="4" w:space="0" w:color="auto"/>
            </w:tcBorders>
          </w:tcPr>
          <w:p w:rsidR="00256FDF" w:rsidRPr="00DF38B2" w:rsidRDefault="00256FDF" w:rsidP="006654AE">
            <w:pPr>
              <w:pStyle w:val="tabletextright"/>
            </w:pPr>
            <w:r>
              <w:t>-</w:t>
            </w:r>
          </w:p>
        </w:tc>
        <w:tc>
          <w:tcPr>
            <w:tcW w:w="725" w:type="dxa"/>
            <w:tcBorders>
              <w:top w:val="single" w:sz="4" w:space="0" w:color="auto"/>
            </w:tcBorders>
          </w:tcPr>
          <w:p w:rsidR="00256FDF" w:rsidRPr="00DF38B2" w:rsidRDefault="00256FDF" w:rsidP="006654AE">
            <w:pPr>
              <w:pStyle w:val="tabletextright"/>
            </w:pPr>
            <w:r>
              <w:t>-</w:t>
            </w:r>
          </w:p>
        </w:tc>
        <w:tc>
          <w:tcPr>
            <w:tcW w:w="725" w:type="dxa"/>
            <w:tcBorders>
              <w:top w:val="single" w:sz="4" w:space="0" w:color="auto"/>
            </w:tcBorders>
          </w:tcPr>
          <w:p w:rsidR="00256FDF" w:rsidRPr="00DF38B2" w:rsidRDefault="00256FDF" w:rsidP="006654AE">
            <w:pPr>
              <w:pStyle w:val="tabletextright"/>
            </w:pPr>
            <w:r>
              <w:t>-</w:t>
            </w:r>
          </w:p>
        </w:tc>
      </w:tr>
      <w:tr w:rsidR="00256FDF" w:rsidRPr="00DF38B2" w:rsidTr="00256FDF">
        <w:trPr>
          <w:cantSplit/>
          <w:trHeight w:val="116"/>
          <w:jc w:val="center"/>
        </w:trPr>
        <w:tc>
          <w:tcPr>
            <w:tcW w:w="2379" w:type="dxa"/>
            <w:vMerge/>
          </w:tcPr>
          <w:p w:rsidR="00256FDF" w:rsidRPr="00DF38B2" w:rsidRDefault="00256FDF" w:rsidP="006654AE">
            <w:pPr>
              <w:pStyle w:val="tabletextleft"/>
            </w:pPr>
          </w:p>
        </w:tc>
        <w:tc>
          <w:tcPr>
            <w:tcW w:w="1786" w:type="dxa"/>
          </w:tcPr>
          <w:p w:rsidR="00256FDF" w:rsidRPr="00DF38B2" w:rsidRDefault="00256FDF" w:rsidP="006654AE">
            <w:pPr>
              <w:pStyle w:val="tabletextleft"/>
            </w:pPr>
            <w:r>
              <w:t>2011-2012</w:t>
            </w:r>
          </w:p>
        </w:tc>
        <w:tc>
          <w:tcPr>
            <w:tcW w:w="904" w:type="dxa"/>
          </w:tcPr>
          <w:p w:rsidR="00256FDF" w:rsidRPr="00DF38B2" w:rsidRDefault="00256FDF" w:rsidP="006654AE">
            <w:pPr>
              <w:pStyle w:val="tabletextright"/>
            </w:pPr>
            <w:r>
              <w:t>-0.2</w:t>
            </w:r>
          </w:p>
        </w:tc>
        <w:tc>
          <w:tcPr>
            <w:tcW w:w="725" w:type="dxa"/>
          </w:tcPr>
          <w:p w:rsidR="00256FDF" w:rsidRPr="00DF38B2" w:rsidRDefault="00256FDF" w:rsidP="006654AE">
            <w:pPr>
              <w:pStyle w:val="tabletextright"/>
            </w:pPr>
            <w:r>
              <w:t>-0.1</w:t>
            </w:r>
          </w:p>
        </w:tc>
        <w:tc>
          <w:tcPr>
            <w:tcW w:w="725" w:type="dxa"/>
          </w:tcPr>
          <w:p w:rsidR="00256FDF" w:rsidRPr="00DF38B2" w:rsidRDefault="00256FDF" w:rsidP="006654AE">
            <w:pPr>
              <w:pStyle w:val="tabletextright"/>
            </w:pPr>
            <w:r>
              <w:t>-0.6</w:t>
            </w:r>
          </w:p>
        </w:tc>
        <w:tc>
          <w:tcPr>
            <w:tcW w:w="725" w:type="dxa"/>
          </w:tcPr>
          <w:p w:rsidR="00256FDF" w:rsidRPr="00DF38B2" w:rsidRDefault="00256FDF" w:rsidP="006654AE">
            <w:pPr>
              <w:pStyle w:val="tabletextright"/>
            </w:pPr>
            <w:r>
              <w:t>-</w:t>
            </w:r>
          </w:p>
        </w:tc>
        <w:tc>
          <w:tcPr>
            <w:tcW w:w="725" w:type="dxa"/>
          </w:tcPr>
          <w:p w:rsidR="00256FDF" w:rsidRPr="00DF38B2" w:rsidRDefault="00256FDF" w:rsidP="006654AE">
            <w:pPr>
              <w:pStyle w:val="tabletextright"/>
            </w:pPr>
            <w:r>
              <w:t>-</w:t>
            </w:r>
          </w:p>
        </w:tc>
      </w:tr>
      <w:tr w:rsidR="00256FDF" w:rsidRPr="00DF38B2" w:rsidTr="00256FDF">
        <w:trPr>
          <w:cantSplit/>
          <w:trHeight w:val="177"/>
          <w:jc w:val="center"/>
        </w:trPr>
        <w:tc>
          <w:tcPr>
            <w:tcW w:w="2379" w:type="dxa"/>
            <w:vMerge/>
            <w:tcBorders>
              <w:bottom w:val="single" w:sz="4" w:space="0" w:color="auto"/>
            </w:tcBorders>
          </w:tcPr>
          <w:p w:rsidR="00256FDF" w:rsidRPr="00DF38B2" w:rsidRDefault="00256FDF" w:rsidP="006654AE">
            <w:pPr>
              <w:pStyle w:val="tabletextleft"/>
            </w:pPr>
          </w:p>
        </w:tc>
        <w:tc>
          <w:tcPr>
            <w:tcW w:w="1786" w:type="dxa"/>
            <w:tcBorders>
              <w:bottom w:val="single" w:sz="4" w:space="0" w:color="auto"/>
            </w:tcBorders>
          </w:tcPr>
          <w:p w:rsidR="00256FDF" w:rsidRPr="00DF38B2" w:rsidRDefault="00256FDF" w:rsidP="006654AE">
            <w:pPr>
              <w:pStyle w:val="tabletextleft"/>
            </w:pPr>
            <w:r>
              <w:t>2012-2013</w:t>
            </w:r>
          </w:p>
        </w:tc>
        <w:tc>
          <w:tcPr>
            <w:tcW w:w="904" w:type="dxa"/>
            <w:tcBorders>
              <w:bottom w:val="single" w:sz="4" w:space="0" w:color="auto"/>
            </w:tcBorders>
          </w:tcPr>
          <w:p w:rsidR="00256FDF" w:rsidRPr="00DF38B2" w:rsidRDefault="00256FDF" w:rsidP="006654AE">
            <w:pPr>
              <w:pStyle w:val="tabletextright"/>
            </w:pPr>
            <w:r>
              <w:t>-2.1</w:t>
            </w:r>
          </w:p>
        </w:tc>
        <w:tc>
          <w:tcPr>
            <w:tcW w:w="725" w:type="dxa"/>
            <w:tcBorders>
              <w:bottom w:val="single" w:sz="4" w:space="0" w:color="auto"/>
            </w:tcBorders>
          </w:tcPr>
          <w:p w:rsidR="00256FDF" w:rsidRPr="00DF38B2" w:rsidRDefault="00256FDF" w:rsidP="006654AE">
            <w:pPr>
              <w:pStyle w:val="tabletextright"/>
            </w:pPr>
            <w:r>
              <w:t>-1.6</w:t>
            </w:r>
          </w:p>
        </w:tc>
        <w:tc>
          <w:tcPr>
            <w:tcW w:w="725" w:type="dxa"/>
            <w:tcBorders>
              <w:bottom w:val="single" w:sz="4" w:space="0" w:color="auto"/>
            </w:tcBorders>
          </w:tcPr>
          <w:p w:rsidR="00256FDF" w:rsidRPr="00DF38B2" w:rsidRDefault="00256FDF" w:rsidP="006654AE">
            <w:pPr>
              <w:pStyle w:val="tabletextright"/>
            </w:pPr>
            <w:r>
              <w:t>-1.2</w:t>
            </w:r>
          </w:p>
        </w:tc>
        <w:tc>
          <w:tcPr>
            <w:tcW w:w="725" w:type="dxa"/>
            <w:tcBorders>
              <w:bottom w:val="single" w:sz="4" w:space="0" w:color="auto"/>
            </w:tcBorders>
          </w:tcPr>
          <w:p w:rsidR="00256FDF" w:rsidRPr="00DF38B2" w:rsidRDefault="00256FDF" w:rsidP="006654AE">
            <w:pPr>
              <w:pStyle w:val="tabletextright"/>
            </w:pPr>
            <w:r>
              <w:t>-2.3</w:t>
            </w:r>
          </w:p>
        </w:tc>
        <w:tc>
          <w:tcPr>
            <w:tcW w:w="725" w:type="dxa"/>
            <w:tcBorders>
              <w:bottom w:val="single" w:sz="4" w:space="0" w:color="auto"/>
            </w:tcBorders>
          </w:tcPr>
          <w:p w:rsidR="00256FDF" w:rsidRPr="00DF38B2" w:rsidRDefault="00256FDF" w:rsidP="006654AE">
            <w:pPr>
              <w:pStyle w:val="tabletextright"/>
            </w:pPr>
            <w:r>
              <w:t>-</w:t>
            </w:r>
          </w:p>
        </w:tc>
      </w:tr>
    </w:tbl>
    <w:p w:rsidR="000F06BF" w:rsidRDefault="000F06BF" w:rsidP="006654AE">
      <w:pPr>
        <w:pStyle w:val="tablenotes"/>
      </w:pPr>
    </w:p>
    <w:p w:rsidR="002456DD" w:rsidRDefault="002456DD" w:rsidP="006654AE">
      <w:pPr>
        <w:pStyle w:val="tablenotes"/>
      </w:pPr>
      <w:r>
        <w:t>Notes:</w:t>
      </w:r>
      <w:r>
        <w:tab/>
        <w:t>(a) entry cohort</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 xml:space="preserve">Given the extent of the change </w:t>
      </w:r>
      <w:r w:rsidR="007020F0">
        <w:t>during</w:t>
      </w:r>
      <w:r w:rsidRPr="00DF38B2">
        <w:t xml:space="preserve"> 2012 to 2013</w:t>
      </w:r>
      <w:r w:rsidR="007020F0">
        <w:t>,</w:t>
      </w:r>
      <w:r w:rsidRPr="00DF38B2">
        <w:t xml:space="preserve"> its impact across cohorts</w:t>
      </w:r>
      <w:r w:rsidR="007020F0">
        <w:t>,</w:t>
      </w:r>
      <w:r w:rsidRPr="00DF38B2">
        <w:t xml:space="preserve"> and its break with the previous trend, it is likely that this reflects an exogenous change, rather than changing behaviours. It is quite probably the impact of the introduction of the </w:t>
      </w:r>
      <w:proofErr w:type="spellStart"/>
      <w:r w:rsidR="00A8053C">
        <w:t>f</w:t>
      </w:r>
      <w:r w:rsidR="00A8053C" w:rsidRPr="00DF38B2">
        <w:t>ree</w:t>
      </w:r>
      <w:r w:rsidR="00A8053C">
        <w:t>c</w:t>
      </w:r>
      <w:r w:rsidR="00A8053C" w:rsidRPr="00DF38B2">
        <w:t>all</w:t>
      </w:r>
      <w:proofErr w:type="spellEnd"/>
      <w:r w:rsidRPr="00DF38B2">
        <w:t xml:space="preserve"> facility on mobile phones. Once this is taken </w:t>
      </w:r>
      <w:r w:rsidR="00F45BDC">
        <w:t xml:space="preserve">into </w:t>
      </w:r>
      <w:r w:rsidRPr="00DF38B2">
        <w:t>account, while there is some decline in the rate of failed transactions over time, this is a very gradual process.</w:t>
      </w:r>
    </w:p>
    <w:p w:rsidR="005E1FE0" w:rsidRPr="00DF38B2" w:rsidRDefault="005E1FE0" w:rsidP="006654AE">
      <w:pPr>
        <w:pStyle w:val="Heading4"/>
      </w:pPr>
      <w:r w:rsidRPr="00DF38B2">
        <w:t>Changes in the rate of failure over time – what individual factors impact</w:t>
      </w:r>
    </w:p>
    <w:p w:rsidR="005E1FE0" w:rsidRPr="00DF38B2" w:rsidRDefault="00F5565A" w:rsidP="006654AE">
      <w:r>
        <w:t>I</w:t>
      </w:r>
      <w:r w:rsidRPr="00DF38B2">
        <w:t>n addition to the regressions concerning replacement cards that ha</w:t>
      </w:r>
      <w:r>
        <w:t>ve</w:t>
      </w:r>
      <w:r w:rsidRPr="00DF38B2">
        <w:t xml:space="preserve"> been discussed earlier</w:t>
      </w:r>
      <w:r>
        <w:t>,</w:t>
      </w:r>
      <w:r w:rsidRPr="00DF38B2">
        <w:t xml:space="preserve"> </w:t>
      </w:r>
      <w:r w:rsidR="005E1FE0" w:rsidRPr="00DF38B2">
        <w:fldChar w:fldCharType="begin"/>
      </w:r>
      <w:r w:rsidR="005E1FE0" w:rsidRPr="00DF38B2">
        <w:instrText xml:space="preserve"> REF _Ref391544848 \h </w:instrText>
      </w:r>
      <w:r w:rsidR="005E1FE0" w:rsidRPr="00DF38B2">
        <w:fldChar w:fldCharType="separate"/>
      </w:r>
      <w:r w:rsidR="00906D13" w:rsidRPr="00DF38B2">
        <w:t xml:space="preserve">Table </w:t>
      </w:r>
      <w:r w:rsidR="00906D13">
        <w:rPr>
          <w:noProof/>
        </w:rPr>
        <w:t>6</w:t>
      </w:r>
      <w:r w:rsidR="00906D13">
        <w:noBreakHyphen/>
      </w:r>
      <w:r w:rsidR="00906D13">
        <w:rPr>
          <w:noProof/>
        </w:rPr>
        <w:t>16</w:t>
      </w:r>
      <w:r w:rsidR="005E1FE0" w:rsidRPr="00DF38B2">
        <w:fldChar w:fldCharType="end"/>
      </w:r>
      <w:r w:rsidR="005E1FE0" w:rsidRPr="00DF38B2">
        <w:t xml:space="preserve"> </w:t>
      </w:r>
      <w:r w:rsidR="003D3FFD">
        <w:t xml:space="preserve">also </w:t>
      </w:r>
      <w:r w:rsidR="005E1FE0" w:rsidRPr="00DF38B2">
        <w:t>presents a similar modelling exercise focused on the rate of failed transactions. As with card replacement</w:t>
      </w:r>
      <w:r>
        <w:t>,</w:t>
      </w:r>
      <w:r w:rsidR="005E1FE0" w:rsidRPr="00DF38B2">
        <w:t xml:space="preserve"> three regression models are presented. The first co</w:t>
      </w:r>
      <w:r w:rsidR="005E1FE0" w:rsidRPr="00FE502F">
        <w:t xml:space="preserve">nsiders the factors </w:t>
      </w:r>
      <w:r>
        <w:t>that</w:t>
      </w:r>
      <w:r w:rsidR="005E1FE0" w:rsidRPr="00FE502F">
        <w:t xml:space="preserve"> may explain the 2013 failure rate, with the </w:t>
      </w:r>
      <w:r w:rsidR="00CA60AC">
        <w:t xml:space="preserve">other </w:t>
      </w:r>
      <w:r w:rsidR="005E1FE0" w:rsidRPr="009655C3">
        <w:t xml:space="preserve">two models looking at change </w:t>
      </w:r>
      <w:r w:rsidR="00730C83" w:rsidRPr="009655C3">
        <w:t xml:space="preserve">in the rate of failed transactions </w:t>
      </w:r>
      <w:r w:rsidR="005E1FE0" w:rsidRPr="00DF38B2">
        <w:t>between 2012 and 2013, and 2011 and 2013. In a similar fashion to the earlier results, while the point in time model produces a relatively good fit</w:t>
      </w:r>
      <w:r>
        <w:t>,</w:t>
      </w:r>
      <w:r w:rsidR="005E1FE0" w:rsidRPr="00DF38B2">
        <w:t xml:space="preserve"> with an R</w:t>
      </w:r>
      <w:r w:rsidR="005E1FE0" w:rsidRPr="00DF38B2">
        <w:rPr>
          <w:vertAlign w:val="superscript"/>
        </w:rPr>
        <w:t>2</w:t>
      </w:r>
      <w:r w:rsidR="005E1FE0" w:rsidRPr="00DF38B2">
        <w:t xml:space="preserve"> of 0.182, the fit of the change models is quite poor</w:t>
      </w:r>
      <w:r>
        <w:t>,</w:t>
      </w:r>
      <w:r w:rsidR="005E1FE0" w:rsidRPr="00DF38B2">
        <w:t xml:space="preserve"> at R</w:t>
      </w:r>
      <w:r w:rsidR="005E1FE0" w:rsidRPr="00DF38B2">
        <w:rPr>
          <w:vertAlign w:val="superscript"/>
        </w:rPr>
        <w:t>2</w:t>
      </w:r>
      <w:r w:rsidR="005E1FE0" w:rsidRPr="00DF38B2">
        <w:t xml:space="preserve"> = 0.015</w:t>
      </w:r>
      <w:r>
        <w:t>,</w:t>
      </w:r>
      <w:r w:rsidR="005E1FE0" w:rsidRPr="00DF38B2">
        <w:t xml:space="preserve"> for the 2012 to 2013 change and </w:t>
      </w:r>
      <w:r>
        <w:t>R</w:t>
      </w:r>
      <w:r w:rsidR="005E1FE0" w:rsidRPr="00DF38B2">
        <w:rPr>
          <w:vertAlign w:val="superscript"/>
        </w:rPr>
        <w:t>2</w:t>
      </w:r>
      <w:r w:rsidR="005E1FE0" w:rsidRPr="00DF38B2">
        <w:t> = 0.032 for the change between 2011 and 2013</w:t>
      </w:r>
      <w:r w:rsidR="00A1421A">
        <w:t xml:space="preserve">. </w:t>
      </w:r>
      <w:r w:rsidR="00F84F3D">
        <w:t>As with the earlier analysis</w:t>
      </w:r>
      <w:r>
        <w:t>,</w:t>
      </w:r>
      <w:r w:rsidR="00F84F3D">
        <w:t xml:space="preserve"> the data used has been derived on the basis of a sliding window to include a population </w:t>
      </w:r>
      <w:r>
        <w:t xml:space="preserve">of people </w:t>
      </w:r>
      <w:r w:rsidR="00F84F3D">
        <w:t>who were on income support for most of the year in each of the years under study</w:t>
      </w:r>
      <w:r>
        <w:t>.</w:t>
      </w:r>
    </w:p>
    <w:p w:rsidR="005E1FE0" w:rsidRPr="00DF38B2" w:rsidRDefault="005E1FE0" w:rsidP="006654AE">
      <w:r w:rsidRPr="00DF38B2">
        <w:t xml:space="preserve">In the first model the parameter values indicate the </w:t>
      </w:r>
      <w:r w:rsidR="00730C83" w:rsidRPr="00DF38B2">
        <w:t>difference</w:t>
      </w:r>
      <w:r w:rsidRPr="00DF38B2">
        <w:t xml:space="preserve"> in the rate of failure either </w:t>
      </w:r>
      <w:r w:rsidR="009F2E6B" w:rsidRPr="00DF38B2">
        <w:t xml:space="preserve">compared with </w:t>
      </w:r>
      <w:r w:rsidRPr="00DF38B2">
        <w:t>the reference group, or as a function of the change of a unit in the value of the independent variable. The magnitude of the parameter needs to be assessed in relative terms to the mean value of the rate of failure</w:t>
      </w:r>
      <w:r w:rsidR="009F2E6B">
        <w:t>,</w:t>
      </w:r>
      <w:r w:rsidRPr="00DF38B2">
        <w:t xml:space="preserve"> which </w:t>
      </w:r>
      <w:proofErr w:type="gramStart"/>
      <w:r w:rsidRPr="00DF38B2">
        <w:t>is</w:t>
      </w:r>
      <w:proofErr w:type="gramEnd"/>
      <w:r w:rsidRPr="00DF38B2">
        <w:t xml:space="preserve"> 10.8:</w:t>
      </w:r>
    </w:p>
    <w:p w:rsidR="005E1FE0" w:rsidRPr="00DF38B2" w:rsidRDefault="005E1FE0" w:rsidP="006654AE">
      <w:pPr>
        <w:pStyle w:val="dot"/>
      </w:pPr>
      <w:r w:rsidRPr="00DF38B2">
        <w:t>Being male relative to being a woman increases the rate of failure by 0.9 percentage points, which is significant.</w:t>
      </w:r>
    </w:p>
    <w:p w:rsidR="005E1FE0" w:rsidRPr="00DF38B2" w:rsidRDefault="005E1FE0" w:rsidP="006654AE">
      <w:pPr>
        <w:pStyle w:val="dot"/>
      </w:pPr>
      <w:r w:rsidRPr="00DF38B2">
        <w:t>Relative to the couple</w:t>
      </w:r>
      <w:r w:rsidR="009F2E6B">
        <w:t>-</w:t>
      </w:r>
      <w:r w:rsidRPr="00DF38B2">
        <w:t>only family</w:t>
      </w:r>
      <w:r w:rsidR="009F2E6B">
        <w:t>,</w:t>
      </w:r>
      <w:r w:rsidRPr="00DF38B2">
        <w:t xml:space="preserve"> all other family types were significantly associated with a lower failure rate, with the magnitude of this varying from -1.1 for a couple with children to -2.8 for a single parent with dependent children with the youngest aged </w:t>
      </w:r>
      <w:r w:rsidR="009F2E6B">
        <w:t>five</w:t>
      </w:r>
      <w:r w:rsidRPr="00DF38B2">
        <w:t xml:space="preserve"> years</w:t>
      </w:r>
      <w:r w:rsidR="00F84F3D">
        <w:t xml:space="preserve"> and over</w:t>
      </w:r>
      <w:r w:rsidRPr="00DF38B2">
        <w:t>.</w:t>
      </w:r>
    </w:p>
    <w:p w:rsidR="005E1FE0" w:rsidRPr="00DF38B2" w:rsidRDefault="005E1FE0" w:rsidP="006654AE">
      <w:pPr>
        <w:pStyle w:val="dot"/>
      </w:pPr>
      <w:r w:rsidRPr="00DF38B2">
        <w:t>Only three types of income management showed highly significant differences relative to a person on the Long Term Welfare Payment Recipient stream, with each having a higher rate. These were those on assessed</w:t>
      </w:r>
      <w:r w:rsidR="00F45BDC">
        <w:t xml:space="preserve"> V</w:t>
      </w:r>
      <w:r w:rsidRPr="00DF38B2">
        <w:t>ulnerable</w:t>
      </w:r>
      <w:r w:rsidR="00F45BDC">
        <w:t xml:space="preserve"> I</w:t>
      </w:r>
      <w:r w:rsidRPr="00DF38B2">
        <w:t xml:space="preserve">ncome </w:t>
      </w:r>
      <w:r w:rsidR="00F45BDC">
        <w:t>M</w:t>
      </w:r>
      <w:r w:rsidRPr="00DF38B2">
        <w:t>anagement</w:t>
      </w:r>
      <w:r w:rsidR="009F2E6B">
        <w:t>,</w:t>
      </w:r>
      <w:r w:rsidRPr="00DF38B2">
        <w:t xml:space="preserve"> which was associated with an increase in the failure rate by 3.6 percentage points, SPAR (3.0)</w:t>
      </w:r>
      <w:r w:rsidR="009F2E6B">
        <w:t>,</w:t>
      </w:r>
      <w:r w:rsidRPr="00DF38B2">
        <w:t xml:space="preserve"> and child protection (1.9). While the results for the automatic </w:t>
      </w:r>
      <w:r w:rsidR="00F84F3D">
        <w:t xml:space="preserve">vulnerable </w:t>
      </w:r>
      <w:r w:rsidRPr="00DF38B2">
        <w:t xml:space="preserve">measures were not significant, they had in contrast a negative sign. </w:t>
      </w:r>
      <w:r w:rsidR="00F84F3D">
        <w:t>T</w:t>
      </w:r>
      <w:r w:rsidRPr="00DF38B2">
        <w:t>he parameter value associated with Voluntary Income Management was small and insignificant</w:t>
      </w:r>
      <w:r w:rsidR="00F84F3D">
        <w:t>.</w:t>
      </w:r>
      <w:r w:rsidRPr="00DF38B2">
        <w:t xml:space="preserve"> </w:t>
      </w:r>
      <w:r w:rsidR="00F84F3D">
        <w:t>T</w:t>
      </w:r>
      <w:r w:rsidRPr="00DF38B2">
        <w:t>here was a weak positive result also for those whose last record showed them as being on income management in another state.</w:t>
      </w:r>
    </w:p>
    <w:p w:rsidR="005E1FE0" w:rsidRPr="00DF38B2" w:rsidRDefault="005E1FE0" w:rsidP="006654AE">
      <w:pPr>
        <w:pStyle w:val="dot"/>
      </w:pPr>
      <w:r w:rsidRPr="00DF38B2">
        <w:t xml:space="preserve">Being on Disability Support Pension was associated with a 1.5 percentage point higher failure rate, relative to a person on Newstart, and on Youth Allowance a rate 0.9 </w:t>
      </w:r>
      <w:r w:rsidR="00ED28D3">
        <w:t xml:space="preserve">per cent </w:t>
      </w:r>
      <w:r w:rsidRPr="00DF38B2">
        <w:t>higher. In contrast, being on Parenting Payment was associated with a lower failure rate</w:t>
      </w:r>
      <w:r w:rsidR="00ED28D3">
        <w:t>:</w:t>
      </w:r>
      <w:r w:rsidRPr="00DF38B2">
        <w:t xml:space="preserve"> -1.2 percentage points for those on the partnered payment and -1.0 for those on the single rate.</w:t>
      </w:r>
    </w:p>
    <w:p w:rsidR="005E1FE0" w:rsidRPr="00DF38B2" w:rsidRDefault="005E1FE0" w:rsidP="006654AE">
      <w:pPr>
        <w:pStyle w:val="dot"/>
      </w:pPr>
      <w:r w:rsidRPr="00DF38B2">
        <w:lastRenderedPageBreak/>
        <w:t>Increases in the rate of receipt of either an advance or an urgent payment was associated with a higher failure rate – with a doubling of the receipt of this being associated with an increase of 0.6 of a percentage point for advance payments and 0.2 for urgent payments.</w:t>
      </w:r>
    </w:p>
    <w:p w:rsidR="005E1FE0" w:rsidRPr="00DF38B2" w:rsidRDefault="005E1FE0" w:rsidP="006654AE">
      <w:pPr>
        <w:pStyle w:val="dot"/>
      </w:pPr>
      <w:r w:rsidRPr="00DF38B2">
        <w:t xml:space="preserve">Relative to a non-Indigenous person in </w:t>
      </w:r>
      <w:r w:rsidR="00D95B12">
        <w:t>Greater Darwin</w:t>
      </w:r>
      <w:r w:rsidR="00ED28D3">
        <w:t>,</w:t>
      </w:r>
      <w:r w:rsidRPr="00DF38B2">
        <w:t xml:space="preserve"> the failure rates for people who identify as being Indigenous were significantly higher in all of the regions. This was particularly </w:t>
      </w:r>
      <w:r w:rsidR="00ED28D3">
        <w:t>so</w:t>
      </w:r>
      <w:r w:rsidRPr="00DF38B2">
        <w:t xml:space="preserve"> in East Arnhem (7.1 percentage points higher), but was between 3 and 4 percentage points </w:t>
      </w:r>
      <w:r w:rsidR="00ED28D3">
        <w:t xml:space="preserve">higher </w:t>
      </w:r>
      <w:r w:rsidRPr="00DF38B2">
        <w:t xml:space="preserve">in Katherine, Top and West Arnhem, and the two Desert regions. While significantly higher rates were also recorded </w:t>
      </w:r>
      <w:r w:rsidR="00F84F3D">
        <w:t xml:space="preserve">by Indigenous people </w:t>
      </w:r>
      <w:r w:rsidRPr="00DF38B2">
        <w:t xml:space="preserve">in </w:t>
      </w:r>
      <w:r w:rsidR="00D95B12">
        <w:t>Greater Darwin</w:t>
      </w:r>
      <w:r w:rsidRPr="00DF38B2">
        <w:t>, Alice Springs and Barkly</w:t>
      </w:r>
      <w:r w:rsidR="00F84F3D">
        <w:t xml:space="preserve"> relative to non-Indigenous people in Darwin</w:t>
      </w:r>
      <w:r w:rsidRPr="00DF38B2">
        <w:t>, these were all in the range of 1.3 to 1.7 percentage points. The high parameter value for Indigenous people in the East Arnhem region was largely reflected in the rate for non-Indigenous people</w:t>
      </w:r>
      <w:r w:rsidR="00ED28D3">
        <w:t>,</w:t>
      </w:r>
      <w:r w:rsidRPr="00DF38B2">
        <w:t xml:space="preserve"> which was 6.2 percentage points above that of a similar person in Darwin. Higher rates were also recorded for non-Indigenous people in the South</w:t>
      </w:r>
      <w:r w:rsidR="00ED28D3">
        <w:t>-</w:t>
      </w:r>
      <w:r w:rsidRPr="00DF38B2">
        <w:t>East Desert region (3.6 percentage points</w:t>
      </w:r>
      <w:r w:rsidR="00ED28D3">
        <w:t>)</w:t>
      </w:r>
      <w:r w:rsidRPr="00DF38B2">
        <w:t xml:space="preserve"> and the Mid-West Desert Region (3.0). Living in the Top and West Arnhem region was associated with a slightly significant 1.4 percentage point increase. There was a very high 12.1 parameter for the small group living in other locations – including those who were interstate.</w:t>
      </w:r>
    </w:p>
    <w:p w:rsidR="005E1FE0" w:rsidRPr="00DF38B2" w:rsidRDefault="005E1FE0" w:rsidP="006654AE">
      <w:pPr>
        <w:pStyle w:val="dot"/>
      </w:pPr>
      <w:r w:rsidRPr="00DF38B2">
        <w:t xml:space="preserve">The time spent on the program was modelled as a quadratic and was significant. The parameter for time varies from a value of -1.3 for people who have been on for six months, increasing to -3.4 at two years and then declining to -2.9 after </w:t>
      </w:r>
      <w:r w:rsidR="00ED28D3">
        <w:t>three</w:t>
      </w:r>
      <w:r w:rsidRPr="00DF38B2">
        <w:t xml:space="preserve"> years.</w:t>
      </w:r>
    </w:p>
    <w:p w:rsidR="005E1FE0" w:rsidRPr="00DF38B2" w:rsidRDefault="005E1FE0" w:rsidP="006654AE">
      <w:pPr>
        <w:pStyle w:val="dot"/>
      </w:pPr>
      <w:r w:rsidRPr="00DF38B2">
        <w:t>The parameter for age showed a decreasing rate of increased failures, from 2.8 at age 20 years to 5.2 at age 60</w:t>
      </w:r>
      <w:r w:rsidR="00ED28D3">
        <w:t>,</w:t>
      </w:r>
      <w:r w:rsidRPr="00DF38B2">
        <w:t xml:space="preserve"> before a decline for ages beyond this point.</w:t>
      </w:r>
    </w:p>
    <w:p w:rsidR="005E1FE0" w:rsidRPr="00DF38B2" w:rsidRDefault="005E1FE0" w:rsidP="006654AE">
      <w:r w:rsidRPr="00DF38B2">
        <w:t>Overall</w:t>
      </w:r>
      <w:r w:rsidR="00ED28D3">
        <w:t>,</w:t>
      </w:r>
      <w:r w:rsidRPr="00DF38B2">
        <w:t xml:space="preserve"> this model indicates that higher failure rates were associated with being Indigenous, with this interacting strongly with region, with some locations being associated with high rates of failure </w:t>
      </w:r>
      <w:r w:rsidR="00ED28D3">
        <w:t>that</w:t>
      </w:r>
      <w:r w:rsidRPr="00DF38B2">
        <w:t xml:space="preserve"> also flowed on in some cases to the non-Indigenous population. Higher failure rates were associated with some of the targeted compulsory measures</w:t>
      </w:r>
      <w:r w:rsidR="00ED28D3">
        <w:t>,</w:t>
      </w:r>
      <w:r w:rsidRPr="00DF38B2">
        <w:t xml:space="preserve"> but not the automatic ones and people on Disability Support Pension. Voluntary Income Management participants showed no difference. In contrast</w:t>
      </w:r>
      <w:r w:rsidR="00ED28D3">
        <w:t>,</w:t>
      </w:r>
      <w:r w:rsidRPr="00DF38B2">
        <w:t xml:space="preserve"> people on Parenting Payment and families with children, especially lone parents</w:t>
      </w:r>
      <w:r w:rsidR="00ED28D3">
        <w:t>,</w:t>
      </w:r>
      <w:r w:rsidRPr="00DF38B2">
        <w:t xml:space="preserve"> had lower failure rates.</w:t>
      </w:r>
    </w:p>
    <w:p w:rsidR="005E1FE0" w:rsidRPr="00DF38B2" w:rsidRDefault="005E1FE0" w:rsidP="006654AE">
      <w:r w:rsidRPr="00DF38B2">
        <w:t>Turning to the two models of change in the rate of failed transactions</w:t>
      </w:r>
      <w:r w:rsidR="00ED28D3">
        <w:t>:</w:t>
      </w:r>
      <w:r w:rsidRPr="00DF38B2">
        <w:t xml:space="preserve"> for the matched populations the rate of change over the short term was 0.6 percentage points, from 11.0 per cent in 2012 to 10.4 per cent in 2013, and over the longer period from 12.0 per cent to 10.8 per cent – an improvement of 1.3 percentage points, with the differences in the 2013 rates again attributable to the reduced sample.</w:t>
      </w:r>
    </w:p>
    <w:p w:rsidR="005E1FE0" w:rsidRPr="00DF38B2" w:rsidRDefault="005E1FE0" w:rsidP="006654AE">
      <w:r w:rsidRPr="00DF38B2">
        <w:t>In both models being a male relative to a female was significant and was associated with a decline of 0.28 and 0.44 percentage points in short and longer</w:t>
      </w:r>
      <w:r w:rsidR="00ED28D3">
        <w:t>-</w:t>
      </w:r>
      <w:r w:rsidRPr="00DF38B2">
        <w:t>term models. While all family types were associated with an improvement relative to the base case of a couple</w:t>
      </w:r>
      <w:r w:rsidR="00ED28D3">
        <w:t>-</w:t>
      </w:r>
      <w:r w:rsidRPr="00DF38B2">
        <w:t xml:space="preserve">only household, only some of these were significant, and none </w:t>
      </w:r>
      <w:r w:rsidR="00ED28D3">
        <w:t xml:space="preserve">were </w:t>
      </w:r>
      <w:r w:rsidRPr="00DF38B2">
        <w:t>significant over both periods. In the longer</w:t>
      </w:r>
      <w:r w:rsidR="00ED28D3">
        <w:t>-</w:t>
      </w:r>
      <w:r w:rsidRPr="00DF38B2">
        <w:t xml:space="preserve">term model both groups of sole parents were associated with an improvement of around 0.7 percentage points, while </w:t>
      </w:r>
      <w:r w:rsidR="00ED28D3">
        <w:t xml:space="preserve">the </w:t>
      </w:r>
      <w:r w:rsidRPr="00DF38B2">
        <w:t xml:space="preserve">couples with children </w:t>
      </w:r>
      <w:r w:rsidR="00ED28D3">
        <w:t xml:space="preserve">group </w:t>
      </w:r>
      <w:r w:rsidRPr="00DF38B2">
        <w:t>was significant, with an improvement of 0.5 percentage points in the short term. Only one income support program showed any difference to the base case of the Long Term Welfare Payment Recipient. This was the Child Protection Income Management steam. However</w:t>
      </w:r>
      <w:r w:rsidR="00ED28D3">
        <w:t>,</w:t>
      </w:r>
      <w:r w:rsidRPr="00DF38B2">
        <w:t xml:space="preserve"> while the short term change was negative (-1.1) and </w:t>
      </w:r>
      <w:r w:rsidR="00F84F3D">
        <w:t>relatively strongly</w:t>
      </w:r>
      <w:r w:rsidRPr="00DF38B2">
        <w:t xml:space="preserve"> significant, the longer</w:t>
      </w:r>
      <w:r w:rsidR="00ED28D3">
        <w:t>-</w:t>
      </w:r>
      <w:r w:rsidRPr="00DF38B2">
        <w:t>term change was of a slightly greater magnitude in the opposite direction, although it was only weakly significant.</w:t>
      </w:r>
    </w:p>
    <w:p w:rsidR="005E1FE0" w:rsidRPr="00DF38B2" w:rsidRDefault="005E1FE0" w:rsidP="006654AE">
      <w:r w:rsidRPr="00DF38B2">
        <w:t>There was only one weakly significant parameter for type of income support – a negative value of -0.6 associated with being on Youth Allowance relative to Newstart. While having an urgent payment was significant and positive in both periods, it only had a small parameter value of 0.1 in the short term and 0.2 in the longer term.</w:t>
      </w:r>
    </w:p>
    <w:p w:rsidR="005E1FE0" w:rsidRPr="00DF38B2" w:rsidRDefault="005E1FE0" w:rsidP="006654AE">
      <w:r w:rsidRPr="00DF38B2">
        <w:t xml:space="preserve">By location and Indigenous identification there were two consistent significant movements. The first was an improvement of 1.1 percentage points in the first period and 1.3 over the longer period </w:t>
      </w:r>
      <w:r w:rsidR="00F84F3D">
        <w:t xml:space="preserve">for Indigenous people </w:t>
      </w:r>
      <w:r w:rsidRPr="00DF38B2">
        <w:t>in East Arnhem, and a negative shift of -0.6 in the 2012 to 2013 model and -1.4 in the model from 2011 to 2013 for Indigenous people living in the South</w:t>
      </w:r>
      <w:r w:rsidR="00ED28D3">
        <w:t>-</w:t>
      </w:r>
      <w:r w:rsidRPr="00DF38B2">
        <w:t xml:space="preserve">East Desert region. Over this longer period positive gains were also reported in </w:t>
      </w:r>
      <w:r w:rsidR="00ED28D3">
        <w:t xml:space="preserve">the </w:t>
      </w:r>
      <w:r w:rsidRPr="00DF38B2">
        <w:t xml:space="preserve">Top and West Arnhem region, and a negative one in Barkly. The outcomes for non-Indigenous people in Alice Springs also showed a negative shift relative to those in </w:t>
      </w:r>
      <w:r w:rsidR="00D95B12">
        <w:t>Greater Darwin</w:t>
      </w:r>
      <w:r w:rsidRPr="00DF38B2">
        <w:t xml:space="preserve"> in the short term, while there was a strong negative shift in the longer term for non-Indigenous people in the South</w:t>
      </w:r>
      <w:r w:rsidR="00ED28D3">
        <w:t>-</w:t>
      </w:r>
      <w:r w:rsidRPr="00DF38B2">
        <w:t>East Desert region – echoing the change seen in the Indigenous population.</w:t>
      </w:r>
    </w:p>
    <w:p w:rsidR="005E1FE0" w:rsidRPr="00DF38B2" w:rsidRDefault="005E1FE0" w:rsidP="006654AE">
      <w:r w:rsidRPr="00DF38B2">
        <w:lastRenderedPageBreak/>
        <w:t xml:space="preserve">Duration </w:t>
      </w:r>
      <w:r w:rsidR="001E4ADD" w:rsidRPr="00DF38B2">
        <w:t>on income management was significant in bo</w:t>
      </w:r>
      <w:r w:rsidR="0090049D" w:rsidRPr="00DF38B2">
        <w:t xml:space="preserve">th </w:t>
      </w:r>
      <w:r w:rsidR="001E4ADD" w:rsidRPr="00DF38B2">
        <w:t>the models of change</w:t>
      </w:r>
      <w:r w:rsidR="00C55DB5">
        <w:t>,</w:t>
      </w:r>
      <w:r w:rsidR="001E4ADD" w:rsidRPr="00DF38B2">
        <w:t xml:space="preserve"> with this being more marked in change over the two</w:t>
      </w:r>
      <w:r w:rsidR="00C55DB5">
        <w:t>-</w:t>
      </w:r>
      <w:r w:rsidR="001E4ADD" w:rsidRPr="00DF38B2">
        <w:t>year period</w:t>
      </w:r>
      <w:r w:rsidRPr="00DF38B2">
        <w:t>.</w:t>
      </w:r>
      <w:r w:rsidR="001E4ADD" w:rsidRPr="00DF38B2">
        <w:t xml:space="preserve"> However</w:t>
      </w:r>
      <w:r w:rsidR="00C55DB5">
        <w:t>,</w:t>
      </w:r>
      <w:r w:rsidR="001E4ADD" w:rsidRPr="00DF38B2">
        <w:t xml:space="preserve"> as the models are based </w:t>
      </w:r>
      <w:r w:rsidR="00C55DB5">
        <w:t xml:space="preserve">on </w:t>
      </w:r>
      <w:r w:rsidR="003D3FFD">
        <w:t>a population which has</w:t>
      </w:r>
      <w:r w:rsidR="001E4ADD" w:rsidRPr="00DF38B2">
        <w:t xml:space="preserve"> been on income management for an extended period</w:t>
      </w:r>
      <w:r w:rsidR="00C55DB5">
        <w:t>,</w:t>
      </w:r>
      <w:r w:rsidR="001E4ADD" w:rsidRPr="00DF38B2">
        <w:t xml:space="preserve"> the parameter is only estimated from limited variability and has little substantive impact. Age has a slight U</w:t>
      </w:r>
      <w:r w:rsidR="00C55DB5">
        <w:t>-</w:t>
      </w:r>
      <w:r w:rsidR="001E4ADD" w:rsidRPr="00DF38B2">
        <w:t>shaped distribution</w:t>
      </w:r>
      <w:r w:rsidR="00A1421A">
        <w:t xml:space="preserve">. </w:t>
      </w:r>
      <w:r w:rsidR="001E4ADD" w:rsidRPr="00DF38B2">
        <w:t>In the one</w:t>
      </w:r>
      <w:r w:rsidR="00C55DB5">
        <w:t>-</w:t>
      </w:r>
      <w:r w:rsidR="001E4ADD" w:rsidRPr="00DF38B2">
        <w:t>year model this would suggest that relative to a 50 year</w:t>
      </w:r>
      <w:r w:rsidR="00C55DB5">
        <w:t>-</w:t>
      </w:r>
      <w:r w:rsidR="001E4ADD" w:rsidRPr="00DF38B2">
        <w:t>old a 20 year</w:t>
      </w:r>
      <w:r w:rsidR="00C55DB5">
        <w:t>-</w:t>
      </w:r>
      <w:r w:rsidR="001E4ADD" w:rsidRPr="00DF38B2">
        <w:t>old would have an improvement of 0.7 percentage points</w:t>
      </w:r>
      <w:r w:rsidR="00C55DB5">
        <w:t>,</w:t>
      </w:r>
      <w:r w:rsidR="001E4ADD" w:rsidRPr="00DF38B2">
        <w:t xml:space="preserve"> and a </w:t>
      </w:r>
      <w:r w:rsidR="00C55DB5">
        <w:t>65</w:t>
      </w:r>
      <w:r w:rsidR="001E4ADD" w:rsidRPr="00DF38B2">
        <w:t xml:space="preserve"> year</w:t>
      </w:r>
      <w:r w:rsidR="00C55DB5">
        <w:t>-</w:t>
      </w:r>
      <w:r w:rsidR="001E4ADD" w:rsidRPr="00DF38B2">
        <w:t>old an improvement of 0.1 percentage points.</w:t>
      </w:r>
    </w:p>
    <w:p w:rsidR="005E1FE0" w:rsidRPr="00DF38B2" w:rsidRDefault="005E1FE0" w:rsidP="006654AE">
      <w:r w:rsidRPr="00DF38B2">
        <w:t>Again however</w:t>
      </w:r>
      <w:r w:rsidR="00C55DB5">
        <w:t>,</w:t>
      </w:r>
      <w:r w:rsidRPr="00DF38B2">
        <w:t xml:space="preserve"> these figures underline the more fundamental problem of the lack of fit of the model, suggesting that whatever has impacted on change over time in the rate of failure, it is not associated with the variables included in the model.</w:t>
      </w:r>
    </w:p>
    <w:p w:rsidR="005E1FE0" w:rsidRPr="00DF38B2" w:rsidRDefault="005E1FE0" w:rsidP="006654AE">
      <w:pPr>
        <w:pStyle w:val="Heading3"/>
      </w:pPr>
      <w:bookmarkStart w:id="394" w:name="_Toc403739058"/>
      <w:r w:rsidRPr="00DF38B2">
        <w:t>Financial balances</w:t>
      </w:r>
      <w:bookmarkEnd w:id="394"/>
    </w:p>
    <w:p w:rsidR="005E1FE0" w:rsidRPr="00DF38B2" w:rsidRDefault="005E1FE0" w:rsidP="006654AE">
      <w:r w:rsidRPr="00DF38B2">
        <w:t>This final section of th</w:t>
      </w:r>
      <w:r w:rsidR="00C55DB5">
        <w:t>e</w:t>
      </w:r>
      <w:r w:rsidRPr="00DF38B2">
        <w:t xml:space="preserve"> chapter considers the state of the combined balances people hold in their income</w:t>
      </w:r>
      <w:r w:rsidR="00A04470">
        <w:t xml:space="preserve"> </w:t>
      </w:r>
      <w:r w:rsidRPr="00DF38B2">
        <w:t xml:space="preserve">managed accounts and on their BasicsCard. That is, the </w:t>
      </w:r>
      <w:r w:rsidR="001E4ADD" w:rsidRPr="00DF38B2">
        <w:t xml:space="preserve">total value </w:t>
      </w:r>
      <w:r w:rsidRPr="00DF38B2">
        <w:t>of any yet</w:t>
      </w:r>
      <w:r w:rsidR="00C55DB5">
        <w:t>-</w:t>
      </w:r>
      <w:r w:rsidRPr="00DF38B2">
        <w:t>to</w:t>
      </w:r>
      <w:r w:rsidR="00C55DB5">
        <w:t>-</w:t>
      </w:r>
      <w:r w:rsidRPr="00DF38B2">
        <w:t xml:space="preserve">be allocated money in their income management account, and the value of the balance they can draw upon using their BasicsCard. </w:t>
      </w:r>
      <w:r w:rsidR="001E4ADD" w:rsidRPr="00DF38B2">
        <w:t>This analysis is</w:t>
      </w:r>
      <w:r w:rsidRPr="00DF38B2">
        <w:t xml:space="preserve"> primarily concerned with changes in these between October 2011 and October 2013</w:t>
      </w:r>
      <w:r w:rsidR="00C55DB5">
        <w:t>,</w:t>
      </w:r>
      <w:r w:rsidRPr="00DF38B2">
        <w:t xml:space="preserve"> and a matched population has been used to allow for the experience of individuals to be studied over time. </w:t>
      </w:r>
    </w:p>
    <w:p w:rsidR="005E1FE0" w:rsidRPr="00FE502F" w:rsidRDefault="005E1FE0" w:rsidP="006654AE">
      <w:r w:rsidRPr="00DF38B2">
        <w:t xml:space="preserve">There are several reasons for being interested in these balances. The first is that having low balances for a substantial period leaves people vulnerable </w:t>
      </w:r>
      <w:r w:rsidR="001E4ADD" w:rsidRPr="00DF38B2">
        <w:t xml:space="preserve">to unexpected expenses </w:t>
      </w:r>
      <w:r w:rsidRPr="00DF38B2">
        <w:t>and at higher risk of failed transactions and other adverse outcomes. Secondly</w:t>
      </w:r>
      <w:r w:rsidR="007D127E">
        <w:t>,</w:t>
      </w:r>
      <w:r w:rsidRPr="00DF38B2">
        <w:t xml:space="preserve"> one of the objectives of </w:t>
      </w:r>
      <w:r w:rsidR="005E4CAC">
        <w:t>income management</w:t>
      </w:r>
      <w:r w:rsidRPr="00DF38B2">
        <w:t xml:space="preserve"> is promoting good financial practices</w:t>
      </w:r>
      <w:r w:rsidR="007D127E">
        <w:t>,</w:t>
      </w:r>
      <w:r w:rsidRPr="00DF38B2">
        <w:t xml:space="preserve"> including savings, for example for major household whitegood</w:t>
      </w:r>
      <w:r w:rsidR="007D127E">
        <w:t>s.</w:t>
      </w:r>
      <w:r w:rsidR="001E4ADD" w:rsidRPr="00DF38B2">
        <w:rPr>
          <w:rStyle w:val="FootnoteReference"/>
        </w:rPr>
        <w:footnoteReference w:id="113"/>
      </w:r>
      <w:r w:rsidRPr="00DF38B2">
        <w:t xml:space="preserve"> Thirdly, in qualitative data collection, the role of the BasicsCard account as a reserve </w:t>
      </w:r>
      <w:r w:rsidR="003D3FFD">
        <w:t>‘</w:t>
      </w:r>
      <w:r w:rsidRPr="00DF38B2">
        <w:t>kitty</w:t>
      </w:r>
      <w:r w:rsidR="003D3FFD">
        <w:t>’</w:t>
      </w:r>
      <w:r w:rsidRPr="00DF38B2">
        <w:t xml:space="preserve"> was frequently mention</w:t>
      </w:r>
      <w:r w:rsidRPr="00FE502F">
        <w:t>ed.</w:t>
      </w:r>
    </w:p>
    <w:p w:rsidR="00CA34ED" w:rsidRPr="00DF38B2" w:rsidRDefault="00CA34ED" w:rsidP="006654AE">
      <w:pPr>
        <w:spacing w:line="276" w:lineRule="auto"/>
      </w:pPr>
      <w:r w:rsidRPr="009655C3">
        <w:t xml:space="preserve">In considering </w:t>
      </w:r>
      <w:r w:rsidR="00115F4A">
        <w:t>these data</w:t>
      </w:r>
      <w:r w:rsidR="007D127E">
        <w:t>,</w:t>
      </w:r>
      <w:r w:rsidRPr="00DF38B2">
        <w:t xml:space="preserve"> two issues need to be considered as potentially influencing trends over the period:</w:t>
      </w:r>
    </w:p>
    <w:p w:rsidR="005E1FE0" w:rsidRPr="001C19F4" w:rsidRDefault="00CA34ED" w:rsidP="006654AE">
      <w:pPr>
        <w:pStyle w:val="dot"/>
      </w:pPr>
      <w:r w:rsidRPr="00FE502F">
        <w:t>The first is that in</w:t>
      </w:r>
      <w:r w:rsidR="005E1FE0" w:rsidRPr="00FE502F">
        <w:t xml:space="preserve"> October 2013 many people received an Income Support Bonus</w:t>
      </w:r>
      <w:r w:rsidRPr="009655C3">
        <w:rPr>
          <w:rStyle w:val="FootnoteReference"/>
        </w:rPr>
        <w:footnoteReference w:id="114"/>
      </w:r>
      <w:r w:rsidR="005E1FE0" w:rsidRPr="009655C3">
        <w:t xml:space="preserve"> (median value $90) </w:t>
      </w:r>
      <w:r w:rsidR="001E4ADD" w:rsidRPr="009655C3">
        <w:t xml:space="preserve">in addition to their usual payment. </w:t>
      </w:r>
      <w:r w:rsidRPr="008E4D9D">
        <w:t>As such</w:t>
      </w:r>
      <w:r w:rsidR="005E1FE0" w:rsidRPr="00506E74">
        <w:t xml:space="preserve"> they </w:t>
      </w:r>
      <w:r w:rsidRPr="00506E74">
        <w:t xml:space="preserve">would have </w:t>
      </w:r>
      <w:r w:rsidR="005E1FE0" w:rsidRPr="00506E74">
        <w:t>had extra money in the</w:t>
      </w:r>
      <w:r w:rsidRPr="00506E74">
        <w:t>ir accounts in the</w:t>
      </w:r>
      <w:r w:rsidR="005E1FE0" w:rsidRPr="00506E74">
        <w:t xml:space="preserve"> </w:t>
      </w:r>
      <w:r w:rsidRPr="00823476">
        <w:t xml:space="preserve">second </w:t>
      </w:r>
      <w:r w:rsidR="005E1FE0" w:rsidRPr="00823476">
        <w:t xml:space="preserve">period of the comparison – and </w:t>
      </w:r>
      <w:r w:rsidRPr="00823476">
        <w:t xml:space="preserve">in </w:t>
      </w:r>
      <w:r w:rsidR="005E1FE0" w:rsidRPr="00823476">
        <w:t xml:space="preserve">many </w:t>
      </w:r>
      <w:r w:rsidRPr="003A03C8">
        <w:t>cases due to the nature of the bonus they may have been unaware of this</w:t>
      </w:r>
      <w:r w:rsidR="005E1FE0" w:rsidRPr="003A03C8">
        <w:t xml:space="preserve">. For these reasons it should be expected that the </w:t>
      </w:r>
      <w:r w:rsidRPr="00F9041A">
        <w:t>balances of some peopl</w:t>
      </w:r>
      <w:r w:rsidRPr="00805620">
        <w:t xml:space="preserve">e in </w:t>
      </w:r>
      <w:r w:rsidR="005E1FE0" w:rsidRPr="00805620">
        <w:t xml:space="preserve">October 2013 </w:t>
      </w:r>
      <w:r w:rsidRPr="00FC7BDC">
        <w:t xml:space="preserve">are higher than they </w:t>
      </w:r>
      <w:r w:rsidRPr="00F8365F">
        <w:t>would otherwise have been</w:t>
      </w:r>
      <w:r w:rsidR="005E1FE0" w:rsidRPr="00E17A85">
        <w:t>.</w:t>
      </w:r>
      <w:r w:rsidRPr="00E17A85">
        <w:t xml:space="preserve"> This will tend to bias the analysis towards suggesting an improvement in their financial situation and caution needs to be taken because of this</w:t>
      </w:r>
      <w:r w:rsidR="00A1421A">
        <w:t xml:space="preserve">. </w:t>
      </w:r>
    </w:p>
    <w:p w:rsidR="00CA34ED" w:rsidRPr="00310622" w:rsidRDefault="00F45BDC" w:rsidP="006654AE">
      <w:pPr>
        <w:pStyle w:val="dot"/>
      </w:pPr>
      <w:r>
        <w:t>Secondly n</w:t>
      </w:r>
      <w:r w:rsidR="00664FBE" w:rsidRPr="00D50403">
        <w:t>o correction has been made for the impact of inflation and increases in the value</w:t>
      </w:r>
      <w:r w:rsidR="00664FBE" w:rsidRPr="00EA66D9">
        <w:t xml:space="preserve"> of pensions and allowances over time</w:t>
      </w:r>
      <w:r w:rsidR="00A1421A">
        <w:t xml:space="preserve">. </w:t>
      </w:r>
      <w:r w:rsidR="00664FBE" w:rsidRPr="00EA66D9">
        <w:t>This again will bias the results to suggest that balances in 2013 are higher than those in 201</w:t>
      </w:r>
      <w:r w:rsidR="007D127E">
        <w:t>1</w:t>
      </w:r>
      <w:r w:rsidR="00664FBE" w:rsidRPr="00201738">
        <w:t>.</w:t>
      </w:r>
      <w:r w:rsidR="00664FBE" w:rsidRPr="00310622">
        <w:t xml:space="preserve"> </w:t>
      </w:r>
    </w:p>
    <w:p w:rsidR="005E1FE0" w:rsidRPr="00DF38B2" w:rsidRDefault="005E1FE0" w:rsidP="006654AE">
      <w:pPr>
        <w:pStyle w:val="Heading4"/>
      </w:pPr>
      <w:r w:rsidRPr="00DF38B2">
        <w:t>Minimum balances</w:t>
      </w:r>
    </w:p>
    <w:p w:rsidR="005E1FE0" w:rsidRPr="00FE502F" w:rsidRDefault="005E1FE0" w:rsidP="006654AE">
      <w:r w:rsidRPr="00DF38B2">
        <w:fldChar w:fldCharType="begin"/>
      </w:r>
      <w:r w:rsidRPr="00DF38B2">
        <w:instrText xml:space="preserve"> REF _Ref391624021 \h </w:instrText>
      </w:r>
      <w:r w:rsidRPr="00DF38B2">
        <w:fldChar w:fldCharType="separate"/>
      </w:r>
      <w:r w:rsidR="00906D13" w:rsidRPr="009655C3">
        <w:t xml:space="preserve">Table </w:t>
      </w:r>
      <w:r w:rsidR="00906D13">
        <w:rPr>
          <w:noProof/>
        </w:rPr>
        <w:t>6</w:t>
      </w:r>
      <w:r w:rsidR="00906D13">
        <w:noBreakHyphen/>
      </w:r>
      <w:r w:rsidR="00906D13">
        <w:rPr>
          <w:noProof/>
        </w:rPr>
        <w:t>21</w:t>
      </w:r>
      <w:r w:rsidRPr="00DF38B2">
        <w:fldChar w:fldCharType="end"/>
      </w:r>
      <w:r w:rsidRPr="00DF38B2">
        <w:t xml:space="preserve"> and </w:t>
      </w:r>
      <w:r w:rsidRPr="00DF38B2">
        <w:fldChar w:fldCharType="begin"/>
      </w:r>
      <w:r w:rsidRPr="00DF38B2">
        <w:instrText xml:space="preserve"> REF _Ref391624023 \h </w:instrText>
      </w:r>
      <w:r w:rsidRPr="00DF38B2">
        <w:fldChar w:fldCharType="separate"/>
      </w:r>
      <w:r w:rsidR="00906D13" w:rsidRPr="00DF38B2">
        <w:t xml:space="preserve">Table </w:t>
      </w:r>
      <w:r w:rsidR="00906D13">
        <w:rPr>
          <w:noProof/>
        </w:rPr>
        <w:t>6</w:t>
      </w:r>
      <w:r w:rsidR="00906D13">
        <w:noBreakHyphen/>
      </w:r>
      <w:r w:rsidR="00906D13">
        <w:rPr>
          <w:noProof/>
        </w:rPr>
        <w:t>22</w:t>
      </w:r>
      <w:r w:rsidRPr="00DF38B2">
        <w:fldChar w:fldCharType="end"/>
      </w:r>
      <w:r w:rsidRPr="00DF38B2">
        <w:t xml:space="preserve"> consider the ‘minimum balance’ that people have in their combined income management and BasicsCard accounts in October 2011 and October 2013. For this a fortnight period has been constructed for each person</w:t>
      </w:r>
      <w:r w:rsidR="007D127E">
        <w:t>,</w:t>
      </w:r>
      <w:r w:rsidRPr="00DF38B2">
        <w:t xml:space="preserve"> which allows for the changes in these accounts to be studied. The smallest combined balance recorded by the person in this perio</w:t>
      </w:r>
      <w:r w:rsidRPr="00FE502F">
        <w:t>d is the minimum balance used for these tables.</w:t>
      </w:r>
    </w:p>
    <w:p w:rsidR="005E1FE0" w:rsidRPr="009655C3" w:rsidRDefault="005E1FE0" w:rsidP="006654AE">
      <w:r w:rsidRPr="00DF38B2">
        <w:fldChar w:fldCharType="begin"/>
      </w:r>
      <w:r w:rsidRPr="00DF38B2">
        <w:instrText xml:space="preserve"> REF _Ref391624021 \h </w:instrText>
      </w:r>
      <w:r w:rsidRPr="00DF38B2">
        <w:fldChar w:fldCharType="separate"/>
      </w:r>
      <w:r w:rsidR="00906D13" w:rsidRPr="009655C3">
        <w:t xml:space="preserve">Table </w:t>
      </w:r>
      <w:r w:rsidR="00906D13">
        <w:rPr>
          <w:noProof/>
        </w:rPr>
        <w:t>6</w:t>
      </w:r>
      <w:r w:rsidR="00906D13">
        <w:noBreakHyphen/>
      </w:r>
      <w:r w:rsidR="00906D13">
        <w:rPr>
          <w:noProof/>
        </w:rPr>
        <w:t>21</w:t>
      </w:r>
      <w:r w:rsidRPr="00DF38B2">
        <w:fldChar w:fldCharType="end"/>
      </w:r>
      <w:r w:rsidRPr="00DF38B2">
        <w:t xml:space="preserve"> shows, across the population, the distribution of minimum balances for the matched population. In 2013 34.0 per cent of </w:t>
      </w:r>
      <w:r w:rsidRPr="00FE502F">
        <w:t>this population had a minimum balance, at some point in the fortnight, of under a dollar, and 82.3 per c</w:t>
      </w:r>
      <w:r w:rsidRPr="009655C3">
        <w:t xml:space="preserve">ent of the population held, at some time in the fortnight, a minimum balance of under $10. </w:t>
      </w:r>
    </w:p>
    <w:p w:rsidR="005E1FE0" w:rsidRPr="00DF38B2" w:rsidRDefault="005E1FE0" w:rsidP="006654AE">
      <w:pPr>
        <w:pStyle w:val="Caption"/>
        <w:ind w:left="1440" w:hanging="1156"/>
      </w:pPr>
      <w:bookmarkStart w:id="395" w:name="_Ref391624021"/>
      <w:bookmarkStart w:id="396" w:name="_Toc403739460"/>
      <w:r w:rsidRPr="009655C3">
        <w:lastRenderedPageBreak/>
        <w:t xml:space="preserve">Table </w:t>
      </w:r>
      <w:fldSimple w:instr=" STYLEREF 1 \s ">
        <w:r w:rsidR="00906D13">
          <w:rPr>
            <w:noProof/>
          </w:rPr>
          <w:t>6</w:t>
        </w:r>
      </w:fldSimple>
      <w:r w:rsidR="00D40B64">
        <w:noBreakHyphen/>
      </w:r>
      <w:fldSimple w:instr=" SEQ Table \* ARABIC \s 1 ">
        <w:r w:rsidR="00906D13">
          <w:rPr>
            <w:noProof/>
          </w:rPr>
          <w:t>21</w:t>
        </w:r>
      </w:fldSimple>
      <w:bookmarkEnd w:id="395"/>
      <w:r w:rsidRPr="00DF38B2">
        <w:tab/>
        <w:t xml:space="preserve">Distribution of minimum balances in BasicsCard and </w:t>
      </w:r>
      <w:r w:rsidR="005E4CAC">
        <w:t>income management</w:t>
      </w:r>
      <w:r w:rsidRPr="00DF38B2">
        <w:t xml:space="preserve"> Accounts, </w:t>
      </w:r>
      <w:r w:rsidR="006F51EF">
        <w:t xml:space="preserve">NIM, </w:t>
      </w:r>
      <w:r w:rsidRPr="00DF38B2">
        <w:t>October 2011 and 2013</w:t>
      </w:r>
      <w:bookmarkEnd w:id="396"/>
    </w:p>
    <w:tbl>
      <w:tblPr>
        <w:tblW w:w="5202" w:type="pct"/>
        <w:jc w:val="center"/>
        <w:tblLayout w:type="fixed"/>
        <w:tblCellMar>
          <w:left w:w="0" w:type="dxa"/>
          <w:right w:w="0" w:type="dxa"/>
        </w:tblCellMar>
        <w:tblLook w:val="04A0" w:firstRow="1" w:lastRow="0" w:firstColumn="1" w:lastColumn="0" w:noHBand="0" w:noVBand="1"/>
        <w:tblDescription w:val="This chart shows the distribution of the value of minimum balances for different population subgroups over time. The table shows in its rows 6 categories of minimum balance from less than a dollar to five hundred dollars or more, as well as a total which is 100 per cent for each column.&#10;The columns present for three population subgroups: Indigenous people on compulsory measures; non-Indigenous people on these measures; all persons on voluntary income management and the total for these three groups, paired columns of data showing the distribution of balances in 2011 and 2013.&#10;There is some discussion of the trends in these figures in the text&#10;"/>
      </w:tblPr>
      <w:tblGrid>
        <w:gridCol w:w="738"/>
        <w:gridCol w:w="909"/>
        <w:gridCol w:w="1167"/>
        <w:gridCol w:w="114"/>
        <w:gridCol w:w="1311"/>
        <w:gridCol w:w="1302"/>
        <w:gridCol w:w="234"/>
        <w:gridCol w:w="697"/>
        <w:gridCol w:w="741"/>
        <w:gridCol w:w="113"/>
        <w:gridCol w:w="676"/>
        <w:gridCol w:w="669"/>
      </w:tblGrid>
      <w:tr w:rsidR="00EB5275" w:rsidRPr="00435CC0" w:rsidTr="00EB5275">
        <w:trPr>
          <w:trHeight w:val="20"/>
          <w:tblHeader/>
          <w:jc w:val="center"/>
        </w:trPr>
        <w:tc>
          <w:tcPr>
            <w:tcW w:w="42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6654AE">
            <w:pPr>
              <w:pStyle w:val="tabletextleft"/>
              <w:rPr>
                <w:rFonts w:eastAsia="Times New Roman"/>
                <w:sz w:val="17"/>
                <w:szCs w:val="17"/>
              </w:rPr>
            </w:pPr>
          </w:p>
        </w:tc>
        <w:tc>
          <w:tcPr>
            <w:tcW w:w="524"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Comp. </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2011</w:t>
            </w:r>
            <w:r w:rsidRPr="00435CC0">
              <w:rPr>
                <w:rFonts w:eastAsia="Times New Roman"/>
                <w:sz w:val="17"/>
                <w:szCs w:val="17"/>
              </w:rPr>
              <w:t xml:space="preserve"> (%)</w:t>
            </w:r>
          </w:p>
        </w:tc>
        <w:tc>
          <w:tcPr>
            <w:tcW w:w="673"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Comp. </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2013</w:t>
            </w:r>
            <w:r w:rsidRPr="00435CC0">
              <w:rPr>
                <w:rFonts w:eastAsia="Times New Roman"/>
                <w:sz w:val="17"/>
                <w:szCs w:val="17"/>
              </w:rPr>
              <w:t xml:space="preserve"> (%)</w:t>
            </w:r>
          </w:p>
        </w:tc>
        <w:tc>
          <w:tcPr>
            <w:tcW w:w="66"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756"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Comp. non-</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2011</w:t>
            </w:r>
            <w:r w:rsidRPr="00435CC0">
              <w:rPr>
                <w:rFonts w:eastAsia="Times New Roman"/>
                <w:sz w:val="17"/>
                <w:szCs w:val="17"/>
              </w:rPr>
              <w:t xml:space="preserve"> (%)</w:t>
            </w:r>
          </w:p>
        </w:tc>
        <w:tc>
          <w:tcPr>
            <w:tcW w:w="751"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Comp. non-</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2013</w:t>
            </w:r>
            <w:r w:rsidRPr="00435CC0">
              <w:rPr>
                <w:rFonts w:eastAsia="Times New Roman"/>
                <w:sz w:val="17"/>
                <w:szCs w:val="17"/>
              </w:rPr>
              <w:t xml:space="preserve"> (%)</w:t>
            </w:r>
          </w:p>
        </w:tc>
        <w:tc>
          <w:tcPr>
            <w:tcW w:w="13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402"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VIM </w:t>
            </w:r>
            <w:r w:rsidR="005E1FE0" w:rsidRPr="00435CC0">
              <w:rPr>
                <w:rFonts w:eastAsia="Times New Roman"/>
                <w:sz w:val="17"/>
                <w:szCs w:val="17"/>
              </w:rPr>
              <w:t>2011</w:t>
            </w:r>
            <w:r w:rsidRPr="00435CC0">
              <w:rPr>
                <w:rFonts w:eastAsia="Times New Roman"/>
                <w:sz w:val="17"/>
                <w:szCs w:val="17"/>
              </w:rPr>
              <w:t xml:space="preserve"> (%)</w:t>
            </w:r>
          </w:p>
        </w:tc>
        <w:tc>
          <w:tcPr>
            <w:tcW w:w="427"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VIM </w:t>
            </w:r>
            <w:r w:rsidRPr="00435CC0">
              <w:rPr>
                <w:rFonts w:eastAsia="Times New Roman"/>
                <w:sz w:val="17"/>
                <w:szCs w:val="17"/>
              </w:rPr>
              <w:br/>
            </w:r>
            <w:r w:rsidR="005E1FE0" w:rsidRPr="00435CC0">
              <w:rPr>
                <w:rFonts w:eastAsia="Times New Roman"/>
                <w:sz w:val="17"/>
                <w:szCs w:val="17"/>
              </w:rPr>
              <w:t>2013</w:t>
            </w:r>
            <w:r w:rsidRPr="00435CC0">
              <w:rPr>
                <w:rFonts w:eastAsia="Times New Roman"/>
                <w:sz w:val="17"/>
                <w:szCs w:val="17"/>
              </w:rPr>
              <w:t xml:space="preserve"> (%)</w:t>
            </w:r>
          </w:p>
        </w:tc>
        <w:tc>
          <w:tcPr>
            <w:tcW w:w="6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390"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Total </w:t>
            </w:r>
            <w:r w:rsidR="005E1FE0" w:rsidRPr="00435CC0">
              <w:rPr>
                <w:rFonts w:eastAsia="Times New Roman"/>
                <w:sz w:val="17"/>
                <w:szCs w:val="17"/>
              </w:rPr>
              <w:t>2011</w:t>
            </w:r>
            <w:r w:rsidRPr="00435CC0">
              <w:rPr>
                <w:rFonts w:eastAsia="Times New Roman"/>
                <w:sz w:val="17"/>
                <w:szCs w:val="17"/>
              </w:rPr>
              <w:t xml:space="preserve"> (%)</w:t>
            </w:r>
          </w:p>
        </w:tc>
        <w:tc>
          <w:tcPr>
            <w:tcW w:w="386"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Total </w:t>
            </w:r>
            <w:r w:rsidR="005E1FE0" w:rsidRPr="00435CC0">
              <w:rPr>
                <w:rFonts w:eastAsia="Times New Roman"/>
                <w:sz w:val="17"/>
                <w:szCs w:val="17"/>
              </w:rPr>
              <w:t>2013</w:t>
            </w:r>
            <w:r w:rsidRPr="00435CC0">
              <w:rPr>
                <w:rFonts w:eastAsia="Times New Roman"/>
                <w:sz w:val="17"/>
                <w:szCs w:val="17"/>
              </w:rPr>
              <w:t xml:space="preserve"> (%)</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&lt; $1</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36.5</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22.6</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23.2</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29.3</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34.0</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r w:rsidR="00C60F1A">
              <w:rPr>
                <w:rFonts w:eastAsia="Times New Roman"/>
              </w:rPr>
              <w:t>–</w:t>
            </w:r>
            <w:r w:rsidRPr="00DF38B2">
              <w:rPr>
                <w:rFonts w:eastAsia="Times New Roman"/>
              </w:rPr>
              <w:t>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50.9</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34.1</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33.7</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47.1</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43.7</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49.7</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48.3</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C60F1A">
              <w:rPr>
                <w:rFonts w:eastAsia="Times New Roman"/>
              </w:rPr>
              <w:t>–</w:t>
            </w:r>
            <w:r w:rsidRPr="00DF38B2">
              <w:rPr>
                <w:rFonts w:eastAsia="Times New Roman"/>
              </w:rPr>
              <w:t>49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6.0</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17.7</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12.7</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9.5</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C60F1A">
              <w:rPr>
                <w:rFonts w:eastAsia="Times New Roman"/>
              </w:rPr>
              <w:t>–</w:t>
            </w:r>
            <w:r w:rsidRPr="00DF38B2">
              <w:rPr>
                <w:rFonts w:eastAsia="Times New Roman"/>
              </w:rPr>
              <w:t>$99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5.2</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4.6</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$100</w:t>
            </w:r>
            <w:r w:rsidR="00C60F1A">
              <w:rPr>
                <w:rFonts w:eastAsia="Times New Roman"/>
              </w:rPr>
              <w:t>–</w:t>
            </w:r>
            <w:r w:rsidRPr="00DF38B2">
              <w:rPr>
                <w:rFonts w:eastAsia="Times New Roman"/>
              </w:rPr>
              <w:t>499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18.9</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w:t>
            </w:r>
          </w:p>
        </w:tc>
      </w:tr>
      <w:tr w:rsidR="00EB5275" w:rsidRPr="00DF38B2" w:rsidTr="00EB5275">
        <w:trPr>
          <w:trHeight w:val="20"/>
          <w:jc w:val="center"/>
        </w:trPr>
        <w:tc>
          <w:tcPr>
            <w:tcW w:w="425" w:type="pct"/>
            <w:tcBorders>
              <w:top w:val="nil"/>
              <w:left w:val="nil"/>
              <w:right w:val="nil"/>
            </w:tcBorders>
            <w:shd w:val="clear" w:color="auto" w:fill="auto"/>
            <w:noWrap/>
            <w:vAlign w:val="bottom"/>
            <w:hideMark/>
          </w:tcPr>
          <w:p w:rsidR="005E1FE0" w:rsidRPr="00DF38B2" w:rsidRDefault="00435CC0" w:rsidP="00435CC0">
            <w:pPr>
              <w:pStyle w:val="tabletextleft"/>
              <w:rPr>
                <w:rFonts w:eastAsia="Times New Roman"/>
              </w:rPr>
            </w:pPr>
            <w:r>
              <w:rPr>
                <w:rFonts w:eastAsia="Times New Roman"/>
              </w:rPr>
              <w:t>&gt;</w:t>
            </w:r>
            <w:r w:rsidR="005E1FE0" w:rsidRPr="00DF38B2">
              <w:rPr>
                <w:rFonts w:eastAsia="Times New Roman"/>
              </w:rPr>
              <w:t xml:space="preserve">$500 </w:t>
            </w:r>
          </w:p>
        </w:tc>
        <w:tc>
          <w:tcPr>
            <w:tcW w:w="524"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w:t>
            </w:r>
          </w:p>
        </w:tc>
        <w:tc>
          <w:tcPr>
            <w:tcW w:w="673"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w:t>
            </w:r>
          </w:p>
        </w:tc>
        <w:tc>
          <w:tcPr>
            <w:tcW w:w="6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751"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5.7</w:t>
            </w:r>
          </w:p>
        </w:tc>
        <w:tc>
          <w:tcPr>
            <w:tcW w:w="135"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w:t>
            </w:r>
          </w:p>
        </w:tc>
        <w:tc>
          <w:tcPr>
            <w:tcW w:w="427"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w:t>
            </w:r>
          </w:p>
        </w:tc>
        <w:tc>
          <w:tcPr>
            <w:tcW w:w="65"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w:t>
            </w:r>
          </w:p>
        </w:tc>
        <w:tc>
          <w:tcPr>
            <w:tcW w:w="38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w:t>
            </w:r>
          </w:p>
        </w:tc>
      </w:tr>
      <w:tr w:rsidR="00EB5275" w:rsidRPr="00DF38B2" w:rsidTr="00EB5275">
        <w:trPr>
          <w:trHeight w:val="20"/>
          <w:jc w:val="center"/>
        </w:trPr>
        <w:tc>
          <w:tcPr>
            <w:tcW w:w="425" w:type="pct"/>
            <w:tcBorders>
              <w:top w:val="nil"/>
              <w:left w:val="nil"/>
              <w:bottom w:val="single" w:sz="4" w:space="0" w:color="auto"/>
              <w:right w:val="nil"/>
            </w:tcBorders>
            <w:shd w:val="clear" w:color="auto" w:fill="auto"/>
            <w:noWrap/>
            <w:vAlign w:val="bottom"/>
            <w:hideMark/>
          </w:tcPr>
          <w:p w:rsidR="005E1FE0" w:rsidRPr="00DF38B2" w:rsidRDefault="00EB5275" w:rsidP="006654AE">
            <w:pPr>
              <w:pStyle w:val="tabletextleft"/>
              <w:rPr>
                <w:rFonts w:eastAsia="Times New Roman"/>
              </w:rPr>
            </w:pPr>
            <w:r>
              <w:rPr>
                <w:rFonts w:eastAsia="Times New Roman"/>
              </w:rPr>
              <w:t>Total</w:t>
            </w:r>
          </w:p>
        </w:tc>
        <w:tc>
          <w:tcPr>
            <w:tcW w:w="524"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73"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75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751"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35"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402"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427"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5"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390"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8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r>
    </w:tbl>
    <w:p w:rsidR="000F06BF" w:rsidRDefault="000F06BF" w:rsidP="006654AE">
      <w:pPr>
        <w:pStyle w:val="tablenotes"/>
        <w:ind w:left="1437" w:hanging="870"/>
      </w:pPr>
    </w:p>
    <w:p w:rsidR="005E1FE0" w:rsidRPr="00DF38B2" w:rsidRDefault="005E1FE0" w:rsidP="006654AE">
      <w:pPr>
        <w:pStyle w:val="tablenotes"/>
        <w:ind w:left="1437" w:hanging="870"/>
      </w:pPr>
      <w:r w:rsidRPr="00DF38B2">
        <w:t xml:space="preserve">Note: </w:t>
      </w:r>
      <w:r w:rsidRPr="00DF38B2">
        <w:tab/>
        <w:t>Based on a matched sample of 11,693 people income managed in both October 2011 and October 2013</w:t>
      </w:r>
      <w:r w:rsidR="00C60F1A">
        <w:t>.</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Over the two years there has not been much significant change in the level of these minimum balances, with the equivalent 2011 balances being 31.5 per cent and 81.2 per cent. While this suggest</w:t>
      </w:r>
      <w:r w:rsidR="00C60F1A">
        <w:t>s</w:t>
      </w:r>
      <w:r w:rsidRPr="00DF38B2">
        <w:t xml:space="preserve"> that there has been a slight increase in the proportion of the population who ha</w:t>
      </w:r>
      <w:r w:rsidR="00C60F1A">
        <w:t>s</w:t>
      </w:r>
      <w:r w:rsidRPr="00DF38B2">
        <w:t xml:space="preserve"> had a very low balance, with the proportion having a balance of less than $10 at some time in the fortnight increasing from 81.2 per cent to 82.3 per cent, this change of 1.1 per cent is marginal. Of course</w:t>
      </w:r>
      <w:r w:rsidR="00C60F1A">
        <w:t>,</w:t>
      </w:r>
      <w:r w:rsidRPr="00DF38B2">
        <w:t xml:space="preserve"> if people are using these accounts as a reserve or as a means of savings, balances above these minimal amounts would be expected. Looking at this upper end of balances</w:t>
      </w:r>
      <w:r w:rsidR="00C60F1A">
        <w:t>,</w:t>
      </w:r>
      <w:r w:rsidRPr="00DF38B2">
        <w:t xml:space="preserve"> there has been a slight shift. This has involved a fall in the proportion of people holding a balance of between $10 and under $50, from 9.9 per cent of the population to 7.2 per cent</w:t>
      </w:r>
      <w:r w:rsidR="00C60F1A">
        <w:t>,</w:t>
      </w:r>
      <w:r w:rsidRPr="00DF38B2">
        <w:t xml:space="preserve"> and an increase of 1.7 per cent in the proportion of people with balances over $100. As such, to the extent changes have occurred, these have involved a slight increase in the proportion </w:t>
      </w:r>
      <w:r w:rsidR="00C60F1A">
        <w:t xml:space="preserve">of people </w:t>
      </w:r>
      <w:r w:rsidRPr="00DF38B2">
        <w:t>who hold very low balances and an increase in the proportion holding higher balances. However</w:t>
      </w:r>
      <w:r w:rsidR="00C60F1A">
        <w:t>,</w:t>
      </w:r>
      <w:r w:rsidRPr="00DF38B2">
        <w:t xml:space="preserve"> in both cases the shift is small, being just one or two percentage points. And</w:t>
      </w:r>
      <w:r w:rsidR="00C60F1A">
        <w:t>,</w:t>
      </w:r>
      <w:r w:rsidRPr="00DF38B2">
        <w:t xml:space="preserve"> as has been noted above</w:t>
      </w:r>
      <w:r w:rsidR="00C60F1A">
        <w:t>,</w:t>
      </w:r>
      <w:r w:rsidRPr="00DF38B2">
        <w:t xml:space="preserve"> </w:t>
      </w:r>
      <w:r w:rsidR="00C60F1A">
        <w:t xml:space="preserve">this shift </w:t>
      </w:r>
      <w:r w:rsidRPr="00DF38B2">
        <w:t>may have been affected by the payment of the Income Support Bonus</w:t>
      </w:r>
      <w:r w:rsidR="00C16A87" w:rsidRPr="00DF38B2">
        <w:t xml:space="preserve"> and changes in the rate of payment</w:t>
      </w:r>
      <w:r w:rsidRPr="00DF38B2">
        <w:t>.</w:t>
      </w:r>
    </w:p>
    <w:p w:rsidR="005E1FE0" w:rsidRPr="00DF38B2" w:rsidRDefault="005E1FE0" w:rsidP="006654AE">
      <w:r w:rsidRPr="00DF38B2">
        <w:t>Indigenous people on compulsory streams of income management had lower minimum balances than other groups. In 2013</w:t>
      </w:r>
      <w:r w:rsidR="00C60F1A">
        <w:t>,</w:t>
      </w:r>
      <w:r w:rsidRPr="00DF38B2">
        <w:t xml:space="preserve"> 87.4 per cent had a minimum balance of less than $10 compared with 56.9 per cent of non-Indigenous people on the same measures, and 72.9 per cent of people on </w:t>
      </w:r>
      <w:r w:rsidR="001544DF">
        <w:t>Voluntary Income Management</w:t>
      </w:r>
      <w:r w:rsidRPr="00DF38B2">
        <w:t xml:space="preserve">. This pattern is also seen in the holding of higher balances. </w:t>
      </w:r>
      <w:proofErr w:type="gramStart"/>
      <w:r w:rsidRPr="00DF38B2">
        <w:t>Only 6.6 per cent of Indigenous people on the compulsory measures have a minimum balance of $</w:t>
      </w:r>
      <w:r w:rsidR="00F84F3D">
        <w:t>50</w:t>
      </w:r>
      <w:r w:rsidR="00F84F3D" w:rsidRPr="00DF38B2">
        <w:t xml:space="preserve"> </w:t>
      </w:r>
      <w:r w:rsidRPr="00DF38B2">
        <w:t xml:space="preserve">dollars or more, compared with 30.4 per cent of non-Indigenous </w:t>
      </w:r>
      <w:r w:rsidR="00C60F1A">
        <w:t xml:space="preserve">people, </w:t>
      </w:r>
      <w:r w:rsidRPr="00DF38B2">
        <w:t>and 17.6 per cent of those on voluntary measures.</w:t>
      </w:r>
      <w:proofErr w:type="gramEnd"/>
      <w:r w:rsidRPr="00DF38B2">
        <w:t xml:space="preserve"> </w:t>
      </w:r>
    </w:p>
    <w:p w:rsidR="005E1FE0" w:rsidRPr="00DF38B2" w:rsidRDefault="005E1FE0" w:rsidP="006654AE">
      <w:pPr>
        <w:pStyle w:val="Caption"/>
      </w:pPr>
      <w:bookmarkStart w:id="397" w:name="_Ref391624023"/>
      <w:bookmarkStart w:id="398" w:name="_Toc403739461"/>
      <w:r w:rsidRPr="00DF38B2">
        <w:t xml:space="preserve">Table </w:t>
      </w:r>
      <w:fldSimple w:instr=" STYLEREF 1 \s ">
        <w:r w:rsidR="00906D13">
          <w:rPr>
            <w:noProof/>
          </w:rPr>
          <w:t>6</w:t>
        </w:r>
      </w:fldSimple>
      <w:r w:rsidR="00D40B64">
        <w:noBreakHyphen/>
      </w:r>
      <w:fldSimple w:instr=" SEQ Table \* ARABIC \s 1 ">
        <w:r w:rsidR="00906D13">
          <w:rPr>
            <w:noProof/>
          </w:rPr>
          <w:t>22</w:t>
        </w:r>
      </w:fldSimple>
      <w:bookmarkEnd w:id="397"/>
      <w:r w:rsidRPr="00DF38B2">
        <w:t xml:space="preserve"> </w:t>
      </w:r>
      <w:r w:rsidRPr="00DF38B2">
        <w:tab/>
        <w:t>Minimum balances</w:t>
      </w:r>
      <w:r w:rsidR="00CA60AC">
        <w:t>,</w:t>
      </w:r>
      <w:r w:rsidRPr="00DF38B2">
        <w:t xml:space="preserve"> </w:t>
      </w:r>
      <w:r w:rsidR="006F51EF">
        <w:t xml:space="preserve">NIM, </w:t>
      </w:r>
      <w:r w:rsidRPr="00DF38B2">
        <w:t>October 2011 and October 2013</w:t>
      </w:r>
      <w:bookmarkEnd w:id="398"/>
    </w:p>
    <w:tbl>
      <w:tblPr>
        <w:tblW w:w="8905" w:type="dxa"/>
        <w:jc w:val="center"/>
        <w:tblLook w:val="04A0" w:firstRow="1" w:lastRow="0" w:firstColumn="1" w:lastColumn="0" w:noHBand="0" w:noVBand="1"/>
        <w:tblDescription w:val="This table is a matrix showing balances in October 2011 on the vertical axis and October 2013 on the horizontal axis. Each of the axis shows 6 categories of minimum balance from less than a dollar to five hundred dollars or more and a total.  The whole table sums to 100 per cent.&#10;The main finding – relating to the proportion with low balances in each year is reported in the text.&#10;"/>
      </w:tblPr>
      <w:tblGrid>
        <w:gridCol w:w="1139"/>
        <w:gridCol w:w="1077"/>
        <w:gridCol w:w="1077"/>
        <w:gridCol w:w="1077"/>
        <w:gridCol w:w="1134"/>
        <w:gridCol w:w="1247"/>
        <w:gridCol w:w="1077"/>
        <w:gridCol w:w="1077"/>
      </w:tblGrid>
      <w:tr w:rsidR="005E1FE0" w:rsidRPr="00DF38B2" w:rsidTr="003B055F">
        <w:trPr>
          <w:trHeight w:val="20"/>
          <w:tblHeader/>
          <w:jc w:val="center"/>
        </w:trPr>
        <w:tc>
          <w:tcPr>
            <w:tcW w:w="1139" w:type="dxa"/>
            <w:tcBorders>
              <w:top w:val="single" w:sz="4" w:space="0" w:color="auto"/>
              <w:left w:val="nil"/>
              <w:bottom w:val="single" w:sz="4" w:space="0" w:color="auto"/>
              <w:right w:val="nil"/>
            </w:tcBorders>
            <w:shd w:val="clear" w:color="auto" w:fill="auto"/>
            <w:noWrap/>
            <w:hideMark/>
          </w:tcPr>
          <w:p w:rsidR="005E1FE0" w:rsidRPr="00DF38B2" w:rsidRDefault="003B055F" w:rsidP="003B055F">
            <w:pPr>
              <w:pStyle w:val="tabletextleft"/>
              <w:jc w:val="left"/>
              <w:rPr>
                <w:rFonts w:eastAsia="Times New Roman"/>
              </w:rPr>
            </w:pPr>
            <w:r w:rsidRPr="00DF38B2">
              <w:rPr>
                <w:rFonts w:eastAsia="Times New Roman"/>
              </w:rPr>
              <w:t xml:space="preserve">Oct 2011 minimum </w:t>
            </w:r>
            <w:r>
              <w:rPr>
                <w:rFonts w:eastAsia="Times New Roman"/>
              </w:rPr>
              <w:t>b</w:t>
            </w:r>
            <w:r w:rsidRPr="00DF38B2">
              <w:rPr>
                <w:rFonts w:eastAsia="Times New Roman"/>
              </w:rPr>
              <w:t>alance</w:t>
            </w:r>
            <w:r>
              <w:rPr>
                <w:rFonts w:eastAsia="Times New Roman"/>
              </w:rPr>
              <w:t xml:space="preserve"> (min. bal.)</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xml:space="preserve">. </w:t>
            </w:r>
            <w:r w:rsidRPr="00DF38B2">
              <w:rPr>
                <w:rFonts w:eastAsia="Times New Roman"/>
              </w:rPr>
              <w:t>bal</w:t>
            </w:r>
            <w:r>
              <w:rPr>
                <w:rFonts w:eastAsia="Times New Roman"/>
              </w:rPr>
              <w:t>.</w:t>
            </w:r>
            <w:r w:rsidRPr="00DF38B2">
              <w:rPr>
                <w:rFonts w:eastAsia="Times New Roman"/>
              </w:rPr>
              <w:t xml:space="preserve"> </w:t>
            </w:r>
          </w:p>
          <w:p w:rsidR="005E1FE0" w:rsidRPr="00DF38B2" w:rsidRDefault="005E1FE0" w:rsidP="006654AE">
            <w:pPr>
              <w:pStyle w:val="tabletextleft"/>
              <w:jc w:val="right"/>
              <w:rPr>
                <w:rFonts w:eastAsia="Times New Roman"/>
              </w:rPr>
            </w:pPr>
            <w:r w:rsidRPr="00DF38B2">
              <w:rPr>
                <w:rFonts w:eastAsia="Times New Roman"/>
              </w:rPr>
              <w:t>&lt; $1</w:t>
            </w:r>
            <w:r w:rsidR="003B055F">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3B055F">
            <w:pPr>
              <w:pStyle w:val="tabletextleft"/>
              <w:jc w:val="right"/>
              <w:rPr>
                <w:rFonts w:eastAsia="Times New Roman"/>
              </w:rPr>
            </w:pPr>
            <w:r w:rsidRPr="00DF38B2">
              <w:rPr>
                <w:rFonts w:eastAsia="Times New Roman"/>
              </w:rPr>
              <w:t xml:space="preserve">Oct 2013 </w:t>
            </w:r>
          </w:p>
          <w:p w:rsidR="005E1FE0" w:rsidRPr="00DF38B2" w:rsidRDefault="003B055F" w:rsidP="003B055F">
            <w:pPr>
              <w:pStyle w:val="tabletextleft"/>
              <w:jc w:val="right"/>
              <w:rPr>
                <w:rFonts w:eastAsia="Times New Roman"/>
              </w:rPr>
            </w:pPr>
            <w:r w:rsidRPr="00DF38B2">
              <w:rPr>
                <w:rFonts w:eastAsia="Times New Roman"/>
              </w:rPr>
              <w:t>min</w:t>
            </w:r>
            <w:r>
              <w:rPr>
                <w:rFonts w:eastAsia="Times New Roman"/>
              </w:rPr>
              <w:t>. bal.</w:t>
            </w:r>
            <w:r w:rsidRPr="00DF38B2">
              <w:rPr>
                <w:rFonts w:eastAsia="Times New Roman"/>
              </w:rPr>
              <w:t xml:space="preserve"> </w:t>
            </w:r>
            <w:r w:rsidR="005E1FE0" w:rsidRPr="00DF38B2">
              <w:rPr>
                <w:rFonts w:eastAsia="Times New Roman"/>
              </w:rPr>
              <w:t>$1</w:t>
            </w:r>
            <w:r w:rsidR="00C60F1A">
              <w:rPr>
                <w:rFonts w:eastAsia="Times New Roman"/>
              </w:rPr>
              <w:t>–</w:t>
            </w:r>
            <w:r w:rsidR="005E1FE0" w:rsidRPr="00DF38B2">
              <w:rPr>
                <w:rFonts w:eastAsia="Times New Roman"/>
              </w:rPr>
              <w:t>9</w:t>
            </w:r>
            <w:r>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5E1FE0" w:rsidRPr="00DF38B2" w:rsidRDefault="003B055F" w:rsidP="006654AE">
            <w:pPr>
              <w:pStyle w:val="tabletextleft"/>
              <w:jc w:val="right"/>
              <w:rPr>
                <w:rFonts w:eastAsia="Times New Roman"/>
              </w:rPr>
            </w:pPr>
            <w:r w:rsidRPr="00DF38B2">
              <w:rPr>
                <w:rFonts w:eastAsia="Times New Roman"/>
              </w:rPr>
              <w:t>min</w:t>
            </w:r>
            <w:r>
              <w:rPr>
                <w:rFonts w:eastAsia="Times New Roman"/>
              </w:rPr>
              <w:t xml:space="preserve">. bal. </w:t>
            </w:r>
            <w:r w:rsidR="005E1FE0" w:rsidRPr="00DF38B2">
              <w:rPr>
                <w:rFonts w:eastAsia="Times New Roman"/>
              </w:rPr>
              <w:t>$10</w:t>
            </w:r>
            <w:r w:rsidR="00C60F1A">
              <w:rPr>
                <w:rFonts w:eastAsia="Times New Roman"/>
              </w:rPr>
              <w:t>–</w:t>
            </w:r>
            <w:r w:rsidR="005E1FE0" w:rsidRPr="00DF38B2">
              <w:rPr>
                <w:rFonts w:eastAsia="Times New Roman"/>
              </w:rPr>
              <w:t>49</w:t>
            </w:r>
            <w:r>
              <w:rPr>
                <w:rFonts w:eastAsia="Times New Roman"/>
              </w:rPr>
              <w:t xml:space="preserve"> (%)</w:t>
            </w:r>
          </w:p>
        </w:tc>
        <w:tc>
          <w:tcPr>
            <w:tcW w:w="1134"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5E1FE0" w:rsidRPr="00DF38B2" w:rsidRDefault="003B055F" w:rsidP="006654AE">
            <w:pPr>
              <w:pStyle w:val="tabletextleft"/>
              <w:jc w:val="right"/>
              <w:rPr>
                <w:rFonts w:eastAsia="Times New Roman"/>
              </w:rPr>
            </w:pPr>
            <w:r w:rsidRPr="00DF38B2">
              <w:rPr>
                <w:rFonts w:eastAsia="Times New Roman"/>
              </w:rPr>
              <w:t>min</w:t>
            </w:r>
            <w:r>
              <w:rPr>
                <w:rFonts w:eastAsia="Times New Roman"/>
              </w:rPr>
              <w:t xml:space="preserve">. bal. </w:t>
            </w:r>
            <w:r w:rsidR="005E1FE0" w:rsidRPr="00DF38B2">
              <w:rPr>
                <w:rFonts w:eastAsia="Times New Roman"/>
              </w:rPr>
              <w:t>$50</w:t>
            </w:r>
            <w:r w:rsidR="00C60F1A">
              <w:rPr>
                <w:rFonts w:eastAsia="Times New Roman"/>
              </w:rPr>
              <w:t>–</w:t>
            </w:r>
            <w:r w:rsidR="005E1FE0" w:rsidRPr="00DF38B2">
              <w:rPr>
                <w:rFonts w:eastAsia="Times New Roman"/>
              </w:rPr>
              <w:t>$99</w:t>
            </w:r>
            <w:r>
              <w:rPr>
                <w:rFonts w:eastAsia="Times New Roman"/>
              </w:rPr>
              <w:t xml:space="preserve"> (%)</w:t>
            </w:r>
          </w:p>
        </w:tc>
        <w:tc>
          <w:tcPr>
            <w:tcW w:w="124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Oct</w:t>
            </w:r>
            <w:r>
              <w:rPr>
                <w:rFonts w:eastAsia="Times New Roman"/>
              </w:rPr>
              <w:t xml:space="preserve"> </w:t>
            </w:r>
            <w:r w:rsidRPr="00DF38B2">
              <w:rPr>
                <w:rFonts w:eastAsia="Times New Roman"/>
              </w:rPr>
              <w:t xml:space="preserve">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bal.</w:t>
            </w:r>
          </w:p>
          <w:p w:rsidR="005E1FE0" w:rsidRPr="00DF38B2" w:rsidRDefault="005E1FE0" w:rsidP="006654AE">
            <w:pPr>
              <w:pStyle w:val="tabletextleft"/>
              <w:jc w:val="right"/>
              <w:rPr>
                <w:rFonts w:eastAsia="Times New Roman"/>
              </w:rPr>
            </w:pPr>
            <w:r w:rsidRPr="00DF38B2">
              <w:rPr>
                <w:rFonts w:eastAsia="Times New Roman"/>
              </w:rPr>
              <w:t>$100</w:t>
            </w:r>
            <w:r w:rsidR="00C60F1A">
              <w:rPr>
                <w:rFonts w:eastAsia="Times New Roman"/>
              </w:rPr>
              <w:t>–</w:t>
            </w:r>
            <w:r w:rsidRPr="00DF38B2">
              <w:rPr>
                <w:rFonts w:eastAsia="Times New Roman"/>
              </w:rPr>
              <w:t>499</w:t>
            </w:r>
            <w:r w:rsidR="003B055F">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bal.</w:t>
            </w:r>
          </w:p>
          <w:p w:rsidR="005E1FE0" w:rsidRPr="00DF38B2" w:rsidRDefault="003B055F" w:rsidP="003B055F">
            <w:pPr>
              <w:pStyle w:val="tabletextleft"/>
              <w:jc w:val="right"/>
              <w:rPr>
                <w:rFonts w:eastAsia="Times New Roman"/>
              </w:rPr>
            </w:pPr>
            <w:r>
              <w:rPr>
                <w:rFonts w:eastAsia="Times New Roman"/>
              </w:rPr>
              <w:t>&gt;</w:t>
            </w:r>
            <w:r w:rsidR="005E1FE0" w:rsidRPr="00DF38B2">
              <w:rPr>
                <w:rFonts w:eastAsia="Times New Roman"/>
              </w:rPr>
              <w:t xml:space="preserve">$500 </w:t>
            </w:r>
            <w:r>
              <w:rPr>
                <w:rFonts w:eastAsia="Times New Roman"/>
              </w:rPr>
              <w:t>(%)</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3B055F">
            <w:pPr>
              <w:pStyle w:val="tabletextleft"/>
              <w:jc w:val="right"/>
              <w:rPr>
                <w:rFonts w:eastAsia="Times New Roman"/>
              </w:rPr>
            </w:pPr>
            <w:r w:rsidRPr="00DF38B2">
              <w:rPr>
                <w:rFonts w:eastAsia="Times New Roman"/>
              </w:rPr>
              <w:t xml:space="preserve">Oct 2013 </w:t>
            </w:r>
          </w:p>
          <w:p w:rsidR="005E1FE0" w:rsidRPr="00DF38B2" w:rsidRDefault="003B055F" w:rsidP="003B055F">
            <w:pPr>
              <w:pStyle w:val="tabletextleft"/>
              <w:jc w:val="right"/>
              <w:rPr>
                <w:rFonts w:eastAsia="Times New Roman"/>
              </w:rPr>
            </w:pPr>
            <w:r w:rsidRPr="00DF38B2">
              <w:rPr>
                <w:rFonts w:eastAsia="Times New Roman"/>
              </w:rPr>
              <w:t>min</w:t>
            </w:r>
            <w:r>
              <w:rPr>
                <w:rFonts w:eastAsia="Times New Roman"/>
              </w:rPr>
              <w:t>. bal.</w:t>
            </w:r>
            <w:r w:rsidRPr="00DF38B2">
              <w:rPr>
                <w:rFonts w:eastAsia="Times New Roman"/>
              </w:rPr>
              <w:t xml:space="preserve"> </w:t>
            </w:r>
            <w:r w:rsidR="005E1FE0" w:rsidRPr="00DF38B2">
              <w:rPr>
                <w:rFonts w:eastAsia="Times New Roman"/>
              </w:rPr>
              <w:t>Total</w:t>
            </w:r>
            <w:r>
              <w:rPr>
                <w:rFonts w:eastAsia="Times New Roman"/>
              </w:rPr>
              <w:t xml:space="preserve"> (%)</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&lt; $1</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13.5</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31.5</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r w:rsidR="00C60F1A">
              <w:rPr>
                <w:rFonts w:eastAsia="Times New Roman"/>
              </w:rPr>
              <w:t>–</w:t>
            </w:r>
            <w:r w:rsidRPr="00DF38B2">
              <w:rPr>
                <w:rFonts w:eastAsia="Times New Roman"/>
              </w:rPr>
              <w:t>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49.7</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C60F1A">
              <w:rPr>
                <w:rFonts w:eastAsia="Times New Roman"/>
              </w:rPr>
              <w:t>–</w:t>
            </w:r>
            <w:r w:rsidRPr="00DF38B2">
              <w:rPr>
                <w:rFonts w:eastAsia="Times New Roman"/>
              </w:rPr>
              <w:t>49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4.7</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C60F1A">
              <w:rPr>
                <w:rFonts w:eastAsia="Times New Roman"/>
              </w:rPr>
              <w:t>–</w:t>
            </w:r>
            <w:r w:rsidRPr="00DF38B2">
              <w:rPr>
                <w:rFonts w:eastAsia="Times New Roman"/>
              </w:rPr>
              <w:t>$99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$100</w:t>
            </w:r>
            <w:r w:rsidR="00C60F1A">
              <w:rPr>
                <w:rFonts w:eastAsia="Times New Roman"/>
              </w:rPr>
              <w:t>–</w:t>
            </w:r>
            <w:r w:rsidRPr="00DF38B2">
              <w:rPr>
                <w:rFonts w:eastAsia="Times New Roman"/>
              </w:rPr>
              <w:t>499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r>
      <w:tr w:rsidR="005E1FE0" w:rsidRPr="00DF38B2" w:rsidTr="003B055F">
        <w:trPr>
          <w:trHeight w:val="20"/>
          <w:jc w:val="center"/>
        </w:trPr>
        <w:tc>
          <w:tcPr>
            <w:tcW w:w="1139" w:type="dxa"/>
            <w:tcBorders>
              <w:top w:val="nil"/>
              <w:left w:val="nil"/>
              <w:right w:val="nil"/>
            </w:tcBorders>
            <w:shd w:val="clear" w:color="auto" w:fill="auto"/>
            <w:noWrap/>
            <w:vAlign w:val="bottom"/>
            <w:hideMark/>
          </w:tcPr>
          <w:p w:rsidR="005E1FE0" w:rsidRPr="00DF38B2" w:rsidRDefault="003B055F" w:rsidP="003B055F">
            <w:pPr>
              <w:pStyle w:val="tabletextleft"/>
              <w:rPr>
                <w:rFonts w:eastAsia="Times New Roman"/>
              </w:rPr>
            </w:pPr>
            <w:r>
              <w:rPr>
                <w:rFonts w:eastAsia="Times New Roman"/>
              </w:rPr>
              <w:t>&gt;</w:t>
            </w:r>
            <w:r w:rsidR="005E1FE0" w:rsidRPr="00DF38B2">
              <w:rPr>
                <w:rFonts w:eastAsia="Times New Roman"/>
              </w:rPr>
              <w:t>$500</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134"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24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3B055F">
        <w:trPr>
          <w:trHeight w:val="20"/>
          <w:jc w:val="center"/>
        </w:trPr>
        <w:tc>
          <w:tcPr>
            <w:tcW w:w="113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34.0</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48.3</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c>
          <w:tcPr>
            <w:tcW w:w="124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5.8</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9655C3" w:rsidRDefault="005E1FE0" w:rsidP="006654AE">
      <w:r w:rsidRPr="00DF38B2">
        <w:fldChar w:fldCharType="begin"/>
      </w:r>
      <w:r w:rsidRPr="00DF38B2">
        <w:instrText xml:space="preserve"> REF _Ref391624023 \h </w:instrText>
      </w:r>
      <w:r w:rsidRPr="00DF38B2">
        <w:fldChar w:fldCharType="separate"/>
      </w:r>
      <w:r w:rsidR="00906D13" w:rsidRPr="00DF38B2">
        <w:t xml:space="preserve">Table </w:t>
      </w:r>
      <w:r w:rsidR="00906D13">
        <w:rPr>
          <w:noProof/>
        </w:rPr>
        <w:t>6</w:t>
      </w:r>
      <w:r w:rsidR="00906D13">
        <w:noBreakHyphen/>
      </w:r>
      <w:r w:rsidR="00906D13">
        <w:rPr>
          <w:noProof/>
        </w:rPr>
        <w:t>22</w:t>
      </w:r>
      <w:r w:rsidRPr="00DF38B2">
        <w:fldChar w:fldCharType="end"/>
      </w:r>
      <w:r w:rsidRPr="00DF38B2">
        <w:t xml:space="preserve"> matches the balances at the two points in time at the individual level to look at the extent to which individuals have changed their balances over time. Of those who had a minimum balance of under $50 in October 2011</w:t>
      </w:r>
      <w:r w:rsidR="00C60F1A">
        <w:t>,</w:t>
      </w:r>
      <w:r w:rsidRPr="00DF38B2">
        <w:t xml:space="preserve"> 91.</w:t>
      </w:r>
      <w:r w:rsidR="00F84F3D">
        <w:t>4</w:t>
      </w:r>
      <w:r w:rsidRPr="00DF38B2">
        <w:t xml:space="preserve"> per cent </w:t>
      </w:r>
      <w:r w:rsidRPr="00FE502F">
        <w:t xml:space="preserve">also had a balance below this level in 2013. Using a lower minimum </w:t>
      </w:r>
      <w:r w:rsidRPr="009655C3">
        <w:t xml:space="preserve">balance as a comparison point, </w:t>
      </w:r>
      <w:r w:rsidR="00F84F3D">
        <w:t>86.0</w:t>
      </w:r>
      <w:r w:rsidRPr="009655C3">
        <w:t> per cent of those who had a minimum balance of under $10 in October 2011 had a minimum balance of under $10 in October 2013.</w:t>
      </w:r>
    </w:p>
    <w:p w:rsidR="005E1FE0" w:rsidRPr="00DF38B2" w:rsidRDefault="005E1FE0" w:rsidP="006654AE">
      <w:pPr>
        <w:pStyle w:val="Heading4"/>
      </w:pPr>
      <w:r w:rsidRPr="00DF38B2">
        <w:lastRenderedPageBreak/>
        <w:t>Time spent with low balances</w:t>
      </w:r>
    </w:p>
    <w:p w:rsidR="005E1FE0" w:rsidRPr="009655C3" w:rsidRDefault="005E1FE0" w:rsidP="006654AE">
      <w:r w:rsidRPr="00DF38B2">
        <w:t>In terms of risk it is not necessarily just the level of the minimum balance held by a person which is important, but the amount of time they spend with this balance. This is the focus of</w:t>
      </w:r>
      <w:r w:rsidR="000A24A5">
        <w:t xml:space="preserve"> the chart in </w:t>
      </w:r>
      <w:r w:rsidRPr="00DF38B2">
        <w:fldChar w:fldCharType="begin"/>
      </w:r>
      <w:r w:rsidRPr="00DF38B2">
        <w:instrText xml:space="preserve"> REF _Ref391626893 \h </w:instrText>
      </w:r>
      <w:r w:rsidRPr="00DF38B2">
        <w:fldChar w:fldCharType="separate"/>
      </w:r>
      <w:r w:rsidR="00906D13" w:rsidRPr="009655C3">
        <w:t xml:space="preserve">Figure </w:t>
      </w:r>
      <w:r w:rsidR="00906D13">
        <w:rPr>
          <w:noProof/>
        </w:rPr>
        <w:t>6</w:t>
      </w:r>
      <w:r w:rsidR="00906D13" w:rsidRPr="00DF38B2">
        <w:noBreakHyphen/>
      </w:r>
      <w:r w:rsidR="00906D13">
        <w:rPr>
          <w:noProof/>
        </w:rPr>
        <w:t>11</w:t>
      </w:r>
      <w:r w:rsidRPr="00DF38B2">
        <w:fldChar w:fldCharType="end"/>
      </w:r>
      <w:r w:rsidRPr="00DF38B2">
        <w:t xml:space="preserve"> and </w:t>
      </w:r>
      <w:r w:rsidRPr="00DF38B2">
        <w:fldChar w:fldCharType="begin"/>
      </w:r>
      <w:r w:rsidRPr="00DF38B2">
        <w:instrText xml:space="preserve"> REF _Ref391626870 \h </w:instrText>
      </w:r>
      <w:r w:rsidRPr="00DF38B2">
        <w:fldChar w:fldCharType="separate"/>
      </w:r>
      <w:r w:rsidR="00906D13" w:rsidRPr="00DF38B2">
        <w:t xml:space="preserve">Table </w:t>
      </w:r>
      <w:r w:rsidR="00906D13">
        <w:rPr>
          <w:noProof/>
        </w:rPr>
        <w:t>6</w:t>
      </w:r>
      <w:r w:rsidR="00906D13">
        <w:noBreakHyphen/>
      </w:r>
      <w:r w:rsidR="00906D13">
        <w:rPr>
          <w:noProof/>
        </w:rPr>
        <w:t>23</w:t>
      </w:r>
      <w:r w:rsidRPr="00DF38B2">
        <w:fldChar w:fldCharType="end"/>
      </w:r>
      <w:r w:rsidRPr="00DF38B2">
        <w:t xml:space="preserve">. The </w:t>
      </w:r>
      <w:r w:rsidR="00D95B12">
        <w:t>figure</w:t>
      </w:r>
      <w:r w:rsidRPr="00DF38B2">
        <w:t xml:space="preserve"> plots the amount of time a person on income management spends with less than $10 available for spending across both their income management account and their BasicsCard account. Reflecting the fact that some people have higher minimu</w:t>
      </w:r>
      <w:r w:rsidRPr="00FE502F">
        <w:t>m balances than this amount, 17.8 per cent of the matched populatio</w:t>
      </w:r>
      <w:r w:rsidRPr="009655C3">
        <w:t>n in October 2013 did not have a balance below this at any time in the fortnight. This compares with 18.8 per cent in 2011. As noted above</w:t>
      </w:r>
      <w:r w:rsidR="000A24A5">
        <w:t>,</w:t>
      </w:r>
      <w:r w:rsidRPr="009655C3">
        <w:t xml:space="preserve"> this change is marginal.</w:t>
      </w:r>
    </w:p>
    <w:p w:rsidR="005E1FE0" w:rsidRDefault="005E1FE0" w:rsidP="006654AE">
      <w:pPr>
        <w:pStyle w:val="Caption"/>
        <w:ind w:left="1439" w:hanging="1155"/>
      </w:pPr>
      <w:bookmarkStart w:id="399" w:name="_Ref391626893"/>
      <w:bookmarkStart w:id="400" w:name="_Ref391626887"/>
      <w:bookmarkStart w:id="401" w:name="_Toc403739546"/>
      <w:r w:rsidRPr="009655C3">
        <w:t xml:space="preserve">Figure </w:t>
      </w:r>
      <w:fldSimple w:instr=" STYLEREF 1 \s ">
        <w:r w:rsidR="00906D13">
          <w:rPr>
            <w:noProof/>
          </w:rPr>
          <w:t>6</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399"/>
      <w:r w:rsidRPr="00DF38B2">
        <w:t xml:space="preserve"> </w:t>
      </w:r>
      <w:r w:rsidRPr="00DF38B2">
        <w:tab/>
        <w:t xml:space="preserve">Proportion of time spent with a balance of less than $10, </w:t>
      </w:r>
      <w:r w:rsidR="006F51EF">
        <w:t xml:space="preserve">NIM, </w:t>
      </w:r>
      <w:r w:rsidRPr="00DF38B2">
        <w:t>October 2011 and October 2013</w:t>
      </w:r>
      <w:bookmarkEnd w:id="400"/>
      <w:bookmarkEnd w:id="401"/>
    </w:p>
    <w:p w:rsidR="00F63BB0" w:rsidRPr="00F63BB0" w:rsidRDefault="00F63BB0" w:rsidP="006654AE">
      <w:pPr>
        <w:jc w:val="center"/>
      </w:pPr>
      <w:r w:rsidRPr="00F63BB0">
        <w:rPr>
          <w:noProof/>
        </w:rPr>
        <w:drawing>
          <wp:inline distT="0" distB="0" distL="0" distR="0" wp14:anchorId="7669D2F9" wp14:editId="54CF8E38">
            <wp:extent cx="4572000" cy="2776855"/>
            <wp:effectExtent l="0" t="0" r="0" b="4445"/>
            <wp:docPr id="154" name="Picture 154" descr="This bar chart shows the proportion of the time spent with a balance of less than $10 with these durations being grouped into 6 categories for two time periods: October 2011 and October 2013.  The key features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0" cy="2776855"/>
                    </a:xfrm>
                    <a:prstGeom prst="rect">
                      <a:avLst/>
                    </a:prstGeom>
                    <a:noFill/>
                    <a:ln>
                      <a:noFill/>
                    </a:ln>
                  </pic:spPr>
                </pic:pic>
              </a:graphicData>
            </a:graphic>
          </wp:inline>
        </w:drawing>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A little over a quarter, 26.0 per cent</w:t>
      </w:r>
      <w:r w:rsidR="00C16A87" w:rsidRPr="00DF38B2">
        <w:t xml:space="preserve"> of all people in this matched sample in October 2013</w:t>
      </w:r>
      <w:r w:rsidRPr="00DF38B2">
        <w:t xml:space="preserve"> had a balance of less than $10 for more than half the time in the fortnight, with 12.6 per cent, almost half of this group, having a balance of less than $10 for more than three</w:t>
      </w:r>
      <w:r w:rsidR="000A24A5">
        <w:t>-</w:t>
      </w:r>
      <w:r w:rsidRPr="00DF38B2">
        <w:t xml:space="preserve">quarters of the time. </w:t>
      </w:r>
      <w:r w:rsidR="000A24A5">
        <w:t>A</w:t>
      </w:r>
      <w:r w:rsidR="000A24A5" w:rsidRPr="00DF38B2">
        <w:t xml:space="preserve">s can be seen in the </w:t>
      </w:r>
      <w:r w:rsidR="00D95B12">
        <w:t>figure</w:t>
      </w:r>
      <w:r w:rsidR="000A24A5" w:rsidRPr="00DF38B2">
        <w:t>,</w:t>
      </w:r>
      <w:r w:rsidR="000A24A5">
        <w:t xml:space="preserve"> t</w:t>
      </w:r>
      <w:r w:rsidRPr="00DF38B2">
        <w:t>here has been a small decrease in this proportion</w:t>
      </w:r>
      <w:r w:rsidR="000A24A5">
        <w:t>,</w:t>
      </w:r>
      <w:r w:rsidRPr="00DF38B2">
        <w:t xml:space="preserve"> with the proportion with a balance of less than $10 per week for more than half the time over the two week period, falling by two percentage points from 28.0 per cent to 26.0 per cent.</w:t>
      </w:r>
      <w:r w:rsidR="00D140FE">
        <w:t xml:space="preserve"> This fall was composed of a one and half percentage point fall in the proportion with a low balance for more than three quarters of the time and a half of a percentage point fall in the proportion with a low balance for between one half and three quarters of the time.</w:t>
      </w:r>
    </w:p>
    <w:p w:rsidR="005E1FE0" w:rsidRDefault="005E1FE0" w:rsidP="006654AE">
      <w:r w:rsidRPr="00DF38B2">
        <w:t>These aggregate effects are in large part reflected in the data for each of the main streams of the income</w:t>
      </w:r>
      <w:r w:rsidR="00A04470">
        <w:t xml:space="preserve"> </w:t>
      </w:r>
      <w:r w:rsidRPr="00DF38B2">
        <w:t xml:space="preserve">managed population. Amongst Indigenous people on the compulsory measures there has been a slight fall from 15.4 per cent to 13.7 per cent in the proportion spending more than 75 per cent of their time with a balance below $10, with the proportion spending more than half their time in this position decreasing from 30.4 per cent to 28.8 per cent. The proportion of non-Indigenous people on income management with low balances for a large part of the time has also decreased – as has the proportion </w:t>
      </w:r>
      <w:r w:rsidR="009669A2">
        <w:t xml:space="preserve">of people </w:t>
      </w:r>
      <w:r w:rsidRPr="00DF38B2">
        <w:t xml:space="preserve">who were not in this position at any time. The population on </w:t>
      </w:r>
      <w:r w:rsidR="001544DF">
        <w:t>Voluntary Income Management</w:t>
      </w:r>
      <w:r w:rsidRPr="00DF38B2">
        <w:t xml:space="preserve"> also showed improvement. The proportion on low balances for more than half of the fortnight fell from 23.7 per cent to 20.8 per cent. </w:t>
      </w:r>
      <w:r w:rsidR="00D140FE">
        <w:t>Amongst those on Voluntary Income Management t</w:t>
      </w:r>
      <w:r w:rsidRPr="00DF38B2">
        <w:t xml:space="preserve">here was an increase in the proportion </w:t>
      </w:r>
      <w:r w:rsidR="009669A2">
        <w:t xml:space="preserve">of those </w:t>
      </w:r>
      <w:r w:rsidRPr="00DF38B2">
        <w:t>who had no time on these low balances – from 25.5 per cent to 27.1 per cent.</w:t>
      </w:r>
      <w:r w:rsidR="00D140FE">
        <w:t xml:space="preserve"> </w:t>
      </w:r>
    </w:p>
    <w:p w:rsidR="00D140FE" w:rsidRPr="00DF38B2" w:rsidRDefault="00D140FE" w:rsidP="006654AE">
      <w:r>
        <w:t xml:space="preserve">This movement was however not replicated for the other two population groups considered. The proportion of Indigenous people on compulsory income management who never had such a low balance declined by 2.2 percentage points from 14.8 per cent to 12.6 per cent, while there was a very small decline for non-Indigenous people from 43.3 per cent to 43.1 per cent. </w:t>
      </w:r>
    </w:p>
    <w:p w:rsidR="005E1FE0" w:rsidRPr="00DF38B2" w:rsidRDefault="005E1FE0" w:rsidP="006654AE">
      <w:pPr>
        <w:pStyle w:val="Caption"/>
      </w:pPr>
      <w:bookmarkStart w:id="402" w:name="_Ref391626870"/>
      <w:bookmarkStart w:id="403" w:name="_Toc403739462"/>
      <w:r w:rsidRPr="00DF38B2">
        <w:lastRenderedPageBreak/>
        <w:t xml:space="preserve">Table </w:t>
      </w:r>
      <w:fldSimple w:instr=" STYLEREF 1 \s ">
        <w:r w:rsidR="00906D13">
          <w:rPr>
            <w:noProof/>
          </w:rPr>
          <w:t>6</w:t>
        </w:r>
      </w:fldSimple>
      <w:r w:rsidR="00D40B64">
        <w:noBreakHyphen/>
      </w:r>
      <w:fldSimple w:instr=" SEQ Table \* ARABIC \s 1 ">
        <w:r w:rsidR="00906D13">
          <w:rPr>
            <w:noProof/>
          </w:rPr>
          <w:t>23</w:t>
        </w:r>
      </w:fldSimple>
      <w:bookmarkEnd w:id="402"/>
      <w:r w:rsidRPr="00DF38B2">
        <w:t xml:space="preserve"> </w:t>
      </w:r>
      <w:r w:rsidR="00B235E1">
        <w:tab/>
      </w:r>
      <w:r w:rsidRPr="00DF38B2">
        <w:t xml:space="preserve">Proportion of time spent with a balance of less than $10, by </w:t>
      </w:r>
      <w:r w:rsidR="006F51EF">
        <w:t>broad</w:t>
      </w:r>
      <w:r w:rsidRPr="00DF38B2">
        <w:t xml:space="preserve"> </w:t>
      </w:r>
      <w:r w:rsidR="005E4CAC">
        <w:t>income management</w:t>
      </w:r>
      <w:r w:rsidRPr="00DF38B2">
        <w:t xml:space="preserve"> streams</w:t>
      </w:r>
      <w:r w:rsidR="006F51EF">
        <w:t xml:space="preserve">, NIM, </w:t>
      </w:r>
      <w:r w:rsidR="006F51EF" w:rsidRPr="00DF38B2">
        <w:t>October 2011 and October 2013</w:t>
      </w:r>
      <w:bookmarkEnd w:id="403"/>
    </w:p>
    <w:tbl>
      <w:tblPr>
        <w:tblW w:w="10350" w:type="dxa"/>
        <w:tblInd w:w="-823" w:type="dxa"/>
        <w:tblCellMar>
          <w:left w:w="0" w:type="dxa"/>
          <w:right w:w="0" w:type="dxa"/>
        </w:tblCellMar>
        <w:tblLook w:val="04A0" w:firstRow="1" w:lastRow="0" w:firstColumn="1" w:lastColumn="0" w:noHBand="0" w:noVBand="1"/>
        <w:tblDescription w:val="The rows of the table present six categories of time spent with a low balance – ranging from no time to 75 per cent or more of the time and a total. The columns detail for four populations: Indigenous people on compulsory measures; non-Indigenous people on these measures; all persons on voluntary income management and the total for these three groups, paired columns of data showing the distribution of time spent on low balances in 2011 and 2013.&#10;There is some discussion of the different distributions over time and between sub-groups in the text.&#10;"/>
      </w:tblPr>
      <w:tblGrid>
        <w:gridCol w:w="1167"/>
        <w:gridCol w:w="1221"/>
        <w:gridCol w:w="1195"/>
        <w:gridCol w:w="393"/>
        <w:gridCol w:w="1208"/>
        <w:gridCol w:w="1536"/>
        <w:gridCol w:w="325"/>
        <w:gridCol w:w="835"/>
        <w:gridCol w:w="1076"/>
        <w:gridCol w:w="100"/>
        <w:gridCol w:w="793"/>
        <w:gridCol w:w="693"/>
      </w:tblGrid>
      <w:tr w:rsidR="00613781" w:rsidRPr="00DF38B2" w:rsidTr="002B4EC4">
        <w:trPr>
          <w:trHeight w:val="20"/>
          <w:tblHeader/>
        </w:trPr>
        <w:tc>
          <w:tcPr>
            <w:tcW w:w="1151" w:type="dxa"/>
            <w:tcBorders>
              <w:top w:val="single" w:sz="4" w:space="0" w:color="auto"/>
              <w:left w:val="nil"/>
              <w:bottom w:val="single" w:sz="4" w:space="0" w:color="auto"/>
              <w:right w:val="nil"/>
            </w:tcBorders>
            <w:shd w:val="clear" w:color="auto" w:fill="auto"/>
            <w:noWrap/>
            <w:vAlign w:val="bottom"/>
            <w:hideMark/>
          </w:tcPr>
          <w:p w:rsidR="005E1FE0" w:rsidRPr="00DF38B2" w:rsidRDefault="002B4EC4" w:rsidP="002B4EC4">
            <w:pPr>
              <w:pStyle w:val="tabletextleft"/>
              <w:jc w:val="left"/>
              <w:rPr>
                <w:rFonts w:eastAsia="Times New Roman"/>
              </w:rPr>
            </w:pPr>
            <w:r>
              <w:rPr>
                <w:rFonts w:eastAsia="Times New Roman"/>
              </w:rPr>
              <w:t>Proportion of time with balance of &lt;$10</w:t>
            </w:r>
          </w:p>
        </w:tc>
        <w:tc>
          <w:tcPr>
            <w:tcW w:w="1205" w:type="dxa"/>
            <w:tcBorders>
              <w:top w:val="single" w:sz="4" w:space="0" w:color="auto"/>
              <w:left w:val="nil"/>
              <w:bottom w:val="single" w:sz="4" w:space="0" w:color="auto"/>
              <w:right w:val="nil"/>
            </w:tcBorders>
            <w:shd w:val="clear" w:color="auto" w:fill="auto"/>
            <w:noWrap/>
            <w:vAlign w:val="bottom"/>
            <w:hideMark/>
          </w:tcPr>
          <w:p w:rsidR="00613781" w:rsidRDefault="002B00A9" w:rsidP="00613781">
            <w:pPr>
              <w:pStyle w:val="tabletextright"/>
              <w:rPr>
                <w:rFonts w:eastAsia="Times New Roman"/>
              </w:rPr>
            </w:pPr>
            <w:r w:rsidRPr="00DF38B2">
              <w:rPr>
                <w:rFonts w:eastAsia="Times New Roman"/>
              </w:rPr>
              <w:t xml:space="preserve">Comp. </w:t>
            </w:r>
            <w:proofErr w:type="spellStart"/>
            <w:r w:rsidRPr="00DF38B2">
              <w:rPr>
                <w:rFonts w:eastAsia="Times New Roman"/>
              </w:rPr>
              <w:t>Indig</w:t>
            </w:r>
            <w:proofErr w:type="spellEnd"/>
            <w:r w:rsidR="00613781">
              <w:rPr>
                <w:rFonts w:eastAsia="Times New Roman"/>
              </w:rPr>
              <w:t xml:space="preserve">. </w:t>
            </w:r>
            <w:r w:rsidRPr="00DF38B2">
              <w:rPr>
                <w:rFonts w:eastAsia="Times New Roman"/>
              </w:rPr>
              <w:t xml:space="preserve"> </w:t>
            </w:r>
          </w:p>
          <w:p w:rsidR="005E1FE0" w:rsidRPr="00DF38B2" w:rsidRDefault="005E1FE0" w:rsidP="00613781">
            <w:pPr>
              <w:pStyle w:val="tabletextright"/>
              <w:rPr>
                <w:rFonts w:eastAsia="Times New Roman"/>
              </w:rPr>
            </w:pPr>
            <w:r w:rsidRPr="00DF38B2">
              <w:rPr>
                <w:rFonts w:eastAsia="Times New Roman"/>
              </w:rPr>
              <w:t>2011</w:t>
            </w:r>
            <w:r w:rsidR="002B00A9">
              <w:rPr>
                <w:rFonts w:eastAsia="Times New Roman"/>
              </w:rPr>
              <w:t xml:space="preserve"> (%)</w:t>
            </w:r>
          </w:p>
        </w:tc>
        <w:tc>
          <w:tcPr>
            <w:tcW w:w="1179" w:type="dxa"/>
            <w:tcBorders>
              <w:top w:val="single" w:sz="4" w:space="0" w:color="auto"/>
              <w:left w:val="nil"/>
              <w:bottom w:val="single" w:sz="4" w:space="0" w:color="auto"/>
              <w:right w:val="nil"/>
            </w:tcBorders>
            <w:shd w:val="clear" w:color="auto" w:fill="auto"/>
            <w:noWrap/>
            <w:vAlign w:val="bottom"/>
            <w:hideMark/>
          </w:tcPr>
          <w:p w:rsidR="005E1FE0" w:rsidRPr="00DF38B2" w:rsidRDefault="002B00A9" w:rsidP="00613781">
            <w:pPr>
              <w:pStyle w:val="tabletextright"/>
              <w:rPr>
                <w:rFonts w:eastAsia="Times New Roman"/>
              </w:rPr>
            </w:pPr>
            <w:r w:rsidRPr="00DF38B2">
              <w:rPr>
                <w:rFonts w:eastAsia="Times New Roman"/>
              </w:rPr>
              <w:t xml:space="preserve">Comp. </w:t>
            </w:r>
            <w:proofErr w:type="spellStart"/>
            <w:r w:rsidRPr="00DF38B2">
              <w:rPr>
                <w:rFonts w:eastAsia="Times New Roman"/>
              </w:rPr>
              <w:t>Indig</w:t>
            </w:r>
            <w:proofErr w:type="spellEnd"/>
            <w:r w:rsidR="00613781">
              <w:rPr>
                <w:rFonts w:eastAsia="Times New Roman"/>
              </w:rPr>
              <w:t>.</w:t>
            </w:r>
            <w:r w:rsidRPr="00DF38B2">
              <w:rPr>
                <w:rFonts w:eastAsia="Times New Roman"/>
              </w:rPr>
              <w:t xml:space="preserve"> </w:t>
            </w:r>
            <w:r w:rsidR="005E1FE0" w:rsidRPr="00DF38B2">
              <w:rPr>
                <w:rFonts w:eastAsia="Times New Roman"/>
              </w:rPr>
              <w:t>2013</w:t>
            </w:r>
            <w:r>
              <w:rPr>
                <w:rFonts w:eastAsia="Times New Roman"/>
              </w:rPr>
              <w:t xml:space="preserve"> (%)</w:t>
            </w:r>
          </w:p>
        </w:tc>
        <w:tc>
          <w:tcPr>
            <w:tcW w:w="37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192"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sidRPr="00DF38B2">
              <w:rPr>
                <w:rFonts w:eastAsia="Times New Roman"/>
              </w:rPr>
              <w:t>Comp. non-</w:t>
            </w:r>
            <w:proofErr w:type="spellStart"/>
            <w:r w:rsidRPr="00DF38B2">
              <w:rPr>
                <w:rFonts w:eastAsia="Times New Roman"/>
              </w:rPr>
              <w:t>Indig</w:t>
            </w:r>
            <w:proofErr w:type="spellEnd"/>
            <w:r w:rsidRPr="00DF38B2">
              <w:rPr>
                <w:rFonts w:eastAsia="Times New Roman"/>
              </w:rPr>
              <w:t>.</w:t>
            </w:r>
            <w:r>
              <w:rPr>
                <w:rFonts w:eastAsia="Times New Roman"/>
              </w:rPr>
              <w:t xml:space="preserve">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1520"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sidRPr="00DF38B2">
              <w:rPr>
                <w:rFonts w:eastAsia="Times New Roman"/>
              </w:rPr>
              <w:t>Comp. non-</w:t>
            </w:r>
            <w:proofErr w:type="spellStart"/>
            <w:r w:rsidRPr="00DF38B2">
              <w:rPr>
                <w:rFonts w:eastAsia="Times New Roman"/>
              </w:rPr>
              <w:t>Indig</w:t>
            </w:r>
            <w:proofErr w:type="spellEnd"/>
            <w:r w:rsidRPr="00DF38B2">
              <w:rPr>
                <w:rFonts w:eastAsia="Times New Roman"/>
              </w:rPr>
              <w:t>.</w:t>
            </w:r>
            <w:r>
              <w:rPr>
                <w:rFonts w:eastAsia="Times New Roman"/>
              </w:rPr>
              <w:t xml:space="preserve">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c>
          <w:tcPr>
            <w:tcW w:w="30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19"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VIM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1060"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VIM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c>
          <w:tcPr>
            <w:tcW w:w="8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777"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Total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677"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Total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14.8</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12.6</w:t>
            </w:r>
          </w:p>
        </w:tc>
        <w:tc>
          <w:tcPr>
            <w:tcW w:w="377" w:type="dxa"/>
            <w:tcBorders>
              <w:top w:val="nil"/>
              <w:left w:val="nil"/>
              <w:bottom w:val="nil"/>
              <w:right w:val="nil"/>
            </w:tcBorders>
            <w:shd w:val="clear" w:color="auto" w:fill="auto"/>
            <w:noWrap/>
            <w:vAlign w:val="bottom"/>
            <w:hideMark/>
          </w:tcPr>
          <w:p w:rsidR="005E1FE0" w:rsidRPr="00DF38B2" w:rsidRDefault="005E1FE0" w:rsidP="002B4EC4">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43.3</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43.1</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25.5</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27.1</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18.8</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17.8</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9669A2">
              <w:rPr>
                <w:rFonts w:eastAsia="Times New Roman"/>
              </w:rPr>
              <w:t>–</w:t>
            </w:r>
            <w:r w:rsidRPr="00DF38B2">
              <w:rPr>
                <w:rFonts w:eastAsia="Times New Roman"/>
              </w:rPr>
              <w:t>&lt;10%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19.2</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15.4</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17.2</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17.5</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18.8</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19.0</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9669A2">
              <w:rPr>
                <w:rFonts w:eastAsia="Times New Roman"/>
              </w:rPr>
              <w:t>–</w:t>
            </w:r>
            <w:r w:rsidRPr="00DF38B2">
              <w:rPr>
                <w:rFonts w:eastAsia="Times New Roman"/>
              </w:rPr>
              <w:t>&lt;25%</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20.0</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21.8</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13781">
            <w:pPr>
              <w:pStyle w:val="tabletextright"/>
              <w:tabs>
                <w:tab w:val="left" w:pos="0"/>
              </w:tabs>
              <w:ind w:left="-236" w:firstLine="2"/>
            </w:pPr>
            <w:r w:rsidRPr="00DF38B2">
              <w:t>11.9</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13.1</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18.4</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18.4</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19.2</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20.6</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25</w:t>
            </w:r>
            <w:r w:rsidR="009669A2">
              <w:rPr>
                <w:rFonts w:eastAsia="Times New Roman"/>
              </w:rPr>
              <w:t>–</w:t>
            </w:r>
            <w:r w:rsidRPr="00DF38B2">
              <w:rPr>
                <w:rFonts w:eastAsia="Times New Roman"/>
              </w:rPr>
              <w:t>&lt;50%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17.6</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14.0</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12.5</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14.9</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14.9</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16.6</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16.7</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9669A2">
              <w:rPr>
                <w:rFonts w:eastAsia="Times New Roman"/>
              </w:rPr>
              <w:t>–</w:t>
            </w:r>
            <w:r w:rsidRPr="00DF38B2">
              <w:rPr>
                <w:rFonts w:eastAsia="Times New Roman"/>
              </w:rPr>
              <w:t>&lt;75%</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15.1</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15.1</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8.2</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8.2</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11.7</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10.0</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13.9</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13.4</w:t>
            </w:r>
          </w:p>
        </w:tc>
      </w:tr>
      <w:tr w:rsidR="00613781" w:rsidRPr="00DF38B2" w:rsidTr="002B4EC4">
        <w:trPr>
          <w:trHeight w:val="20"/>
        </w:trPr>
        <w:tc>
          <w:tcPr>
            <w:tcW w:w="1151"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75+%</w:t>
            </w:r>
          </w:p>
        </w:tc>
        <w:tc>
          <w:tcPr>
            <w:tcW w:w="1205"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15.4</w:t>
            </w:r>
          </w:p>
        </w:tc>
        <w:tc>
          <w:tcPr>
            <w:tcW w:w="1179"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13.7</w:t>
            </w:r>
          </w:p>
        </w:tc>
        <w:tc>
          <w:tcPr>
            <w:tcW w:w="377"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7.2</w:t>
            </w:r>
          </w:p>
        </w:tc>
        <w:tc>
          <w:tcPr>
            <w:tcW w:w="1520"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6.0</w:t>
            </w:r>
          </w:p>
        </w:tc>
        <w:tc>
          <w:tcPr>
            <w:tcW w:w="309"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12.0</w:t>
            </w:r>
          </w:p>
        </w:tc>
        <w:tc>
          <w:tcPr>
            <w:tcW w:w="1060"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10.9</w:t>
            </w:r>
          </w:p>
        </w:tc>
        <w:tc>
          <w:tcPr>
            <w:tcW w:w="84"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14.1</w:t>
            </w:r>
          </w:p>
        </w:tc>
        <w:tc>
          <w:tcPr>
            <w:tcW w:w="677"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12.6</w:t>
            </w:r>
          </w:p>
        </w:tc>
      </w:tr>
      <w:tr w:rsidR="00613781" w:rsidRPr="00DF38B2" w:rsidTr="002B4EC4">
        <w:trPr>
          <w:trHeight w:val="20"/>
        </w:trPr>
        <w:tc>
          <w:tcPr>
            <w:tcW w:w="1151" w:type="dxa"/>
            <w:tcBorders>
              <w:top w:val="nil"/>
              <w:left w:val="nil"/>
              <w:bottom w:val="single" w:sz="4" w:space="0" w:color="auto"/>
              <w:right w:val="nil"/>
            </w:tcBorders>
            <w:shd w:val="clear" w:color="auto" w:fill="auto"/>
            <w:noWrap/>
            <w:vAlign w:val="bottom"/>
            <w:hideMark/>
          </w:tcPr>
          <w:p w:rsidR="005E1FE0" w:rsidRPr="00DF38B2" w:rsidRDefault="00EB5275" w:rsidP="006654AE">
            <w:pPr>
              <w:pStyle w:val="tabletextleft"/>
              <w:rPr>
                <w:rFonts w:eastAsia="Times New Roman"/>
              </w:rPr>
            </w:pPr>
            <w:r>
              <w:rPr>
                <w:rFonts w:eastAsia="Times New Roman"/>
              </w:rPr>
              <w:t>Total</w:t>
            </w:r>
          </w:p>
        </w:tc>
        <w:tc>
          <w:tcPr>
            <w:tcW w:w="120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17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9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5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81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0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8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7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r>
    </w:tbl>
    <w:p w:rsidR="000F06BF" w:rsidRDefault="000F06BF" w:rsidP="006654AE">
      <w:pPr>
        <w:pStyle w:val="tablenotes"/>
      </w:pP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D140FE" w:rsidP="006654AE">
      <w:r>
        <w:t>In summary therefore the d</w:t>
      </w:r>
      <w:r w:rsidR="005E1FE0" w:rsidRPr="00DF38B2">
        <w:t xml:space="preserve">ata on minimum balances suggest that only a small proportion of people on income management hold any significant reserves of these funds, either to meet urgent needs or as a means of saving. This is most </w:t>
      </w:r>
      <w:r w:rsidR="009669A2">
        <w:t>evident</w:t>
      </w:r>
      <w:r w:rsidR="005E1FE0" w:rsidRPr="00DF38B2">
        <w:t xml:space="preserve"> among Indigenous people on compulsory measures, and to a lesser extent those on </w:t>
      </w:r>
      <w:r w:rsidR="001544DF">
        <w:t>Voluntary Income Management</w:t>
      </w:r>
      <w:r w:rsidR="005E1FE0" w:rsidRPr="00DF38B2">
        <w:t>. To the extent there have been changes in the two years between 2011 and 2013 for people who were on income management over the period</w:t>
      </w:r>
      <w:r w:rsidR="00D1211F">
        <w:t>,</w:t>
      </w:r>
      <w:r w:rsidR="005E1FE0" w:rsidRPr="00DF38B2">
        <w:t xml:space="preserve"> these have been marginal and have seen a slight polarisation of the position of people. </w:t>
      </w:r>
      <w:r w:rsidR="00C16A87" w:rsidRPr="00DF38B2">
        <w:t>In addition, as noted, there is potential for th</w:t>
      </w:r>
      <w:r w:rsidR="009669A2">
        <w:t>ese</w:t>
      </w:r>
      <w:r w:rsidR="00C16A87" w:rsidRPr="00DF38B2">
        <w:t xml:space="preserve"> data to have been upwardly biased in the second period as a result of the payment of the Income Support Bonus and changes in the value of income support payments</w:t>
      </w:r>
      <w:r w:rsidR="00A1421A">
        <w:t xml:space="preserve">. </w:t>
      </w:r>
      <w:r w:rsidR="00C16A87" w:rsidRPr="00DF38B2">
        <w:t>Given the small changes observed</w:t>
      </w:r>
      <w:r w:rsidR="009669A2">
        <w:t>,</w:t>
      </w:r>
      <w:r w:rsidR="00C16A87" w:rsidRPr="00DF38B2">
        <w:t xml:space="preserve"> it is most</w:t>
      </w:r>
      <w:r w:rsidR="005E1FE0" w:rsidRPr="00DF38B2">
        <w:t xml:space="preserve"> appropriate to describe the situation as unchanged, with most people in much the same position in 2013 as they were in 2011.</w:t>
      </w:r>
      <w:r w:rsidR="00C16A87" w:rsidRPr="00DF38B2">
        <w:t xml:space="preserve"> Certainly there is no evidence of any significant shift towards greater savings or in avoiding having low balances over extended periods</w:t>
      </w:r>
      <w:r w:rsidR="009669A2">
        <w:t>,</w:t>
      </w:r>
      <w:r w:rsidR="00C16A87" w:rsidRPr="00DF38B2">
        <w:t xml:space="preserve"> despite people spending an additional two years on income management.</w:t>
      </w:r>
    </w:p>
    <w:p w:rsidR="005E1FE0" w:rsidRPr="00DF38B2" w:rsidRDefault="005E1FE0" w:rsidP="006654AE">
      <w:pPr>
        <w:pStyle w:val="Heading2"/>
      </w:pPr>
      <w:bookmarkStart w:id="404" w:name="_Toc403739059"/>
      <w:r w:rsidRPr="00DF38B2">
        <w:t>Conclusion</w:t>
      </w:r>
      <w:bookmarkEnd w:id="404"/>
    </w:p>
    <w:p w:rsidR="005E1FE0" w:rsidRPr="00DF38B2" w:rsidRDefault="005E1FE0" w:rsidP="006654AE">
      <w:r w:rsidRPr="00DF38B2">
        <w:t>This chapter has considered many aspects of the consumption behaviour of people on income management</w:t>
      </w:r>
      <w:r w:rsidR="009669A2">
        <w:t>,</w:t>
      </w:r>
      <w:r w:rsidRPr="00DF38B2">
        <w:t xml:space="preserve"> including how they manage their </w:t>
      </w:r>
      <w:r w:rsidR="00C16A87" w:rsidRPr="00DF38B2">
        <w:t>finances</w:t>
      </w:r>
      <w:r w:rsidRPr="00DF38B2">
        <w:t>.</w:t>
      </w:r>
    </w:p>
    <w:p w:rsidR="005E1FE0" w:rsidRPr="00DF38B2" w:rsidRDefault="005E1FE0" w:rsidP="006654AE">
      <w:r w:rsidRPr="00DF38B2">
        <w:t>As demonstrated in this chapter, the BasicsCard is the key instrument used by people to spend their income</w:t>
      </w:r>
      <w:r w:rsidR="00A04470">
        <w:t xml:space="preserve"> </w:t>
      </w:r>
      <w:r w:rsidRPr="00DF38B2">
        <w:t>managed funds, and a significant minority supplement this by using Centrepay to manage some regular payments. The use of BasicsCard has been accompanied by very high rates of card replacement and transactions which have failed because people have insufficient funds in their accounts. Although replacement cards appear to be easy to obtain in major urban locations, it can be a fraught experience in others.</w:t>
      </w:r>
    </w:p>
    <w:p w:rsidR="005E1FE0" w:rsidRPr="00DF38B2" w:rsidRDefault="005E1FE0" w:rsidP="006654AE">
      <w:r w:rsidRPr="00DF38B2">
        <w:t xml:space="preserve">While much of the language and administrative structures around income management emphasise the use of these funds for the purchase of ‘basics’, the data clearly points to the card being best characterised as a general purchase card across a wide range of consumer goods with just the limitation of the exclusion of alcohol and tobacco. This restriction seems to have been reasonably effectively applied, but there is little evidence, from analysis of sales data, of it having impacted to any extent on tobacco sales. </w:t>
      </w:r>
    </w:p>
    <w:p w:rsidR="005E1FE0" w:rsidRPr="00DF38B2" w:rsidRDefault="005E1FE0" w:rsidP="006654AE">
      <w:r w:rsidRPr="00DF38B2">
        <w:t>In day-to-day purchasing many people do find that the BasicsCard does cause problems. Specific issues include:</w:t>
      </w:r>
    </w:p>
    <w:p w:rsidR="005E1FE0" w:rsidRPr="00DF38B2" w:rsidRDefault="005E1FE0" w:rsidP="006654AE">
      <w:pPr>
        <w:pStyle w:val="dot"/>
      </w:pPr>
      <w:r w:rsidRPr="00DF38B2">
        <w:t>The fact that some stores and services impose minimum purchase amounts or charge surcharges for the use of cards</w:t>
      </w:r>
      <w:r w:rsidR="009669A2">
        <w:t>,</w:t>
      </w:r>
      <w:r w:rsidRPr="00DF38B2">
        <w:t xml:space="preserve"> which extends to BasicsCard</w:t>
      </w:r>
      <w:r w:rsidR="00C16A87" w:rsidRPr="00DF38B2">
        <w:t>. W</w:t>
      </w:r>
      <w:r w:rsidRPr="00DF38B2">
        <w:t>hile not always inconsistent with the terms of merchant approval</w:t>
      </w:r>
      <w:r w:rsidR="009669A2">
        <w:t>,</w:t>
      </w:r>
      <w:r w:rsidR="00C16A87" w:rsidRPr="00DF38B2">
        <w:t xml:space="preserve"> this</w:t>
      </w:r>
      <w:r w:rsidRPr="00DF38B2">
        <w:t xml:space="preserve"> is a direct and inappropriate impost on people subject to income management. There appears to be no rationale for this cost being imposed on people being income managed.</w:t>
      </w:r>
    </w:p>
    <w:p w:rsidR="005E1FE0" w:rsidRPr="00DF38B2" w:rsidRDefault="005E1FE0" w:rsidP="006654AE">
      <w:pPr>
        <w:pStyle w:val="dot"/>
      </w:pPr>
      <w:r w:rsidRPr="00DF38B2">
        <w:t xml:space="preserve">The approach to merchant approval results in people having to make purchases at </w:t>
      </w:r>
      <w:r w:rsidR="009669A2">
        <w:t>certain</w:t>
      </w:r>
      <w:r w:rsidRPr="00DF38B2">
        <w:t xml:space="preserve"> stores rather than others, based simply on the balance of goods sold by the merchant and not the product which is being purchased</w:t>
      </w:r>
      <w:r w:rsidR="003D3FFD">
        <w:t xml:space="preserve">. </w:t>
      </w:r>
      <w:r w:rsidRPr="00DF38B2">
        <w:t xml:space="preserve">It is </w:t>
      </w:r>
      <w:r w:rsidR="003D3FFD">
        <w:t xml:space="preserve">also </w:t>
      </w:r>
      <w:r w:rsidRPr="00DF38B2">
        <w:t xml:space="preserve">clear </w:t>
      </w:r>
      <w:r w:rsidR="003D3FFD">
        <w:t xml:space="preserve">from analysis </w:t>
      </w:r>
      <w:r w:rsidRPr="00DF38B2">
        <w:t>that the narrow and “virtue based” concept of income management spending, which this policy reflects, is not the way in which income</w:t>
      </w:r>
      <w:r w:rsidR="00A04470">
        <w:t xml:space="preserve"> </w:t>
      </w:r>
      <w:r w:rsidRPr="00DF38B2">
        <w:t>managed funds are used, and the policy limits opportunities for people to shop in an effective manner.</w:t>
      </w:r>
    </w:p>
    <w:p w:rsidR="005E1FE0" w:rsidRPr="00DF38B2" w:rsidRDefault="005E1FE0" w:rsidP="006654AE">
      <w:r w:rsidRPr="00DF38B2">
        <w:lastRenderedPageBreak/>
        <w:t>There is strong evidence that the individual</w:t>
      </w:r>
      <w:r w:rsidR="009669A2">
        <w:t>-</w:t>
      </w:r>
      <w:r w:rsidRPr="00DF38B2">
        <w:t>based conceptualisation of the BasicsCard does not reflect the reality of the way in which it is used. It is unclear whether this has any real consequences for the impact of income management. One option to manage this would be to include photo identification on the card.</w:t>
      </w:r>
    </w:p>
    <w:p w:rsidR="005E1FE0" w:rsidRPr="00DF38B2" w:rsidRDefault="005E1FE0" w:rsidP="006654AE">
      <w:r w:rsidRPr="00DF38B2">
        <w:t>To the extent some people are</w:t>
      </w:r>
      <w:r w:rsidR="003D3FFD">
        <w:t xml:space="preserve"> </w:t>
      </w:r>
      <w:r w:rsidR="008D21EC">
        <w:t>motivated</w:t>
      </w:r>
      <w:r w:rsidRPr="00DF38B2">
        <w:t xml:space="preserve"> to </w:t>
      </w:r>
      <w:r w:rsidR="009669A2" w:rsidRPr="00DF38B2">
        <w:t>circumvent</w:t>
      </w:r>
      <w:r w:rsidRPr="00DF38B2">
        <w:t xml:space="preserve"> the limitations of obtaining alcohol and tobacco with their </w:t>
      </w:r>
      <w:proofErr w:type="gramStart"/>
      <w:r w:rsidRPr="00DF38B2">
        <w:t>funds,</w:t>
      </w:r>
      <w:proofErr w:type="gramEnd"/>
      <w:r w:rsidRPr="00DF38B2">
        <w:t xml:space="preserve"> it appears they can do so, although the proportion doing so is relatively low. There is no evidence to suggest that they use phone or similar cards any more than other means to do so. Rather, the high sales of these items reflect the importance of communications for people on income management.</w:t>
      </w:r>
    </w:p>
    <w:p w:rsidR="005E1FE0" w:rsidRPr="00DF38B2" w:rsidRDefault="005E1FE0" w:rsidP="006654AE">
      <w:r w:rsidRPr="00DF38B2">
        <w:t xml:space="preserve">Data on the consumption of food items, in particular in remote communities, points to some profound problems (which have been identified in previous studies) </w:t>
      </w:r>
      <w:r w:rsidR="00507CF8">
        <w:t>that</w:t>
      </w:r>
      <w:r w:rsidRPr="00DF38B2">
        <w:t xml:space="preserve"> can have serious health consequences. Income management does not appear to have any impact on this. In particular, analysis indicates a disproportionately low level of spending on fruit and vegetables on BasicsCard and the data show no evidence of this situation having improved. </w:t>
      </w:r>
    </w:p>
    <w:p w:rsidR="005E1FE0" w:rsidRPr="00DF38B2" w:rsidRDefault="005E1FE0" w:rsidP="006654AE">
      <w:r w:rsidRPr="00DF38B2">
        <w:t xml:space="preserve">Income management appears to have had little impact on changing the financial vulnerability of people when this is measured in terms of their ability to hold funds in reserve or to save. </w:t>
      </w:r>
    </w:p>
    <w:p w:rsidR="005E1FE0" w:rsidRPr="00DF38B2" w:rsidRDefault="005E1FE0" w:rsidP="006654AE">
      <w:r w:rsidRPr="00DF38B2">
        <w:t>Data on two aspects of the operation of BasicsCard ha</w:t>
      </w:r>
      <w:r w:rsidR="00507CF8">
        <w:t>ve</w:t>
      </w:r>
      <w:r w:rsidRPr="00DF38B2">
        <w:t xml:space="preserve"> been used to seek to identify groups who appear to face particular difficulties, or an absence of problems; and to identify evidence of income management having positive effects on building individual capabilities. </w:t>
      </w:r>
    </w:p>
    <w:p w:rsidR="005E1FE0" w:rsidRPr="00DF38B2" w:rsidRDefault="005E1FE0" w:rsidP="006654AE">
      <w:pPr>
        <w:pStyle w:val="dot"/>
      </w:pPr>
      <w:r w:rsidRPr="00DF38B2">
        <w:t>Identifying this type of subgroup has been difficult. Across the data there is clear evidence of much poorer outcomes for Indigenous people. There is some evidence that some of the targeted measures which involve individual assessment including the Assessed Vulnerable, Child Protection and SPAR measures, have identified groups with particularly poor outcomes and poor management skills. This is not the case with the automatic vulnerable measures, but this may be a reflection of the short time these have been in operation. The position of those with children</w:t>
      </w:r>
      <w:r w:rsidR="00507CF8">
        <w:t>,</w:t>
      </w:r>
      <w:r w:rsidRPr="00DF38B2">
        <w:t xml:space="preserve"> including lone parents</w:t>
      </w:r>
      <w:r w:rsidR="00507CF8">
        <w:t>,</w:t>
      </w:r>
      <w:r w:rsidRPr="00DF38B2">
        <w:t xml:space="preserve"> appears to be less adverse than that of other groups when it is assessed on the basis of their financial management behaviours.</w:t>
      </w:r>
    </w:p>
    <w:p w:rsidR="005E1FE0" w:rsidRPr="00DF38B2" w:rsidRDefault="005E1FE0" w:rsidP="006654AE">
      <w:pPr>
        <w:pStyle w:val="dot"/>
      </w:pPr>
      <w:r w:rsidRPr="00DF38B2">
        <w:t>While there has been some slight reduction in the rate of failed transactions, to the extent change has occurred</w:t>
      </w:r>
      <w:proofErr w:type="gramStart"/>
      <w:r w:rsidRPr="00DF38B2">
        <w:t>,</w:t>
      </w:r>
      <w:proofErr w:type="gramEnd"/>
      <w:r w:rsidR="0020613E" w:rsidRPr="00DF38B2">
        <w:t xml:space="preserve"> </w:t>
      </w:r>
      <w:r w:rsidR="00507CF8" w:rsidRPr="00DF38B2">
        <w:t>it would appear</w:t>
      </w:r>
      <w:r w:rsidR="00507CF8">
        <w:t xml:space="preserve"> that </w:t>
      </w:r>
      <w:r w:rsidR="0020613E" w:rsidRPr="00DF38B2">
        <w:t>one</w:t>
      </w:r>
      <w:r w:rsidRPr="00DF38B2">
        <w:t xml:space="preserve"> reason for this has been the provision of improved means for people to check their balances. </w:t>
      </w:r>
      <w:r w:rsidR="0020613E" w:rsidRPr="00DF38B2">
        <w:t>When the most significant of these is accounted for</w:t>
      </w:r>
      <w:r w:rsidR="00507CF8">
        <w:t>,</w:t>
      </w:r>
      <w:r w:rsidR="0020613E" w:rsidRPr="00DF38B2">
        <w:t xml:space="preserve"> the analysis does identify the possibility that there has been an improvement of around 0.6 percentage points per year which may reflect better use of the facilities as well as more incremental change in accessibility. </w:t>
      </w:r>
      <w:r w:rsidRPr="00DF38B2">
        <w:t xml:space="preserve">Using this measure as a metric for financial capability </w:t>
      </w:r>
      <w:r w:rsidR="0020613E" w:rsidRPr="00DF38B2">
        <w:t xml:space="preserve">also </w:t>
      </w:r>
      <w:r w:rsidRPr="00DF38B2">
        <w:t>indicates that those people who have been placed on income management for the first time in more recent years are more skilled than those originally placed on the program. There is no evidence of changes in the rate of obtaining replacement cards to suggest that these are being managed any more responsibly.</w:t>
      </w:r>
    </w:p>
    <w:p w:rsidR="003928BD" w:rsidRDefault="003928BD" w:rsidP="006654AE">
      <w:pPr>
        <w:spacing w:line="276" w:lineRule="auto"/>
        <w:jc w:val="left"/>
      </w:pPr>
      <w:r>
        <w:br w:type="page"/>
      </w:r>
    </w:p>
    <w:p w:rsidR="005E1FE0" w:rsidRPr="00DF38B2" w:rsidRDefault="005E1FE0" w:rsidP="006654AE"/>
    <w:p w:rsidR="0020613E" w:rsidRPr="00DF38B2" w:rsidRDefault="0020613E" w:rsidP="006654AE"/>
    <w:p w:rsidR="0020613E" w:rsidRPr="00DF38B2" w:rsidRDefault="0020613E" w:rsidP="006654AE">
      <w:pPr>
        <w:sectPr w:rsidR="0020613E" w:rsidRPr="00DF38B2" w:rsidSect="00285084">
          <w:headerReference w:type="even" r:id="rId121"/>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405" w:name="_Toc403739060"/>
      <w:r w:rsidRPr="00DF38B2">
        <w:lastRenderedPageBreak/>
        <w:t>Views and experiences of those subject to income management</w:t>
      </w:r>
      <w:bookmarkEnd w:id="405"/>
    </w:p>
    <w:p w:rsidR="005E1FE0" w:rsidRPr="00DF38B2" w:rsidRDefault="005E1FE0" w:rsidP="00F42BEE">
      <w:pPr>
        <w:spacing w:before="1200" w:after="210"/>
      </w:pPr>
      <w:r w:rsidRPr="00DF38B2">
        <w:t xml:space="preserve">This chapter </w:t>
      </w:r>
      <w:r w:rsidR="0020613E" w:rsidRPr="00DF38B2">
        <w:t xml:space="preserve">reports on </w:t>
      </w:r>
      <w:r w:rsidRPr="00DF38B2">
        <w:t>the views and experiences of those people who were subject to income management in the Northern Territory</w:t>
      </w:r>
      <w:r w:rsidR="00A1421A">
        <w:t xml:space="preserve">. </w:t>
      </w:r>
      <w:r w:rsidRPr="00DF38B2">
        <w:t xml:space="preserve">It is </w:t>
      </w:r>
      <w:r w:rsidR="0020613E" w:rsidRPr="00DF38B2">
        <w:t xml:space="preserve">mainly </w:t>
      </w:r>
      <w:r w:rsidRPr="00DF38B2">
        <w:t>based on data collected through the Longitudinal Survey of New Income Management (LSNIM)</w:t>
      </w:r>
      <w:r w:rsidR="008438F4">
        <w:t>,</w:t>
      </w:r>
      <w:r w:rsidRPr="00DF38B2">
        <w:t xml:space="preserve"> which forms part of this evaluation project. Although a rich source of both qualitative and quantitative data, interpreting some of the results of the survey is not a simple exercise and we have done so cautiously. </w:t>
      </w:r>
    </w:p>
    <w:p w:rsidR="005E1FE0" w:rsidRPr="00DF38B2" w:rsidRDefault="005E1FE0" w:rsidP="006654AE">
      <w:r w:rsidRPr="00DF38B2">
        <w:t>There are many reasons for this, including:</w:t>
      </w:r>
    </w:p>
    <w:p w:rsidR="005E1FE0" w:rsidRPr="00DF38B2" w:rsidRDefault="005E1FE0" w:rsidP="006654AE">
      <w:pPr>
        <w:pStyle w:val="dot"/>
      </w:pPr>
      <w:r w:rsidRPr="00DF38B2">
        <w:t xml:space="preserve">Views among people subject to income management about the program </w:t>
      </w:r>
      <w:r w:rsidR="009C5859">
        <w:t xml:space="preserve">and their experiences on it </w:t>
      </w:r>
      <w:r w:rsidRPr="00DF38B2">
        <w:t>are diverse and often mixed</w:t>
      </w:r>
      <w:r w:rsidR="00A1421A">
        <w:t xml:space="preserve">. </w:t>
      </w:r>
      <w:r w:rsidRPr="00DF38B2">
        <w:t>Many people are very positive about the program, others highly negative</w:t>
      </w:r>
      <w:r w:rsidR="00A1421A">
        <w:t xml:space="preserve">. </w:t>
      </w:r>
      <w:r w:rsidRPr="00DF38B2">
        <w:t xml:space="preserve">For some the program has a significant impact on their lives </w:t>
      </w:r>
      <w:r w:rsidR="008438F4">
        <w:t xml:space="preserve">– </w:t>
      </w:r>
      <w:r w:rsidR="009C5859">
        <w:t>either</w:t>
      </w:r>
      <w:r w:rsidR="009C5859" w:rsidRPr="00DF38B2">
        <w:t xml:space="preserve"> </w:t>
      </w:r>
      <w:r w:rsidRPr="00DF38B2">
        <w:t xml:space="preserve">positively </w:t>
      </w:r>
      <w:r w:rsidR="009C5859">
        <w:t>or</w:t>
      </w:r>
      <w:r w:rsidR="009C5859" w:rsidRPr="00DF38B2">
        <w:t xml:space="preserve"> </w:t>
      </w:r>
      <w:r w:rsidRPr="00DF38B2">
        <w:t>negatively</w:t>
      </w:r>
      <w:r w:rsidR="008438F4">
        <w:t xml:space="preserve"> –</w:t>
      </w:r>
      <w:r w:rsidRPr="00DF38B2">
        <w:t xml:space="preserve"> while for others it has a negligible impact, having little effect on what they do or on the outcomes of these activities</w:t>
      </w:r>
      <w:r w:rsidR="00A1421A">
        <w:t xml:space="preserve">. </w:t>
      </w:r>
      <w:r w:rsidRPr="00DF38B2">
        <w:t>For</w:t>
      </w:r>
      <w:r w:rsidR="0020613E" w:rsidRPr="00DF38B2">
        <w:t xml:space="preserve"> many</w:t>
      </w:r>
      <w:r w:rsidR="008438F4">
        <w:t>,</w:t>
      </w:r>
      <w:r w:rsidRPr="00DF38B2">
        <w:t xml:space="preserve"> income management is a policy which </w:t>
      </w:r>
      <w:r w:rsidR="0020613E" w:rsidRPr="00DF38B2">
        <w:t>they see as having</w:t>
      </w:r>
      <w:r w:rsidRPr="00DF38B2">
        <w:t xml:space="preserve"> both positive and negative impacts</w:t>
      </w:r>
      <w:r w:rsidR="00A1421A">
        <w:t xml:space="preserve">. </w:t>
      </w:r>
      <w:r w:rsidRPr="00DF38B2">
        <w:t>This presents particular issues when they have been confronted in the survey with questions which seek to obtain a more global view of the impact of the program or their views on it</w:t>
      </w:r>
      <w:r w:rsidR="00A1421A">
        <w:t xml:space="preserve">. </w:t>
      </w:r>
      <w:r w:rsidRPr="00DF38B2">
        <w:t>This is one of the reasons the quantitative component of the survey has been balanced by qualitative interviews.</w:t>
      </w:r>
    </w:p>
    <w:p w:rsidR="005E1FE0" w:rsidRPr="00DF38B2" w:rsidRDefault="005E1FE0" w:rsidP="006654AE">
      <w:pPr>
        <w:pStyle w:val="dot"/>
      </w:pPr>
      <w:r w:rsidRPr="00DF38B2">
        <w:t xml:space="preserve">Increasingly it is difficult for many people subject to the measure to differentiate between </w:t>
      </w:r>
      <w:r w:rsidR="00CA60AC">
        <w:t>‘</w:t>
      </w:r>
      <w:r w:rsidR="005E4CAC">
        <w:t>income management</w:t>
      </w:r>
      <w:r w:rsidR="00CA60AC">
        <w:t>’</w:t>
      </w:r>
      <w:r w:rsidRPr="00DF38B2">
        <w:t xml:space="preserve"> in terms of the policy </w:t>
      </w:r>
      <w:r w:rsidR="008438F4">
        <w:t>that</w:t>
      </w:r>
      <w:r w:rsidRPr="00DF38B2">
        <w:t xml:space="preserve"> controls how they can spend a portion of their </w:t>
      </w:r>
      <w:r w:rsidR="00CA60AC">
        <w:t>‘</w:t>
      </w:r>
      <w:r w:rsidR="009D7612">
        <w:t>income support</w:t>
      </w:r>
      <w:r w:rsidR="00CA60AC">
        <w:t>’</w:t>
      </w:r>
      <w:r w:rsidRPr="00DF38B2">
        <w:t xml:space="preserve"> and the provision of </w:t>
      </w:r>
      <w:r w:rsidR="00CA60AC">
        <w:t>‘</w:t>
      </w:r>
      <w:r w:rsidR="009D7612">
        <w:t>income support</w:t>
      </w:r>
      <w:r w:rsidR="00CA60AC">
        <w:t>’</w:t>
      </w:r>
      <w:r w:rsidRPr="00DF38B2">
        <w:t xml:space="preserve"> itself</w:t>
      </w:r>
      <w:r w:rsidR="00A1421A">
        <w:t xml:space="preserve">. </w:t>
      </w:r>
      <w:r w:rsidRPr="00DF38B2">
        <w:t>The first reason for this is that, while in programmatic and bureaucratic terms the two are quite distinct elements of the transfer system, from the perspective of many recipients of income support the system is perceived of as a whole</w:t>
      </w:r>
      <w:r w:rsidR="00A1421A">
        <w:t xml:space="preserve">. </w:t>
      </w:r>
      <w:r w:rsidRPr="00DF38B2">
        <w:t>That is, as a single complex system which has a wide range of rules – ranging from eligibility, to the specific payments which are made to them and the rates at which they are paid, and in the case of income management how they can spend the money, with which they engage in passive terms – most frequently doing their best to behave in the way in which the system expects</w:t>
      </w:r>
      <w:r w:rsidR="00A1421A">
        <w:t xml:space="preserve">. </w:t>
      </w:r>
      <w:r w:rsidRPr="00DF38B2">
        <w:t>From this perspective questions about a single element of this construction, that of ‘income management’ are not necessarily separable or comprehensible from the system as a whole</w:t>
      </w:r>
      <w:r w:rsidR="00A1421A">
        <w:t xml:space="preserve">. </w:t>
      </w:r>
    </w:p>
    <w:p w:rsidR="005E1FE0" w:rsidRPr="00DF38B2" w:rsidRDefault="005E1FE0" w:rsidP="006654AE">
      <w:pPr>
        <w:pStyle w:val="undot"/>
      </w:pPr>
      <w:r w:rsidRPr="00DF38B2">
        <w:t>This in many cases is further complicated by the extent to which many of the people whose views we sought had had their income support payments subject to income management for periods of up to six and half years – making the substantial part of their experience of income management and income support inseparable</w:t>
      </w:r>
      <w:r w:rsidR="00A1421A">
        <w:t xml:space="preserve">. </w:t>
      </w:r>
      <w:r w:rsidRPr="00DF38B2">
        <w:t>In this context a simple question such as “Do you wish to get off income management?” may variously be interpreted as: “Do you wish to stop having your payment subject to income management?”, “Do you wish to have more control over the way in which your funds subject to income management are managed?, “Do you want to get off income support?” or “Do you want to get a job and earn your own money?”.</w:t>
      </w:r>
    </w:p>
    <w:p w:rsidR="005E1FE0" w:rsidRPr="00DF38B2" w:rsidRDefault="005E1FE0" w:rsidP="006654AE">
      <w:pPr>
        <w:pStyle w:val="undot"/>
      </w:pPr>
      <w:r w:rsidRPr="00DF38B2">
        <w:lastRenderedPageBreak/>
        <w:t>This difficulty is further complicated by the extent to which many of the people whose views we sought did not have English as their first language.</w:t>
      </w:r>
    </w:p>
    <w:p w:rsidR="005E1FE0" w:rsidRPr="00DF38B2" w:rsidRDefault="005E1FE0" w:rsidP="006654AE">
      <w:pPr>
        <w:pStyle w:val="dot"/>
      </w:pPr>
      <w:r w:rsidRPr="00DF38B2">
        <w:t xml:space="preserve">While the data collection was largely undertaken by an independent company, with the fieldwork mainly being </w:t>
      </w:r>
      <w:r w:rsidR="008438F4">
        <w:t xml:space="preserve">conducted </w:t>
      </w:r>
      <w:r w:rsidRPr="00DF38B2">
        <w:t xml:space="preserve">by Indigenous interviewers, the collection of </w:t>
      </w:r>
      <w:r w:rsidR="00115F4A">
        <w:t>these data</w:t>
      </w:r>
      <w:r w:rsidRPr="00DF38B2">
        <w:t xml:space="preserve"> was viewed by many respondents as the “government collecting information”</w:t>
      </w:r>
      <w:r w:rsidR="00A1421A">
        <w:t xml:space="preserve">. </w:t>
      </w:r>
      <w:r w:rsidRPr="00DF38B2">
        <w:t>This perception can shape responses in several ways. In some cases it can result in the respondent answering questions in the way that they consider the government wants to hear</w:t>
      </w:r>
      <w:r w:rsidR="00A1421A">
        <w:t xml:space="preserve">. </w:t>
      </w:r>
      <w:r w:rsidRPr="00DF38B2">
        <w:t>In other cases respondents may use it as a means of sending a message to government, relating to what they see as being a lack of consultation about the program, or in expressing defiance of, and frustration with, government</w:t>
      </w:r>
      <w:r w:rsidR="009C5859">
        <w:t xml:space="preserve"> including their views about the intervention</w:t>
      </w:r>
      <w:r w:rsidR="00A1421A">
        <w:t xml:space="preserve">. </w:t>
      </w:r>
      <w:r w:rsidRPr="00DF38B2">
        <w:t>Cultural attitudes can also play a role – especially in seeking to avoid confrontation</w:t>
      </w:r>
      <w:r w:rsidR="00A1421A">
        <w:t xml:space="preserve">. </w:t>
      </w:r>
    </w:p>
    <w:p w:rsidR="005E1FE0" w:rsidRPr="00DF38B2" w:rsidRDefault="005E1FE0" w:rsidP="006654AE">
      <w:pPr>
        <w:pStyle w:val="undot"/>
      </w:pPr>
      <w:r w:rsidRPr="00DF38B2">
        <w:t xml:space="preserve">The impact of some of these factors was highlighted for this evaluation when undertaking community feedback on the </w:t>
      </w:r>
      <w:r w:rsidR="0020613E" w:rsidRPr="00DF38B2">
        <w:t>First Evaluation Report</w:t>
      </w:r>
      <w:r w:rsidR="00A1421A">
        <w:t xml:space="preserve">. </w:t>
      </w:r>
      <w:r w:rsidRPr="00DF38B2">
        <w:t>One of the points noted in this earlier report was an apparent contradiction between reported improvements in the wellbeing of children by survey respondents and the trends in quantitative measures of outcomes</w:t>
      </w:r>
      <w:r w:rsidR="00A1421A">
        <w:t xml:space="preserve">. </w:t>
      </w:r>
      <w:r w:rsidRPr="00DF38B2">
        <w:t>In feedback we were told “what else do you think we would say – it would be a shame job if we said things had got worse for our children – and if we did, what would happen?</w:t>
      </w:r>
      <w:r w:rsidR="00B84AFE">
        <w:t xml:space="preserve"> </w:t>
      </w:r>
      <w:r w:rsidRPr="00DF38B2">
        <w:t xml:space="preserve">Would the government take them away again?” </w:t>
      </w:r>
      <w:proofErr w:type="gramStart"/>
      <w:r w:rsidRPr="00DF38B2">
        <w:t>(Community feedback, Alice Springs)</w:t>
      </w:r>
      <w:r w:rsidR="00EC777E">
        <w:t>.</w:t>
      </w:r>
      <w:proofErr w:type="gramEnd"/>
    </w:p>
    <w:p w:rsidR="005E1FE0" w:rsidRPr="00DF38B2" w:rsidRDefault="005E1FE0" w:rsidP="006654AE">
      <w:r w:rsidRPr="00DF38B2">
        <w:t xml:space="preserve">These issues do not mean that the collection of the information on the views and experiences of people subject to the measure is a futile effort, or that the </w:t>
      </w:r>
      <w:r w:rsidR="00D5404D">
        <w:t>data are</w:t>
      </w:r>
      <w:r w:rsidRPr="00DF38B2">
        <w:t xml:space="preserve"> necessarily misleading. Rather it emphasises the need for caution and respect in its interpretation</w:t>
      </w:r>
      <w:r w:rsidR="00A1421A">
        <w:t xml:space="preserve">. </w:t>
      </w:r>
      <w:r w:rsidRPr="00DF38B2">
        <w:t>It is also one of the reasons this evaluation has placed a priority on the use of multiple data sources, and for results to be triangulated.</w:t>
      </w:r>
    </w:p>
    <w:p w:rsidR="005E1FE0" w:rsidRPr="00DF38B2" w:rsidRDefault="005E1FE0" w:rsidP="006654AE">
      <w:r w:rsidRPr="00DF38B2">
        <w:t xml:space="preserve">Finally, from an evaluation perspective as we have previously stated, it is important to base the analysis on the outcomes achieved by the program relative to its objectives, and not </w:t>
      </w:r>
      <w:r w:rsidR="008D21EC">
        <w:t>simply views of</w:t>
      </w:r>
      <w:r w:rsidRPr="00DF38B2">
        <w:t xml:space="preserve"> participants</w:t>
      </w:r>
      <w:r w:rsidR="008D21EC">
        <w:t xml:space="preserve"> and others</w:t>
      </w:r>
      <w:r w:rsidRPr="00DF38B2">
        <w:t>. An effective program may not be viewed positively by some participants, while a popular program may be ineffective.</w:t>
      </w:r>
    </w:p>
    <w:p w:rsidR="005E1FE0" w:rsidRPr="00DF38B2" w:rsidRDefault="005E1FE0" w:rsidP="006654AE">
      <w:pPr>
        <w:pStyle w:val="Heading2"/>
      </w:pPr>
      <w:bookmarkStart w:id="406" w:name="_Toc403739061"/>
      <w:r w:rsidRPr="00DF38B2">
        <w:t>Approach</w:t>
      </w:r>
      <w:bookmarkEnd w:id="406"/>
    </w:p>
    <w:p w:rsidR="005E1FE0" w:rsidRPr="00DF38B2" w:rsidRDefault="005E1FE0" w:rsidP="006654AE">
      <w:r w:rsidRPr="00DF38B2">
        <w:t>The chapter is structured in two main sections</w:t>
      </w:r>
      <w:r w:rsidR="00A1421A">
        <w:t xml:space="preserve">. </w:t>
      </w:r>
      <w:r w:rsidRPr="00DF38B2">
        <w:t xml:space="preserve">The first considers some of the perspectives on income management </w:t>
      </w:r>
      <w:r w:rsidR="00665AAB">
        <w:t>that</w:t>
      </w:r>
      <w:r w:rsidRPr="00DF38B2">
        <w:t xml:space="preserve"> emerge from the quantitative components of the LSNIM</w:t>
      </w:r>
      <w:r w:rsidR="00665AAB">
        <w:t>;</w:t>
      </w:r>
      <w:r w:rsidRPr="00DF38B2">
        <w:t xml:space="preserve"> and the second analys</w:t>
      </w:r>
      <w:r w:rsidR="00665AAB">
        <w:t>e</w:t>
      </w:r>
      <w:r w:rsidRPr="00DF38B2">
        <w:t>s changes over time in some of the outcomes</w:t>
      </w:r>
      <w:r w:rsidR="00665AAB">
        <w:t>,</w:t>
      </w:r>
      <w:r w:rsidRPr="00DF38B2">
        <w:t xml:space="preserve"> such as being unable to purchase food and capacity to pay bills</w:t>
      </w:r>
      <w:r w:rsidR="00665AAB">
        <w:t>,</w:t>
      </w:r>
      <w:r w:rsidRPr="00DF38B2">
        <w:t xml:space="preserve"> on which data w</w:t>
      </w:r>
      <w:r w:rsidR="00665AAB">
        <w:t>ere</w:t>
      </w:r>
      <w:r w:rsidRPr="00DF38B2">
        <w:t xml:space="preserve"> collected in the survey. The more qualitative data collected as part of the evaluation is reported on in Chapter 8.</w:t>
      </w:r>
    </w:p>
    <w:p w:rsidR="005E1FE0" w:rsidRPr="00DF38B2" w:rsidRDefault="005E1FE0" w:rsidP="006654AE">
      <w:pPr>
        <w:pStyle w:val="Heading2"/>
      </w:pPr>
      <w:bookmarkStart w:id="407" w:name="_Toc403739062"/>
      <w:r w:rsidRPr="00DF38B2">
        <w:t>The LSNIM</w:t>
      </w:r>
      <w:bookmarkEnd w:id="407"/>
      <w:r w:rsidRPr="00DF38B2">
        <w:t xml:space="preserve"> </w:t>
      </w:r>
    </w:p>
    <w:p w:rsidR="005E1FE0" w:rsidRPr="00DF38B2" w:rsidRDefault="00665AAB" w:rsidP="006654AE">
      <w:r>
        <w:t>As discussed in C</w:t>
      </w:r>
      <w:r w:rsidRPr="00DF38B2">
        <w:t>hapter 3</w:t>
      </w:r>
      <w:r>
        <w:t>, t</w:t>
      </w:r>
      <w:r w:rsidR="005E1FE0" w:rsidRPr="00DF38B2">
        <w:t>he LSNIM was conducted in two waves</w:t>
      </w:r>
      <w:r w:rsidR="00A1421A">
        <w:t xml:space="preserve">. </w:t>
      </w:r>
      <w:r w:rsidR="005E1FE0" w:rsidRPr="00DF38B2">
        <w:t xml:space="preserve">The initial wave of the survey </w:t>
      </w:r>
      <w:r w:rsidR="00B84E0D">
        <w:t xml:space="preserve">(Wave 1) </w:t>
      </w:r>
      <w:r w:rsidR="005E1FE0" w:rsidRPr="00DF38B2">
        <w:t xml:space="preserve">was undertaken between December 2011 and March 2012, and the second wave </w:t>
      </w:r>
      <w:r w:rsidR="00B84E0D">
        <w:t xml:space="preserve">(Wave 2) </w:t>
      </w:r>
      <w:r w:rsidR="005E1FE0" w:rsidRPr="00DF38B2">
        <w:t xml:space="preserve">between September 2013 and January 2014. </w:t>
      </w:r>
      <w:r w:rsidR="005A15B2" w:rsidRPr="00DF38B2">
        <w:t xml:space="preserve">Appendix B </w:t>
      </w:r>
      <w:r w:rsidR="005E1FE0" w:rsidRPr="00DF38B2">
        <w:t>provides details on the survey</w:t>
      </w:r>
      <w:r>
        <w:t>,</w:t>
      </w:r>
      <w:r w:rsidR="005E1FE0" w:rsidRPr="00DF38B2">
        <w:t xml:space="preserve"> and </w:t>
      </w:r>
      <w:r w:rsidR="005A15B2" w:rsidRPr="00DF38B2">
        <w:t>Appendix C</w:t>
      </w:r>
      <w:r w:rsidR="005E1FE0" w:rsidRPr="00DF38B2">
        <w:t xml:space="preserve"> </w:t>
      </w:r>
      <w:r w:rsidR="00380D67">
        <w:t xml:space="preserve">provides </w:t>
      </w:r>
      <w:r w:rsidR="005E1FE0" w:rsidRPr="00DF38B2">
        <w:t>the survey instrument.</w:t>
      </w:r>
    </w:p>
    <w:p w:rsidR="005E1FE0" w:rsidRPr="00DF38B2" w:rsidRDefault="005E1FE0" w:rsidP="006654AE">
      <w:r w:rsidRPr="00DF38B2">
        <w:t>The fieldwork report contains information on the overall response rate and attrition from the survey</w:t>
      </w:r>
      <w:r w:rsidR="00B84E0D">
        <w:t>;</w:t>
      </w:r>
      <w:r w:rsidRPr="00DF38B2">
        <w:t xml:space="preserve"> however</w:t>
      </w:r>
      <w:r w:rsidR="00B84E0D">
        <w:t>,</w:t>
      </w:r>
      <w:r w:rsidRPr="00DF38B2">
        <w:t xml:space="preserve"> not all of these responses were suitable for quantitative analysis. The following discussion concerns the usable quantitative sample of the survey</w:t>
      </w:r>
      <w:r w:rsidR="00F84F3D">
        <w:t>.</w:t>
      </w:r>
      <w:r w:rsidR="00F84F3D">
        <w:rPr>
          <w:rStyle w:val="FootnoteReference"/>
        </w:rPr>
        <w:footnoteReference w:id="115"/>
      </w:r>
    </w:p>
    <w:p w:rsidR="005E1FE0" w:rsidRPr="00DF38B2" w:rsidRDefault="005E1FE0" w:rsidP="006654AE">
      <w:r w:rsidRPr="00DF38B2">
        <w:t xml:space="preserve">The survey comprised both a population subject to </w:t>
      </w:r>
      <w:r w:rsidR="005E4CAC">
        <w:t>income management</w:t>
      </w:r>
      <w:r w:rsidRPr="00DF38B2">
        <w:t xml:space="preserve"> and a control population </w:t>
      </w:r>
      <w:r w:rsidR="00D86209">
        <w:t xml:space="preserve">(also called the contrast sites) </w:t>
      </w:r>
      <w:r w:rsidRPr="00DF38B2">
        <w:t>drawn from other states where the program did not operate</w:t>
      </w:r>
      <w:r w:rsidR="00A1421A">
        <w:t xml:space="preserve">. </w:t>
      </w:r>
      <w:r w:rsidRPr="00DF38B2">
        <w:t xml:space="preserve">The initial wave of the survey </w:t>
      </w:r>
      <w:r w:rsidR="005A15B2" w:rsidRPr="00DF38B2">
        <w:t xml:space="preserve">generated </w:t>
      </w:r>
      <w:r w:rsidRPr="00DF38B2">
        <w:t xml:space="preserve">1,065 quantitative respondents, and the second wave </w:t>
      </w:r>
      <w:r w:rsidR="00B84E0D">
        <w:t xml:space="preserve">generated </w:t>
      </w:r>
      <w:r w:rsidRPr="00DF38B2">
        <w:t>1,063. This 1,063 comprised 566 ongoing respondents who had participated in the first wave of the survey and an additional top</w:t>
      </w:r>
      <w:r w:rsidR="00B84E0D">
        <w:t>-</w:t>
      </w:r>
      <w:r w:rsidRPr="00DF38B2">
        <w:t xml:space="preserve">up sample of 497. Although the attrition rate </w:t>
      </w:r>
      <w:r w:rsidR="005A15B2" w:rsidRPr="00DF38B2">
        <w:t xml:space="preserve">of usable quantitative responses </w:t>
      </w:r>
      <w:r w:rsidRPr="00DF38B2">
        <w:t xml:space="preserve">of 45.9 per cent between waves was high, analysis does not show indications of significant bias in the </w:t>
      </w:r>
      <w:proofErr w:type="spellStart"/>
      <w:r w:rsidRPr="00DF38B2">
        <w:t>attriti</w:t>
      </w:r>
      <w:r w:rsidR="00B84E0D">
        <w:t>ng</w:t>
      </w:r>
      <w:proofErr w:type="spellEnd"/>
      <w:r w:rsidR="00380D67">
        <w:t xml:space="preserve"> sample</w:t>
      </w:r>
      <w:r w:rsidRPr="00DF38B2">
        <w:t>, relative to continuing, sample</w:t>
      </w:r>
      <w:r w:rsidR="00A1421A">
        <w:t xml:space="preserve">. </w:t>
      </w:r>
      <w:r w:rsidRPr="00DF38B2">
        <w:t xml:space="preserve">The level of attrition varied between 40.2 per cent among non-Indigenous people </w:t>
      </w:r>
      <w:r w:rsidRPr="00DF38B2">
        <w:lastRenderedPageBreak/>
        <w:t>subject to Compulsory Income Management and 48.5 per cent for Indigenous people subject to the same measure</w:t>
      </w:r>
      <w:r w:rsidR="00A1421A">
        <w:t xml:space="preserve">. </w:t>
      </w:r>
      <w:r w:rsidRPr="00DF38B2">
        <w:t xml:space="preserve">The attrition rate for the control group of 47.9 was marginally above the 43.4 per cent of the treated group. Amongst those on </w:t>
      </w:r>
      <w:r w:rsidR="005E4CAC">
        <w:t>income management</w:t>
      </w:r>
      <w:r w:rsidRPr="00DF38B2">
        <w:t xml:space="preserve">, those who did not participate in the second wave were slightly more likely to express a view that they wanted to get off </w:t>
      </w:r>
      <w:r w:rsidR="005E4CAC">
        <w:t>income management</w:t>
      </w:r>
      <w:r w:rsidRPr="00DF38B2">
        <w:t xml:space="preserve"> (49.5 per cent), than those </w:t>
      </w:r>
      <w:r w:rsidR="00B84E0D">
        <w:t>who</w:t>
      </w:r>
      <w:r w:rsidRPr="00DF38B2">
        <w:t xml:space="preserve"> remained in the sample (45.4 per cent). Women accounted for 69.6 per cent of the continuing sample, compared with 62.7 per cent of the </w:t>
      </w:r>
      <w:proofErr w:type="spellStart"/>
      <w:r w:rsidRPr="00DF38B2">
        <w:t>attriting</w:t>
      </w:r>
      <w:proofErr w:type="spellEnd"/>
      <w:r w:rsidRPr="00DF38B2">
        <w:t xml:space="preserve"> sample.</w:t>
      </w:r>
    </w:p>
    <w:p w:rsidR="005E1FE0" w:rsidRPr="00DF38B2" w:rsidRDefault="005E1FE0" w:rsidP="006654AE">
      <w:r w:rsidRPr="00DF38B2">
        <w:t xml:space="preserve">The composition of the second wave, by their status in the first wave and their reported second wave characteristics, is illustrated in </w:t>
      </w:r>
      <w:r w:rsidRPr="00DF38B2">
        <w:fldChar w:fldCharType="begin"/>
      </w:r>
      <w:r w:rsidRPr="00DF38B2">
        <w:instrText xml:space="preserve"> REF _Ref390526760 \h </w:instrText>
      </w:r>
      <w:r w:rsidRPr="00DF38B2">
        <w:fldChar w:fldCharType="separate"/>
      </w:r>
      <w:r w:rsidR="00906D13" w:rsidRPr="00DF38B2">
        <w:t xml:space="preserve">Table </w:t>
      </w:r>
      <w:r w:rsidR="00906D13">
        <w:rPr>
          <w:noProof/>
        </w:rPr>
        <w:t>7</w:t>
      </w:r>
      <w:r w:rsidR="00906D13">
        <w:noBreakHyphen/>
      </w:r>
      <w:r w:rsidR="00906D13">
        <w:rPr>
          <w:noProof/>
        </w:rPr>
        <w:t>1</w:t>
      </w:r>
      <w:r w:rsidRPr="00DF38B2">
        <w:fldChar w:fldCharType="end"/>
      </w:r>
      <w:r w:rsidRPr="00DF38B2">
        <w:t xml:space="preserve">. </w:t>
      </w:r>
    </w:p>
    <w:p w:rsidR="005E1FE0" w:rsidRPr="009655C3" w:rsidRDefault="005E1FE0" w:rsidP="006654AE">
      <w:r w:rsidRPr="00FE502F">
        <w:t>Overall</w:t>
      </w:r>
      <w:r w:rsidR="00B84E0D">
        <w:t>,</w:t>
      </w:r>
      <w:r w:rsidRPr="00FE502F">
        <w:t xml:space="preserve"> there is considerable stability in the classification of people by their income management status between the two waves. The major exception to this was the non-Indigenous compulsory income</w:t>
      </w:r>
      <w:r w:rsidRPr="009655C3">
        <w:t xml:space="preserve"> management population</w:t>
      </w:r>
      <w:r w:rsidR="00B84E0D">
        <w:t>,</w:t>
      </w:r>
      <w:r w:rsidRPr="009655C3">
        <w:t xml:space="preserve"> where just 50 per cent remain in the same classification, with the balance obtaining an exemption or otherwise exiting income management</w:t>
      </w:r>
      <w:r w:rsidR="00A1421A">
        <w:t xml:space="preserve">. </w:t>
      </w:r>
      <w:r w:rsidRPr="009655C3">
        <w:t xml:space="preserve">The table also shows some small ‘unusual’ movements, such as changing Indigenous identification and a small number of the non-Indigenous control population </w:t>
      </w:r>
      <w:r w:rsidR="008D21EC">
        <w:t xml:space="preserve">respondents </w:t>
      </w:r>
      <w:r w:rsidRPr="009655C3">
        <w:t>r</w:t>
      </w:r>
      <w:r w:rsidR="008D21EC">
        <w:t>eporti</w:t>
      </w:r>
      <w:r w:rsidRPr="009655C3">
        <w:t xml:space="preserve">ng that they were on </w:t>
      </w:r>
      <w:r w:rsidR="005E4CAC">
        <w:t>income management</w:t>
      </w:r>
      <w:r w:rsidRPr="009655C3">
        <w:t xml:space="preserve"> in the second wave of the survey</w:t>
      </w:r>
      <w:r w:rsidR="00A1421A">
        <w:t xml:space="preserve">. </w:t>
      </w:r>
      <w:r w:rsidRPr="009655C3">
        <w:t xml:space="preserve">These changes have been accepted in the new population, although the reasons behind them </w:t>
      </w:r>
      <w:r w:rsidR="00B84E0D">
        <w:t>are</w:t>
      </w:r>
      <w:r w:rsidRPr="009655C3">
        <w:t xml:space="preserve"> not entirely clear.</w:t>
      </w:r>
    </w:p>
    <w:p w:rsidR="005E1FE0" w:rsidRPr="00DF38B2" w:rsidRDefault="005E1FE0" w:rsidP="006654AE">
      <w:r w:rsidRPr="00DF38B2">
        <w:t xml:space="preserve">In addition to the group still subject to income management, the second wave of the LSNIM included several groups </w:t>
      </w:r>
      <w:r w:rsidR="00B349A6">
        <w:t xml:space="preserve">of people </w:t>
      </w:r>
      <w:r w:rsidRPr="00DF38B2">
        <w:t>who, while they had been subject to income management, were no longer in the program. As indicated earlier</w:t>
      </w:r>
      <w:r w:rsidR="00B349A6">
        <w:t>,</w:t>
      </w:r>
      <w:r w:rsidRPr="00DF38B2">
        <w:t xml:space="preserve"> this can be because they obtained an exemption, had moved onto forms of income support which are not subject to the measure, have chosen to exit </w:t>
      </w:r>
      <w:r w:rsidR="001544DF">
        <w:t>Voluntary Income Management</w:t>
      </w:r>
      <w:r w:rsidR="00B349A6">
        <w:t>,</w:t>
      </w:r>
      <w:r w:rsidRPr="00DF38B2">
        <w:t xml:space="preserve"> or have gained employment</w:t>
      </w:r>
      <w:r w:rsidR="00A1421A">
        <w:t xml:space="preserve">. </w:t>
      </w:r>
      <w:r w:rsidRPr="00DF38B2">
        <w:t>In the case of the additional sample, while many of the survey participants had been on income management at the point the sample was selected, by the time the survey was undertaken they no longer were</w:t>
      </w:r>
      <w:r w:rsidR="00A1421A">
        <w:t xml:space="preserve">. </w:t>
      </w:r>
      <w:r w:rsidRPr="00DF38B2">
        <w:t>Reflecting the cautionary note in the introduction, it is considered that there is some uncertainty around the classification of some of the participants in the second wave</w:t>
      </w:r>
      <w:r w:rsidR="00A1421A">
        <w:t xml:space="preserve">. </w:t>
      </w:r>
      <w:r w:rsidRPr="00DF38B2">
        <w:t>Many individuals consider that they are</w:t>
      </w:r>
      <w:r w:rsidR="005A15B2" w:rsidRPr="00DF38B2">
        <w:t>,</w:t>
      </w:r>
      <w:r w:rsidRPr="00DF38B2">
        <w:t xml:space="preserve"> for example</w:t>
      </w:r>
      <w:r w:rsidR="005A15B2" w:rsidRPr="00DF38B2">
        <w:t>,</w:t>
      </w:r>
      <w:r w:rsidRPr="00DF38B2">
        <w:t xml:space="preserve"> ‘exempt’ from income management due to being on a form of income support for which it is not compulsory, rather than actually obtaining a formal exemption from income management</w:t>
      </w:r>
      <w:r w:rsidR="00A1421A">
        <w:t xml:space="preserve">. </w:t>
      </w:r>
      <w:r w:rsidRPr="00DF38B2">
        <w:t>While some attempt has been made to classify people appropriately, this has not always been possible.</w:t>
      </w:r>
      <w:r w:rsidR="000F06BF">
        <w:rPr>
          <w:rStyle w:val="FootnoteReference"/>
        </w:rPr>
        <w:footnoteReference w:id="116"/>
      </w:r>
    </w:p>
    <w:p w:rsidR="005E1FE0" w:rsidRPr="00DF38B2" w:rsidRDefault="005E1FE0" w:rsidP="006654AE">
      <w:pPr>
        <w:pStyle w:val="Caption"/>
      </w:pPr>
      <w:bookmarkStart w:id="408" w:name="_Ref390526760"/>
      <w:bookmarkStart w:id="409" w:name="_Toc403739463"/>
      <w:r w:rsidRPr="00DF38B2">
        <w:t xml:space="preserve">Table </w:t>
      </w:r>
      <w:fldSimple w:instr=" STYLEREF 1 \s ">
        <w:r w:rsidR="00906D13">
          <w:rPr>
            <w:noProof/>
          </w:rPr>
          <w:t>7</w:t>
        </w:r>
      </w:fldSimple>
      <w:r w:rsidR="00D40B64">
        <w:noBreakHyphen/>
      </w:r>
      <w:fldSimple w:instr=" SEQ Table \* ARABIC \s 1 ">
        <w:r w:rsidR="00906D13">
          <w:rPr>
            <w:noProof/>
          </w:rPr>
          <w:t>1</w:t>
        </w:r>
      </w:fldSimple>
      <w:bookmarkEnd w:id="408"/>
      <w:r w:rsidRPr="00DF38B2">
        <w:tab/>
        <w:t>LSNIM Quantitative Analysis Second Wave Population</w:t>
      </w:r>
      <w:bookmarkEnd w:id="409"/>
    </w:p>
    <w:tbl>
      <w:tblPr>
        <w:tblW w:w="8402" w:type="dxa"/>
        <w:tblInd w:w="93" w:type="dxa"/>
        <w:tblLook w:val="04A0" w:firstRow="1" w:lastRow="0" w:firstColumn="1" w:lastColumn="0" w:noHBand="0" w:noVBand="1"/>
        <w:tblDescription w:val="This table presents for the 1,063 people in the second wave of the LSNIM their classification in the second wave on the vertical axis and their classification in the first wave on the horizontal axis.&#10;The main features of the table are discussed in the text&#10;"/>
      </w:tblPr>
      <w:tblGrid>
        <w:gridCol w:w="1716"/>
        <w:gridCol w:w="708"/>
        <w:gridCol w:w="1021"/>
        <w:gridCol w:w="822"/>
        <w:gridCol w:w="850"/>
        <w:gridCol w:w="1021"/>
        <w:gridCol w:w="1332"/>
        <w:gridCol w:w="960"/>
      </w:tblGrid>
      <w:tr w:rsidR="005E1FE0" w:rsidRPr="00DF38B2" w:rsidTr="002C06DE">
        <w:trPr>
          <w:trHeight w:val="20"/>
          <w:tblHeader/>
        </w:trPr>
        <w:tc>
          <w:tcPr>
            <w:tcW w:w="1716" w:type="dxa"/>
            <w:tcBorders>
              <w:top w:val="single" w:sz="4" w:space="0" w:color="auto"/>
              <w:left w:val="nil"/>
              <w:bottom w:val="single" w:sz="4" w:space="0" w:color="auto"/>
              <w:right w:val="nil"/>
            </w:tcBorders>
            <w:shd w:val="clear" w:color="auto" w:fill="auto"/>
            <w:noWrap/>
            <w:hideMark/>
          </w:tcPr>
          <w:p w:rsidR="005E1FE0" w:rsidRPr="00DF38B2" w:rsidRDefault="002C06DE" w:rsidP="002C06DE">
            <w:pPr>
              <w:pStyle w:val="tabletextleft"/>
              <w:jc w:val="left"/>
              <w:rPr>
                <w:rFonts w:eastAsia="Times New Roman"/>
              </w:rPr>
            </w:pPr>
            <w:r w:rsidRPr="00DF38B2">
              <w:rPr>
                <w:rFonts w:eastAsia="Times New Roman"/>
              </w:rPr>
              <w:t>Wave 2 classification</w:t>
            </w:r>
          </w:p>
        </w:tc>
        <w:tc>
          <w:tcPr>
            <w:tcW w:w="708"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 xml:space="preserve">CIM </w:t>
            </w:r>
            <w:proofErr w:type="spellStart"/>
            <w:r w:rsidRPr="00DF38B2">
              <w:rPr>
                <w:rFonts w:eastAsia="Times New Roman"/>
              </w:rPr>
              <w:t>Indig</w:t>
            </w:r>
            <w:proofErr w:type="spellEnd"/>
            <w:r w:rsidR="002C06DE">
              <w:rPr>
                <w:rFonts w:eastAsia="Times New Roman"/>
              </w:rPr>
              <w:t>. (a)</w:t>
            </w:r>
          </w:p>
        </w:tc>
        <w:tc>
          <w:tcPr>
            <w:tcW w:w="1021" w:type="dxa"/>
            <w:tcBorders>
              <w:top w:val="single" w:sz="4" w:space="0" w:color="auto"/>
              <w:left w:val="nil"/>
              <w:bottom w:val="single" w:sz="4" w:space="0" w:color="auto"/>
              <w:right w:val="nil"/>
            </w:tcBorders>
            <w:shd w:val="clear" w:color="auto" w:fill="auto"/>
            <w:noWrap/>
            <w:vAlign w:val="bottom"/>
            <w:hideMark/>
          </w:tcPr>
          <w:p w:rsidR="002C06DE" w:rsidRDefault="005E1FE0" w:rsidP="002C06DE">
            <w:pPr>
              <w:pStyle w:val="tabletextright"/>
              <w:rPr>
                <w:rFonts w:eastAsia="Times New Roman"/>
              </w:rPr>
            </w:pPr>
            <w:r w:rsidRPr="00DF38B2">
              <w:rPr>
                <w:rFonts w:eastAsia="Times New Roman"/>
              </w:rPr>
              <w:t>CIM</w:t>
            </w:r>
          </w:p>
          <w:p w:rsidR="005E1FE0" w:rsidRPr="00DF38B2" w:rsidRDefault="005E1FE0" w:rsidP="002C06DE">
            <w:pPr>
              <w:pStyle w:val="tabletextright"/>
              <w:rPr>
                <w:rFonts w:eastAsia="Times New Roman"/>
              </w:rPr>
            </w:pPr>
            <w:r w:rsidRPr="00DF38B2">
              <w:rPr>
                <w:rFonts w:eastAsia="Times New Roman"/>
              </w:rPr>
              <w:t xml:space="preserve"> </w:t>
            </w:r>
            <w:proofErr w:type="gramStart"/>
            <w:r w:rsidR="002C06DE">
              <w:rPr>
                <w:rFonts w:eastAsia="Times New Roman"/>
              </w:rPr>
              <w:t>n</w:t>
            </w:r>
            <w:r w:rsidRPr="00DF38B2">
              <w:rPr>
                <w:rFonts w:eastAsia="Times New Roman"/>
              </w:rPr>
              <w:t>on-</w:t>
            </w:r>
            <w:proofErr w:type="spellStart"/>
            <w:r w:rsidRPr="00DF38B2">
              <w:rPr>
                <w:rFonts w:eastAsia="Times New Roman"/>
              </w:rPr>
              <w:t>Indig</w:t>
            </w:r>
            <w:proofErr w:type="spellEnd"/>
            <w:proofErr w:type="gramEnd"/>
            <w:r w:rsidR="002C06DE">
              <w:rPr>
                <w:rFonts w:eastAsia="Times New Roman"/>
              </w:rPr>
              <w:t>. (a)</w:t>
            </w:r>
          </w:p>
        </w:tc>
        <w:tc>
          <w:tcPr>
            <w:tcW w:w="822" w:type="dxa"/>
            <w:tcBorders>
              <w:top w:val="single" w:sz="4" w:space="0" w:color="auto"/>
              <w:left w:val="nil"/>
              <w:bottom w:val="single" w:sz="4" w:space="0" w:color="auto"/>
              <w:right w:val="nil"/>
            </w:tcBorders>
            <w:shd w:val="clear" w:color="auto" w:fill="auto"/>
            <w:noWrap/>
            <w:vAlign w:val="bottom"/>
            <w:hideMark/>
          </w:tcPr>
          <w:p w:rsidR="002C06DE" w:rsidRDefault="005E1FE0" w:rsidP="002C06DE">
            <w:pPr>
              <w:pStyle w:val="tabletextright"/>
              <w:rPr>
                <w:rFonts w:eastAsia="Times New Roman"/>
              </w:rPr>
            </w:pPr>
            <w:r w:rsidRPr="00DF38B2">
              <w:rPr>
                <w:rFonts w:eastAsia="Times New Roman"/>
              </w:rPr>
              <w:t>VIM</w:t>
            </w:r>
            <w:r w:rsidR="002C06DE">
              <w:rPr>
                <w:rFonts w:eastAsia="Times New Roman"/>
              </w:rPr>
              <w:br/>
              <w:t xml:space="preserve"> </w:t>
            </w:r>
          </w:p>
          <w:p w:rsidR="005E1FE0" w:rsidRPr="00DF38B2" w:rsidRDefault="002C06DE" w:rsidP="002C06DE">
            <w:pPr>
              <w:pStyle w:val="tabletextright"/>
              <w:rPr>
                <w:rFonts w:eastAsia="Times New Roman"/>
              </w:rPr>
            </w:pPr>
            <w:r>
              <w:rPr>
                <w:rFonts w:eastAsia="Times New Roman"/>
              </w:rPr>
              <w:t>(a)</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 xml:space="preserve">Control </w:t>
            </w:r>
            <w:proofErr w:type="spellStart"/>
            <w:r w:rsidRPr="00DF38B2">
              <w:rPr>
                <w:rFonts w:eastAsia="Times New Roman"/>
              </w:rPr>
              <w:t>Indig</w:t>
            </w:r>
            <w:proofErr w:type="spellEnd"/>
            <w:r w:rsidR="002C06DE">
              <w:rPr>
                <w:rFonts w:eastAsia="Times New Roman"/>
              </w:rPr>
              <w:t>. (a)</w:t>
            </w:r>
          </w:p>
        </w:tc>
        <w:tc>
          <w:tcPr>
            <w:tcW w:w="102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Control non-</w:t>
            </w:r>
            <w:proofErr w:type="spellStart"/>
            <w:r w:rsidRPr="00DF38B2">
              <w:rPr>
                <w:rFonts w:eastAsia="Times New Roman"/>
              </w:rPr>
              <w:t>Indig</w:t>
            </w:r>
            <w:proofErr w:type="spellEnd"/>
            <w:r w:rsidR="002C06DE">
              <w:rPr>
                <w:rFonts w:eastAsia="Times New Roman"/>
              </w:rPr>
              <w:t>. (a)</w:t>
            </w:r>
          </w:p>
        </w:tc>
        <w:tc>
          <w:tcPr>
            <w:tcW w:w="1304" w:type="dxa"/>
            <w:tcBorders>
              <w:top w:val="single" w:sz="4" w:space="0" w:color="auto"/>
              <w:left w:val="nil"/>
              <w:bottom w:val="single" w:sz="4" w:space="0" w:color="auto"/>
              <w:right w:val="nil"/>
            </w:tcBorders>
            <w:shd w:val="clear" w:color="auto" w:fill="auto"/>
            <w:noWrap/>
            <w:vAlign w:val="bottom"/>
            <w:hideMark/>
          </w:tcPr>
          <w:p w:rsidR="005E1FE0" w:rsidRDefault="002C06DE" w:rsidP="002C06DE">
            <w:pPr>
              <w:pStyle w:val="tabletextright"/>
              <w:rPr>
                <w:rFonts w:eastAsia="Times New Roman"/>
              </w:rPr>
            </w:pPr>
            <w:r w:rsidRPr="00DF38B2">
              <w:rPr>
                <w:rFonts w:eastAsia="Times New Roman"/>
              </w:rPr>
              <w:t>Supplementary Wave 2 sample</w:t>
            </w:r>
          </w:p>
          <w:p w:rsidR="002C06DE" w:rsidRPr="00DF38B2" w:rsidRDefault="002C06DE" w:rsidP="002C06DE">
            <w:pPr>
              <w:pStyle w:val="tabletextright"/>
              <w:rPr>
                <w:rFonts w:eastAsia="Times New Roman"/>
              </w:rPr>
            </w:pPr>
          </w:p>
        </w:tc>
        <w:tc>
          <w:tcPr>
            <w:tcW w:w="960" w:type="dxa"/>
            <w:tcBorders>
              <w:top w:val="single" w:sz="4" w:space="0" w:color="auto"/>
              <w:left w:val="nil"/>
              <w:bottom w:val="single" w:sz="4" w:space="0" w:color="auto"/>
              <w:right w:val="nil"/>
            </w:tcBorders>
            <w:shd w:val="clear" w:color="auto" w:fill="auto"/>
            <w:noWrap/>
            <w:hideMark/>
          </w:tcPr>
          <w:p w:rsidR="005E1FE0" w:rsidRPr="00DF38B2" w:rsidRDefault="002C06DE" w:rsidP="002C06DE">
            <w:pPr>
              <w:pStyle w:val="tabletextright"/>
              <w:rPr>
                <w:rFonts w:eastAsia="Times New Roman"/>
              </w:rPr>
            </w:pPr>
            <w:r w:rsidRPr="00DF38B2">
              <w:rPr>
                <w:rFonts w:eastAsia="Times New Roman"/>
              </w:rPr>
              <w:t>Total</w:t>
            </w:r>
          </w:p>
        </w:tc>
      </w:tr>
      <w:tr w:rsidR="005E1FE0" w:rsidRPr="00DF38B2" w:rsidTr="002C06DE">
        <w:trPr>
          <w:trHeight w:val="20"/>
        </w:trPr>
        <w:tc>
          <w:tcPr>
            <w:tcW w:w="17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CIM Indigenous</w:t>
            </w:r>
          </w:p>
        </w:tc>
        <w:tc>
          <w:tcPr>
            <w:tcW w:w="70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170</w:t>
            </w:r>
          </w:p>
        </w:tc>
        <w:tc>
          <w:tcPr>
            <w:tcW w:w="102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w:t>
            </w:r>
          </w:p>
        </w:tc>
        <w:tc>
          <w:tcPr>
            <w:tcW w:w="85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186</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365</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CIM non-Indigenous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148</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VIM</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Ex-CIM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Ex-CIM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125</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Ex-VIM</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Exempt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Exempt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68</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Control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102</w:t>
            </w:r>
          </w:p>
        </w:tc>
      </w:tr>
      <w:tr w:rsidR="005E1FE0" w:rsidRPr="00DF38B2" w:rsidTr="002C06DE">
        <w:trPr>
          <w:trHeight w:val="20"/>
        </w:trPr>
        <w:tc>
          <w:tcPr>
            <w:tcW w:w="1716"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Control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w:t>
            </w:r>
          </w:p>
        </w:tc>
        <w:tc>
          <w:tcPr>
            <w:tcW w:w="1304"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r>
      <w:tr w:rsidR="005E1FE0" w:rsidRPr="00DF38B2" w:rsidTr="002C06DE">
        <w:trPr>
          <w:trHeight w:val="20"/>
        </w:trPr>
        <w:tc>
          <w:tcPr>
            <w:tcW w:w="17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70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212</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110</w:t>
            </w:r>
          </w:p>
        </w:tc>
        <w:tc>
          <w:tcPr>
            <w:tcW w:w="8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104</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130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497</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1,063</w:t>
            </w:r>
          </w:p>
        </w:tc>
      </w:tr>
    </w:tbl>
    <w:p w:rsidR="002C06DE" w:rsidRDefault="00CA60AC" w:rsidP="006654AE">
      <w:pPr>
        <w:pStyle w:val="tablenotes"/>
        <w:ind w:left="1418" w:hanging="851"/>
      </w:pPr>
      <w:r>
        <w:t>Notes:</w:t>
      </w:r>
      <w:r>
        <w:tab/>
      </w:r>
      <w:r w:rsidR="002C06DE">
        <w:t>(a) Wave 1 continuing sample by Wave 1 classification</w:t>
      </w:r>
    </w:p>
    <w:p w:rsidR="00D86209" w:rsidRDefault="00D86209" w:rsidP="002C06DE">
      <w:pPr>
        <w:pStyle w:val="tablenotes"/>
        <w:ind w:left="1418"/>
      </w:pPr>
      <w:r w:rsidRPr="00D86209">
        <w:t xml:space="preserve">CIM: All compulsory forms of income management; VIM: All </w:t>
      </w:r>
      <w:r w:rsidR="001544DF">
        <w:t>Voluntary Income Management</w:t>
      </w:r>
      <w:r w:rsidRPr="00D86209">
        <w:t xml:space="preserve"> regardless of Indigenous Identification; Ex-: Was on identified form of income management at some point but was not at the time of the second wave survey; Exempt: has an exemption from income management, or has had one at a previous point in time but is not currently on income support.</w:t>
      </w:r>
    </w:p>
    <w:p w:rsidR="005E1FE0" w:rsidRDefault="005E1FE0" w:rsidP="006654AE">
      <w:pPr>
        <w:pStyle w:val="tablenotes"/>
      </w:pPr>
      <w:r w:rsidRPr="00DF38B2">
        <w:t xml:space="preserve">Source: </w:t>
      </w:r>
      <w:r w:rsidR="00227C83">
        <w:tab/>
      </w:r>
      <w:r w:rsidRPr="00DF38B2">
        <w:t>LSNIM Wave 2</w:t>
      </w:r>
      <w:r w:rsidR="00227C83">
        <w:t>.</w:t>
      </w:r>
    </w:p>
    <w:p w:rsidR="003928BD" w:rsidRPr="00DF38B2" w:rsidRDefault="003928BD" w:rsidP="006654AE">
      <w:pPr>
        <w:pStyle w:val="tablefootnoteslastline"/>
      </w:pPr>
    </w:p>
    <w:p w:rsidR="005E1FE0" w:rsidRPr="00DF38B2" w:rsidRDefault="005E1FE0" w:rsidP="006654AE">
      <w:r w:rsidRPr="00DF38B2">
        <w:t>One further aspect of the LSNIM needs to be noted</w:t>
      </w:r>
      <w:r w:rsidR="00A1421A">
        <w:t xml:space="preserve">. </w:t>
      </w:r>
      <w:r w:rsidRPr="00DF38B2">
        <w:t>This is that it was not designed as a representative sample survey</w:t>
      </w:r>
      <w:r w:rsidR="00A1421A">
        <w:t xml:space="preserve">. </w:t>
      </w:r>
      <w:r w:rsidRPr="00DF38B2">
        <w:t>There are a number of reasons for this</w:t>
      </w:r>
      <w:r w:rsidR="00A1421A">
        <w:t xml:space="preserve">. </w:t>
      </w:r>
      <w:r w:rsidRPr="00DF38B2">
        <w:t xml:space="preserve">The first is </w:t>
      </w:r>
      <w:r w:rsidR="00B349A6">
        <w:t xml:space="preserve">that </w:t>
      </w:r>
      <w:r w:rsidRPr="00DF38B2">
        <w:t xml:space="preserve">it was designed to ensure the representation of the diversity of </w:t>
      </w:r>
      <w:r w:rsidR="00B349A6">
        <w:t xml:space="preserve">the </w:t>
      </w:r>
      <w:r w:rsidRPr="00DF38B2">
        <w:t>population subject to income management</w:t>
      </w:r>
      <w:r w:rsidR="00A1421A">
        <w:t xml:space="preserve">. </w:t>
      </w:r>
      <w:r w:rsidRPr="00DF38B2">
        <w:t>To enable this, the non-</w:t>
      </w:r>
      <w:r w:rsidRPr="00DF38B2">
        <w:lastRenderedPageBreak/>
        <w:t xml:space="preserve">Indigenous population was oversampled (representing 38.4 per cent of the </w:t>
      </w:r>
      <w:r w:rsidR="00D86209">
        <w:t xml:space="preserve">non-control </w:t>
      </w:r>
      <w:r w:rsidRPr="00DF38B2">
        <w:t>survey respondents in Wave 2, as opposed to 10.0 per cent of the income</w:t>
      </w:r>
      <w:r w:rsidR="00A04470">
        <w:t xml:space="preserve"> </w:t>
      </w:r>
      <w:r w:rsidRPr="00DF38B2">
        <w:t>managed population)</w:t>
      </w:r>
      <w:r w:rsidR="00A1421A">
        <w:t xml:space="preserve">. </w:t>
      </w:r>
      <w:r w:rsidRPr="00DF38B2">
        <w:t>Secondly</w:t>
      </w:r>
      <w:r w:rsidR="00B349A6">
        <w:t>,</w:t>
      </w:r>
      <w:r w:rsidRPr="00DF38B2">
        <w:t xml:space="preserve"> to implement the survey in a cost</w:t>
      </w:r>
      <w:r w:rsidR="00B349A6">
        <w:t>-</w:t>
      </w:r>
      <w:r w:rsidRPr="00DF38B2">
        <w:t>effective manner it was conducted in a limited number of communities, with these being selected to provide information on the diversity of communities in the Northern Territory, rather than as a random sample</w:t>
      </w:r>
      <w:r w:rsidR="00A1421A">
        <w:t xml:space="preserve">. </w:t>
      </w:r>
    </w:p>
    <w:p w:rsidR="005E1FE0" w:rsidRPr="00DF38B2" w:rsidRDefault="005E1FE0" w:rsidP="006654AE">
      <w:r w:rsidRPr="00DF38B2">
        <w:t>As well as collecting quantitative data, a subgroup of LSNIM participants participated in more in</w:t>
      </w:r>
      <w:r w:rsidR="00B349A6">
        <w:t>-</w:t>
      </w:r>
      <w:r w:rsidRPr="00DF38B2">
        <w:t>depth qualitative surveys.</w:t>
      </w:r>
    </w:p>
    <w:p w:rsidR="005E1FE0" w:rsidRPr="00DF38B2" w:rsidRDefault="005E1FE0" w:rsidP="006654AE">
      <w:pPr>
        <w:pStyle w:val="Heading3"/>
      </w:pPr>
      <w:bookmarkStart w:id="410" w:name="_Toc403739063"/>
      <w:r w:rsidRPr="00DF38B2">
        <w:t>Characteristics of the LSNIM population</w:t>
      </w:r>
      <w:bookmarkEnd w:id="410"/>
    </w:p>
    <w:p w:rsidR="005E1FE0" w:rsidRPr="00DF38B2" w:rsidRDefault="005E1FE0" w:rsidP="006654AE">
      <w:r w:rsidRPr="00DF38B2">
        <w:fldChar w:fldCharType="begin"/>
      </w:r>
      <w:r w:rsidRPr="00DF38B2">
        <w:instrText xml:space="preserve"> REF _Ref390537833 \h </w:instrText>
      </w:r>
      <w:r w:rsidRPr="00DF38B2">
        <w:fldChar w:fldCharType="separate"/>
      </w:r>
      <w:r w:rsidR="00906D13" w:rsidRPr="00DF38B2">
        <w:t xml:space="preserve">Table </w:t>
      </w:r>
      <w:r w:rsidR="00906D13">
        <w:rPr>
          <w:noProof/>
        </w:rPr>
        <w:t>7</w:t>
      </w:r>
      <w:r w:rsidR="00906D13">
        <w:noBreakHyphen/>
      </w:r>
      <w:r w:rsidR="00906D13">
        <w:rPr>
          <w:noProof/>
        </w:rPr>
        <w:t>2</w:t>
      </w:r>
      <w:r w:rsidRPr="00DF38B2">
        <w:fldChar w:fldCharType="end"/>
      </w:r>
      <w:r w:rsidRPr="00DF38B2">
        <w:t xml:space="preserve"> compares, by Indigenous status, some of the demographic characteristics of LSNIM respondents with the income</w:t>
      </w:r>
      <w:r w:rsidR="00A04470">
        <w:t xml:space="preserve"> </w:t>
      </w:r>
      <w:r w:rsidRPr="00DF38B2">
        <w:t>managed population</w:t>
      </w:r>
      <w:r w:rsidR="00A1421A">
        <w:t xml:space="preserve">. </w:t>
      </w:r>
    </w:p>
    <w:p w:rsidR="005E1FE0" w:rsidRPr="00DF38B2" w:rsidRDefault="005E1FE0" w:rsidP="006654AE">
      <w:r w:rsidRPr="00FE502F">
        <w:t xml:space="preserve">As illustrated, both the LSNIM </w:t>
      </w:r>
      <w:r w:rsidR="00A04470">
        <w:t>income managed</w:t>
      </w:r>
      <w:r w:rsidRPr="00FE502F">
        <w:t xml:space="preserve"> population and the control group cover the spectrum of characteristics of the </w:t>
      </w:r>
      <w:r w:rsidR="00A04470">
        <w:t>income managed</w:t>
      </w:r>
      <w:r w:rsidRPr="009655C3">
        <w:t xml:space="preserve"> population, but with some</w:t>
      </w:r>
      <w:r w:rsidR="005A15B2" w:rsidRPr="009655C3">
        <w:t>,</w:t>
      </w:r>
      <w:r w:rsidRPr="009655C3">
        <w:t xml:space="preserve"> at times</w:t>
      </w:r>
      <w:r w:rsidR="005A15B2" w:rsidRPr="00DF38B2">
        <w:t xml:space="preserve"> </w:t>
      </w:r>
      <w:r w:rsidRPr="00DF38B2">
        <w:t>considerable</w:t>
      </w:r>
      <w:r w:rsidR="005A15B2" w:rsidRPr="00DF38B2">
        <w:t>,</w:t>
      </w:r>
      <w:r w:rsidRPr="00DF38B2">
        <w:t xml:space="preserve"> differences in the relative size of the populations. Clearly apparent is the extent of oversampling of the non-Indigenous population; a slight bias towards women, especially in the continuing sample; and an under-representation of youth in the continuing sample. </w:t>
      </w:r>
      <w:r w:rsidR="001D2920" w:rsidRPr="00DF38B2">
        <w:t xml:space="preserve">There is also </w:t>
      </w:r>
      <w:r w:rsidR="001D2920">
        <w:t>a bias towards the over 65 year</w:t>
      </w:r>
      <w:r w:rsidR="001D2920" w:rsidRPr="00DF38B2">
        <w:t xml:space="preserve"> age group in the control group and a bias against families with dependent children in favour of single people in the LSNIM</w:t>
      </w:r>
      <w:r w:rsidR="001D2920">
        <w:t xml:space="preserve">. </w:t>
      </w:r>
      <w:r w:rsidRPr="00DF38B2">
        <w:t>This latter is particularly marked in the supplementary sample and the control group.</w:t>
      </w:r>
    </w:p>
    <w:p w:rsidR="005E1FE0" w:rsidRPr="00DF38B2" w:rsidRDefault="005E1FE0" w:rsidP="006654AE">
      <w:r w:rsidRPr="00DF38B2">
        <w:t xml:space="preserve">This result is however consistent with the role of the LSNIM as a broad survey of the diversity of the population subject to income management. It does though reinforce the need to avoid interpreting the raw results as being representative of the </w:t>
      </w:r>
      <w:r w:rsidR="00A04470">
        <w:t>income managed</w:t>
      </w:r>
      <w:r w:rsidRPr="00DF38B2">
        <w:t xml:space="preserve"> population as a whole</w:t>
      </w:r>
      <w:r w:rsidR="00A1421A">
        <w:t xml:space="preserve">. </w:t>
      </w:r>
      <w:proofErr w:type="gramStart"/>
      <w:r w:rsidRPr="00DF38B2">
        <w:t xml:space="preserve">Where the issue of structure is important, such as in the evaluation of changes over time, action has been taken to use methodologies, such as matching, and the reporting of results by </w:t>
      </w:r>
      <w:r w:rsidR="00270A0E">
        <w:t>subgroup</w:t>
      </w:r>
      <w:r w:rsidRPr="00DF38B2">
        <w:t>s, to minimise any adverse effects.</w:t>
      </w:r>
      <w:proofErr w:type="gramEnd"/>
    </w:p>
    <w:p w:rsidR="005E1FE0" w:rsidRPr="00DF38B2" w:rsidRDefault="005E1FE0" w:rsidP="006654AE">
      <w:pPr>
        <w:pStyle w:val="Caption"/>
      </w:pPr>
      <w:bookmarkStart w:id="411" w:name="_Ref390537833"/>
      <w:bookmarkStart w:id="412" w:name="_Toc403739464"/>
      <w:r w:rsidRPr="00DF38B2">
        <w:t xml:space="preserve">Table </w:t>
      </w:r>
      <w:fldSimple w:instr=" STYLEREF 1 \s ">
        <w:r w:rsidR="00906D13">
          <w:rPr>
            <w:noProof/>
          </w:rPr>
          <w:t>7</w:t>
        </w:r>
      </w:fldSimple>
      <w:r w:rsidR="00D40B64">
        <w:noBreakHyphen/>
      </w:r>
      <w:fldSimple w:instr=" SEQ Table \* ARABIC \s 1 ">
        <w:r w:rsidR="00906D13">
          <w:rPr>
            <w:noProof/>
          </w:rPr>
          <w:t>2</w:t>
        </w:r>
      </w:fldSimple>
      <w:bookmarkEnd w:id="411"/>
      <w:r w:rsidR="00B235E1">
        <w:tab/>
      </w:r>
      <w:r w:rsidRPr="00DF38B2">
        <w:t>Comparison of structure</w:t>
      </w:r>
      <w:r w:rsidR="00D86209">
        <w:t>,</w:t>
      </w:r>
      <w:r w:rsidRPr="00DF38B2">
        <w:t xml:space="preserve"> LSNIM </w:t>
      </w:r>
      <w:r w:rsidR="00D86209">
        <w:t xml:space="preserve">Wave 2 </w:t>
      </w:r>
      <w:r w:rsidRPr="00DF38B2">
        <w:t xml:space="preserve">sample and </w:t>
      </w:r>
      <w:r w:rsidR="00A04470">
        <w:t>Income managed</w:t>
      </w:r>
      <w:r w:rsidRPr="00DF38B2">
        <w:t xml:space="preserve"> population</w:t>
      </w:r>
      <w:bookmarkEnd w:id="412"/>
    </w:p>
    <w:tbl>
      <w:tblPr>
        <w:tblW w:w="8474" w:type="dxa"/>
        <w:jc w:val="center"/>
        <w:tblCellMar>
          <w:left w:w="57" w:type="dxa"/>
          <w:right w:w="57" w:type="dxa"/>
        </w:tblCellMar>
        <w:tblLook w:val="04A0" w:firstRow="1" w:lastRow="0" w:firstColumn="1" w:lastColumn="0" w:noHBand="0" w:noVBand="1"/>
        <w:tblDescription w:val="This table compares the population characteristics of three LSNIM populations – the continuing Northern Territory population, the additional sample for wave two and the control population with the income managed population in December 2013. Each of these populations is represented by a column in the table.&#10;The rows consist of a series of horizontal panels providing data the distribution within these populations on the basis of gender; Indigenous identification; age group (6 categories plus those without this information) and four family types. &#10;The important characteristics identified in this table are described in the text.&#10;"/>
      </w:tblPr>
      <w:tblGrid>
        <w:gridCol w:w="1644"/>
        <w:gridCol w:w="2154"/>
        <w:gridCol w:w="1053"/>
        <w:gridCol w:w="970"/>
        <w:gridCol w:w="960"/>
        <w:gridCol w:w="134"/>
        <w:gridCol w:w="1559"/>
      </w:tblGrid>
      <w:tr w:rsidR="002C06DE" w:rsidRPr="00DF38B2" w:rsidTr="0078431A">
        <w:trPr>
          <w:trHeight w:val="20"/>
          <w:tblHeader/>
          <w:jc w:val="center"/>
        </w:trPr>
        <w:tc>
          <w:tcPr>
            <w:tcW w:w="1644" w:type="dxa"/>
            <w:tcBorders>
              <w:top w:val="single" w:sz="4" w:space="0" w:color="auto"/>
              <w:left w:val="nil"/>
              <w:bottom w:val="single" w:sz="4" w:space="0" w:color="auto"/>
              <w:right w:val="nil"/>
            </w:tcBorders>
          </w:tcPr>
          <w:p w:rsidR="002C06DE" w:rsidRPr="00DF38B2" w:rsidRDefault="002C06DE" w:rsidP="0078431A">
            <w:pPr>
              <w:pStyle w:val="tabletextleft"/>
              <w:jc w:val="left"/>
              <w:rPr>
                <w:rFonts w:eastAsia="Times New Roman"/>
              </w:rPr>
            </w:pPr>
            <w:r>
              <w:rPr>
                <w:rFonts w:eastAsia="Times New Roman"/>
              </w:rPr>
              <w:t>Income managed population</w:t>
            </w:r>
          </w:p>
        </w:tc>
        <w:tc>
          <w:tcPr>
            <w:tcW w:w="2154"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rPr>
                <w:rFonts w:eastAsia="Times New Roman"/>
              </w:rPr>
            </w:pPr>
          </w:p>
        </w:tc>
        <w:tc>
          <w:tcPr>
            <w:tcW w:w="1053"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78431A">
            <w:pPr>
              <w:pStyle w:val="tabletextleft"/>
              <w:jc w:val="right"/>
              <w:rPr>
                <w:rFonts w:eastAsia="Times New Roman"/>
              </w:rPr>
            </w:pPr>
            <w:r>
              <w:rPr>
                <w:rFonts w:eastAsia="Times New Roman"/>
              </w:rPr>
              <w:t xml:space="preserve">LSNIM </w:t>
            </w:r>
            <w:r w:rsidRPr="00DF38B2">
              <w:rPr>
                <w:rFonts w:eastAsia="Times New Roman"/>
              </w:rPr>
              <w:t>Continuous</w:t>
            </w:r>
            <w:r w:rsidR="0078431A">
              <w:rPr>
                <w:rFonts w:eastAsia="Times New Roman"/>
              </w:rPr>
              <w:t xml:space="preserve"> (%)</w:t>
            </w:r>
          </w:p>
        </w:tc>
        <w:tc>
          <w:tcPr>
            <w:tcW w:w="970"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78431A">
            <w:pPr>
              <w:pStyle w:val="tabletextleft"/>
              <w:jc w:val="right"/>
              <w:rPr>
                <w:rFonts w:eastAsia="Times New Roman"/>
              </w:rPr>
            </w:pPr>
            <w:r>
              <w:rPr>
                <w:rFonts w:eastAsia="Times New Roman"/>
              </w:rPr>
              <w:t xml:space="preserve">LSNIM </w:t>
            </w:r>
            <w:r w:rsidRPr="00DF38B2">
              <w:rPr>
                <w:rFonts w:eastAsia="Times New Roman"/>
              </w:rPr>
              <w:t xml:space="preserve">Additional </w:t>
            </w:r>
            <w:r w:rsidR="0078431A">
              <w:rPr>
                <w:rFonts w:eastAsia="Times New Roman"/>
              </w:rPr>
              <w:t>(%)</w:t>
            </w:r>
          </w:p>
        </w:tc>
        <w:tc>
          <w:tcPr>
            <w:tcW w:w="960" w:type="dxa"/>
            <w:tcBorders>
              <w:top w:val="single" w:sz="4" w:space="0" w:color="auto"/>
              <w:left w:val="nil"/>
              <w:bottom w:val="single" w:sz="4" w:space="0" w:color="auto"/>
              <w:right w:val="nil"/>
            </w:tcBorders>
            <w:shd w:val="clear" w:color="auto" w:fill="auto"/>
            <w:noWrap/>
            <w:vAlign w:val="bottom"/>
            <w:hideMark/>
          </w:tcPr>
          <w:p w:rsidR="00AD1251" w:rsidRDefault="002C06DE" w:rsidP="0078431A">
            <w:pPr>
              <w:pStyle w:val="tabletextleft"/>
              <w:jc w:val="right"/>
              <w:rPr>
                <w:rFonts w:eastAsia="Times New Roman"/>
              </w:rPr>
            </w:pPr>
            <w:r>
              <w:rPr>
                <w:rFonts w:eastAsia="Times New Roman"/>
              </w:rPr>
              <w:t xml:space="preserve">LSNIM </w:t>
            </w:r>
            <w:r w:rsidRPr="00DF38B2">
              <w:rPr>
                <w:rFonts w:eastAsia="Times New Roman"/>
              </w:rPr>
              <w:t xml:space="preserve">Control </w:t>
            </w:r>
          </w:p>
          <w:p w:rsidR="002C06DE" w:rsidRPr="00DF38B2" w:rsidRDefault="0078431A" w:rsidP="0078431A">
            <w:pPr>
              <w:pStyle w:val="tabletextleft"/>
              <w:jc w:val="right"/>
              <w:rPr>
                <w:rFonts w:eastAsia="Times New Roman"/>
              </w:rPr>
            </w:pPr>
            <w:r>
              <w:rPr>
                <w:rFonts w:eastAsia="Times New Roman"/>
              </w:rPr>
              <w:t>(%)</w:t>
            </w:r>
          </w:p>
        </w:tc>
        <w:tc>
          <w:tcPr>
            <w:tcW w:w="134"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rPr>
                <w:rFonts w:eastAsia="Times New Roman"/>
              </w:rPr>
            </w:pPr>
          </w:p>
        </w:tc>
        <w:tc>
          <w:tcPr>
            <w:tcW w:w="1559"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jc w:val="right"/>
              <w:rPr>
                <w:rFonts w:eastAsia="Times New Roman"/>
              </w:rPr>
            </w:pPr>
            <w:r>
              <w:rPr>
                <w:rFonts w:eastAsia="Times New Roman"/>
              </w:rPr>
              <w:t xml:space="preserve">IM population </w:t>
            </w:r>
            <w:r w:rsidRPr="00DF38B2">
              <w:rPr>
                <w:rFonts w:eastAsia="Times New Roman"/>
              </w:rPr>
              <w:t>(December 2013)</w:t>
            </w:r>
            <w:r w:rsidR="0078431A">
              <w:rPr>
                <w:rFonts w:eastAsia="Times New Roman"/>
              </w:rPr>
              <w:t xml:space="preserve"> (%)</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Gender</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Male</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28.6</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40.6</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36.9</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Female</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71.4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59.4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63.1</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59.5</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Indigenous identity</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Indigenous</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70.7</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53.3</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65.0</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90.0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Non-Indigenous</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29.3</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46.7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35.0</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Age</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Under 25</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12.0</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31.7</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13.4</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24.8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25</w:t>
            </w:r>
            <w:r>
              <w:rPr>
                <w:rFonts w:eastAsia="Times New Roman"/>
              </w:rPr>
              <w:t>–</w:t>
            </w:r>
            <w:r w:rsidRPr="00DF38B2">
              <w:rPr>
                <w:rFonts w:eastAsia="Times New Roman"/>
              </w:rPr>
              <w:t>34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23.9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21.7</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29.1</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35</w:t>
            </w:r>
            <w:r>
              <w:rPr>
                <w:rFonts w:eastAsia="Times New Roman"/>
              </w:rPr>
              <w:t>–</w:t>
            </w:r>
            <w:r w:rsidRPr="00DF38B2">
              <w:rPr>
                <w:rFonts w:eastAsia="Times New Roman"/>
              </w:rPr>
              <w:t>44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22.2</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18.0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45</w:t>
            </w:r>
            <w:r>
              <w:rPr>
                <w:rFonts w:eastAsia="Times New Roman"/>
              </w:rPr>
              <w:t>–</w:t>
            </w:r>
            <w:r w:rsidRPr="00DF38B2">
              <w:rPr>
                <w:rFonts w:eastAsia="Times New Roman"/>
              </w:rPr>
              <w:t>54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18.9</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14.6</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55</w:t>
            </w:r>
            <w:r>
              <w:rPr>
                <w:rFonts w:eastAsia="Times New Roman"/>
              </w:rPr>
              <w:t>–</w:t>
            </w:r>
            <w:r w:rsidRPr="00DF38B2">
              <w:rPr>
                <w:rFonts w:eastAsia="Times New Roman"/>
              </w:rPr>
              <w:t>64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12.9</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8.3</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7.7</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65+</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5.5</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24.2</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Missing</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 </w:t>
            </w: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Family type</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person</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45.3</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56.7</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63.7</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39.8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Couple only</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16.2</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21.0</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Lone Parent</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25.4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5.7</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Couple dependent children</w:t>
            </w:r>
          </w:p>
        </w:tc>
        <w:tc>
          <w:tcPr>
            <w:tcW w:w="1053"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13.2</w:t>
            </w:r>
          </w:p>
        </w:tc>
        <w:tc>
          <w:tcPr>
            <w:tcW w:w="970"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11.2</w:t>
            </w:r>
          </w:p>
        </w:tc>
        <w:tc>
          <w:tcPr>
            <w:tcW w:w="960"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9.6</w:t>
            </w:r>
          </w:p>
        </w:tc>
        <w:tc>
          <w:tcPr>
            <w:tcW w:w="134"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28.9</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2C06DE" w:rsidRPr="00DF38B2" w:rsidTr="0078431A">
        <w:trPr>
          <w:trHeight w:val="20"/>
          <w:jc w:val="center"/>
        </w:trPr>
        <w:tc>
          <w:tcPr>
            <w:tcW w:w="1644" w:type="dxa"/>
            <w:tcBorders>
              <w:top w:val="single" w:sz="4" w:space="0" w:color="auto"/>
              <w:left w:val="nil"/>
              <w:bottom w:val="single" w:sz="4" w:space="0" w:color="auto"/>
              <w:right w:val="nil"/>
            </w:tcBorders>
          </w:tcPr>
          <w:p w:rsidR="002C06DE" w:rsidRPr="00DF38B2" w:rsidRDefault="002C06DE" w:rsidP="006654AE">
            <w:pPr>
              <w:pStyle w:val="tabletextleft"/>
              <w:rPr>
                <w:rFonts w:eastAsia="Times New Roman"/>
              </w:rPr>
            </w:pPr>
          </w:p>
        </w:tc>
        <w:tc>
          <w:tcPr>
            <w:tcW w:w="2154"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left"/>
              <w:rPr>
                <w:rFonts w:eastAsia="Times New Roman"/>
              </w:rPr>
            </w:pPr>
            <w:r w:rsidRPr="00DF38B2">
              <w:rPr>
                <w:rFonts w:eastAsia="Times New Roman"/>
              </w:rPr>
              <w:t>Population</w:t>
            </w:r>
          </w:p>
        </w:tc>
        <w:tc>
          <w:tcPr>
            <w:tcW w:w="1053"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433</w:t>
            </w:r>
          </w:p>
        </w:tc>
        <w:tc>
          <w:tcPr>
            <w:tcW w:w="970"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473</w:t>
            </w:r>
          </w:p>
        </w:tc>
        <w:tc>
          <w:tcPr>
            <w:tcW w:w="960"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157</w:t>
            </w:r>
          </w:p>
        </w:tc>
        <w:tc>
          <w:tcPr>
            <w:tcW w:w="134"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p>
        </w:tc>
        <w:tc>
          <w:tcPr>
            <w:tcW w:w="1559"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18,296</w:t>
            </w:r>
          </w:p>
        </w:tc>
      </w:tr>
    </w:tbl>
    <w:p w:rsidR="005E1FE0" w:rsidRDefault="005E1FE0" w:rsidP="006654AE">
      <w:pPr>
        <w:pStyle w:val="tablenotes"/>
        <w:keepNext w:val="0"/>
      </w:pPr>
      <w:r w:rsidRPr="00DF38B2">
        <w:t xml:space="preserve">Source: </w:t>
      </w:r>
      <w:r w:rsidR="00227C83">
        <w:tab/>
      </w:r>
      <w:r w:rsidRPr="00DF38B2">
        <w:t xml:space="preserve">LSNIM Wave 2 </w:t>
      </w:r>
      <w:r w:rsidR="00227C83">
        <w:t>and</w:t>
      </w:r>
      <w:r w:rsidRPr="00DF38B2">
        <w:t xml:space="preserve"> DSS administrative data</w:t>
      </w:r>
      <w:r w:rsidR="00227C83">
        <w:t>.</w:t>
      </w:r>
    </w:p>
    <w:p w:rsidR="003928BD" w:rsidRPr="00DF38B2" w:rsidRDefault="003928BD" w:rsidP="006654AE">
      <w:pPr>
        <w:pStyle w:val="tablefootnoteslastline"/>
      </w:pPr>
    </w:p>
    <w:p w:rsidR="005E1FE0" w:rsidRPr="00DF38B2" w:rsidRDefault="005E1FE0" w:rsidP="006654AE">
      <w:pPr>
        <w:pStyle w:val="Heading2"/>
      </w:pPr>
      <w:bookmarkStart w:id="413" w:name="_Toc403739064"/>
      <w:r w:rsidRPr="00DF38B2">
        <w:t>The views and experiences</w:t>
      </w:r>
      <w:bookmarkEnd w:id="413"/>
    </w:p>
    <w:p w:rsidR="005E1FE0" w:rsidRPr="00DF38B2" w:rsidRDefault="005E1FE0" w:rsidP="006654AE">
      <w:r w:rsidRPr="00DF38B2">
        <w:t>The following section draws upon the LSNIM to review the experiences and views of people subject to income management and some of their reported outcomes</w:t>
      </w:r>
      <w:r w:rsidR="00A1421A">
        <w:t xml:space="preserve">. </w:t>
      </w:r>
      <w:r w:rsidRPr="00DF38B2">
        <w:t>It focuses on presenting the results from the second wave as a point</w:t>
      </w:r>
      <w:r w:rsidR="00307C76">
        <w:t>-</w:t>
      </w:r>
      <w:r w:rsidRPr="00DF38B2">
        <w:t>in</w:t>
      </w:r>
      <w:r w:rsidR="00307C76">
        <w:t>-</w:t>
      </w:r>
      <w:r w:rsidRPr="00DF38B2">
        <w:t xml:space="preserve">time description. Section </w:t>
      </w:r>
      <w:r w:rsidRPr="00FE502F">
        <w:fldChar w:fldCharType="begin"/>
      </w:r>
      <w:r w:rsidRPr="00DF38B2">
        <w:instrText xml:space="preserve"> REF _Ref390788348 \r \h </w:instrText>
      </w:r>
      <w:r w:rsidRPr="00FE502F">
        <w:fldChar w:fldCharType="separate"/>
      </w:r>
      <w:r w:rsidR="00906D13">
        <w:t>7.4</w:t>
      </w:r>
      <w:r w:rsidRPr="00FE502F">
        <w:fldChar w:fldCharType="end"/>
      </w:r>
      <w:r w:rsidRPr="00DF38B2">
        <w:t xml:space="preserve"> presents more detailed evaluative analysis</w:t>
      </w:r>
      <w:r w:rsidR="00307C76">
        <w:t>,</w:t>
      </w:r>
      <w:r w:rsidRPr="00DF38B2">
        <w:t xml:space="preserve"> which concentrates on changes in outcomes over time.</w:t>
      </w:r>
    </w:p>
    <w:p w:rsidR="005E1FE0" w:rsidRPr="00FE502F" w:rsidRDefault="005E1FE0" w:rsidP="006654AE">
      <w:pPr>
        <w:pStyle w:val="Heading3"/>
      </w:pPr>
      <w:bookmarkStart w:id="414" w:name="_Toc403739065"/>
      <w:r w:rsidRPr="00FE502F">
        <w:lastRenderedPageBreak/>
        <w:t xml:space="preserve">Overall assessment of </w:t>
      </w:r>
      <w:r w:rsidR="005E4CAC">
        <w:t>income management</w:t>
      </w:r>
      <w:bookmarkEnd w:id="414"/>
      <w:r w:rsidRPr="00FE502F">
        <w:t xml:space="preserve"> </w:t>
      </w:r>
    </w:p>
    <w:p w:rsidR="005E1FE0" w:rsidRDefault="005E1FE0" w:rsidP="006654AE">
      <w:r w:rsidRPr="009655C3">
        <w:t xml:space="preserve">The first </w:t>
      </w:r>
      <w:r w:rsidR="00292F40">
        <w:t>report of the evaluation</w:t>
      </w:r>
      <w:r w:rsidRPr="009655C3">
        <w:t xml:space="preserve"> identified a diversity of views of participants about income management.</w:t>
      </w:r>
      <w:r w:rsidR="00307C76">
        <w:t xml:space="preserve"> A</w:t>
      </w:r>
      <w:r w:rsidRPr="009655C3">
        <w:t xml:space="preserve">s illustrated in </w:t>
      </w:r>
      <w:r w:rsidRPr="00FE502F">
        <w:fldChar w:fldCharType="begin"/>
      </w:r>
      <w:r w:rsidRPr="00DF38B2">
        <w:instrText xml:space="preserve"> REF _Ref390791184 \h </w:instrText>
      </w:r>
      <w:r w:rsidRPr="00FE502F">
        <w:fldChar w:fldCharType="separate"/>
      </w:r>
      <w:r w:rsidR="00906D13" w:rsidRPr="00DF38B2">
        <w:t xml:space="preserve">Figure </w:t>
      </w:r>
      <w:r w:rsidR="00906D13">
        <w:rPr>
          <w:noProof/>
        </w:rPr>
        <w:t>7</w:t>
      </w:r>
      <w:r w:rsidR="00906D13" w:rsidRPr="00DF38B2">
        <w:noBreakHyphen/>
      </w:r>
      <w:r w:rsidR="00906D13">
        <w:rPr>
          <w:noProof/>
        </w:rPr>
        <w:t>1</w:t>
      </w:r>
      <w:r w:rsidRPr="00FE502F">
        <w:fldChar w:fldCharType="end"/>
      </w:r>
      <w:r w:rsidRPr="00DF38B2">
        <w:t xml:space="preserve">, </w:t>
      </w:r>
      <w:r w:rsidR="00307C76">
        <w:t>t</w:t>
      </w:r>
      <w:r w:rsidR="00307C76" w:rsidRPr="009655C3">
        <w:t xml:space="preserve">his </w:t>
      </w:r>
      <w:r w:rsidRPr="00DF38B2">
        <w:t>continues to be the case</w:t>
      </w:r>
      <w:r w:rsidR="00A1421A">
        <w:t xml:space="preserve">. </w:t>
      </w:r>
      <w:r w:rsidRPr="00DF38B2">
        <w:t xml:space="preserve">In response to a summary question as to </w:t>
      </w:r>
      <w:r w:rsidRPr="00FE502F">
        <w:t xml:space="preserve">whether or not people considered income management had made things </w:t>
      </w:r>
      <w:r w:rsidRPr="009655C3">
        <w:t>better or worse for them, 40.7 per cent of the respondents said that it had made things better, 32.3 per cent that it had made no difference</w:t>
      </w:r>
      <w:r w:rsidR="00307C76">
        <w:t>,</w:t>
      </w:r>
      <w:r w:rsidRPr="009655C3">
        <w:t xml:space="preserve"> and 26.9 per cent that it had made things worse</w:t>
      </w:r>
      <w:r w:rsidR="00A1421A">
        <w:t xml:space="preserve">. </w:t>
      </w:r>
      <w:r w:rsidRPr="009655C3">
        <w:t>These aggregate figures</w:t>
      </w:r>
      <w:r w:rsidR="00307C76">
        <w:t>,</w:t>
      </w:r>
      <w:r w:rsidRPr="009655C3">
        <w:t xml:space="preserve"> however</w:t>
      </w:r>
      <w:r w:rsidR="00307C76">
        <w:t>,</w:t>
      </w:r>
      <w:r w:rsidRPr="009655C3">
        <w:t xml:space="preserve"> do not reflect the experiences of</w:t>
      </w:r>
      <w:r w:rsidRPr="00DF38B2">
        <w:t xml:space="preserve"> </w:t>
      </w:r>
      <w:r w:rsidR="00270A0E">
        <w:t>subgroup</w:t>
      </w:r>
      <w:r w:rsidRPr="00DF38B2">
        <w:t>s.</w:t>
      </w:r>
    </w:p>
    <w:p w:rsidR="002961FB" w:rsidRDefault="002961FB" w:rsidP="006654AE">
      <w:pPr>
        <w:pStyle w:val="Caption"/>
      </w:pPr>
      <w:bookmarkStart w:id="415" w:name="_Ref390791184"/>
      <w:bookmarkStart w:id="416" w:name="_Ref390791173"/>
      <w:bookmarkStart w:id="417" w:name="_Toc403739547"/>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w:t>
      </w:r>
      <w:r w:rsidRPr="00F157EE">
        <w:fldChar w:fldCharType="end"/>
      </w:r>
      <w:bookmarkEnd w:id="415"/>
      <w:r w:rsidRPr="00DF38B2">
        <w:t xml:space="preserve"> </w:t>
      </w:r>
      <w:r>
        <w:tab/>
        <w:t xml:space="preserve"> </w:t>
      </w:r>
      <w:r w:rsidRPr="00DF38B2">
        <w:t>Overall do you think income management has made things better for you</w:t>
      </w:r>
      <w:proofErr w:type="gramStart"/>
      <w:r w:rsidRPr="00DF38B2">
        <w:t>?</w:t>
      </w:r>
      <w:bookmarkEnd w:id="416"/>
      <w:r w:rsidRPr="00DF38B2">
        <w:t>,</w:t>
      </w:r>
      <w:proofErr w:type="gramEnd"/>
      <w:r w:rsidRPr="00DF38B2">
        <w:t xml:space="preserve"> people currently on income management</w:t>
      </w:r>
      <w:r>
        <w:t>, LSNIM, Wave 2, 2013</w:t>
      </w:r>
      <w:bookmarkEnd w:id="417"/>
    </w:p>
    <w:p w:rsidR="002961FB" w:rsidRPr="002961FB" w:rsidRDefault="002961FB" w:rsidP="006654AE">
      <w:pPr>
        <w:jc w:val="center"/>
      </w:pPr>
      <w:r w:rsidRPr="002961FB">
        <w:rPr>
          <w:noProof/>
        </w:rPr>
        <w:drawing>
          <wp:inline distT="0" distB="0" distL="0" distR="0" wp14:anchorId="7F711D29" wp14:editId="3178A2DC">
            <wp:extent cx="4586605" cy="2638425"/>
            <wp:effectExtent l="0" t="0" r="4445" b="9525"/>
            <wp:docPr id="155" name="Picture 155" descr="This bar chart shows six population groups (based on gender, type of income management and Indigeneity) and the proportion who say that income management made things better, made no difference, or made things worse. The data in the chart is given below with the 3 numbers being for these three categories respectively.&#10;CIM Indigenous Male,  37.6/39.6/22.7&#10;CIM Indigenous Female,  47.3/33.1/19.5&#10;CIM Non-Indig Male,  22.5/27.4/50&#10;CIM Non-Indig Female,  27.7/30.5/41.6&#10;VIM Male,  100/0/0&#10;VIM Female,  77.7/16.6/5.5&#10;The results are discus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86605" cy="2638425"/>
                    </a:xfrm>
                    <a:prstGeom prst="rect">
                      <a:avLst/>
                    </a:prstGeom>
                    <a:noFill/>
                    <a:ln>
                      <a:noFill/>
                    </a:ln>
                  </pic:spPr>
                </pic:pic>
              </a:graphicData>
            </a:graphic>
          </wp:inline>
        </w:drawing>
      </w:r>
    </w:p>
    <w:p w:rsidR="002961FB" w:rsidRDefault="002961FB" w:rsidP="006654AE">
      <w:pPr>
        <w:pStyle w:val="tablefootnoteslastline"/>
      </w:pPr>
      <w:r>
        <w:t xml:space="preserve">Note: </w:t>
      </w:r>
      <w:r>
        <w:tab/>
        <w:t>Excludes “Do not know” and “Prefer not to say” responses.</w:t>
      </w:r>
    </w:p>
    <w:p w:rsidR="003928BD" w:rsidRDefault="002961FB" w:rsidP="006654AE">
      <w:pPr>
        <w:pStyle w:val="tablefootnoteslastline"/>
      </w:pPr>
      <w:r>
        <w:t xml:space="preserve">Source: </w:t>
      </w:r>
      <w:r>
        <w:tab/>
        <w:t>LSNIM Wave 2.</w:t>
      </w:r>
    </w:p>
    <w:p w:rsidR="002961FB" w:rsidRDefault="002961FB" w:rsidP="006654AE">
      <w:pPr>
        <w:pStyle w:val="tablefootnoteslastline"/>
      </w:pPr>
    </w:p>
    <w:p w:rsidR="005E1FE0" w:rsidRPr="00DF38B2" w:rsidRDefault="005E1FE0" w:rsidP="006654AE">
      <w:r w:rsidRPr="00DF38B2">
        <w:t>Those who had chosen to go onto Voluntary Income Management overwhelmingly considered that the impact of the program was positive, with 100.0 per cent of the small group of male respondents providing this response</w:t>
      </w:r>
      <w:r w:rsidR="00172C71">
        <w:t>,</w:t>
      </w:r>
      <w:r w:rsidRPr="00DF38B2">
        <w:t xml:space="preserve"> along with 77.8 per cent of women</w:t>
      </w:r>
      <w:r w:rsidR="00A1421A">
        <w:t xml:space="preserve">. </w:t>
      </w:r>
      <w:r w:rsidRPr="00DF38B2">
        <w:t>Among those on the compulsory measure</w:t>
      </w:r>
      <w:r w:rsidR="00172C71">
        <w:t>,</w:t>
      </w:r>
      <w:r w:rsidRPr="00DF38B2">
        <w:t xml:space="preserve"> views were much more divided. Of the Indigenous respondents 44.1 per cent said it had a positive impact, 35.3 per cent said it made no difference</w:t>
      </w:r>
      <w:r w:rsidR="00172C71">
        <w:t>,</w:t>
      </w:r>
      <w:r w:rsidRPr="00DF38B2">
        <w:t xml:space="preserve"> and 20.6 per cent said it had made things worse. Women in this group were somewhat more positive than the men</w:t>
      </w:r>
      <w:r w:rsidR="00172C71">
        <w:t>,</w:t>
      </w:r>
      <w:r w:rsidRPr="00DF38B2">
        <w:t xml:space="preserve"> who were more likely to report that it had made no difference.</w:t>
      </w:r>
    </w:p>
    <w:p w:rsidR="005E1FE0" w:rsidRPr="00DF38B2" w:rsidRDefault="005E1FE0" w:rsidP="006654AE">
      <w:r w:rsidRPr="00DF38B2">
        <w:t xml:space="preserve">The views of non-Indigenous people subject to Compulsory Income Management were much more negative, while </w:t>
      </w:r>
      <w:r w:rsidR="00172C71" w:rsidRPr="00DF38B2">
        <w:t xml:space="preserve">again </w:t>
      </w:r>
      <w:r w:rsidRPr="00DF38B2">
        <w:t>this was less marked for women</w:t>
      </w:r>
      <w:r w:rsidR="00A1421A">
        <w:t xml:space="preserve">. </w:t>
      </w:r>
      <w:r w:rsidRPr="00DF38B2">
        <w:t xml:space="preserve">In aggregate almost twice the proportion (45.5 per cent) considered that income management had made things worse for them, as opposed to 25.4 per cent who said that it had made things better, </w:t>
      </w:r>
      <w:r w:rsidR="00172C71">
        <w:t xml:space="preserve">and </w:t>
      </w:r>
      <w:r w:rsidRPr="00DF38B2">
        <w:t>just over a third, 35.3 per cent</w:t>
      </w:r>
      <w:r w:rsidR="00172C71">
        <w:t>,</w:t>
      </w:r>
      <w:r w:rsidRPr="00DF38B2">
        <w:t xml:space="preserve"> sa</w:t>
      </w:r>
      <w:r w:rsidR="00172C71">
        <w:t>ying</w:t>
      </w:r>
      <w:r w:rsidRPr="00DF38B2">
        <w:t xml:space="preserve"> that it had made no difference.</w:t>
      </w:r>
    </w:p>
    <w:p w:rsidR="005A15B2" w:rsidRPr="00DF38B2" w:rsidRDefault="005A15B2" w:rsidP="006654AE">
      <w:r w:rsidRPr="00DF38B2">
        <w:t>From an evaluation perspective several interpretations can be placed on this</w:t>
      </w:r>
      <w:r w:rsidR="00041D1B" w:rsidRPr="00DF38B2">
        <w:t xml:space="preserve"> and similar results from other questions</w:t>
      </w:r>
      <w:r w:rsidR="00172C71">
        <w:t>:</w:t>
      </w:r>
      <w:r w:rsidR="00D06B20" w:rsidRPr="00DF38B2">
        <w:rPr>
          <w:rStyle w:val="FootnoteReference"/>
        </w:rPr>
        <w:footnoteReference w:id="117"/>
      </w:r>
    </w:p>
    <w:p w:rsidR="005A15B2" w:rsidRPr="00506E74" w:rsidRDefault="005A15B2" w:rsidP="006654AE">
      <w:pPr>
        <w:pStyle w:val="dot"/>
      </w:pPr>
      <w:r w:rsidRPr="00DF38B2">
        <w:t xml:space="preserve">The results can be treated as a </w:t>
      </w:r>
      <w:r w:rsidRPr="00FE502F">
        <w:t>‘vote’ about the value of the program</w:t>
      </w:r>
      <w:r w:rsidR="00A1421A">
        <w:t xml:space="preserve">. </w:t>
      </w:r>
      <w:r w:rsidRPr="00FE502F">
        <w:t>From this perspective it can either be said that on balance mor</w:t>
      </w:r>
      <w:r w:rsidRPr="009655C3">
        <w:t xml:space="preserve">e people are positive </w:t>
      </w:r>
      <w:r w:rsidR="00D06B20" w:rsidRPr="009655C3">
        <w:t xml:space="preserve">than </w:t>
      </w:r>
      <w:r w:rsidRPr="008E4D9D">
        <w:t>negative</w:t>
      </w:r>
      <w:r w:rsidR="00D06B20" w:rsidRPr="003D75FE">
        <w:t xml:space="preserve"> and hence the program should be said to be successful, or that there was no absolute majority as many said it made no difference</w:t>
      </w:r>
      <w:r w:rsidR="00D06B20" w:rsidRPr="00506E74">
        <w:t xml:space="preserve"> and hence no interpretation can be made.</w:t>
      </w:r>
    </w:p>
    <w:p w:rsidR="00D06B20" w:rsidRPr="00805620" w:rsidRDefault="00D06B20" w:rsidP="006654AE">
      <w:pPr>
        <w:pStyle w:val="dot"/>
      </w:pPr>
      <w:r w:rsidRPr="00506E74">
        <w:t>The results can be treated as a measure of the relative effectiveness of the program</w:t>
      </w:r>
      <w:r w:rsidR="00172C71">
        <w:t>,</w:t>
      </w:r>
      <w:r w:rsidRPr="00506E74">
        <w:t xml:space="preserve"> which was designed to benefit all participants</w:t>
      </w:r>
      <w:r w:rsidRPr="00961A43">
        <w:t xml:space="preserve">. From this perspective </w:t>
      </w:r>
      <w:r w:rsidRPr="00823476">
        <w:t xml:space="preserve">the data can either be interpreted as being </w:t>
      </w:r>
      <w:r w:rsidRPr="00823476">
        <w:lastRenderedPageBreak/>
        <w:t xml:space="preserve">relatively ineffective </w:t>
      </w:r>
      <w:r w:rsidR="004A6B59">
        <w:t xml:space="preserve">– </w:t>
      </w:r>
      <w:r w:rsidRPr="00823476">
        <w:t>as for the majority of participants it did not achieve its goal</w:t>
      </w:r>
      <w:r w:rsidR="004A6B59">
        <w:t xml:space="preserve"> –</w:t>
      </w:r>
      <w:r w:rsidRPr="00823476">
        <w:t xml:space="preserve"> or partially </w:t>
      </w:r>
      <w:r w:rsidRPr="003A03C8">
        <w:t>effective in that a significant</w:t>
      </w:r>
      <w:r w:rsidRPr="00F9041A">
        <w:t xml:space="preserve"> </w:t>
      </w:r>
      <w:r w:rsidRPr="00805620">
        <w:t xml:space="preserve">proportion of people considered </w:t>
      </w:r>
      <w:r w:rsidR="004A6B59">
        <w:t xml:space="preserve">that </w:t>
      </w:r>
      <w:r w:rsidRPr="00805620">
        <w:t>they benefited from it.</w:t>
      </w:r>
    </w:p>
    <w:p w:rsidR="00D06B20" w:rsidRPr="00E17A85" w:rsidRDefault="00D06B20" w:rsidP="006654AE">
      <w:pPr>
        <w:pStyle w:val="dot"/>
      </w:pPr>
      <w:r w:rsidRPr="00FC7BDC">
        <w:t xml:space="preserve">The results </w:t>
      </w:r>
      <w:r w:rsidRPr="00F8365F">
        <w:t xml:space="preserve">are not used </w:t>
      </w:r>
      <w:r w:rsidR="00B472CE">
        <w:t xml:space="preserve">directly </w:t>
      </w:r>
      <w:r w:rsidRPr="00F8365F">
        <w:t xml:space="preserve">in an evaluative sense but rather as indicative of a wide range of impacts, potentially related to differences in circumstances and characteristics of the people affected </w:t>
      </w:r>
      <w:r w:rsidRPr="00E17A85">
        <w:t xml:space="preserve">by the measure. </w:t>
      </w:r>
    </w:p>
    <w:p w:rsidR="00041D1B" w:rsidRDefault="00041D1B" w:rsidP="006654AE">
      <w:r w:rsidRPr="00DF38B2">
        <w:t>Our approach is to use the data mainly in the third way, and</w:t>
      </w:r>
      <w:r w:rsidR="001B2C4D">
        <w:t xml:space="preserve"> to</w:t>
      </w:r>
      <w:r w:rsidRPr="00DF38B2">
        <w:t xml:space="preserve"> use it as a mechanism to </w:t>
      </w:r>
      <w:r w:rsidR="00F45BDC">
        <w:t xml:space="preserve">build a </w:t>
      </w:r>
      <w:r w:rsidRPr="00DF38B2">
        <w:t>better understand</w:t>
      </w:r>
      <w:r w:rsidR="004A6B59">
        <w:t>ing</w:t>
      </w:r>
      <w:r w:rsidRPr="00DF38B2">
        <w:t xml:space="preserve"> </w:t>
      </w:r>
      <w:r w:rsidR="004A6B59">
        <w:t xml:space="preserve">of </w:t>
      </w:r>
      <w:r w:rsidRPr="00DF38B2">
        <w:t>the reasons why people give a particular response</w:t>
      </w:r>
      <w:r w:rsidR="004A6B59">
        <w:t>,</w:t>
      </w:r>
      <w:r w:rsidRPr="00DF38B2">
        <w:t xml:space="preserve"> and </w:t>
      </w:r>
      <w:r w:rsidR="004A6B59">
        <w:t xml:space="preserve">to </w:t>
      </w:r>
      <w:r w:rsidRPr="00DF38B2">
        <w:t>identify how they perceive the program impacting on them.</w:t>
      </w:r>
    </w:p>
    <w:p w:rsidR="002D042A" w:rsidRPr="00DF38B2" w:rsidRDefault="002D042A" w:rsidP="006654AE">
      <w:pPr>
        <w:pStyle w:val="Caption"/>
      </w:pPr>
      <w:bookmarkStart w:id="418" w:name="_Ref390796526"/>
      <w:bookmarkStart w:id="419" w:name="_Toc403739548"/>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2</w:t>
      </w:r>
      <w:r w:rsidRPr="00F157EE">
        <w:fldChar w:fldCharType="end"/>
      </w:r>
      <w:bookmarkEnd w:id="418"/>
      <w:r>
        <w:tab/>
      </w:r>
      <w:r w:rsidRPr="00DF38B2">
        <w:t>Objective for income management, persons currently on income management, proportion expressing a desire to ‘get off’ or unsure</w:t>
      </w:r>
      <w:r>
        <w:t xml:space="preserve">, </w:t>
      </w:r>
      <w:r w:rsidRPr="003C1097">
        <w:t>LSNIM, Wave 2, 2013</w:t>
      </w:r>
      <w:bookmarkEnd w:id="419"/>
    </w:p>
    <w:p w:rsidR="002D042A" w:rsidRPr="00DF38B2" w:rsidRDefault="002D042A" w:rsidP="006654AE">
      <w:pPr>
        <w:jc w:val="center"/>
      </w:pPr>
      <w:r w:rsidRPr="002D042A">
        <w:rPr>
          <w:noProof/>
        </w:rPr>
        <w:drawing>
          <wp:inline distT="0" distB="0" distL="0" distR="0" wp14:anchorId="7C0C9A39" wp14:editId="0A8587C7">
            <wp:extent cx="4629150" cy="2605405"/>
            <wp:effectExtent l="0" t="0" r="0" b="4445"/>
            <wp:docPr id="157" name="Picture 157" descr="This bar chart shows six population groups: CIM Indigenous Male; CIM Indigenous Female; CIM Non-Indigenous Male; CIM Non-Indigenous Female; VIM Male; and VIM Female, and the proportion of each who say that they either want to get off income management or are not sure. The main features of the data are discuss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29150" cy="2605405"/>
                    </a:xfrm>
                    <a:prstGeom prst="rect">
                      <a:avLst/>
                    </a:prstGeom>
                    <a:noFill/>
                    <a:ln>
                      <a:noFill/>
                    </a:ln>
                  </pic:spPr>
                </pic:pic>
              </a:graphicData>
            </a:graphic>
          </wp:inline>
        </w:drawing>
      </w:r>
    </w:p>
    <w:p w:rsidR="002D042A" w:rsidRPr="00DF38B2" w:rsidRDefault="002D042A" w:rsidP="006654AE">
      <w:pPr>
        <w:pStyle w:val="tablefootnotes"/>
      </w:pPr>
      <w:r w:rsidRPr="00DF38B2">
        <w:t xml:space="preserve">Note: </w:t>
      </w:r>
      <w:r>
        <w:tab/>
      </w:r>
      <w:r w:rsidRPr="00DF38B2">
        <w:t>Excludes “Prefer not to say”</w:t>
      </w:r>
      <w:r>
        <w:t xml:space="preserve"> responses.</w:t>
      </w:r>
    </w:p>
    <w:p w:rsidR="003928BD" w:rsidRDefault="002D042A" w:rsidP="006654AE">
      <w:pPr>
        <w:pStyle w:val="tablefootnotes"/>
        <w:spacing w:after="320"/>
      </w:pPr>
      <w:r w:rsidRPr="00DF38B2">
        <w:t xml:space="preserve">Source: </w:t>
      </w:r>
      <w:r>
        <w:tab/>
      </w:r>
      <w:r w:rsidRPr="00DF38B2">
        <w:t>LSNIM Wave 2</w:t>
      </w:r>
      <w:r>
        <w:t>.</w:t>
      </w:r>
    </w:p>
    <w:p w:rsidR="005E1FE0" w:rsidRPr="00DF38B2" w:rsidRDefault="005E1FE0" w:rsidP="006654AE">
      <w:r w:rsidRPr="00DF38B2">
        <w:t xml:space="preserve">A similar pattern of </w:t>
      </w:r>
      <w:r w:rsidR="00041D1B" w:rsidRPr="00DF38B2">
        <w:t xml:space="preserve">diverse </w:t>
      </w:r>
      <w:r w:rsidRPr="00DF38B2">
        <w:t xml:space="preserve">responses can be seen to a question </w:t>
      </w:r>
      <w:r w:rsidR="00B472CE">
        <w:t>about</w:t>
      </w:r>
      <w:r w:rsidR="00114EFF">
        <w:t xml:space="preserve"> </w:t>
      </w:r>
      <w:r w:rsidRPr="00DF38B2">
        <w:t>the aim people had with respect to continuing with income management</w:t>
      </w:r>
      <w:r w:rsidR="00114EFF">
        <w:t>;</w:t>
      </w:r>
      <w:r w:rsidRPr="00DF38B2">
        <w:t xml:space="preserve"> that is</w:t>
      </w:r>
      <w:r w:rsidR="00114EFF">
        <w:t>,</w:t>
      </w:r>
      <w:r w:rsidRPr="00DF38B2">
        <w:t xml:space="preserve"> whether they wish</w:t>
      </w:r>
      <w:r w:rsidR="00114EFF">
        <w:t>ed</w:t>
      </w:r>
      <w:r w:rsidRPr="00DF38B2">
        <w:t xml:space="preserve"> to stay on or get off. The proportion </w:t>
      </w:r>
      <w:r w:rsidR="00B34FA4">
        <w:t xml:space="preserve">who </w:t>
      </w:r>
      <w:r w:rsidR="001B2C4D">
        <w:t xml:space="preserve">gave </w:t>
      </w:r>
      <w:r w:rsidRPr="00DF38B2">
        <w:t>their objective as getting off, along with those who were not sure</w:t>
      </w:r>
      <w:r w:rsidR="00114EFF">
        <w:t>,</w:t>
      </w:r>
      <w:r w:rsidRPr="00DF38B2">
        <w:t xml:space="preserve"> is shown in </w:t>
      </w:r>
      <w:r w:rsidRPr="00DF38B2">
        <w:fldChar w:fldCharType="begin"/>
      </w:r>
      <w:r w:rsidRPr="00DF38B2">
        <w:instrText xml:space="preserve"> REF _Ref390796526 \h </w:instrText>
      </w:r>
      <w:r w:rsidRPr="00DF38B2">
        <w:fldChar w:fldCharType="separate"/>
      </w:r>
      <w:r w:rsidR="00906D13" w:rsidRPr="00DF38B2">
        <w:t xml:space="preserve">Figure </w:t>
      </w:r>
      <w:r w:rsidR="00906D13">
        <w:rPr>
          <w:noProof/>
        </w:rPr>
        <w:t>7</w:t>
      </w:r>
      <w:r w:rsidR="00906D13" w:rsidRPr="00DF38B2">
        <w:noBreakHyphen/>
      </w:r>
      <w:r w:rsidR="00906D13">
        <w:rPr>
          <w:noProof/>
        </w:rPr>
        <w:t>2</w:t>
      </w:r>
      <w:r w:rsidRPr="00DF38B2">
        <w:fldChar w:fldCharType="end"/>
      </w:r>
      <w:r w:rsidRPr="00DF38B2">
        <w:t xml:space="preserve">. The balancing gap </w:t>
      </w:r>
      <w:r w:rsidR="00114EFF">
        <w:t>represents</w:t>
      </w:r>
      <w:r w:rsidRPr="00DF38B2">
        <w:t xml:space="preserve"> the </w:t>
      </w:r>
      <w:r w:rsidR="00B472CE" w:rsidRPr="00DF38B2">
        <w:t>proportions who wish</w:t>
      </w:r>
      <w:r w:rsidRPr="00DF38B2">
        <w:t xml:space="preserve"> to stay on.</w:t>
      </w:r>
    </w:p>
    <w:p w:rsidR="005E1FE0" w:rsidRPr="009655C3" w:rsidRDefault="005E1FE0" w:rsidP="006654AE">
      <w:r w:rsidRPr="00FE502F">
        <w:t>Interpreting this response</w:t>
      </w:r>
      <w:r w:rsidR="00114EFF">
        <w:t>,</w:t>
      </w:r>
      <w:r w:rsidRPr="00FE502F">
        <w:t xml:space="preserve"> </w:t>
      </w:r>
      <w:r w:rsidR="00114EFF" w:rsidRPr="00FE502F">
        <w:t>however</w:t>
      </w:r>
      <w:r w:rsidR="00114EFF">
        <w:t>,</w:t>
      </w:r>
      <w:r w:rsidR="00114EFF" w:rsidRPr="00FE502F">
        <w:t xml:space="preserve"> </w:t>
      </w:r>
      <w:r w:rsidRPr="00FE502F">
        <w:t xml:space="preserve">is more complex </w:t>
      </w:r>
      <w:r w:rsidR="00114EFF">
        <w:t xml:space="preserve">than this </w:t>
      </w:r>
      <w:r w:rsidRPr="00FE502F">
        <w:t>and introduces an additional question about the way in which inc</w:t>
      </w:r>
      <w:r w:rsidRPr="009655C3">
        <w:t>ome management impacts</w:t>
      </w:r>
      <w:r w:rsidR="00FC30DA">
        <w:t xml:space="preserve"> upon people</w:t>
      </w:r>
      <w:r w:rsidRPr="009655C3">
        <w:t xml:space="preserve">. </w:t>
      </w:r>
    </w:p>
    <w:p w:rsidR="005E1FE0" w:rsidRPr="00DF38B2" w:rsidRDefault="005E1FE0" w:rsidP="006654AE">
      <w:r w:rsidRPr="00DF38B2">
        <w:t>A clear majority of non-Indigenous respondents to the survey report that their objective is to get off income management – 55.6 per cent of men and 56.8 per cent of women. A further 12.7 per cent of non-Indigenous men and 12.2 per cent of non-Indigenous women said they were not sure</w:t>
      </w:r>
      <w:r w:rsidR="00A1421A">
        <w:t xml:space="preserve">. </w:t>
      </w:r>
      <w:r w:rsidRPr="00DF38B2">
        <w:t>In contrast</w:t>
      </w:r>
      <w:r w:rsidR="00114EFF">
        <w:t>,</w:t>
      </w:r>
      <w:r w:rsidRPr="00DF38B2">
        <w:t xml:space="preserve"> the proportions of Indigenous participants saying they wanted to get off were lower, at 47.7 per cent of the men and 38.1 per cent of the women</w:t>
      </w:r>
      <w:r w:rsidR="00A1421A">
        <w:t xml:space="preserve">. </w:t>
      </w:r>
      <w:r w:rsidRPr="00DF38B2">
        <w:t xml:space="preserve">Among those on </w:t>
      </w:r>
      <w:r w:rsidR="001544DF">
        <w:t>Voluntary Income Management</w:t>
      </w:r>
      <w:r w:rsidRPr="00DF38B2">
        <w:t>, none of the men in the survey, and only 14.3 per cent of the women saw getting off the program as a goal.</w:t>
      </w:r>
    </w:p>
    <w:p w:rsidR="005E1FE0" w:rsidRPr="00DF38B2" w:rsidRDefault="005E1FE0" w:rsidP="006654AE">
      <w:r w:rsidRPr="00DF38B2">
        <w:t xml:space="preserve">Treating the Indigenous population as homogeneous is however quite misleading. As illustrated in </w:t>
      </w:r>
      <w:r w:rsidRPr="00DF38B2">
        <w:fldChar w:fldCharType="begin"/>
      </w:r>
      <w:r w:rsidRPr="00DF38B2">
        <w:instrText xml:space="preserve"> REF _Ref390852759 \h </w:instrText>
      </w:r>
      <w:r w:rsidRPr="00DF38B2">
        <w:fldChar w:fldCharType="separate"/>
      </w:r>
      <w:r w:rsidR="00906D13" w:rsidRPr="00DF38B2">
        <w:t xml:space="preserve">Figure </w:t>
      </w:r>
      <w:r w:rsidR="00906D13">
        <w:rPr>
          <w:noProof/>
        </w:rPr>
        <w:t>7</w:t>
      </w:r>
      <w:r w:rsidR="00906D13" w:rsidRPr="00DF38B2">
        <w:noBreakHyphen/>
      </w:r>
      <w:r w:rsidR="00906D13">
        <w:rPr>
          <w:noProof/>
        </w:rPr>
        <w:t>3</w:t>
      </w:r>
      <w:r w:rsidRPr="00DF38B2">
        <w:fldChar w:fldCharType="end"/>
      </w:r>
      <w:r w:rsidRPr="00DF38B2">
        <w:t xml:space="preserve">, the aspirations of Indigenous people subject to compulsory income management for remaining income managed vary very </w:t>
      </w:r>
      <w:r w:rsidR="00114EFF">
        <w:t>considerab</w:t>
      </w:r>
      <w:r w:rsidRPr="00DF38B2">
        <w:t>ly by location. While 30.7 per cent of those who live in communities, in urban t</w:t>
      </w:r>
      <w:r w:rsidRPr="00FE502F">
        <w:t>own camps, in small towns and other locations say that their goal is to get off income management, 55.2 per cent of those living in urban and suburban Darwin and Alice Springs state this as their objective</w:t>
      </w:r>
      <w:r w:rsidR="00A1421A">
        <w:t xml:space="preserve">. </w:t>
      </w:r>
      <w:r w:rsidRPr="00FE502F">
        <w:t>A similar pattern is seen in terms of their views on the impact of the program. Although a clear majority, 56.3 pe</w:t>
      </w:r>
      <w:r w:rsidRPr="009655C3">
        <w:t>r cent of these respondents living in communities and similar locations, said that they consider the program has made things better for them, less than a third, 29.5 per cent of those living in urban locations responded in this way. More dram</w:t>
      </w:r>
      <w:r w:rsidRPr="00DF38B2">
        <w:t xml:space="preserve">atically, three times as many – 33.1 per cent compared with 10.2 per cent </w:t>
      </w:r>
      <w:r w:rsidRPr="00DF38B2">
        <w:lastRenderedPageBreak/>
        <w:t>of Indigenous people in these urban locations</w:t>
      </w:r>
      <w:r w:rsidR="00114EFF">
        <w:t xml:space="preserve"> </w:t>
      </w:r>
      <w:r w:rsidRPr="00DF38B2">
        <w:t xml:space="preserve">– said that being income managed had made their lives worse, </w:t>
      </w:r>
      <w:r w:rsidR="00041D1B" w:rsidRPr="00DF38B2">
        <w:t>with a further,</w:t>
      </w:r>
      <w:r w:rsidRPr="00DF38B2">
        <w:t xml:space="preserve"> almost 40 per cent</w:t>
      </w:r>
      <w:r w:rsidR="00041D1B" w:rsidRPr="00DF38B2">
        <w:t>,</w:t>
      </w:r>
      <w:r w:rsidRPr="00DF38B2">
        <w:t xml:space="preserve"> reporting that it had made no difference.</w:t>
      </w:r>
    </w:p>
    <w:p w:rsidR="005E1FE0" w:rsidRPr="00DF38B2" w:rsidRDefault="005E1FE0" w:rsidP="006654AE">
      <w:r w:rsidRPr="00DF38B2">
        <w:t xml:space="preserve">This pattern of results appears to persist across many other questions and tends to place the results for Indigenous people living in these urban locations much closer to the responses provided by non-Indigenous persons who are largely concentrated in these </w:t>
      </w:r>
      <w:r w:rsidR="000F06BF">
        <w:t xml:space="preserve">same </w:t>
      </w:r>
      <w:r w:rsidRPr="00DF38B2">
        <w:t>locations</w:t>
      </w:r>
      <w:r w:rsidR="00A1421A">
        <w:t xml:space="preserve">. </w:t>
      </w:r>
      <w:r w:rsidRPr="00DF38B2">
        <w:t>As such</w:t>
      </w:r>
      <w:r w:rsidR="00A17D3A">
        <w:t>,</w:t>
      </w:r>
      <w:r w:rsidRPr="00DF38B2">
        <w:t xml:space="preserve"> many of the differences which apparently relate to Indigeneity would appear to relate to geography</w:t>
      </w:r>
      <w:r w:rsidRPr="00DF38B2">
        <w:rPr>
          <w:rStyle w:val="FootnoteReference"/>
        </w:rPr>
        <w:footnoteReference w:id="118"/>
      </w:r>
      <w:r w:rsidRPr="00DF38B2">
        <w:t xml:space="preserve"> and the different lifestyles in</w:t>
      </w:r>
      <w:r w:rsidR="00FC30DA">
        <w:t xml:space="preserve"> different</w:t>
      </w:r>
      <w:r w:rsidRPr="00DF38B2">
        <w:t xml:space="preserve"> locations.</w:t>
      </w:r>
    </w:p>
    <w:p w:rsidR="005E1FE0" w:rsidRDefault="005E1FE0" w:rsidP="006654AE">
      <w:pPr>
        <w:pStyle w:val="Caption"/>
      </w:pPr>
      <w:bookmarkStart w:id="420" w:name="_Ref390852759"/>
      <w:bookmarkStart w:id="421" w:name="_Toc403739549"/>
      <w:r w:rsidRPr="00DF38B2">
        <w:t xml:space="preserve">Figure </w:t>
      </w:r>
      <w:fldSimple w:instr=" STYLEREF 1 \s ">
        <w:r w:rsidR="00906D13">
          <w:rPr>
            <w:noProof/>
          </w:rPr>
          <w:t>7</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420"/>
      <w:r w:rsidR="00B235E1">
        <w:tab/>
      </w:r>
      <w:r w:rsidRPr="00DF38B2">
        <w:t>Indigenous respondents subject to Compulsory Income Management, aims for remaining on income management and whether income management has made life better or worse</w:t>
      </w:r>
      <w:r w:rsidR="006F51EF">
        <w:t>,</w:t>
      </w:r>
      <w:r w:rsidR="006F51EF" w:rsidRPr="006F51EF">
        <w:t xml:space="preserve"> </w:t>
      </w:r>
      <w:r w:rsidR="006F51EF">
        <w:t>LSNIM, Wave 2, 2013</w:t>
      </w:r>
      <w:bookmarkEnd w:id="421"/>
    </w:p>
    <w:p w:rsidR="002D042A" w:rsidRPr="002D042A" w:rsidRDefault="002D042A" w:rsidP="006654AE">
      <w:pPr>
        <w:jc w:val="center"/>
      </w:pPr>
      <w:r w:rsidRPr="002D042A">
        <w:rPr>
          <w:noProof/>
        </w:rPr>
        <w:drawing>
          <wp:inline distT="0" distB="0" distL="0" distR="0" wp14:anchorId="3FB69591" wp14:editId="5A949EF6">
            <wp:extent cx="4572000" cy="2733675"/>
            <wp:effectExtent l="0" t="0" r="0" b="9525"/>
            <wp:docPr id="158" name="Picture 158" descr="This bar chart compares the responses of Indigenous people living in communities and town camps with those living in suburban Alice Springs and Darwin  with regard to questions as to whether they wish to get off income management and the impact of the program on their lives.  Key results illustrated in the chart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2D042A" w:rsidRDefault="002D042A" w:rsidP="006654AE">
      <w:pPr>
        <w:pStyle w:val="tablefootnoteslastline"/>
      </w:pPr>
      <w:r>
        <w:t xml:space="preserve">Note: </w:t>
      </w:r>
      <w:r>
        <w:tab/>
        <w:t>Excludes “Prefer not to say” responses.</w:t>
      </w:r>
    </w:p>
    <w:p w:rsidR="003928BD" w:rsidRDefault="002D042A" w:rsidP="006654AE">
      <w:pPr>
        <w:pStyle w:val="tablefootnoteslastline"/>
      </w:pPr>
      <w:r>
        <w:t xml:space="preserve">Source: </w:t>
      </w:r>
      <w:r>
        <w:tab/>
        <w:t>LSNIM Wave 2.</w:t>
      </w:r>
    </w:p>
    <w:p w:rsidR="002D042A" w:rsidRDefault="002D042A" w:rsidP="006654AE">
      <w:pPr>
        <w:pStyle w:val="tablefootnoteslastline"/>
      </w:pPr>
    </w:p>
    <w:p w:rsidR="005E1FE0" w:rsidRPr="00DF38B2" w:rsidRDefault="005E1FE0" w:rsidP="006654AE">
      <w:r w:rsidRPr="00DF38B2">
        <w:t>Before considering the reasons people gave for wishing to stay on or exit</w:t>
      </w:r>
      <w:r w:rsidR="00A17D3A">
        <w:t xml:space="preserve"> </w:t>
      </w:r>
      <w:r w:rsidR="00FC30DA">
        <w:t>income management</w:t>
      </w:r>
      <w:r w:rsidRPr="00DF38B2">
        <w:t>, it should be noted that these preferences do not necessarily remain stable over time. Looking at the population who were on Compulsory Income Management in Wave 2 of the LSNIM and who expressed a preference to either stay on or move off the measure in both waves of the survey, a quarter of those who said they wished to stay on in Wave 1 now say that they wish to exit, while a third of those who has previously indicated a desire to exit, now say that they wish to stay on. Overall</w:t>
      </w:r>
      <w:r w:rsidR="00323789">
        <w:t>,</w:t>
      </w:r>
      <w:r w:rsidRPr="00DF38B2">
        <w:t xml:space="preserve"> though, these movements have only slightly changed the aggregate proportion wishing to exit from 51.7 per cent in the first wave to 46.9 per cent in the second</w:t>
      </w:r>
      <w:r w:rsidR="00A1421A">
        <w:t xml:space="preserve">. </w:t>
      </w:r>
      <w:r w:rsidRPr="00DF38B2">
        <w:t xml:space="preserve">As illustrated in </w:t>
      </w:r>
      <w:r w:rsidRPr="00DF38B2">
        <w:fldChar w:fldCharType="begin"/>
      </w:r>
      <w:r w:rsidRPr="00DF38B2">
        <w:instrText xml:space="preserve"> REF _Ref390802687 \h </w:instrText>
      </w:r>
      <w:r w:rsidRPr="00DF38B2">
        <w:fldChar w:fldCharType="separate"/>
      </w:r>
      <w:r w:rsidR="00906D13" w:rsidRPr="00DF38B2">
        <w:t xml:space="preserve">Table </w:t>
      </w:r>
      <w:r w:rsidR="00906D13">
        <w:rPr>
          <w:noProof/>
        </w:rPr>
        <w:t>7</w:t>
      </w:r>
      <w:r w:rsidR="00906D13">
        <w:noBreakHyphen/>
      </w:r>
      <w:r w:rsidR="00906D13">
        <w:rPr>
          <w:noProof/>
        </w:rPr>
        <w:t>3</w:t>
      </w:r>
      <w:r w:rsidRPr="00DF38B2">
        <w:fldChar w:fldCharType="end"/>
      </w:r>
      <w:r w:rsidRPr="00DF38B2">
        <w:t>, while around a third of the population reported wishing to remain on income management in both waves</w:t>
      </w:r>
      <w:r w:rsidR="00323789">
        <w:t>,</w:t>
      </w:r>
      <w:r w:rsidRPr="00DF38B2">
        <w:t xml:space="preserve"> and a third a desire to exit, the balancing one</w:t>
      </w:r>
      <w:r w:rsidR="00323789">
        <w:t>-</w:t>
      </w:r>
      <w:r w:rsidRPr="00DF38B2">
        <w:t xml:space="preserve">third changed their aspiration. </w:t>
      </w:r>
    </w:p>
    <w:p w:rsidR="005E1FE0" w:rsidRPr="00DF38B2" w:rsidRDefault="005E1FE0" w:rsidP="006654AE">
      <w:r w:rsidRPr="00FE502F">
        <w:t>Three possible explanations can be suggested for these movements</w:t>
      </w:r>
      <w:r w:rsidR="00A1421A">
        <w:t xml:space="preserve">. </w:t>
      </w:r>
      <w:r w:rsidRPr="00FE502F">
        <w:t>They may reflect changes in how peo</w:t>
      </w:r>
      <w:r w:rsidRPr="009655C3">
        <w:t>ple perceive the usefulness or otherwise of income management for them; they may reflect changes in the circumstances of people</w:t>
      </w:r>
      <w:r w:rsidR="00323789">
        <w:t>,</w:t>
      </w:r>
      <w:r w:rsidRPr="009655C3">
        <w:t xml:space="preserve"> which in turn affect the impact of income management on them; or it may be that people have mixed views on the program and may g</w:t>
      </w:r>
      <w:r w:rsidRPr="00DF38B2">
        <w:t>ive differing responses depending upon how they weigh up these issues at any one point in time</w:t>
      </w:r>
      <w:r w:rsidR="00A1421A">
        <w:t xml:space="preserve">. </w:t>
      </w:r>
      <w:r w:rsidRPr="00DF38B2">
        <w:t>In this latter situation, as well as in situations where the preference of individuals is only slightly tilted one way or the other, it is quite probable that responses to repeated questions may be unstable.</w:t>
      </w:r>
    </w:p>
    <w:p w:rsidR="005E1FE0" w:rsidRPr="00DF38B2" w:rsidRDefault="005E1FE0" w:rsidP="006654AE">
      <w:pPr>
        <w:pStyle w:val="Caption"/>
      </w:pPr>
      <w:bookmarkStart w:id="422" w:name="_Ref390802687"/>
      <w:bookmarkStart w:id="423" w:name="_Toc403739465"/>
      <w:r w:rsidRPr="00DF38B2">
        <w:lastRenderedPageBreak/>
        <w:t xml:space="preserve">Table </w:t>
      </w:r>
      <w:fldSimple w:instr=" STYLEREF 1 \s ">
        <w:r w:rsidR="00906D13">
          <w:rPr>
            <w:noProof/>
          </w:rPr>
          <w:t>7</w:t>
        </w:r>
      </w:fldSimple>
      <w:r w:rsidR="00D40B64">
        <w:noBreakHyphen/>
      </w:r>
      <w:fldSimple w:instr=" SEQ Table \* ARABIC \s 1 ">
        <w:r w:rsidR="00906D13">
          <w:rPr>
            <w:noProof/>
          </w:rPr>
          <w:t>3</w:t>
        </w:r>
      </w:fldSimple>
      <w:bookmarkEnd w:id="422"/>
      <w:r w:rsidRPr="00DF38B2">
        <w:tab/>
        <w:t xml:space="preserve">Persons subject to Compulsory Income Management, aspirations in terms of </w:t>
      </w:r>
      <w:r w:rsidR="002B4EC4">
        <w:t>staying</w:t>
      </w:r>
      <w:r w:rsidRPr="00DF38B2">
        <w:t xml:space="preserve"> on or </w:t>
      </w:r>
      <w:r w:rsidR="002B4EC4">
        <w:t xml:space="preserve">getting off </w:t>
      </w:r>
      <w:r w:rsidRPr="00DF38B2">
        <w:t>the program in Waves 1 and 2 of the LSNIM</w:t>
      </w:r>
      <w:r w:rsidR="003C1097">
        <w:t xml:space="preserve"> (2011 and 2013)</w:t>
      </w:r>
      <w:r w:rsidR="006D7AF6">
        <w:t>, matched sample</w:t>
      </w:r>
      <w:bookmarkEnd w:id="423"/>
    </w:p>
    <w:tbl>
      <w:tblPr>
        <w:tblW w:w="4478" w:type="dxa"/>
        <w:jc w:val="center"/>
        <w:tblLook w:val="04A0" w:firstRow="1" w:lastRow="0" w:firstColumn="1" w:lastColumn="0" w:noHBand="0" w:noVBand="1"/>
        <w:tblDescription w:val="This table is a matrix of the aspirations (to stay on or to get off) in wave one and wave two of the LSNIM.  Wave 1 is reported on the vertical axis and wave 2 on the horizontal.&#10;The changes over time as shown in the table are reported in the text.&#10;"/>
      </w:tblPr>
      <w:tblGrid>
        <w:gridCol w:w="1598"/>
        <w:gridCol w:w="960"/>
        <w:gridCol w:w="960"/>
        <w:gridCol w:w="960"/>
      </w:tblGrid>
      <w:tr w:rsidR="005E1FE0" w:rsidRPr="00DF38B2" w:rsidTr="004E2725">
        <w:trPr>
          <w:trHeight w:val="20"/>
          <w:tblHeader/>
          <w:jc w:val="center"/>
        </w:trPr>
        <w:tc>
          <w:tcPr>
            <w:tcW w:w="1598" w:type="dxa"/>
            <w:tcBorders>
              <w:top w:val="single" w:sz="4" w:space="0" w:color="auto"/>
              <w:left w:val="nil"/>
              <w:bottom w:val="single" w:sz="4" w:space="0" w:color="auto"/>
            </w:tcBorders>
            <w:shd w:val="clear" w:color="auto" w:fill="auto"/>
            <w:noWrap/>
            <w:vAlign w:val="bottom"/>
            <w:hideMark/>
          </w:tcPr>
          <w:p w:rsidR="004E2725" w:rsidRDefault="002B4EC4" w:rsidP="006654AE">
            <w:pPr>
              <w:pStyle w:val="tabletextleft"/>
              <w:rPr>
                <w:rFonts w:eastAsia="Times New Roman"/>
              </w:rPr>
            </w:pPr>
            <w:r>
              <w:rPr>
                <w:rFonts w:eastAsia="Times New Roman"/>
              </w:rPr>
              <w:t>Aspiration</w:t>
            </w:r>
            <w:r w:rsidR="004E2725">
              <w:rPr>
                <w:rFonts w:eastAsia="Times New Roman"/>
              </w:rPr>
              <w:t xml:space="preserve"> (%): </w:t>
            </w:r>
          </w:p>
          <w:p w:rsidR="005E1FE0" w:rsidRPr="00DF38B2" w:rsidRDefault="005E1FE0" w:rsidP="006654AE">
            <w:pPr>
              <w:pStyle w:val="tabletextleft"/>
              <w:rPr>
                <w:rFonts w:eastAsia="Times New Roman"/>
              </w:rPr>
            </w:pPr>
            <w:r w:rsidRPr="00DF38B2">
              <w:rPr>
                <w:rFonts w:eastAsia="Times New Roman"/>
              </w:rPr>
              <w:t>Wave 1</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6654AE">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Stay on</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4E2725">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Get off</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4E2725">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Total</w:t>
            </w:r>
          </w:p>
        </w:tc>
      </w:tr>
      <w:tr w:rsidR="005E1FE0" w:rsidRPr="00DF38B2" w:rsidTr="004E2725">
        <w:trPr>
          <w:trHeight w:val="20"/>
          <w:jc w:val="center"/>
        </w:trPr>
        <w:tc>
          <w:tcPr>
            <w:tcW w:w="1598" w:type="dxa"/>
            <w:tcBorders>
              <w:top w:val="single" w:sz="4" w:space="0" w:color="auto"/>
              <w:left w:val="nil"/>
              <w:bottom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Stay on</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35.7</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12.6</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48.3</w:t>
            </w:r>
          </w:p>
        </w:tc>
      </w:tr>
      <w:tr w:rsidR="005E1FE0" w:rsidRPr="00DF38B2" w:rsidTr="004E2725">
        <w:trPr>
          <w:trHeight w:val="20"/>
          <w:jc w:val="center"/>
        </w:trPr>
        <w:tc>
          <w:tcPr>
            <w:tcW w:w="1598" w:type="dxa"/>
            <w:tcBorders>
              <w:top w:val="nil"/>
              <w:lef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Get off</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17.5</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34.3</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51.7</w:t>
            </w:r>
          </w:p>
        </w:tc>
      </w:tr>
      <w:tr w:rsidR="005E1FE0" w:rsidRPr="00DF38B2" w:rsidTr="004E2725">
        <w:trPr>
          <w:trHeight w:val="20"/>
          <w:jc w:val="center"/>
        </w:trPr>
        <w:tc>
          <w:tcPr>
            <w:tcW w:w="1598" w:type="dxa"/>
            <w:tcBorders>
              <w:top w:val="nil"/>
              <w:left w:val="nil"/>
              <w:bottom w:val="single" w:sz="4" w:space="0" w:color="auto"/>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Total </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53.1</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46.9</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 xml:space="preserve">Excludes “Prefer not to say” and those who were </w:t>
      </w:r>
      <w:r w:rsidR="00323789">
        <w:t>“</w:t>
      </w:r>
      <w:r w:rsidRPr="00DF38B2">
        <w:t>unsure</w:t>
      </w:r>
      <w:r w:rsidR="00323789">
        <w:t>”</w:t>
      </w:r>
      <w:r w:rsidR="003E03B6">
        <w:t xml:space="preserve"> responses</w:t>
      </w:r>
      <w:r w:rsidR="00227C83">
        <w:t>.</w:t>
      </w:r>
    </w:p>
    <w:p w:rsidR="005E1FE0" w:rsidRDefault="005E1FE0" w:rsidP="006654AE">
      <w:pPr>
        <w:pStyle w:val="tablenotes"/>
      </w:pPr>
      <w:r w:rsidRPr="00DF38B2">
        <w:t xml:space="preserve">Source: </w:t>
      </w:r>
      <w:r w:rsidR="003E03B6">
        <w:tab/>
      </w:r>
      <w:r w:rsidRPr="00DF38B2">
        <w:t xml:space="preserve">LSNIM Waves 1 </w:t>
      </w:r>
      <w:r w:rsidR="00227C83">
        <w:t>and</w:t>
      </w:r>
      <w:r w:rsidRPr="00DF38B2">
        <w:t xml:space="preserve"> 2</w:t>
      </w:r>
      <w:r w:rsidR="00227C83">
        <w:t>.</w:t>
      </w:r>
    </w:p>
    <w:p w:rsidR="003928BD" w:rsidRPr="00DF38B2" w:rsidRDefault="003928BD" w:rsidP="006654AE">
      <w:pPr>
        <w:pStyle w:val="tablefootnoteslastline"/>
      </w:pPr>
    </w:p>
    <w:p w:rsidR="005E1FE0" w:rsidRPr="00DF38B2" w:rsidRDefault="005E1FE0" w:rsidP="006654AE">
      <w:r w:rsidRPr="00DF38B2">
        <w:t>The LSNIM asked people who expressed a view, either positive or negative, about exiting income management for their main, and all</w:t>
      </w:r>
      <w:r w:rsidR="00041D1B" w:rsidRPr="00DF38B2">
        <w:t>,</w:t>
      </w:r>
      <w:r w:rsidRPr="00DF38B2">
        <w:t xml:space="preserve"> reasons for their position</w:t>
      </w:r>
      <w:r w:rsidR="00A1421A">
        <w:t xml:space="preserve">. </w:t>
      </w:r>
      <w:r w:rsidRPr="00DF38B2">
        <w:fldChar w:fldCharType="begin"/>
      </w:r>
      <w:r w:rsidRPr="00DF38B2">
        <w:instrText xml:space="preserve"> REF _Ref390802903 \h </w:instrText>
      </w:r>
      <w:r w:rsidRPr="00DF38B2">
        <w:fldChar w:fldCharType="separate"/>
      </w:r>
      <w:r w:rsidR="00906D13" w:rsidRPr="00DF38B2">
        <w:t xml:space="preserve">Figure </w:t>
      </w:r>
      <w:r w:rsidR="00906D13">
        <w:rPr>
          <w:noProof/>
        </w:rPr>
        <w:t>7</w:t>
      </w:r>
      <w:r w:rsidR="00906D13" w:rsidRPr="00DF38B2">
        <w:noBreakHyphen/>
      </w:r>
      <w:r w:rsidR="00906D13">
        <w:rPr>
          <w:noProof/>
        </w:rPr>
        <w:t>4</w:t>
      </w:r>
      <w:r w:rsidRPr="00DF38B2">
        <w:fldChar w:fldCharType="end"/>
      </w:r>
      <w:r w:rsidRPr="00DF38B2">
        <w:t xml:space="preserve"> presents the responses for those who wished to remain on the program and </w:t>
      </w:r>
      <w:r w:rsidRPr="00DF38B2">
        <w:fldChar w:fldCharType="begin"/>
      </w:r>
      <w:r w:rsidRPr="00DF38B2">
        <w:instrText xml:space="preserve"> REF _Ref390802911 \h </w:instrText>
      </w:r>
      <w:r w:rsidRPr="00DF38B2">
        <w:fldChar w:fldCharType="separate"/>
      </w:r>
      <w:r w:rsidR="00906D13" w:rsidRPr="00DF38B2">
        <w:t xml:space="preserve">Figure </w:t>
      </w:r>
      <w:r w:rsidR="00906D13">
        <w:rPr>
          <w:noProof/>
        </w:rPr>
        <w:t>7</w:t>
      </w:r>
      <w:r w:rsidR="00906D13" w:rsidRPr="00DF38B2">
        <w:noBreakHyphen/>
      </w:r>
      <w:r w:rsidR="00906D13">
        <w:rPr>
          <w:noProof/>
        </w:rPr>
        <w:t>5</w:t>
      </w:r>
      <w:r w:rsidRPr="00DF38B2">
        <w:fldChar w:fldCharType="end"/>
      </w:r>
      <w:r w:rsidRPr="00DF38B2">
        <w:t xml:space="preserve"> those of the group who wished to exit.</w:t>
      </w:r>
    </w:p>
    <w:p w:rsidR="005E1FE0" w:rsidRDefault="005E1FE0" w:rsidP="006654AE">
      <w:pPr>
        <w:pStyle w:val="Caption"/>
      </w:pPr>
      <w:bookmarkStart w:id="424" w:name="_Ref390802903"/>
      <w:bookmarkStart w:id="425" w:name="_Toc403739550"/>
      <w:r w:rsidRPr="00DF38B2">
        <w:t xml:space="preserve">Figure </w:t>
      </w:r>
      <w:fldSimple w:instr=" STYLEREF 1 \s ">
        <w:r w:rsidR="00906D13">
          <w:rPr>
            <w:noProof/>
          </w:rPr>
          <w:t>7</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424"/>
      <w:r w:rsidRPr="00DF38B2">
        <w:tab/>
        <w:t>Persons on Compulsory Income Management who wish to remain on, reasons why</w:t>
      </w:r>
      <w:r w:rsidR="006F51EF">
        <w:t xml:space="preserve">, </w:t>
      </w:r>
      <w:r w:rsidR="006F51EF" w:rsidRPr="003C1097">
        <w:t>LSNIM, Wave 2, 2013</w:t>
      </w:r>
      <w:bookmarkEnd w:id="425"/>
    </w:p>
    <w:p w:rsidR="002D042A" w:rsidRPr="002D042A" w:rsidRDefault="002D042A" w:rsidP="006654AE">
      <w:pPr>
        <w:jc w:val="center"/>
      </w:pPr>
      <w:r w:rsidRPr="002D042A">
        <w:rPr>
          <w:noProof/>
        </w:rPr>
        <w:drawing>
          <wp:inline distT="0" distB="0" distL="0" distR="0" wp14:anchorId="5314D4D7" wp14:editId="61361F29">
            <wp:extent cx="5292090" cy="2884838"/>
            <wp:effectExtent l="0" t="0" r="3810" b="0"/>
            <wp:docPr id="159" name="Picture 159" descr="This bar chart shows, separately for Indigenous and non-Indigenous respondents who wish to remain on income management, the proportion who give one of six reasons as either their main or any reason for wishing to remain on income management.  There is extensive discussion of the data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92090" cy="2884838"/>
                    </a:xfrm>
                    <a:prstGeom prst="rect">
                      <a:avLst/>
                    </a:prstGeom>
                    <a:noFill/>
                    <a:ln>
                      <a:noFill/>
                    </a:ln>
                  </pic:spPr>
                </pic:pic>
              </a:graphicData>
            </a:graphic>
          </wp:inline>
        </w:drawing>
      </w:r>
    </w:p>
    <w:p w:rsidR="002D042A" w:rsidRPr="00DF38B2" w:rsidRDefault="002D042A" w:rsidP="006654AE">
      <w:pPr>
        <w:pStyle w:val="tablefootnotes"/>
        <w:spacing w:after="60"/>
      </w:pPr>
      <w:r w:rsidRPr="00DF38B2">
        <w:t xml:space="preserve">Note: </w:t>
      </w:r>
      <w:r>
        <w:tab/>
      </w:r>
      <w:r w:rsidRPr="00DF38B2">
        <w:t>Excludes “Do not know” and “Prefer not to say”</w:t>
      </w:r>
      <w:r>
        <w:t xml:space="preserve"> responses.</w:t>
      </w:r>
    </w:p>
    <w:p w:rsidR="002D042A" w:rsidRDefault="002D042A" w:rsidP="006654AE">
      <w:pPr>
        <w:pStyle w:val="tablefootnotes"/>
        <w:spacing w:after="360"/>
      </w:pPr>
      <w:r w:rsidRPr="00DF38B2">
        <w:t xml:space="preserve">Source: </w:t>
      </w:r>
      <w:r>
        <w:tab/>
      </w:r>
      <w:r w:rsidRPr="00DF38B2">
        <w:t>LSNIM Wave 2</w:t>
      </w:r>
      <w:r>
        <w:t>.</w:t>
      </w:r>
    </w:p>
    <w:p w:rsidR="005E1FE0" w:rsidRPr="00DF38B2" w:rsidRDefault="005E1FE0" w:rsidP="006654AE">
      <w:r w:rsidRPr="00DF38B2">
        <w:t>Two major reasons dominate the ‘main reason’ given by both Indigenous and non-Indigenous respondents who wished to remain on income management</w:t>
      </w:r>
      <w:r w:rsidR="00A1421A">
        <w:t xml:space="preserve">. </w:t>
      </w:r>
      <w:r w:rsidRPr="00DF38B2">
        <w:t xml:space="preserve">These were that it was easier to manage money (around a third of both groups of respondents) and that they are used to income management and that it is easier to remain on the program. This </w:t>
      </w:r>
      <w:r w:rsidR="003C1097">
        <w:t xml:space="preserve">second </w:t>
      </w:r>
      <w:r w:rsidRPr="00DF38B2">
        <w:t>response was given more frequently as the main reason by non-Indigenous participants (24.6 per cent) than Indigenous participants (22.7 per cent)</w:t>
      </w:r>
      <w:r w:rsidR="00A1421A">
        <w:t xml:space="preserve">. </w:t>
      </w:r>
      <w:r w:rsidRPr="00DF38B2">
        <w:t xml:space="preserve">15.3 per cent of Indigenous </w:t>
      </w:r>
      <w:r w:rsidR="00B34FA4">
        <w:t>respondents</w:t>
      </w:r>
      <w:r w:rsidR="00323789">
        <w:t xml:space="preserve"> </w:t>
      </w:r>
      <w:r w:rsidRPr="00DF38B2">
        <w:t>cited the BasicsCard as their main reason – compared with 7.0 per cent of non-Indigenous participants</w:t>
      </w:r>
      <w:r w:rsidR="00A1421A">
        <w:t xml:space="preserve">. </w:t>
      </w:r>
      <w:r w:rsidRPr="00DF38B2">
        <w:t>A further 10.8 per cent of Indigenous participants stated that it was harder for others to harass them for money</w:t>
      </w:r>
      <w:r w:rsidR="00A1421A">
        <w:t xml:space="preserve">. </w:t>
      </w:r>
      <w:r w:rsidRPr="00DF38B2">
        <w:t>Not shown in the figure are the 11.8 per cent of Indigenous and 15.8 per cent of non-Indigenous respondents who reported “Other reasons”</w:t>
      </w:r>
      <w:r w:rsidR="00A1421A">
        <w:t xml:space="preserve">. </w:t>
      </w:r>
      <w:r w:rsidRPr="00DF38B2">
        <w:t>Closer examination of these results suggest that many relate to acquiescence</w:t>
      </w:r>
      <w:r w:rsidR="00323789">
        <w:t>,</w:t>
      </w:r>
      <w:r w:rsidRPr="00DF38B2">
        <w:t xml:space="preserve"> with responses such as </w:t>
      </w:r>
      <w:r w:rsidRPr="00323789">
        <w:t>“Because I am not stressed about running out the door to get off it”, “No choice don</w:t>
      </w:r>
      <w:r w:rsidR="00323789">
        <w:t>’</w:t>
      </w:r>
      <w:r w:rsidRPr="00323789">
        <w:t>t know what else to do”</w:t>
      </w:r>
      <w:r w:rsidR="00323789">
        <w:t>,</w:t>
      </w:r>
      <w:r w:rsidRPr="00323789">
        <w:t xml:space="preserve"> “Cause I</w:t>
      </w:r>
      <w:r w:rsidR="00323789">
        <w:t>’</w:t>
      </w:r>
      <w:r w:rsidRPr="00323789">
        <w:t>m used to it”</w:t>
      </w:r>
      <w:r w:rsidR="00323789">
        <w:t>,</w:t>
      </w:r>
      <w:r w:rsidRPr="00323789">
        <w:t xml:space="preserve"> and “Been on it too long and it</w:t>
      </w:r>
      <w:r w:rsidR="00323789">
        <w:t>’</w:t>
      </w:r>
      <w:r w:rsidRPr="00323789">
        <w:t xml:space="preserve">s going to be hard to get used to the system” being </w:t>
      </w:r>
      <w:r w:rsidRPr="00DF38B2">
        <w:t>supplied in their explanatory comments.</w:t>
      </w:r>
    </w:p>
    <w:p w:rsidR="005E1FE0" w:rsidRPr="00DF38B2" w:rsidRDefault="005E1FE0" w:rsidP="006654AE">
      <w:r w:rsidRPr="00DF38B2">
        <w:t>When asked about all of the reasons for their position</w:t>
      </w:r>
      <w:r w:rsidR="00323789">
        <w:t>,</w:t>
      </w:r>
      <w:r w:rsidRPr="00DF38B2">
        <w:t xml:space="preserve"> the pattern of responses, while similar, sees two other factors come into greater prominence. The first is that over 30 per cent of Indigenous respondents, and </w:t>
      </w:r>
      <w:r w:rsidR="003C1097">
        <w:t xml:space="preserve">a </w:t>
      </w:r>
      <w:r w:rsidR="00323789">
        <w:t>little more than</w:t>
      </w:r>
      <w:r w:rsidR="003C1097" w:rsidRPr="00DF38B2">
        <w:t xml:space="preserve"> </w:t>
      </w:r>
      <w:r w:rsidRPr="00DF38B2">
        <w:t>half this proportion of non-Indigenous respondents,</w:t>
      </w:r>
      <w:r w:rsidR="00041D1B" w:rsidRPr="00DF38B2">
        <w:t xml:space="preserve"> report</w:t>
      </w:r>
      <w:r w:rsidRPr="00DF38B2">
        <w:t xml:space="preserve"> that income management </w:t>
      </w:r>
      <w:r w:rsidRPr="00DF38B2">
        <w:lastRenderedPageBreak/>
        <w:t>makes it harder for people to harass them for money. Secondly</w:t>
      </w:r>
      <w:r w:rsidR="00323789">
        <w:t>,</w:t>
      </w:r>
      <w:r w:rsidRPr="00DF38B2">
        <w:t xml:space="preserve"> there is a strong increase in the proportion reporting that they liked BasicsCard</w:t>
      </w:r>
      <w:r w:rsidR="00A1421A">
        <w:t xml:space="preserve">. </w:t>
      </w:r>
      <w:r w:rsidRPr="00DF38B2">
        <w:t>While the proportion citing protection against financial harassment is far from trivial, given the extent to which this is cited frequently as one of the major reasons for income management, it is relatively low. The question that arises is whether this result is because the problem is less severe than claimed, or whether income management only provides a partial response. Given other results in this and other chapters, both appear to have some validity.</w:t>
      </w:r>
    </w:p>
    <w:p w:rsidR="005E1FE0" w:rsidRPr="00DF38B2" w:rsidRDefault="005E1FE0" w:rsidP="006654AE">
      <w:r w:rsidRPr="00DF38B2">
        <w:t xml:space="preserve">There was also a surge in the proportion who indicated that the fact that they are used to income management and it is </w:t>
      </w:r>
      <w:r w:rsidR="00323789">
        <w:t>“</w:t>
      </w:r>
      <w:r w:rsidRPr="00DF38B2">
        <w:t>easier to stay on</w:t>
      </w:r>
      <w:r w:rsidR="00323789">
        <w:t>”</w:t>
      </w:r>
      <w:r w:rsidRPr="00DF38B2">
        <w:t xml:space="preserve"> is one of the reasons why they wish to remain on it. This rose to almost </w:t>
      </w:r>
      <w:r w:rsidR="00CC6215">
        <w:t>40</w:t>
      </w:r>
      <w:r w:rsidR="00CC6215" w:rsidRPr="00DF38B2">
        <w:t> </w:t>
      </w:r>
      <w:r w:rsidRPr="00DF38B2">
        <w:t xml:space="preserve">per cent of Indigenous respondents, and </w:t>
      </w:r>
      <w:r w:rsidR="00CC6215">
        <w:t>30</w:t>
      </w:r>
      <w:r w:rsidR="00CC6215" w:rsidRPr="00DF38B2">
        <w:t> </w:t>
      </w:r>
      <w:r w:rsidRPr="00DF38B2">
        <w:t>per cent of non-Indigenous respondents.</w:t>
      </w:r>
    </w:p>
    <w:p w:rsidR="005E1FE0" w:rsidRDefault="005E1FE0" w:rsidP="006654AE">
      <w:pPr>
        <w:pStyle w:val="Caption"/>
      </w:pPr>
      <w:bookmarkStart w:id="426" w:name="_Ref390802911"/>
      <w:bookmarkStart w:id="427" w:name="_Toc40373955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7</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426"/>
      <w:r w:rsidR="00B235E1">
        <w:tab/>
      </w:r>
      <w:r w:rsidRPr="00DF38B2">
        <w:t>Persons on Compulsory Income Management who wish to exit, reasons why</w:t>
      </w:r>
      <w:r w:rsidR="002451CB">
        <w:t xml:space="preserve">, </w:t>
      </w:r>
      <w:r w:rsidR="002451CB" w:rsidRPr="003C1097">
        <w:t>LSNIM, Wave 2, 2013</w:t>
      </w:r>
      <w:bookmarkEnd w:id="427"/>
    </w:p>
    <w:p w:rsidR="002D042A" w:rsidRPr="002D042A" w:rsidRDefault="002D042A" w:rsidP="006654AE">
      <w:pPr>
        <w:jc w:val="center"/>
      </w:pPr>
      <w:r w:rsidRPr="002D042A">
        <w:rPr>
          <w:noProof/>
        </w:rPr>
        <w:drawing>
          <wp:inline distT="0" distB="0" distL="0" distR="0" wp14:anchorId="745646AD" wp14:editId="2CE2526F">
            <wp:extent cx="5292090" cy="2703017"/>
            <wp:effectExtent l="0" t="0" r="3810" b="2540"/>
            <wp:docPr id="160" name="Picture 160" descr="This bar chart shows, separately for Indigenous and non-Indigenous respondents who wish to exit income management, the proportion who give one of eight reasons as either their main or any reason for wishing to exit income management.  There is extensive discussion of the data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92090" cy="2703017"/>
                    </a:xfrm>
                    <a:prstGeom prst="rect">
                      <a:avLst/>
                    </a:prstGeom>
                    <a:noFill/>
                    <a:ln>
                      <a:noFill/>
                    </a:ln>
                  </pic:spPr>
                </pic:pic>
              </a:graphicData>
            </a:graphic>
          </wp:inline>
        </w:drawing>
      </w:r>
    </w:p>
    <w:p w:rsidR="002D042A" w:rsidRDefault="002D042A" w:rsidP="006654AE">
      <w:pPr>
        <w:pStyle w:val="tablefootnoteslastline"/>
        <w:spacing w:after="60"/>
      </w:pPr>
      <w:r>
        <w:t xml:space="preserve">Note: </w:t>
      </w:r>
      <w:r>
        <w:tab/>
        <w:t>Excludes “Do not know” and “Prefer not to say” responses.</w:t>
      </w:r>
    </w:p>
    <w:p w:rsidR="003928BD" w:rsidRDefault="002D042A" w:rsidP="006654AE">
      <w:pPr>
        <w:pStyle w:val="tablefootnoteslastline"/>
        <w:spacing w:after="320"/>
      </w:pPr>
      <w:r>
        <w:t xml:space="preserve">Source: </w:t>
      </w:r>
      <w:r>
        <w:tab/>
        <w:t>LSNIM Wave 2.</w:t>
      </w:r>
    </w:p>
    <w:p w:rsidR="005E1FE0" w:rsidRPr="00DF38B2" w:rsidRDefault="005E1FE0" w:rsidP="006654AE">
      <w:r w:rsidRPr="00DF38B2">
        <w:t>There are two main reasons given as to why people wanted to exit income management. The first was that people did not see why they were required to go on the program because they considered that they already had the ability to manage their money</w:t>
      </w:r>
      <w:r w:rsidR="00F64474" w:rsidRPr="00F64474">
        <w:t xml:space="preserve"> </w:t>
      </w:r>
      <w:r w:rsidR="00F64474" w:rsidRPr="00DF38B2">
        <w:t>effectively</w:t>
      </w:r>
      <w:r w:rsidR="00A1421A">
        <w:t xml:space="preserve">. </w:t>
      </w:r>
      <w:r w:rsidR="00F64474">
        <w:t>O</w:t>
      </w:r>
      <w:r w:rsidRPr="00DF38B2">
        <w:t xml:space="preserve">f Indigenous </w:t>
      </w:r>
      <w:r w:rsidR="00F64474">
        <w:t xml:space="preserve">respondents, </w:t>
      </w:r>
      <w:r w:rsidR="00F64474" w:rsidRPr="00DF38B2">
        <w:t xml:space="preserve">28.6 per cent </w:t>
      </w:r>
      <w:r w:rsidR="00F64474">
        <w:t>gave this reason, with</w:t>
      </w:r>
      <w:r w:rsidRPr="00DF38B2">
        <w:t xml:space="preserve"> 51.3 per cent of non-Indigenous </w:t>
      </w:r>
      <w:r w:rsidR="0098477D">
        <w:t>people providing this answer also</w:t>
      </w:r>
      <w:r w:rsidR="00A1421A">
        <w:t xml:space="preserve">. </w:t>
      </w:r>
      <w:r w:rsidRPr="00DF38B2">
        <w:t>The second was a cluster of closely aligned, and more philosophically based reasons, variously expressed as a desire to control their own money, wanting rights back</w:t>
      </w:r>
      <w:r w:rsidR="0098477D">
        <w:t>,</w:t>
      </w:r>
      <w:r w:rsidRPr="00DF38B2">
        <w:t xml:space="preserve"> and being able to express freedom of choice</w:t>
      </w:r>
      <w:r w:rsidR="00A1421A">
        <w:t xml:space="preserve">. </w:t>
      </w:r>
      <w:r w:rsidR="0098477D">
        <w:t>O</w:t>
      </w:r>
      <w:r w:rsidR="0098477D" w:rsidRPr="00DF38B2">
        <w:t xml:space="preserve">ne of these three reasons </w:t>
      </w:r>
      <w:r w:rsidR="0098477D">
        <w:t xml:space="preserve">was given </w:t>
      </w:r>
      <w:r w:rsidR="0098477D" w:rsidRPr="00DF38B2">
        <w:t xml:space="preserve">as the main reason for wanting to exit the program </w:t>
      </w:r>
      <w:r w:rsidR="0098477D">
        <w:t xml:space="preserve">by </w:t>
      </w:r>
      <w:r w:rsidRPr="00DF38B2">
        <w:t>53.8 per cent of Indigenous respondents and 38.2 per cent of non-Indigenous respondents.</w:t>
      </w:r>
    </w:p>
    <w:p w:rsidR="005E1FE0" w:rsidRPr="00DF38B2" w:rsidRDefault="005E1FE0" w:rsidP="006654AE">
      <w:r w:rsidRPr="00DF38B2">
        <w:t>While the issues of avoiding stigma and being able to purchase items more cheaply using cash were raised by many as secondary reasons, they were relatively infrequently cited as a primary motivation</w:t>
      </w:r>
      <w:r w:rsidR="00A1421A">
        <w:t xml:space="preserve">. </w:t>
      </w:r>
      <w:r w:rsidRPr="00DF38B2">
        <w:t>The survey questions also allowed for a series of responses around people having gained some positive outcomes from income management</w:t>
      </w:r>
      <w:r w:rsidR="0098477D">
        <w:t>,</w:t>
      </w:r>
      <w:r w:rsidRPr="00DF38B2">
        <w:t xml:space="preserve"> with this in turn meaning that their situation had improved and that they no longer required </w:t>
      </w:r>
      <w:proofErr w:type="gramStart"/>
      <w:r w:rsidRPr="00DF38B2">
        <w:t>to be</w:t>
      </w:r>
      <w:proofErr w:type="gramEnd"/>
      <w:r w:rsidRPr="00DF38B2">
        <w:t xml:space="preserve"> income managed</w:t>
      </w:r>
      <w:r w:rsidR="00A1421A">
        <w:t xml:space="preserve">. </w:t>
      </w:r>
      <w:r w:rsidR="00041D1B" w:rsidRPr="00DF38B2">
        <w:t xml:space="preserve">These responses </w:t>
      </w:r>
      <w:r w:rsidR="003C307F">
        <w:t>provided</w:t>
      </w:r>
      <w:r w:rsidR="00041D1B" w:rsidRPr="00DF38B2">
        <w:t xml:space="preserve"> respondents </w:t>
      </w:r>
      <w:r w:rsidR="00244FE9">
        <w:t xml:space="preserve">the opportunity to </w:t>
      </w:r>
      <w:r w:rsidR="00041D1B" w:rsidRPr="00DF38B2">
        <w:t>report on</w:t>
      </w:r>
      <w:r w:rsidRPr="00DF38B2">
        <w:t xml:space="preserve"> having paid off debt,</w:t>
      </w:r>
      <w:r w:rsidR="00244FE9">
        <w:t xml:space="preserve"> or of</w:t>
      </w:r>
      <w:r w:rsidRPr="00DF38B2">
        <w:t xml:space="preserve"> building money management skills</w:t>
      </w:r>
      <w:r w:rsidR="00041D1B" w:rsidRPr="00DF38B2">
        <w:t xml:space="preserve"> because of income </w:t>
      </w:r>
      <w:r w:rsidR="00DF38B2" w:rsidRPr="00DF38B2">
        <w:t>management</w:t>
      </w:r>
      <w:r w:rsidR="00A1421A">
        <w:t xml:space="preserve">. </w:t>
      </w:r>
      <w:r w:rsidRPr="00DF38B2">
        <w:t>Only one of these options had many positive responses – and even then as a secondary reason</w:t>
      </w:r>
      <w:r w:rsidR="00A1421A">
        <w:t xml:space="preserve">. </w:t>
      </w:r>
      <w:r w:rsidRPr="00DF38B2">
        <w:t>This concerned people reporting that after having been on income management they now feel more confident in managing money. Just one per cent of respondents gave this as a primary reason.</w:t>
      </w:r>
    </w:p>
    <w:p w:rsidR="005E1FE0" w:rsidRPr="00DF38B2" w:rsidRDefault="005E1FE0" w:rsidP="006654AE">
      <w:r w:rsidRPr="00DF38B2">
        <w:t xml:space="preserve">As indicated, one of the reasons cited by those wishing to exit income management was that they felt no personal need for the program. This sentiment – and the broader question of targeting – was followed up in </w:t>
      </w:r>
      <w:r w:rsidR="00600D7F">
        <w:t>two</w:t>
      </w:r>
      <w:r w:rsidRPr="00DF38B2">
        <w:t xml:space="preserve"> question</w:t>
      </w:r>
      <w:r w:rsidR="00600D7F">
        <w:t>s</w:t>
      </w:r>
      <w:r w:rsidRPr="00DF38B2">
        <w:t xml:space="preserve"> which asked all survey respondents in the Northern Territory whether they agreed or disagreed with two statements on the application of income management</w:t>
      </w:r>
      <w:r w:rsidR="00A1421A">
        <w:t xml:space="preserve">. </w:t>
      </w:r>
      <w:r w:rsidRPr="00DF38B2">
        <w:t>The first of these statements was that “</w:t>
      </w:r>
      <w:r w:rsidRPr="00DF38B2">
        <w:rPr>
          <w:rFonts w:eastAsia="Times New Roman"/>
        </w:rPr>
        <w:t xml:space="preserve">All people on </w:t>
      </w:r>
      <w:r w:rsidR="005E4CAC">
        <w:rPr>
          <w:rFonts w:eastAsia="Times New Roman"/>
        </w:rPr>
        <w:t>i</w:t>
      </w:r>
      <w:r w:rsidRPr="00DF38B2">
        <w:rPr>
          <w:rFonts w:eastAsia="Times New Roman"/>
        </w:rPr>
        <w:t xml:space="preserve">ncome </w:t>
      </w:r>
      <w:r w:rsidR="005E4CAC">
        <w:rPr>
          <w:rFonts w:eastAsia="Times New Roman"/>
        </w:rPr>
        <w:t>s</w:t>
      </w:r>
      <w:r w:rsidRPr="00DF38B2">
        <w:rPr>
          <w:rFonts w:eastAsia="Times New Roman"/>
        </w:rPr>
        <w:t xml:space="preserve">upport should be on </w:t>
      </w:r>
      <w:r w:rsidR="005E4CAC">
        <w:rPr>
          <w:rFonts w:eastAsia="Times New Roman"/>
        </w:rPr>
        <w:t>income management</w:t>
      </w:r>
      <w:r w:rsidRPr="00DF38B2">
        <w:rPr>
          <w:rFonts w:eastAsia="Times New Roman"/>
        </w:rPr>
        <w:t>” and the second</w:t>
      </w:r>
      <w:r w:rsidR="00244FE9">
        <w:rPr>
          <w:rFonts w:eastAsia="Times New Roman"/>
        </w:rPr>
        <w:t>,</w:t>
      </w:r>
      <w:r w:rsidRPr="00DF38B2">
        <w:rPr>
          <w:rFonts w:eastAsia="Times New Roman"/>
        </w:rPr>
        <w:t xml:space="preserve"> “While not </w:t>
      </w:r>
      <w:r w:rsidRPr="00DF38B2">
        <w:rPr>
          <w:rFonts w:eastAsia="Times New Roman"/>
        </w:rPr>
        <w:lastRenderedPageBreak/>
        <w:t xml:space="preserve">everyone on </w:t>
      </w:r>
      <w:r w:rsidR="009D7612">
        <w:rPr>
          <w:rFonts w:eastAsia="Times New Roman"/>
        </w:rPr>
        <w:t>income support</w:t>
      </w:r>
      <w:r w:rsidRPr="00DF38B2">
        <w:rPr>
          <w:rFonts w:eastAsia="Times New Roman"/>
        </w:rPr>
        <w:t xml:space="preserve"> should be on </w:t>
      </w:r>
      <w:r w:rsidR="005E4CAC">
        <w:rPr>
          <w:rFonts w:eastAsia="Times New Roman"/>
        </w:rPr>
        <w:t>income management</w:t>
      </w:r>
      <w:r w:rsidRPr="00DF38B2">
        <w:rPr>
          <w:rFonts w:eastAsia="Times New Roman"/>
        </w:rPr>
        <w:t>, some people should”</w:t>
      </w:r>
      <w:r w:rsidR="00A1421A">
        <w:rPr>
          <w:rFonts w:eastAsia="Times New Roman"/>
        </w:rPr>
        <w:t xml:space="preserve">. </w:t>
      </w:r>
      <w:r w:rsidRPr="00DF38B2">
        <w:rPr>
          <w:rFonts w:eastAsia="Times New Roman"/>
        </w:rPr>
        <w:t xml:space="preserve">The responses to these questions by the population currently subject to income management, along with those who have exited by obtaining an exemption or through other means (for example moving off income support, or onto a program not subject to mandatory income management) are shown in </w:t>
      </w:r>
      <w:r w:rsidRPr="00DF38B2">
        <w:rPr>
          <w:rFonts w:eastAsia="Times New Roman"/>
        </w:rPr>
        <w:fldChar w:fldCharType="begin"/>
      </w:r>
      <w:r w:rsidRPr="00DF38B2">
        <w:rPr>
          <w:rFonts w:eastAsia="Times New Roman"/>
        </w:rPr>
        <w:instrText xml:space="preserve"> REF _Ref390806987 \h </w:instrText>
      </w:r>
      <w:r w:rsidRPr="00DF38B2">
        <w:rPr>
          <w:rFonts w:eastAsia="Times New Roman"/>
        </w:rPr>
      </w:r>
      <w:r w:rsidRPr="00DF38B2">
        <w:rPr>
          <w:rFonts w:eastAsia="Times New Roman"/>
        </w:rPr>
        <w:fldChar w:fldCharType="separate"/>
      </w:r>
      <w:r w:rsidR="00906D13" w:rsidRPr="00DF38B2">
        <w:t xml:space="preserve">Table </w:t>
      </w:r>
      <w:r w:rsidR="00906D13">
        <w:rPr>
          <w:noProof/>
        </w:rPr>
        <w:t>7</w:t>
      </w:r>
      <w:r w:rsidR="00906D13">
        <w:noBreakHyphen/>
      </w:r>
      <w:r w:rsidR="00906D13">
        <w:rPr>
          <w:noProof/>
        </w:rPr>
        <w:t>4</w:t>
      </w:r>
      <w:r w:rsidRPr="00DF38B2">
        <w:rPr>
          <w:rFonts w:eastAsia="Times New Roman"/>
        </w:rPr>
        <w:fldChar w:fldCharType="end"/>
      </w:r>
      <w:r w:rsidRPr="00DF38B2">
        <w:rPr>
          <w:rFonts w:eastAsia="Times New Roman"/>
        </w:rPr>
        <w:t>.</w:t>
      </w:r>
      <w:r w:rsidRPr="00DF38B2">
        <w:t xml:space="preserve"> </w:t>
      </w:r>
    </w:p>
    <w:p w:rsidR="005E1FE0" w:rsidRPr="00DF38B2" w:rsidRDefault="005E1FE0" w:rsidP="006654AE">
      <w:r w:rsidRPr="00FE502F">
        <w:t>The table indicates that it was only among those currently on Voluntary Income</w:t>
      </w:r>
      <w:r w:rsidRPr="009655C3">
        <w:t xml:space="preserve"> Management that a majority of respondents felt that the program should be mandatory for all income support recipients</w:t>
      </w:r>
      <w:r w:rsidR="00A1421A">
        <w:t xml:space="preserve">. </w:t>
      </w:r>
      <w:r w:rsidRPr="009655C3">
        <w:t xml:space="preserve">Even here, only </w:t>
      </w:r>
      <w:r w:rsidR="003C1097">
        <w:t>54.7</w:t>
      </w:r>
      <w:r w:rsidRPr="009655C3">
        <w:t> per cent of the population felt this way</w:t>
      </w:r>
      <w:r w:rsidR="00A1421A">
        <w:t xml:space="preserve">. </w:t>
      </w:r>
      <w:r w:rsidRPr="009655C3">
        <w:t>In contrast</w:t>
      </w:r>
      <w:r w:rsidR="00600D7F">
        <w:t>,</w:t>
      </w:r>
      <w:r w:rsidRPr="009655C3">
        <w:t xml:space="preserve"> there was a uniform and overwhelming view by all of the po</w:t>
      </w:r>
      <w:r w:rsidRPr="00DF38B2">
        <w:t xml:space="preserve">pulation </w:t>
      </w:r>
      <w:r w:rsidR="00270A0E">
        <w:t>subgroup</w:t>
      </w:r>
      <w:r w:rsidRPr="00DF38B2">
        <w:t xml:space="preserve">s that some people should be subject to the measure. </w:t>
      </w:r>
    </w:p>
    <w:p w:rsidR="005E1FE0" w:rsidRPr="00DF38B2" w:rsidRDefault="005E1FE0" w:rsidP="006654AE">
      <w:r w:rsidRPr="00DF38B2">
        <w:t xml:space="preserve">A second feature of the table is the strength of the views. The question included the option of answering that a person either agreed or disagreed with the statement, or that they did so </w:t>
      </w:r>
      <w:r w:rsidR="00600D7F">
        <w:t>“</w:t>
      </w:r>
      <w:r w:rsidRPr="00DF38B2">
        <w:t>strongly</w:t>
      </w:r>
      <w:r w:rsidR="00600D7F">
        <w:t>”</w:t>
      </w:r>
      <w:r w:rsidRPr="00DF38B2">
        <w:t xml:space="preserve">. On the whole the responses to these two questions tended to elicit milder statements of agreement or disagreement. </w:t>
      </w:r>
    </w:p>
    <w:p w:rsidR="005E1FE0" w:rsidRPr="00DF38B2" w:rsidRDefault="005E1FE0" w:rsidP="006654AE">
      <w:pPr>
        <w:pStyle w:val="Caption"/>
      </w:pPr>
      <w:bookmarkStart w:id="428" w:name="_Ref390806987"/>
      <w:bookmarkStart w:id="429" w:name="_Toc403739466"/>
      <w:r w:rsidRPr="00DF38B2">
        <w:t xml:space="preserve">Table </w:t>
      </w:r>
      <w:fldSimple w:instr=" STYLEREF 1 \s ">
        <w:r w:rsidR="00906D13">
          <w:rPr>
            <w:noProof/>
          </w:rPr>
          <w:t>7</w:t>
        </w:r>
      </w:fldSimple>
      <w:r w:rsidR="00D40B64">
        <w:noBreakHyphen/>
      </w:r>
      <w:fldSimple w:instr=" SEQ Table \* ARABIC \s 1 ">
        <w:r w:rsidR="00906D13">
          <w:rPr>
            <w:noProof/>
          </w:rPr>
          <w:t>4</w:t>
        </w:r>
      </w:fldSimple>
      <w:bookmarkEnd w:id="428"/>
      <w:r w:rsidR="00B235E1">
        <w:tab/>
      </w:r>
      <w:r w:rsidRPr="00DF38B2">
        <w:t>Views as to whether or not all people should be subject to income management</w:t>
      </w:r>
      <w:r w:rsidR="003E03B6">
        <w:t xml:space="preserve">, </w:t>
      </w:r>
      <w:r w:rsidR="003E03B6" w:rsidRPr="003C1097">
        <w:t>LSNIM, Wave 2, 2013</w:t>
      </w:r>
      <w:bookmarkEnd w:id="429"/>
    </w:p>
    <w:tbl>
      <w:tblPr>
        <w:tblW w:w="9009" w:type="dxa"/>
        <w:jc w:val="center"/>
        <w:tblLook w:val="04A0" w:firstRow="1" w:lastRow="0" w:firstColumn="1" w:lastColumn="0" w:noHBand="0" w:noVBand="1"/>
        <w:tblDescription w:val="This table reports the results of two questions in the LSNIM the first was the extent to which people agreed with the statement “All people on income support should be on income management” and the second the extent to which they agreed with the statement “While not everyone on income support should be on income management some people should”. The horizontal axis details the five different categories of response for which the distribution of responses (as a percentage) are given. There are: Agree strongly; Agree; Neither Agree or Disagree; Disagree; and Disagree strongly as well as the total which is 100 per cent in all rows.&#10;The table is divided into two horizontal panels one for each of the two questions and within this the responses are given for the population split into 8 categories based on the type of income management they have been on, whether they are still on or have an exemption or have exited and for the compulsory measures Indigeneity.&#10;The main results of the table are discussed in the text.&#10;"/>
      </w:tblPr>
      <w:tblGrid>
        <w:gridCol w:w="1835"/>
        <w:gridCol w:w="2045"/>
        <w:gridCol w:w="851"/>
        <w:gridCol w:w="708"/>
        <w:gridCol w:w="1197"/>
        <w:gridCol w:w="852"/>
        <w:gridCol w:w="863"/>
        <w:gridCol w:w="658"/>
      </w:tblGrid>
      <w:tr w:rsidR="004E2725" w:rsidRPr="00DF38B2" w:rsidTr="004E2725">
        <w:trPr>
          <w:trHeight w:val="20"/>
          <w:tblHeader/>
          <w:jc w:val="center"/>
        </w:trPr>
        <w:tc>
          <w:tcPr>
            <w:tcW w:w="1835" w:type="dxa"/>
            <w:tcBorders>
              <w:top w:val="single" w:sz="4" w:space="0" w:color="auto"/>
              <w:left w:val="nil"/>
              <w:bottom w:val="single" w:sz="4" w:space="0" w:color="auto"/>
              <w:right w:val="nil"/>
            </w:tcBorders>
          </w:tcPr>
          <w:p w:rsidR="004E2725" w:rsidRPr="00DF38B2" w:rsidRDefault="004E2725" w:rsidP="006654AE">
            <w:pPr>
              <w:pStyle w:val="tabletextleft"/>
              <w:rPr>
                <w:rFonts w:eastAsia="Times New Roman"/>
              </w:rPr>
            </w:pPr>
            <w:r>
              <w:rPr>
                <w:rFonts w:eastAsia="Times New Roman"/>
              </w:rPr>
              <w:t>Statement</w:t>
            </w:r>
          </w:p>
        </w:tc>
        <w:tc>
          <w:tcPr>
            <w:tcW w:w="2045" w:type="dxa"/>
            <w:tcBorders>
              <w:top w:val="single" w:sz="4" w:space="0" w:color="auto"/>
              <w:left w:val="nil"/>
              <w:bottom w:val="single" w:sz="4" w:space="0" w:color="auto"/>
              <w:right w:val="nil"/>
            </w:tcBorders>
            <w:shd w:val="clear" w:color="auto" w:fill="auto"/>
            <w:noWrap/>
            <w:hideMark/>
          </w:tcPr>
          <w:p w:rsidR="004E2725" w:rsidRPr="00DF38B2" w:rsidRDefault="004E2725" w:rsidP="004E2725">
            <w:pPr>
              <w:pStyle w:val="tabletextleft"/>
              <w:jc w:val="left"/>
              <w:rPr>
                <w:rFonts w:eastAsia="Times New Roman"/>
              </w:rPr>
            </w:pPr>
            <w:r>
              <w:rPr>
                <w:rFonts w:eastAsia="Times New Roman"/>
              </w:rPr>
              <w:t xml:space="preserve">Population </w:t>
            </w:r>
          </w:p>
        </w:tc>
        <w:tc>
          <w:tcPr>
            <w:tcW w:w="851"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Agree strongly</w:t>
            </w:r>
            <w:r>
              <w:rPr>
                <w:rFonts w:eastAsia="Times New Roman"/>
              </w:rPr>
              <w:t xml:space="preserve"> (%)</w:t>
            </w:r>
          </w:p>
        </w:tc>
        <w:tc>
          <w:tcPr>
            <w:tcW w:w="708"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Agree</w:t>
            </w:r>
            <w:r>
              <w:rPr>
                <w:rFonts w:eastAsia="Times New Roman"/>
              </w:rPr>
              <w:t xml:space="preserve"> (%)</w:t>
            </w:r>
          </w:p>
        </w:tc>
        <w:tc>
          <w:tcPr>
            <w:tcW w:w="1197"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proofErr w:type="gramStart"/>
            <w:r w:rsidRPr="00DF38B2">
              <w:rPr>
                <w:rFonts w:eastAsia="Times New Roman"/>
              </w:rPr>
              <w:t>Neither Agree or</w:t>
            </w:r>
            <w:proofErr w:type="gramEnd"/>
            <w:r w:rsidRPr="00DF38B2">
              <w:rPr>
                <w:rFonts w:eastAsia="Times New Roman"/>
              </w:rPr>
              <w:t xml:space="preserve"> 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Disagree</w:t>
            </w:r>
            <w:r>
              <w:rPr>
                <w:rFonts w:eastAsia="Times New Roman"/>
              </w:rPr>
              <w:t xml:space="preserve"> (%)</w:t>
            </w:r>
          </w:p>
        </w:tc>
        <w:tc>
          <w:tcPr>
            <w:tcW w:w="863"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Disagree strongly</w:t>
            </w:r>
            <w:r>
              <w:rPr>
                <w:rFonts w:eastAsia="Times New Roman"/>
              </w:rPr>
              <w:t xml:space="preserve"> (%)</w:t>
            </w:r>
          </w:p>
        </w:tc>
        <w:tc>
          <w:tcPr>
            <w:tcW w:w="658"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Total</w:t>
            </w:r>
            <w:r>
              <w:rPr>
                <w:rFonts w:eastAsia="Times New Roman"/>
              </w:rPr>
              <w:t xml:space="preserve"> (%)</w:t>
            </w:r>
          </w:p>
        </w:tc>
      </w:tr>
      <w:tr w:rsidR="004E2725" w:rsidRPr="00DF38B2" w:rsidTr="004E2725">
        <w:trPr>
          <w:trHeight w:val="20"/>
          <w:jc w:val="center"/>
        </w:trPr>
        <w:tc>
          <w:tcPr>
            <w:tcW w:w="1835" w:type="dxa"/>
            <w:vMerge w:val="restart"/>
            <w:tcBorders>
              <w:top w:val="single" w:sz="4" w:space="0" w:color="auto"/>
              <w:left w:val="nil"/>
              <w:right w:val="nil"/>
            </w:tcBorders>
          </w:tcPr>
          <w:p w:rsidR="004E2725" w:rsidRPr="00DF38B2" w:rsidRDefault="004E2725" w:rsidP="006654AE">
            <w:pPr>
              <w:pStyle w:val="tabletextleft"/>
              <w:rPr>
                <w:rFonts w:eastAsia="Times New Roman"/>
              </w:rPr>
            </w:pPr>
            <w:r w:rsidRPr="00DF38B2">
              <w:rPr>
                <w:rFonts w:eastAsia="Times New Roman"/>
              </w:rPr>
              <w:t xml:space="preserve">All people on </w:t>
            </w:r>
            <w:r>
              <w:rPr>
                <w:rFonts w:eastAsia="Times New Roman"/>
              </w:rPr>
              <w:t>income support</w:t>
            </w:r>
            <w:r w:rsidRPr="00DF38B2">
              <w:rPr>
                <w:rFonts w:eastAsia="Times New Roman"/>
              </w:rPr>
              <w:t xml:space="preserve"> should be on </w:t>
            </w:r>
            <w:r>
              <w:rPr>
                <w:rFonts w:eastAsia="Times New Roman"/>
              </w:rPr>
              <w:t>income management</w:t>
            </w:r>
          </w:p>
        </w:tc>
        <w:tc>
          <w:tcPr>
            <w:tcW w:w="2045"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Indigenous</w:t>
            </w:r>
          </w:p>
        </w:tc>
        <w:tc>
          <w:tcPr>
            <w:tcW w:w="851"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10.1</w:t>
            </w:r>
          </w:p>
        </w:tc>
        <w:tc>
          <w:tcPr>
            <w:tcW w:w="70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26.9</w:t>
            </w:r>
          </w:p>
        </w:tc>
        <w:tc>
          <w:tcPr>
            <w:tcW w:w="1197"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10.1</w:t>
            </w:r>
          </w:p>
        </w:tc>
        <w:tc>
          <w:tcPr>
            <w:tcW w:w="852"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38.3</w:t>
            </w:r>
          </w:p>
        </w:tc>
        <w:tc>
          <w:tcPr>
            <w:tcW w:w="863"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14.6</w:t>
            </w:r>
          </w:p>
        </w:tc>
        <w:tc>
          <w:tcPr>
            <w:tcW w:w="65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6.8</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14.4</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5.5</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45.9</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27.4</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14.1</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40.6</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25.0</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18.8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1.6</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12.9</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54.8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16.1</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3.3</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14.0</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9.1</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54.5</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19.0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31.3</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43.8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 xml:space="preserve">Exempt Indigenous </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52.4</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28.6</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bottom w:val="single" w:sz="4" w:space="0" w:color="auto"/>
              <w:right w:val="nil"/>
            </w:tcBorders>
          </w:tcPr>
          <w:p w:rsidR="004E2725" w:rsidRPr="00DF38B2" w:rsidRDefault="004E2725" w:rsidP="006654AE">
            <w:pPr>
              <w:pStyle w:val="tabletextleft"/>
              <w:rPr>
                <w:rFonts w:eastAsia="Times New Roman"/>
              </w:rPr>
            </w:pPr>
          </w:p>
        </w:tc>
        <w:tc>
          <w:tcPr>
            <w:tcW w:w="2045"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Exempt non-Indigenous</w:t>
            </w:r>
          </w:p>
        </w:tc>
        <w:tc>
          <w:tcPr>
            <w:tcW w:w="851"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4.6</w:t>
            </w:r>
          </w:p>
        </w:tc>
        <w:tc>
          <w:tcPr>
            <w:tcW w:w="70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21.5</w:t>
            </w:r>
          </w:p>
        </w:tc>
        <w:tc>
          <w:tcPr>
            <w:tcW w:w="1197"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4.6</w:t>
            </w:r>
          </w:p>
        </w:tc>
        <w:tc>
          <w:tcPr>
            <w:tcW w:w="852"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32.3</w:t>
            </w:r>
          </w:p>
        </w:tc>
        <w:tc>
          <w:tcPr>
            <w:tcW w:w="863"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36.9</w:t>
            </w:r>
          </w:p>
        </w:tc>
        <w:tc>
          <w:tcPr>
            <w:tcW w:w="65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val="restart"/>
            <w:tcBorders>
              <w:top w:val="single" w:sz="4" w:space="0" w:color="auto"/>
              <w:left w:val="nil"/>
              <w:right w:val="nil"/>
            </w:tcBorders>
          </w:tcPr>
          <w:p w:rsidR="004E2725" w:rsidRPr="00DF38B2" w:rsidRDefault="004E2725" w:rsidP="004E2725">
            <w:pPr>
              <w:pStyle w:val="tabletextright"/>
              <w:jc w:val="left"/>
              <w:rPr>
                <w:rFonts w:eastAsia="Times New Roman"/>
              </w:rPr>
            </w:pPr>
            <w:r w:rsidRPr="00DF38B2">
              <w:rPr>
                <w:rFonts w:eastAsia="Times New Roman"/>
              </w:rPr>
              <w:t xml:space="preserve">While not everyone on </w:t>
            </w:r>
            <w:r>
              <w:rPr>
                <w:rFonts w:eastAsia="Times New Roman"/>
              </w:rPr>
              <w:t>income support</w:t>
            </w:r>
            <w:r w:rsidRPr="00DF38B2">
              <w:rPr>
                <w:rFonts w:eastAsia="Times New Roman"/>
              </w:rPr>
              <w:t xml:space="preserve"> should be on </w:t>
            </w:r>
            <w:r>
              <w:rPr>
                <w:rFonts w:eastAsia="Times New Roman"/>
              </w:rPr>
              <w:t>income management</w:t>
            </w:r>
            <w:r w:rsidRPr="00DF38B2">
              <w:rPr>
                <w:rFonts w:eastAsia="Times New Roman"/>
              </w:rPr>
              <w:t xml:space="preserve"> some people should</w:t>
            </w:r>
          </w:p>
        </w:tc>
        <w:tc>
          <w:tcPr>
            <w:tcW w:w="2045"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Indigenous</w:t>
            </w:r>
          </w:p>
        </w:tc>
        <w:tc>
          <w:tcPr>
            <w:tcW w:w="851"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15.3</w:t>
            </w:r>
          </w:p>
        </w:tc>
        <w:tc>
          <w:tcPr>
            <w:tcW w:w="70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61.3</w:t>
            </w:r>
          </w:p>
        </w:tc>
        <w:tc>
          <w:tcPr>
            <w:tcW w:w="1197"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52"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12.1</w:t>
            </w:r>
          </w:p>
        </w:tc>
        <w:tc>
          <w:tcPr>
            <w:tcW w:w="863"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w:t>
            </w:r>
          </w:p>
        </w:tc>
        <w:tc>
          <w:tcPr>
            <w:tcW w:w="65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18.9</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65.7</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4.2</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3.5</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11.9</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70.1</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11.9</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6.0</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23.8</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55.6</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7.9</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12.7</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24.0</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57.9</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7.4</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9.9</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0.8</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80.0</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 xml:space="preserve">Exempt Indigenous </w:t>
            </w:r>
          </w:p>
        </w:tc>
        <w:tc>
          <w:tcPr>
            <w:tcW w:w="851"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14.3</w:t>
            </w:r>
          </w:p>
        </w:tc>
        <w:tc>
          <w:tcPr>
            <w:tcW w:w="708"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76.2</w:t>
            </w:r>
          </w:p>
        </w:tc>
        <w:tc>
          <w:tcPr>
            <w:tcW w:w="1197"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852"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863"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658"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bottom w:val="single" w:sz="4" w:space="0" w:color="auto"/>
              <w:right w:val="nil"/>
            </w:tcBorders>
          </w:tcPr>
          <w:p w:rsidR="004E2725" w:rsidRPr="00DF38B2" w:rsidRDefault="004E2725" w:rsidP="006654AE">
            <w:pPr>
              <w:pStyle w:val="tabletextleft"/>
              <w:rPr>
                <w:rFonts w:eastAsia="Times New Roman"/>
              </w:rPr>
            </w:pPr>
          </w:p>
        </w:tc>
        <w:tc>
          <w:tcPr>
            <w:tcW w:w="2045"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Exempt non-Indigenous</w:t>
            </w:r>
          </w:p>
        </w:tc>
        <w:tc>
          <w:tcPr>
            <w:tcW w:w="851"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30.3</w:t>
            </w:r>
          </w:p>
        </w:tc>
        <w:tc>
          <w:tcPr>
            <w:tcW w:w="70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63.6</w:t>
            </w:r>
          </w:p>
        </w:tc>
        <w:tc>
          <w:tcPr>
            <w:tcW w:w="1197"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1.5</w:t>
            </w:r>
          </w:p>
        </w:tc>
        <w:tc>
          <w:tcPr>
            <w:tcW w:w="852"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w:t>
            </w:r>
          </w:p>
        </w:tc>
        <w:tc>
          <w:tcPr>
            <w:tcW w:w="863"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Excludes “Do not know” and “Prefer not to say”</w:t>
      </w:r>
      <w:r w:rsidR="003E03B6">
        <w:t xml:space="preserve"> responses</w:t>
      </w:r>
      <w:r w:rsidR="00600D7F">
        <w:t>.</w:t>
      </w:r>
    </w:p>
    <w:p w:rsidR="005E1FE0" w:rsidRDefault="005E1FE0" w:rsidP="006654AE">
      <w:pPr>
        <w:pStyle w:val="tablenotes"/>
      </w:pPr>
      <w:r w:rsidRPr="00DF38B2">
        <w:t xml:space="preserve">Source: </w:t>
      </w:r>
      <w:r w:rsidR="003E03B6">
        <w:tab/>
      </w:r>
      <w:r w:rsidRPr="00DF38B2">
        <w:t>LSNIM Wave 2</w:t>
      </w:r>
      <w:r w:rsidR="00600D7F">
        <w:t>.</w:t>
      </w:r>
    </w:p>
    <w:p w:rsidR="003928BD" w:rsidRPr="00DF38B2" w:rsidRDefault="003928BD" w:rsidP="006654AE">
      <w:pPr>
        <w:pStyle w:val="tablefootnoteslastline"/>
      </w:pPr>
    </w:p>
    <w:p w:rsidR="005E1FE0" w:rsidRPr="00DF38B2" w:rsidRDefault="005E1FE0" w:rsidP="006654AE">
      <w:r w:rsidRPr="00DF38B2">
        <w:t>This pattern suggests two insights. The first is that income management is not seen by a large group on the program as a defining or transformative initiative, but rather it is a measure which, either because of its limited impact or because it contains both some positive and negative factors, is seen as being on average only weakly positive or negative when judged as a whole</w:t>
      </w:r>
      <w:r w:rsidR="00A1421A">
        <w:t xml:space="preserve">. </w:t>
      </w:r>
      <w:r w:rsidRPr="00DF38B2">
        <w:t>Secondly</w:t>
      </w:r>
      <w:r w:rsidR="00600D7F">
        <w:t>,</w:t>
      </w:r>
      <w:r w:rsidRPr="00DF38B2">
        <w:t xml:space="preserve"> the relatively small groups who were opposed, let alone strongly opposed, to applying income management to some people, would suggest that where there is opposition to the measure, it is not a blind opposition to the program, but rather is a response to the way in which it has been implemented as a blanket measure, rather than targeted to the specific needs and circumstances of individuals.</w:t>
      </w:r>
    </w:p>
    <w:p w:rsidR="005E1FE0" w:rsidRPr="00DF38B2" w:rsidRDefault="005E1FE0" w:rsidP="006654AE">
      <w:r w:rsidRPr="00DF38B2">
        <w:t>This can also be seen in the question about whether or not they would recommend income management to others.</w:t>
      </w:r>
    </w:p>
    <w:p w:rsidR="005E1FE0" w:rsidRDefault="00A8053C" w:rsidP="006654AE">
      <w:pPr>
        <w:pStyle w:val="Caption"/>
      </w:pPr>
      <w:bookmarkStart w:id="430" w:name="_Ref405991693"/>
      <w:bookmarkStart w:id="431" w:name="_Toc403739552"/>
      <w:r w:rsidRPr="00DF38B2">
        <w:lastRenderedPageBreak/>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6</w:t>
      </w:r>
      <w:r w:rsidRPr="00F157EE">
        <w:fldChar w:fldCharType="end"/>
      </w:r>
      <w:bookmarkEnd w:id="430"/>
      <w:r w:rsidRPr="00DF38B2">
        <w:tab/>
      </w:r>
      <w:proofErr w:type="gramStart"/>
      <w:r w:rsidRPr="00DF38B2">
        <w:t>Whether</w:t>
      </w:r>
      <w:proofErr w:type="gramEnd"/>
      <w:r w:rsidRPr="00DF38B2">
        <w:t xml:space="preserve"> they would recommend income management to others</w:t>
      </w:r>
      <w:r>
        <w:t>,</w:t>
      </w:r>
      <w:r w:rsidRPr="003E03B6">
        <w:t xml:space="preserve"> </w:t>
      </w:r>
      <w:r>
        <w:t xml:space="preserve">LSNIM, </w:t>
      </w:r>
      <w:r w:rsidRPr="003E03B6">
        <w:t>Wave</w:t>
      </w:r>
      <w:r>
        <w:t> </w:t>
      </w:r>
      <w:r w:rsidRPr="003E03B6">
        <w:t>2, 2013</w:t>
      </w:r>
      <w:bookmarkEnd w:id="431"/>
    </w:p>
    <w:p w:rsidR="009019C3" w:rsidRPr="009019C3" w:rsidRDefault="009019C3" w:rsidP="006654AE">
      <w:pPr>
        <w:jc w:val="center"/>
      </w:pPr>
      <w:r w:rsidRPr="009019C3">
        <w:rPr>
          <w:noProof/>
        </w:rPr>
        <w:drawing>
          <wp:inline distT="0" distB="0" distL="0" distR="0" wp14:anchorId="3675CE9D" wp14:editId="60843500">
            <wp:extent cx="5220335" cy="2604770"/>
            <wp:effectExtent l="0" t="0" r="0" b="5080"/>
            <wp:docPr id="161" name="Picture 161" descr="This stacked bar chart shows the proportion of respondents classified by income management program type, Indigeneity for some program types, and gender, reporting that they would either recommend income management to others, or were not sure.  The bars reflect the following data (with the first number being the proportion who would recommend and the second figure the proportion who were uncertain):&#10;CIM Indigenous Male 35/ 9.6&#10;CIM Indigenous Female 41.6/ 13.7&#10;CIM non-Indigenous Male 32.8/ 8.9&#10;CIM non-Indigenous Female 44.4/ 7.4&#10;VIM Male 57.8/ 5.2&#10;VIM Female 47.7/ 22.3&#10;Ex-CIM Indigenous Male 48/ 8&#10;Ex-CIM Indigenous Female 46.1/ 12.8&#10;Ex-CIM non-Indigenous Male 51.8/ 9.2&#10;Ex-CIM non-Indigenous Female 50.7/ 4.4&#10;Ex-VIM Male 33.3/ 16.6&#10;Ex-VIM Female 60/ 10&#10;Exempt Indigenous Male 20/ 0&#10;Exempt Indigenous Female 43.7/ 12.5&#10;Exempt non-Indigenous Male 80/ 0&#10;Exempt non-Indigenous Female 54/ 11.4&#10;The data is further discussed in the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20335" cy="2604770"/>
                    </a:xfrm>
                    <a:prstGeom prst="rect">
                      <a:avLst/>
                    </a:prstGeom>
                    <a:noFill/>
                    <a:ln>
                      <a:noFill/>
                    </a:ln>
                  </pic:spPr>
                </pic:pic>
              </a:graphicData>
            </a:graphic>
          </wp:inline>
        </w:drawing>
      </w:r>
    </w:p>
    <w:p w:rsidR="009019C3" w:rsidRDefault="009019C3" w:rsidP="006654AE">
      <w:pPr>
        <w:pStyle w:val="tablefootnoteslastline"/>
        <w:spacing w:after="360"/>
      </w:pPr>
      <w:r w:rsidRPr="009019C3">
        <w:t xml:space="preserve">Source: </w:t>
      </w:r>
      <w:r w:rsidRPr="009019C3">
        <w:tab/>
        <w:t>LSNIM Wave 2.</w:t>
      </w:r>
    </w:p>
    <w:p w:rsidR="005E1FE0" w:rsidRPr="009655C3" w:rsidRDefault="005E1FE0" w:rsidP="006654AE">
      <w:r w:rsidRPr="00DF38B2">
        <w:t>Across the whole LSNIM Northern Territory sample, excluding those who had obtained an exemption</w:t>
      </w:r>
      <w:r w:rsidR="00600D7F">
        <w:t>,</w:t>
      </w:r>
      <w:r w:rsidRPr="00DF38B2">
        <w:rPr>
          <w:rStyle w:val="FootnoteReference"/>
        </w:rPr>
        <w:footnoteReference w:id="119"/>
      </w:r>
      <w:r w:rsidRPr="00DF38B2">
        <w:t xml:space="preserve"> only</w:t>
      </w:r>
      <w:r w:rsidRPr="00FE502F">
        <w:t xml:space="preserve"> 4</w:t>
      </w:r>
      <w:r w:rsidR="003C1097">
        <w:t>3.2</w:t>
      </w:r>
      <w:r w:rsidR="00600D7F">
        <w:t xml:space="preserve"> </w:t>
      </w:r>
      <w:r w:rsidRPr="00FE502F">
        <w:t>per cent of respondents confidently said they would make su</w:t>
      </w:r>
      <w:r w:rsidRPr="009655C3">
        <w:t>ch a recommendation, with a further 11.</w:t>
      </w:r>
      <w:r w:rsidR="003C1097">
        <w:t>3</w:t>
      </w:r>
      <w:r w:rsidRPr="009655C3">
        <w:t> per cent being uncertain</w:t>
      </w:r>
      <w:r w:rsidR="004D2288">
        <w:t xml:space="preserve"> (</w:t>
      </w:r>
      <w:r w:rsidR="004D2288">
        <w:fldChar w:fldCharType="begin"/>
      </w:r>
      <w:r w:rsidR="004D2288">
        <w:instrText xml:space="preserve"> REF _Ref405991693 \h </w:instrText>
      </w:r>
      <w:r w:rsidR="004D2288">
        <w:fldChar w:fldCharType="separate"/>
      </w:r>
      <w:r w:rsidR="004D2288" w:rsidRPr="00DF38B2">
        <w:t xml:space="preserve">Figure </w:t>
      </w:r>
      <w:r w:rsidR="004D2288">
        <w:rPr>
          <w:noProof/>
        </w:rPr>
        <w:t>7</w:t>
      </w:r>
      <w:r w:rsidR="004D2288" w:rsidRPr="00DF38B2">
        <w:noBreakHyphen/>
      </w:r>
      <w:r w:rsidR="004D2288">
        <w:rPr>
          <w:noProof/>
        </w:rPr>
        <w:t>6</w:t>
      </w:r>
      <w:r w:rsidR="004D2288">
        <w:fldChar w:fldCharType="end"/>
      </w:r>
      <w:r w:rsidR="004D2288">
        <w:t>)</w:t>
      </w:r>
      <w:r w:rsidRPr="009655C3">
        <w:t>.</w:t>
      </w:r>
    </w:p>
    <w:p w:rsidR="005E1FE0" w:rsidRPr="00DF38B2" w:rsidRDefault="005E1FE0" w:rsidP="006654AE">
      <w:r w:rsidRPr="00DF38B2">
        <w:t xml:space="preserve">The highest proportion </w:t>
      </w:r>
      <w:r w:rsidR="00600D7F">
        <w:t>(</w:t>
      </w:r>
      <w:r w:rsidR="00600D7F" w:rsidRPr="00DF38B2">
        <w:t>60.0 per cent</w:t>
      </w:r>
      <w:r w:rsidR="00600D7F">
        <w:t>)</w:t>
      </w:r>
      <w:r w:rsidR="00600D7F" w:rsidRPr="00DF38B2">
        <w:t xml:space="preserve"> </w:t>
      </w:r>
      <w:r w:rsidRPr="00DF38B2">
        <w:t>reporting they would recommend income management to others was recorded amongst the relatively small group of women who had been on Voluntary Income Management but had left the program</w:t>
      </w:r>
      <w:r w:rsidR="00A1421A">
        <w:t xml:space="preserve">. </w:t>
      </w:r>
      <w:r w:rsidRPr="00DF38B2">
        <w:t>While only 39.4 per cent of those currently on Compulsory Income Management said they would recommend going onto income management, 49.8 per cent of those who had exited this measure said that they would</w:t>
      </w:r>
      <w:r w:rsidR="00A1421A">
        <w:t xml:space="preserve">. </w:t>
      </w:r>
      <w:r w:rsidRPr="00DF38B2">
        <w:t>Although these proportions varied by gender and Indigenous identification, the general relationship between the views of those currently on the measure and those who had exited is relatively consistent.</w:t>
      </w:r>
    </w:p>
    <w:p w:rsidR="005E1FE0" w:rsidRPr="00DF38B2" w:rsidRDefault="005E1FE0" w:rsidP="006654AE">
      <w:r w:rsidRPr="00DF38B2">
        <w:t>Treating the responses to the above questions as a broad measure of the views of the population who have experienced income management in the Northern Territory, two generalised themes emerge:</w:t>
      </w:r>
    </w:p>
    <w:p w:rsidR="005E1FE0" w:rsidRPr="00DF38B2" w:rsidRDefault="005E1FE0" w:rsidP="006654AE">
      <w:pPr>
        <w:pStyle w:val="dot"/>
      </w:pPr>
      <w:r w:rsidRPr="00DF38B2">
        <w:t>The first is that while many people subject to the measure are opposed to being income managed as being inappropriate to their needs, capabilities and aspirations, the measure is seen as having a role in a much more targeted application; and</w:t>
      </w:r>
    </w:p>
    <w:p w:rsidR="005E1FE0" w:rsidRPr="00DF38B2" w:rsidRDefault="005E1FE0" w:rsidP="006654AE">
      <w:pPr>
        <w:pStyle w:val="dot"/>
      </w:pPr>
      <w:r w:rsidRPr="00DF38B2">
        <w:t>The motivation of those wishing to remain on the program largely appear to be focused on the program making life easier for them, and the fact that they have adjusted to the program as a way of life</w:t>
      </w:r>
      <w:r w:rsidR="00A1421A">
        <w:t xml:space="preserve">. </w:t>
      </w:r>
      <w:r w:rsidRPr="00DF38B2">
        <w:t>In this context few see themselves coming off the measure.</w:t>
      </w:r>
    </w:p>
    <w:p w:rsidR="005E1FE0" w:rsidRPr="00DF38B2" w:rsidRDefault="005E1FE0" w:rsidP="006654AE">
      <w:pPr>
        <w:pStyle w:val="Heading3"/>
      </w:pPr>
      <w:bookmarkStart w:id="432" w:name="_Toc403739066"/>
      <w:r w:rsidRPr="00DF38B2">
        <w:t>Current outcomes</w:t>
      </w:r>
      <w:bookmarkEnd w:id="432"/>
    </w:p>
    <w:p w:rsidR="005E1FE0" w:rsidRPr="00DF38B2" w:rsidRDefault="005E1FE0" w:rsidP="006654AE">
      <w:r w:rsidRPr="00DF38B2">
        <w:t>Notwithstanding the extended period</w:t>
      </w:r>
      <w:r w:rsidR="003C307F">
        <w:t xml:space="preserve"> for which</w:t>
      </w:r>
      <w:r w:rsidRPr="00DF38B2">
        <w:t xml:space="preserve"> most of the respondents have been on income management, as illustrated in </w:t>
      </w:r>
      <w:r w:rsidRPr="00FE502F">
        <w:fldChar w:fldCharType="begin"/>
      </w:r>
      <w:r w:rsidRPr="00DF38B2">
        <w:instrText xml:space="preserve"> REF _Ref390811704 \h </w:instrText>
      </w:r>
      <w:r w:rsidRPr="00FE502F">
        <w:fldChar w:fldCharType="separate"/>
      </w:r>
      <w:r w:rsidR="00906D13" w:rsidRPr="00FE502F">
        <w:t xml:space="preserve">Figure </w:t>
      </w:r>
      <w:r w:rsidR="00906D13">
        <w:rPr>
          <w:noProof/>
        </w:rPr>
        <w:t>7</w:t>
      </w:r>
      <w:r w:rsidR="00906D13" w:rsidRPr="00DF38B2">
        <w:noBreakHyphen/>
      </w:r>
      <w:r w:rsidR="00906D13">
        <w:rPr>
          <w:noProof/>
        </w:rPr>
        <w:t>7</w:t>
      </w:r>
      <w:r w:rsidRPr="00FE502F">
        <w:fldChar w:fldCharType="end"/>
      </w:r>
      <w:r w:rsidRPr="00DF38B2">
        <w:t>, many still report adverse day to day living outcomes.</w:t>
      </w:r>
    </w:p>
    <w:p w:rsidR="005E1FE0" w:rsidRDefault="005E1FE0" w:rsidP="006654AE">
      <w:pPr>
        <w:pStyle w:val="Caption"/>
        <w:spacing w:after="140"/>
      </w:pPr>
      <w:bookmarkStart w:id="433" w:name="_Ref390811704"/>
      <w:bookmarkStart w:id="434" w:name="_Toc403739553"/>
      <w:r w:rsidRPr="00FE502F">
        <w:lastRenderedPageBreak/>
        <w:t xml:space="preserve">Figure </w:t>
      </w:r>
      <w:fldSimple w:instr=" STYLEREF 1 \s ">
        <w:r w:rsidR="00906D13">
          <w:rPr>
            <w:noProof/>
          </w:rPr>
          <w:t>7</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433"/>
      <w:r w:rsidRPr="00DF38B2">
        <w:tab/>
        <w:t xml:space="preserve">Persons subject to </w:t>
      </w:r>
      <w:r w:rsidR="005E4CAC">
        <w:t>income management</w:t>
      </w:r>
      <w:r w:rsidRPr="00DF38B2">
        <w:t>, incidence of selected adverse financial outcomes</w:t>
      </w:r>
      <w:r w:rsidR="003E03B6">
        <w:t xml:space="preserve">, </w:t>
      </w:r>
      <w:r w:rsidR="003E03B6" w:rsidRPr="003C1097">
        <w:t>LSNIM, Wave 2, 2013</w:t>
      </w:r>
      <w:bookmarkEnd w:id="434"/>
    </w:p>
    <w:p w:rsidR="009019C3" w:rsidRPr="009019C3" w:rsidRDefault="009019C3" w:rsidP="006654AE">
      <w:pPr>
        <w:spacing w:after="0"/>
        <w:jc w:val="center"/>
      </w:pPr>
      <w:r w:rsidRPr="009019C3">
        <w:rPr>
          <w:noProof/>
        </w:rPr>
        <w:drawing>
          <wp:inline distT="0" distB="0" distL="0" distR="0" wp14:anchorId="4AF22448" wp14:editId="4666AB7B">
            <wp:extent cx="5292090" cy="2498524"/>
            <wp:effectExtent l="0" t="0" r="3810" b="0"/>
            <wp:docPr id="162" name="Picture 162" descr="This bar chart shows the proportion of income managed respondents (classified by Indigenous and non-Indigenous people on compulsory income management and all people on voluntary income management) who reported the incidence of adverse financial outcomes on any of 11 different items.  There is considerable discussion on the data in the chart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92090" cy="2498524"/>
                    </a:xfrm>
                    <a:prstGeom prst="rect">
                      <a:avLst/>
                    </a:prstGeom>
                    <a:noFill/>
                    <a:ln>
                      <a:noFill/>
                    </a:ln>
                  </pic:spPr>
                </pic:pic>
              </a:graphicData>
            </a:graphic>
          </wp:inline>
        </w:drawing>
      </w:r>
    </w:p>
    <w:p w:rsidR="009019C3" w:rsidRPr="009019C3" w:rsidRDefault="009019C3" w:rsidP="006654AE">
      <w:pPr>
        <w:pStyle w:val="tablefootnotes"/>
        <w:spacing w:after="120"/>
      </w:pPr>
      <w:r w:rsidRPr="009019C3">
        <w:t xml:space="preserve">Note: </w:t>
      </w:r>
      <w:r w:rsidRPr="009019C3">
        <w:tab/>
        <w:t>Excludes “Do not know” and “Prefer not to say” responses and “not applicable” responses where particular questions were not relevant – such as questions about children’s’ school, sporting and other activities for people without children, and travel for those who had no need for travel in the previous month.</w:t>
      </w:r>
    </w:p>
    <w:p w:rsidR="003928BD" w:rsidRPr="009019C3" w:rsidRDefault="009019C3" w:rsidP="006654AE">
      <w:pPr>
        <w:pStyle w:val="tablefootnotes"/>
        <w:spacing w:after="120"/>
      </w:pPr>
      <w:r w:rsidRPr="009019C3">
        <w:t xml:space="preserve">Source: </w:t>
      </w:r>
      <w:r w:rsidRPr="009019C3">
        <w:tab/>
        <w:t>LSNIM Wave 2.</w:t>
      </w:r>
    </w:p>
    <w:p w:rsidR="009019C3" w:rsidRDefault="009019C3" w:rsidP="006654AE">
      <w:pPr>
        <w:pStyle w:val="tablefootnoteslastline"/>
      </w:pPr>
    </w:p>
    <w:p w:rsidR="005E1FE0" w:rsidRPr="00DF38B2" w:rsidRDefault="005E1FE0" w:rsidP="006654AE">
      <w:r w:rsidRPr="00DF38B2">
        <w:t>In most cases the most adverse responses are reported by Indigenous people on compulsory income management, and include 38.6 per cent who reported that at some time in the past month they had run out of money for food, and 41.3 per cent that they had run out of money for clothing</w:t>
      </w:r>
      <w:r w:rsidR="00A1421A">
        <w:t xml:space="preserve">. </w:t>
      </w:r>
      <w:r w:rsidRPr="00DF38B2">
        <w:t>Consistent with this result</w:t>
      </w:r>
      <w:r w:rsidR="003544C5">
        <w:t>,</w:t>
      </w:r>
      <w:r w:rsidRPr="00DF38B2">
        <w:t xml:space="preserve"> 55.0 per cent of this group said that they had run out of money before ‘pay day’ at some time in the month.</w:t>
      </w:r>
    </w:p>
    <w:p w:rsidR="005E1FE0" w:rsidRPr="00DF38B2" w:rsidRDefault="005E1FE0" w:rsidP="006654AE">
      <w:r w:rsidRPr="00DF38B2">
        <w:t>Almost a third of this group, 31.3 per cent, reported that they had experienced financial problems in the previous four weeks because they had given money to others, and just over a third, 38.0 per cent</w:t>
      </w:r>
      <w:r w:rsidR="003544C5">
        <w:t>,</w:t>
      </w:r>
      <w:r w:rsidRPr="00DF38B2">
        <w:t xml:space="preserve"> reported that they had asked others for money in order to obtain some essentials. While over half, 54.6 per cent, of those who responded to both these question</w:t>
      </w:r>
      <w:r w:rsidR="003544C5">
        <w:t>s</w:t>
      </w:r>
      <w:r w:rsidRPr="00DF38B2">
        <w:t xml:space="preserve"> reported neither, 23.0 per cent reported both events occurring.</w:t>
      </w:r>
      <w:r w:rsidR="003C1097">
        <w:t xml:space="preserve"> Indeed</w:t>
      </w:r>
      <w:r w:rsidR="003544C5">
        <w:t>,</w:t>
      </w:r>
      <w:r w:rsidR="003C1097">
        <w:t xml:space="preserve"> of those who reported that they had had financial problems because they gave money to others</w:t>
      </w:r>
      <w:r w:rsidR="003544C5">
        <w:t>,</w:t>
      </w:r>
      <w:r w:rsidR="003C1097">
        <w:t xml:space="preserve"> 74.3 per cent reported asking others </w:t>
      </w:r>
      <w:r w:rsidR="003544C5">
        <w:t>for</w:t>
      </w:r>
      <w:r w:rsidR="003C1097">
        <w:t xml:space="preserve"> money because they could not afford to buy essentials.</w:t>
      </w:r>
    </w:p>
    <w:p w:rsidR="005E1FE0" w:rsidRPr="00DF38B2" w:rsidRDefault="005E1FE0" w:rsidP="006654AE">
      <w:r w:rsidRPr="00DF38B2">
        <w:t xml:space="preserve">While this type of behaviour was also reported by non-Indigenous people in the survey, the extent of the overlap </w:t>
      </w:r>
      <w:r w:rsidR="00B0466C" w:rsidRPr="00DF38B2">
        <w:t xml:space="preserve">at the individual level of </w:t>
      </w:r>
      <w:r w:rsidRPr="00DF38B2">
        <w:t>both running into financial problems because of providing money to others</w:t>
      </w:r>
      <w:r w:rsidR="00E51DB5">
        <w:t>,</w:t>
      </w:r>
      <w:r w:rsidRPr="00DF38B2">
        <w:t xml:space="preserve"> and then in turn seeking money from others, is much lower</w:t>
      </w:r>
      <w:r w:rsidR="00A1421A">
        <w:t xml:space="preserve">. </w:t>
      </w:r>
      <w:r w:rsidRPr="00DF38B2">
        <w:t>This raises a further question</w:t>
      </w:r>
      <w:r w:rsidR="00E51DB5">
        <w:t>:</w:t>
      </w:r>
      <w:r w:rsidRPr="00DF38B2">
        <w:t xml:space="preserve"> to what extent is this response simply reporting the results of demand sharing behaviour (sharing on the basis of a request from another person to whom you have a cultural obligation) and to what extent it is more adverse financial harassment</w:t>
      </w:r>
      <w:r w:rsidR="00E51DB5">
        <w:t>?</w:t>
      </w:r>
      <w:r w:rsidRPr="00DF38B2">
        <w:rPr>
          <w:rStyle w:val="FootnoteReference"/>
        </w:rPr>
        <w:footnoteReference w:id="120"/>
      </w:r>
    </w:p>
    <w:p w:rsidR="005E1FE0" w:rsidRPr="00DF38B2" w:rsidRDefault="005E1FE0" w:rsidP="006654AE">
      <w:r w:rsidRPr="00FE502F">
        <w:t>While Indigenous people subject to Compulsory Income Management usually had worse outcomes than non-I</w:t>
      </w:r>
      <w:r w:rsidRPr="009655C3">
        <w:t>ndigenous people across the range of questions, this was not the case with respect to two questions</w:t>
      </w:r>
      <w:r w:rsidR="00E51DB5">
        <w:t xml:space="preserve"> regarding</w:t>
      </w:r>
      <w:r w:rsidRPr="009655C3">
        <w:t xml:space="preserve"> their ability to pay rent and being able to pay other bills</w:t>
      </w:r>
      <w:r w:rsidR="00A1421A">
        <w:t xml:space="preserve">. </w:t>
      </w:r>
      <w:r w:rsidRPr="009655C3">
        <w:t>The explanation of this is likely to relate to the different circumstances of these two groups</w:t>
      </w:r>
      <w:r w:rsidR="00A1421A">
        <w:t xml:space="preserve">. </w:t>
      </w:r>
      <w:r w:rsidRPr="009655C3">
        <w:t xml:space="preserve">In the case of rent a high proportion of Indigenous people live in communities where rents are relatively low, and in housing managed by public housing authorities, with rents being paid directly by Centrelink from the person’s </w:t>
      </w:r>
      <w:r w:rsidR="00A04470">
        <w:t>income managed</w:t>
      </w:r>
      <w:r w:rsidRPr="009655C3">
        <w:t xml:space="preserve"> funds or</w:t>
      </w:r>
      <w:r w:rsidRPr="00DF38B2">
        <w:t xml:space="preserve"> through Centrepay</w:t>
      </w:r>
      <w:r w:rsidR="00E51DB5">
        <w:t>,</w:t>
      </w:r>
      <w:r w:rsidRPr="00DF38B2">
        <w:t xml:space="preserve"> as has been seen in Chapter 6</w:t>
      </w:r>
      <w:r w:rsidR="00A1421A">
        <w:t xml:space="preserve">. </w:t>
      </w:r>
      <w:r w:rsidRPr="00DF38B2">
        <w:t>In contrast</w:t>
      </w:r>
      <w:r w:rsidR="00E51DB5">
        <w:t>,</w:t>
      </w:r>
      <w:r w:rsidRPr="00DF38B2">
        <w:t xml:space="preserve"> non-Indigenous people are more likely to be living in Darwin and paying rent to private landlords, either individually or as part of a group household</w:t>
      </w:r>
      <w:r w:rsidR="00A1421A">
        <w:t xml:space="preserve">. </w:t>
      </w:r>
      <w:r w:rsidRPr="00DF38B2">
        <w:lastRenderedPageBreak/>
        <w:t>These rents are likely to be much higher and frequently need to be paid in cash</w:t>
      </w:r>
      <w:r w:rsidR="00A1421A">
        <w:t xml:space="preserve">. </w:t>
      </w:r>
      <w:r w:rsidRPr="00DF38B2">
        <w:t>Similarly</w:t>
      </w:r>
      <w:r w:rsidR="00E51DB5">
        <w:t>,</w:t>
      </w:r>
      <w:r w:rsidRPr="00DF38B2">
        <w:t xml:space="preserve"> living in these urban environments they are more likely to have a more diverse set of expenses and bills for items such as motor vehicle repairs</w:t>
      </w:r>
      <w:r w:rsidR="00A1421A">
        <w:t xml:space="preserve">. </w:t>
      </w:r>
    </w:p>
    <w:p w:rsidR="005E1FE0" w:rsidRPr="00DF38B2" w:rsidRDefault="005E1FE0" w:rsidP="006654AE">
      <w:r w:rsidRPr="00DF38B2">
        <w:t>On almost all of these measures the experience of Indigenous people on Voluntary Income Management was better than that of Indigenous people on Compulsory Income Management</w:t>
      </w:r>
      <w:r w:rsidR="00A1421A">
        <w:t xml:space="preserve">. </w:t>
      </w:r>
      <w:r w:rsidRPr="00DF38B2">
        <w:t>No single reason is likely to explain this. In part it may be the extent to which those who chose income management are more likely to be motivated to use the program to achieve the goals they have set for themselves</w:t>
      </w:r>
      <w:r w:rsidR="00E51DB5">
        <w:t>;</w:t>
      </w:r>
      <w:r w:rsidRPr="00DF38B2">
        <w:t xml:space="preserve"> alternatively</w:t>
      </w:r>
      <w:r w:rsidR="00E51DB5">
        <w:t>,</w:t>
      </w:r>
      <w:r w:rsidRPr="00DF38B2">
        <w:t xml:space="preserve"> it may be differences in the demographic characteristics</w:t>
      </w:r>
      <w:r w:rsidR="00E51DB5">
        <w:t>,</w:t>
      </w:r>
      <w:r w:rsidRPr="00DF38B2">
        <w:t xml:space="preserve"> including the older average age of those on Voluntary Income Management. Finally it may just be an income effect</w:t>
      </w:r>
      <w:r w:rsidR="00E51DB5">
        <w:t>,</w:t>
      </w:r>
      <w:r w:rsidRPr="00DF38B2">
        <w:t xml:space="preserve"> as those on the voluntary measure are more likely to be on pension rate payments, rather than on the lower rates paid on allowances. For a single person this difference is over $8,000 per year and hence is likely to have a significant impact on their outcomes and ability to manage</w:t>
      </w:r>
      <w:r w:rsidR="00A1421A">
        <w:t xml:space="preserve">. </w:t>
      </w:r>
      <w:r w:rsidRPr="00DF38B2">
        <w:t>They are also receiving addition</w:t>
      </w:r>
      <w:r w:rsidR="00E51DB5">
        <w:t>al</w:t>
      </w:r>
      <w:r w:rsidRPr="00DF38B2">
        <w:t xml:space="preserve"> money in the form of the incentive payment made to people who choose to go onto income management.</w:t>
      </w:r>
    </w:p>
    <w:p w:rsidR="005E1FE0" w:rsidRPr="00DF38B2" w:rsidRDefault="005E1FE0" w:rsidP="006654AE">
      <w:r w:rsidRPr="00DF38B2">
        <w:t xml:space="preserve">The extent to which these outcomes have changed over the time people have been on income management is considered in Section </w:t>
      </w:r>
      <w:r w:rsidRPr="00DF38B2">
        <w:fldChar w:fldCharType="begin"/>
      </w:r>
      <w:r w:rsidRPr="00DF38B2">
        <w:instrText xml:space="preserve"> REF _Ref390788348 \n \h </w:instrText>
      </w:r>
      <w:r w:rsidRPr="00DF38B2">
        <w:fldChar w:fldCharType="separate"/>
      </w:r>
      <w:r w:rsidR="00906D13">
        <w:t>7.4</w:t>
      </w:r>
      <w:r w:rsidRPr="00DF38B2">
        <w:fldChar w:fldCharType="end"/>
      </w:r>
      <w:r w:rsidRPr="00DF38B2">
        <w:t xml:space="preserve"> as part of the analysis directed at identifying the impact of the measure.</w:t>
      </w:r>
    </w:p>
    <w:p w:rsidR="005E1FE0" w:rsidRPr="00FE502F" w:rsidRDefault="005E1FE0" w:rsidP="006654AE">
      <w:pPr>
        <w:pStyle w:val="Heading3"/>
      </w:pPr>
      <w:bookmarkStart w:id="435" w:name="_Toc403739067"/>
      <w:r w:rsidRPr="00FE502F">
        <w:t>Experience of being on income management</w:t>
      </w:r>
      <w:bookmarkEnd w:id="435"/>
    </w:p>
    <w:p w:rsidR="005E1FE0" w:rsidRPr="009655C3" w:rsidRDefault="005E1FE0" w:rsidP="006654AE">
      <w:r w:rsidRPr="009655C3">
        <w:t>The LSNIM contains a series of questions about how frequently people feel in a particular way about income management</w:t>
      </w:r>
      <w:r w:rsidR="00A1421A">
        <w:t xml:space="preserve">. </w:t>
      </w:r>
      <w:r w:rsidRPr="009655C3">
        <w:t>In response to questions relating to positive feelings of being in control of their lives, having control over money</w:t>
      </w:r>
      <w:r w:rsidR="00E51DB5">
        <w:t>,</w:t>
      </w:r>
      <w:r w:rsidRPr="009655C3">
        <w:t xml:space="preserve"> that things are better for the person and their family and that they feel safer, around 40 to </w:t>
      </w:r>
      <w:r w:rsidR="003C1097">
        <w:t xml:space="preserve">just under </w:t>
      </w:r>
      <w:r w:rsidRPr="009655C3">
        <w:t xml:space="preserve">50 per cent of Indigenous program participants, on both compulsory and voluntary measures, say they feel this way </w:t>
      </w:r>
      <w:r w:rsidR="00E51DB5">
        <w:t>“</w:t>
      </w:r>
      <w:r w:rsidRPr="009655C3">
        <w:t>all</w:t>
      </w:r>
      <w:r w:rsidR="00E51DB5">
        <w:t>”</w:t>
      </w:r>
      <w:r w:rsidRPr="009655C3">
        <w:t xml:space="preserve"> or </w:t>
      </w:r>
      <w:r w:rsidR="00E51DB5">
        <w:t>“</w:t>
      </w:r>
      <w:r w:rsidRPr="009655C3">
        <w:t>most</w:t>
      </w:r>
      <w:r w:rsidR="00E51DB5">
        <w:t>”</w:t>
      </w:r>
      <w:r w:rsidRPr="009655C3">
        <w:t xml:space="preserve"> of the time</w:t>
      </w:r>
      <w:r w:rsidR="00A1421A">
        <w:t xml:space="preserve">. </w:t>
      </w:r>
      <w:r w:rsidRPr="009655C3">
        <w:t>In contrast only a quarter of non-Indigenous participants express the same sentiments.</w:t>
      </w:r>
    </w:p>
    <w:p w:rsidR="005E1FE0" w:rsidRPr="009655C3" w:rsidRDefault="005E1FE0" w:rsidP="006654AE">
      <w:r w:rsidRPr="009655C3">
        <w:t>Although, as in</w:t>
      </w:r>
      <w:r w:rsidRPr="00DF38B2">
        <w:t xml:space="preserve">dicated in </w:t>
      </w:r>
      <w:r w:rsidRPr="00DF38B2">
        <w:fldChar w:fldCharType="begin"/>
      </w:r>
      <w:r w:rsidRPr="00DF38B2">
        <w:instrText xml:space="preserve"> REF _Ref392750140 \h </w:instrText>
      </w:r>
      <w:r w:rsidRPr="00DF38B2">
        <w:fldChar w:fldCharType="separate"/>
      </w:r>
      <w:r w:rsidR="00906D13" w:rsidRPr="00DF38B2">
        <w:t xml:space="preserve">Table </w:t>
      </w:r>
      <w:r w:rsidR="00906D13">
        <w:rPr>
          <w:noProof/>
        </w:rPr>
        <w:t>7</w:t>
      </w:r>
      <w:r w:rsidR="00906D13">
        <w:noBreakHyphen/>
      </w:r>
      <w:r w:rsidR="00906D13">
        <w:rPr>
          <w:noProof/>
        </w:rPr>
        <w:t>5</w:t>
      </w:r>
      <w:r w:rsidRPr="00DF38B2">
        <w:fldChar w:fldCharType="end"/>
      </w:r>
      <w:r w:rsidRPr="00DF38B2">
        <w:t>, the level of positive agreement amongst Indigenous respondents to these questions was similar for those on the voluntary and compulsory measure</w:t>
      </w:r>
      <w:r w:rsidRPr="00FE502F">
        <w:t>s, this was not the case at the other end of the spectrum – those</w:t>
      </w:r>
      <w:r w:rsidRPr="009655C3">
        <w:t xml:space="preserve"> who reported that they never felt this way about the program</w:t>
      </w:r>
      <w:r w:rsidR="00A1421A">
        <w:t xml:space="preserve">. </w:t>
      </w:r>
      <w:r w:rsidRPr="009655C3">
        <w:t xml:space="preserve">While some </w:t>
      </w:r>
      <w:r w:rsidR="00CC6215">
        <w:t>15</w:t>
      </w:r>
      <w:r w:rsidRPr="009655C3">
        <w:t xml:space="preserve"> to </w:t>
      </w:r>
      <w:r w:rsidR="00CC6215">
        <w:t>20</w:t>
      </w:r>
      <w:r w:rsidRPr="009655C3">
        <w:t xml:space="preserve"> per cent of Indigenous respondents on compulsory measures responded that they never felt these sentiments, the proportion amongst those on the voluntary measure was much lower, in the range of </w:t>
      </w:r>
      <w:r w:rsidR="004B6B41">
        <w:t>6</w:t>
      </w:r>
      <w:r w:rsidR="004B6B41" w:rsidRPr="009655C3">
        <w:t xml:space="preserve"> </w:t>
      </w:r>
      <w:r w:rsidRPr="009655C3">
        <w:t xml:space="preserve">to </w:t>
      </w:r>
      <w:r w:rsidR="004B6B41">
        <w:t>10</w:t>
      </w:r>
      <w:r w:rsidRPr="009655C3">
        <w:t xml:space="preserve"> per cent. </w:t>
      </w:r>
    </w:p>
    <w:p w:rsidR="005E1FE0" w:rsidRPr="00DF38B2" w:rsidRDefault="005E1FE0" w:rsidP="006654AE">
      <w:r w:rsidRPr="00DF38B2">
        <w:t>A critical factor in this result is again the different experience of the Indigenous populations living in different locations. In non-urban locations just 8.</w:t>
      </w:r>
      <w:r w:rsidR="003C1097">
        <w:t>9</w:t>
      </w:r>
      <w:r w:rsidR="003C1097" w:rsidRPr="00DF38B2">
        <w:t> </w:t>
      </w:r>
      <w:r w:rsidRPr="00DF38B2">
        <w:t>per cent of Indigenous respondents on compulsory forms of income management reported that they never felt that they were more in control of their lives because of income management</w:t>
      </w:r>
      <w:r w:rsidR="00DD663A">
        <w:t>,</w:t>
      </w:r>
      <w:r w:rsidRPr="00DF38B2">
        <w:t xml:space="preserve"> with a further 6.</w:t>
      </w:r>
      <w:r w:rsidR="003C1097">
        <w:t>7</w:t>
      </w:r>
      <w:r w:rsidR="003C1097" w:rsidRPr="00DF38B2">
        <w:t> </w:t>
      </w:r>
      <w:r w:rsidRPr="00DF38B2">
        <w:t>per cent saying this occurred hardly ever</w:t>
      </w:r>
      <w:r w:rsidR="00A1421A">
        <w:t xml:space="preserve">. </w:t>
      </w:r>
      <w:r w:rsidRPr="00DF38B2">
        <w:t>In contrast</w:t>
      </w:r>
      <w:r w:rsidR="00DD663A">
        <w:t>,</w:t>
      </w:r>
      <w:r w:rsidRPr="00DF38B2">
        <w:t xml:space="preserve"> in urban areas </w:t>
      </w:r>
      <w:r w:rsidR="003C1097">
        <w:t>other than town camps</w:t>
      </w:r>
      <w:r w:rsidR="00DD663A">
        <w:t>,</w:t>
      </w:r>
      <w:r w:rsidR="003C1097">
        <w:t xml:space="preserve"> </w:t>
      </w:r>
      <w:r w:rsidRPr="00DF38B2">
        <w:t>31.</w:t>
      </w:r>
      <w:r w:rsidR="003C1097">
        <w:t>0</w:t>
      </w:r>
      <w:r w:rsidRPr="00DF38B2">
        <w:t> per cent stated that they never felt this way and a further 10.6 per cent that they hardly ever</w:t>
      </w:r>
      <w:r w:rsidR="00DD663A">
        <w:t xml:space="preserve"> felt this way</w:t>
      </w:r>
      <w:r w:rsidRPr="00DF38B2">
        <w:t>.</w:t>
      </w:r>
    </w:p>
    <w:p w:rsidR="005E1FE0" w:rsidRPr="00DF38B2" w:rsidRDefault="005E1FE0" w:rsidP="006654AE">
      <w:r w:rsidRPr="00DF38B2">
        <w:t>In general the pattern of responses is consistent across questions</w:t>
      </w:r>
      <w:r w:rsidR="00A1421A">
        <w:t xml:space="preserve">. </w:t>
      </w:r>
      <w:r w:rsidRPr="00DF38B2">
        <w:t xml:space="preserve">The one exception is with regard to the question of ‘not being worried about money’. Here responses by those on Voluntary Income Management and Indigenous people on compulsory measures tended to be much more muted, with </w:t>
      </w:r>
      <w:r w:rsidR="004B6B41">
        <w:t>10</w:t>
      </w:r>
      <w:r w:rsidR="004B6B41" w:rsidRPr="00DF38B2">
        <w:t> </w:t>
      </w:r>
      <w:r w:rsidRPr="00DF38B2">
        <w:t>per cent fewer people indicating that they mostly had no worries</w:t>
      </w:r>
      <w:r w:rsidR="00A1421A">
        <w:t xml:space="preserve">. </w:t>
      </w:r>
      <w:r w:rsidRPr="00DF38B2">
        <w:t xml:space="preserve">This suggests, even to the extent some people saw income management as providing them with a means of managing their </w:t>
      </w:r>
      <w:proofErr w:type="gramStart"/>
      <w:r w:rsidRPr="00DF38B2">
        <w:t>money, that</w:t>
      </w:r>
      <w:proofErr w:type="gramEnd"/>
      <w:r w:rsidRPr="00DF38B2">
        <w:t xml:space="preserve"> it is not sufficient to address the underlying challenges posed by their low incomes. </w:t>
      </w:r>
    </w:p>
    <w:p w:rsidR="005E1FE0" w:rsidRPr="00DF38B2" w:rsidRDefault="005E1FE0" w:rsidP="006654AE">
      <w:pPr>
        <w:pStyle w:val="Caption"/>
      </w:pPr>
      <w:bookmarkStart w:id="436" w:name="_Ref392750140"/>
      <w:bookmarkStart w:id="437" w:name="_Toc403739467"/>
      <w:r w:rsidRPr="00DF38B2">
        <w:lastRenderedPageBreak/>
        <w:t xml:space="preserve">Table </w:t>
      </w:r>
      <w:fldSimple w:instr=" STYLEREF 1 \s ">
        <w:r w:rsidR="00906D13">
          <w:rPr>
            <w:noProof/>
          </w:rPr>
          <w:t>7</w:t>
        </w:r>
      </w:fldSimple>
      <w:r w:rsidR="00D40B64">
        <w:noBreakHyphen/>
      </w:r>
      <w:fldSimple w:instr=" SEQ Table \* ARABIC \s 1 ">
        <w:r w:rsidR="00906D13">
          <w:rPr>
            <w:noProof/>
          </w:rPr>
          <w:t>5</w:t>
        </w:r>
      </w:fldSimple>
      <w:bookmarkEnd w:id="436"/>
      <w:r w:rsidR="001D25DF">
        <w:tab/>
      </w:r>
      <w:r w:rsidRPr="00DF38B2">
        <w:t xml:space="preserve">Frequency of feeling about aspects of life while subject to </w:t>
      </w:r>
      <w:r w:rsidR="005E4CAC">
        <w:t>income management</w:t>
      </w:r>
      <w:r w:rsidRPr="00DF38B2">
        <w:t>, positive outcomes</w:t>
      </w:r>
      <w:r w:rsidR="003E03B6">
        <w:t>,</w:t>
      </w:r>
      <w:r w:rsidR="003E03B6" w:rsidRPr="003E03B6">
        <w:t xml:space="preserve"> </w:t>
      </w:r>
      <w:r w:rsidR="003E03B6" w:rsidRPr="003C1097">
        <w:t>LSNIM, Wave 2, 2013</w:t>
      </w:r>
      <w:bookmarkEnd w:id="437"/>
    </w:p>
    <w:tbl>
      <w:tblPr>
        <w:tblW w:w="8309" w:type="dxa"/>
        <w:jc w:val="center"/>
        <w:tblLook w:val="04A0" w:firstRow="1" w:lastRow="0" w:firstColumn="1" w:lastColumn="0" w:noHBand="0" w:noVBand="1"/>
        <w:tblDescription w:val="This table reports on five questions, whether a person felt “More in control of their life”, if they felt that “Things are better for me and my family”, if they felt “more control over their money” or “not worried about money” and if they felt “safer”. These responses to these questions are presented in five horizontal panels in the table with data in each table being presented for three populations: Indigenous people on compulsory income management, non-Indigenous people on these measures, and all people on voluntary income management.&#10;The rows give the distribution of responses for these populations classified by whether they felt this way all the time; most of the time; a subtotal of these two categories and then the proportions reporting they felt this way sometimes, hardly ever or never. The last column gives the total which is 100 per cent for all rows.&#10;A number of the main findings are discussed in the text&#10;"/>
      </w:tblPr>
      <w:tblGrid>
        <w:gridCol w:w="1108"/>
        <w:gridCol w:w="1814"/>
        <w:gridCol w:w="567"/>
        <w:gridCol w:w="624"/>
        <w:gridCol w:w="964"/>
        <w:gridCol w:w="1033"/>
        <w:gridCol w:w="799"/>
        <w:gridCol w:w="700"/>
        <w:gridCol w:w="700"/>
      </w:tblGrid>
      <w:tr w:rsidR="00C9227A" w:rsidRPr="00DF38B2" w:rsidTr="00C9227A">
        <w:trPr>
          <w:trHeight w:val="20"/>
          <w:tblHeader/>
          <w:jc w:val="center"/>
        </w:trPr>
        <w:tc>
          <w:tcPr>
            <w:tcW w:w="1121" w:type="dxa"/>
            <w:tcBorders>
              <w:top w:val="single" w:sz="4" w:space="0" w:color="auto"/>
              <w:left w:val="nil"/>
              <w:bottom w:val="single" w:sz="4" w:space="0" w:color="auto"/>
              <w:right w:val="nil"/>
            </w:tcBorders>
          </w:tcPr>
          <w:p w:rsidR="004E2725" w:rsidRPr="00DF38B2" w:rsidRDefault="004E2725" w:rsidP="00C9227A">
            <w:pPr>
              <w:pStyle w:val="tabletextleft"/>
              <w:jc w:val="left"/>
              <w:rPr>
                <w:rFonts w:eastAsia="Times New Roman"/>
              </w:rPr>
            </w:pPr>
          </w:p>
        </w:tc>
        <w:tc>
          <w:tcPr>
            <w:tcW w:w="1814" w:type="dxa"/>
            <w:tcBorders>
              <w:top w:val="single" w:sz="4" w:space="0" w:color="auto"/>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p>
        </w:tc>
        <w:tc>
          <w:tcPr>
            <w:tcW w:w="567"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All</w:t>
            </w:r>
            <w:r w:rsidR="00C9227A">
              <w:rPr>
                <w:rFonts w:eastAsia="Times New Roman"/>
              </w:rPr>
              <w:t xml:space="preserve"> (%)</w:t>
            </w:r>
          </w:p>
        </w:tc>
        <w:tc>
          <w:tcPr>
            <w:tcW w:w="624"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Most</w:t>
            </w:r>
            <w:r w:rsidR="00C9227A">
              <w:rPr>
                <w:rFonts w:eastAsia="Times New Roman"/>
              </w:rPr>
              <w:t xml:space="preserve"> (%)</w:t>
            </w:r>
          </w:p>
        </w:tc>
        <w:tc>
          <w:tcPr>
            <w:tcW w:w="964"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i/>
                <w:iCs/>
              </w:rPr>
            </w:pPr>
            <w:r w:rsidRPr="00DF38B2">
              <w:rPr>
                <w:rFonts w:eastAsia="Times New Roman"/>
                <w:i/>
                <w:iCs/>
              </w:rPr>
              <w:t>Sub-total:</w:t>
            </w:r>
          </w:p>
          <w:p w:rsidR="004E2725" w:rsidRPr="00DF38B2" w:rsidRDefault="004E2725" w:rsidP="006654AE">
            <w:pPr>
              <w:pStyle w:val="tabletextright"/>
              <w:rPr>
                <w:rFonts w:eastAsia="Times New Roman"/>
                <w:i/>
                <w:iCs/>
              </w:rPr>
            </w:pPr>
            <w:r w:rsidRPr="00DF38B2">
              <w:rPr>
                <w:rFonts w:eastAsia="Times New Roman"/>
                <w:i/>
                <w:iCs/>
              </w:rPr>
              <w:t>All or Most</w:t>
            </w:r>
            <w:r w:rsidR="00C9227A">
              <w:rPr>
                <w:rFonts w:eastAsia="Times New Roman"/>
                <w:i/>
                <w:iCs/>
              </w:rPr>
              <w:t xml:space="preserve"> (%)</w:t>
            </w:r>
          </w:p>
        </w:tc>
        <w:tc>
          <w:tcPr>
            <w:tcW w:w="1020"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Sometimes</w:t>
            </w:r>
            <w:r w:rsidR="00C9227A">
              <w:rPr>
                <w:rFonts w:eastAsia="Times New Roman"/>
              </w:rPr>
              <w:t xml:space="preserve"> (%)</w:t>
            </w:r>
          </w:p>
        </w:tc>
        <w:tc>
          <w:tcPr>
            <w:tcW w:w="799"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Hardly ever</w:t>
            </w:r>
            <w:r w:rsidR="00C9227A">
              <w:rPr>
                <w:rFonts w:eastAsia="Times New Roman"/>
              </w:rPr>
              <w:t xml:space="preserve"> (%)</w:t>
            </w:r>
          </w:p>
        </w:tc>
        <w:tc>
          <w:tcPr>
            <w:tcW w:w="700"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Never</w:t>
            </w:r>
            <w:r w:rsidR="00C9227A">
              <w:rPr>
                <w:rFonts w:eastAsia="Times New Roman"/>
              </w:rPr>
              <w:t xml:space="preserve"> (%)</w:t>
            </w:r>
          </w:p>
        </w:tc>
        <w:tc>
          <w:tcPr>
            <w:tcW w:w="700" w:type="dxa"/>
            <w:tcBorders>
              <w:top w:val="single" w:sz="4" w:space="0" w:color="auto"/>
              <w:left w:val="nil"/>
              <w:bottom w:val="single" w:sz="4" w:space="0" w:color="auto"/>
              <w:right w:val="nil"/>
            </w:tcBorders>
            <w:shd w:val="clear" w:color="auto" w:fill="auto"/>
            <w:noWrap/>
            <w:hideMark/>
          </w:tcPr>
          <w:p w:rsidR="004E2725" w:rsidRPr="00DF38B2" w:rsidRDefault="00C9227A" w:rsidP="006654AE">
            <w:pPr>
              <w:pStyle w:val="tabletextright"/>
              <w:rPr>
                <w:rFonts w:eastAsia="Times New Roman"/>
              </w:rPr>
            </w:pPr>
            <w:r>
              <w:rPr>
                <w:rFonts w:eastAsia="Times New Roman"/>
              </w:rPr>
              <w:t>Total (%)</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more in control of life</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24.6</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18.3</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42.9</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8.4</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18.0</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9.6</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14.1</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23.7</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16.3</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14.8</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45.2</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32.1</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11.1</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43.2</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35.8</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12.4</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8.6</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things are better for them and their family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25.3</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19.1</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44.5</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29.6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8.6</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17.3</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11.3</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16.1</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27.4</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18.6</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13.7</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40.3</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34.6</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14.8</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49.4</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33.3</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9.9</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7.4</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more control over money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30.8</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18.0</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48.8</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30.5</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5.5</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15.1</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13.4</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16.4</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29.9</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15.7</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11.9</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42.5</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36.6</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11.0</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47.6</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37.8</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8.5</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6.1</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not worried about money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21.9</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16.8</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38.6</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32.6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6.3</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22.5</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13.3</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13.3</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26.7</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18.5</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14.1</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40.7</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27.5</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7.5</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35.0</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30.0</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13.8</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21.3</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safer</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26.4</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20.5</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46.9</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31.4</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4.7</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17.0</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9.9</w:t>
            </w:r>
          </w:p>
        </w:tc>
        <w:tc>
          <w:tcPr>
            <w:tcW w:w="624"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15.2</w:t>
            </w:r>
          </w:p>
        </w:tc>
        <w:tc>
          <w:tcPr>
            <w:tcW w:w="964" w:type="dxa"/>
            <w:tcBorders>
              <w:top w:val="nil"/>
              <w:left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25.0</w:t>
            </w:r>
          </w:p>
        </w:tc>
        <w:tc>
          <w:tcPr>
            <w:tcW w:w="102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17.4</w:t>
            </w:r>
          </w:p>
        </w:tc>
        <w:tc>
          <w:tcPr>
            <w:tcW w:w="799"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15.2</w:t>
            </w:r>
          </w:p>
        </w:tc>
        <w:tc>
          <w:tcPr>
            <w:tcW w:w="70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42.4</w:t>
            </w:r>
          </w:p>
        </w:tc>
        <w:tc>
          <w:tcPr>
            <w:tcW w:w="70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40.2</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4.9</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45.1</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34.2</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11.0</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9.8</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t>Excludes ‘do not know’ and ‘not applicable’ responses.</w:t>
      </w:r>
      <w:r w:rsidRPr="00DF38B2">
        <w:t xml:space="preserve"> </w:t>
      </w:r>
    </w:p>
    <w:p w:rsidR="005E1FE0" w:rsidRDefault="005E1FE0" w:rsidP="006654AE">
      <w:pPr>
        <w:pStyle w:val="tablenotes"/>
      </w:pPr>
      <w:r w:rsidRPr="00DF38B2">
        <w:t xml:space="preserve">Source: </w:t>
      </w:r>
      <w:r w:rsidR="003E03B6">
        <w:tab/>
      </w:r>
      <w:r w:rsidRPr="00DF38B2">
        <w:t>LSNIM Wave 2</w:t>
      </w:r>
    </w:p>
    <w:p w:rsidR="003928BD" w:rsidRPr="00DF38B2" w:rsidRDefault="003928BD" w:rsidP="006654AE">
      <w:pPr>
        <w:pStyle w:val="tablefootnoteslastline"/>
      </w:pPr>
    </w:p>
    <w:p w:rsidR="005E1FE0" w:rsidRPr="00DF38B2" w:rsidRDefault="005E1FE0" w:rsidP="006654AE">
      <w:r w:rsidRPr="00DF38B2">
        <w:t>The same block of questions in the LSNIM also contained some potential negative aspects. These concerned the psychological/social impact of income management, and whether or not people felt discriminated against by having to go onto income management, whether they were embarrassed by being income managed and whether they felt it was not fair. The responses to these questions are shown in</w:t>
      </w:r>
      <w:r w:rsidR="000F06BF">
        <w:t xml:space="preserve"> </w:t>
      </w:r>
      <w:r w:rsidR="000F06BF">
        <w:fldChar w:fldCharType="begin"/>
      </w:r>
      <w:r w:rsidR="000F06BF">
        <w:instrText xml:space="preserve"> REF _Ref399792416 \h </w:instrText>
      </w:r>
      <w:r w:rsidR="000F06BF">
        <w:fldChar w:fldCharType="separate"/>
      </w:r>
      <w:r w:rsidR="00906D13" w:rsidRPr="00DF38B2">
        <w:t xml:space="preserve">Table </w:t>
      </w:r>
      <w:r w:rsidR="00906D13">
        <w:rPr>
          <w:noProof/>
        </w:rPr>
        <w:t>7</w:t>
      </w:r>
      <w:r w:rsidR="00906D13">
        <w:noBreakHyphen/>
      </w:r>
      <w:r w:rsidR="00906D13">
        <w:rPr>
          <w:noProof/>
        </w:rPr>
        <w:t>6</w:t>
      </w:r>
      <w:r w:rsidR="000F06BF">
        <w:fldChar w:fldCharType="end"/>
      </w:r>
      <w:r w:rsidRPr="00DF38B2">
        <w:t>.</w:t>
      </w:r>
    </w:p>
    <w:p w:rsidR="005E1FE0" w:rsidRPr="00DF38B2" w:rsidRDefault="005E1FE0" w:rsidP="006654AE">
      <w:r w:rsidRPr="00FE502F">
        <w:t xml:space="preserve">Consistent with the results of the first wave of the survey as reported in the </w:t>
      </w:r>
      <w:r w:rsidR="00292F40">
        <w:t>first report of the evaluation</w:t>
      </w:r>
      <w:r w:rsidRPr="00FE502F">
        <w:t>, the dominant feeling was one of unfairness. This was particular</w:t>
      </w:r>
      <w:r w:rsidRPr="009655C3">
        <w:t xml:space="preserve">ly marked among non-Indigenous respondents on compulsory measures. </w:t>
      </w:r>
      <w:r w:rsidR="00DD663A">
        <w:t>O</w:t>
      </w:r>
      <w:r w:rsidRPr="009655C3">
        <w:t>f respondents in this category</w:t>
      </w:r>
      <w:r w:rsidR="00DD663A">
        <w:t>,</w:t>
      </w:r>
      <w:r w:rsidRPr="009655C3">
        <w:t xml:space="preserve"> </w:t>
      </w:r>
      <w:r w:rsidR="00DD663A" w:rsidRPr="009655C3">
        <w:t xml:space="preserve">41.5 per cent </w:t>
      </w:r>
      <w:r w:rsidRPr="009655C3">
        <w:t>said that they had a sense of unfairness all of the time</w:t>
      </w:r>
      <w:r w:rsidR="00DD663A">
        <w:t>,</w:t>
      </w:r>
      <w:r w:rsidRPr="009655C3">
        <w:t xml:space="preserve"> with a further 15.6 per cent feeling this way most of the time. Indeed</w:t>
      </w:r>
      <w:r w:rsidR="00DD663A">
        <w:t>,</w:t>
      </w:r>
      <w:r w:rsidRPr="009655C3">
        <w:t xml:space="preserve"> only </w:t>
      </w:r>
      <w:r w:rsidR="003C1097">
        <w:t>19.3</w:t>
      </w:r>
      <w:r w:rsidRPr="009655C3">
        <w:t> per</w:t>
      </w:r>
      <w:r w:rsidRPr="00DF38B2">
        <w:t xml:space="preserve"> cent of this group responded that they never felt that it was unfair for them to be subject to income management</w:t>
      </w:r>
      <w:r w:rsidR="00A1421A">
        <w:t xml:space="preserve">. </w:t>
      </w:r>
      <w:proofErr w:type="gramStart"/>
      <w:r w:rsidRPr="00DF38B2">
        <w:t xml:space="preserve">As with </w:t>
      </w:r>
      <w:r w:rsidR="00DD663A">
        <w:t xml:space="preserve">the responses to </w:t>
      </w:r>
      <w:r w:rsidRPr="00DF38B2">
        <w:t>many other questions</w:t>
      </w:r>
      <w:r w:rsidR="00DD663A">
        <w:t>,</w:t>
      </w:r>
      <w:r w:rsidRPr="00DF38B2">
        <w:t xml:space="preserve"> the views of Indigenous people subject to the compulsory measure varied considerably by location.</w:t>
      </w:r>
      <w:proofErr w:type="gramEnd"/>
      <w:r w:rsidRPr="00DF38B2">
        <w:t xml:space="preserve"> Some 45.1 per cent of those living in the mainly urban and suburban locations of Darwin and Alice Springs reported that they felt a sense of unfairness all or most of the time, compared with 27.2 per cent of those in other locations.</w:t>
      </w:r>
    </w:p>
    <w:p w:rsidR="005E1FE0" w:rsidRPr="00DF38B2" w:rsidRDefault="005E1FE0" w:rsidP="006654AE">
      <w:pPr>
        <w:pStyle w:val="Caption"/>
      </w:pPr>
      <w:bookmarkStart w:id="438" w:name="_Ref399792416"/>
      <w:bookmarkStart w:id="439" w:name="_Ref390856149"/>
      <w:bookmarkStart w:id="440" w:name="_Toc403739468"/>
      <w:r w:rsidRPr="00DF38B2">
        <w:lastRenderedPageBreak/>
        <w:t xml:space="preserve">Table </w:t>
      </w:r>
      <w:fldSimple w:instr=" STYLEREF 1 \s ">
        <w:r w:rsidR="00906D13">
          <w:rPr>
            <w:noProof/>
          </w:rPr>
          <w:t>7</w:t>
        </w:r>
      </w:fldSimple>
      <w:r w:rsidR="00D40B64">
        <w:noBreakHyphen/>
      </w:r>
      <w:fldSimple w:instr=" SEQ Table \* ARABIC \s 1 ">
        <w:r w:rsidR="00906D13">
          <w:rPr>
            <w:noProof/>
          </w:rPr>
          <w:t>6</w:t>
        </w:r>
      </w:fldSimple>
      <w:bookmarkEnd w:id="438"/>
      <w:r w:rsidR="001D25DF">
        <w:tab/>
      </w:r>
      <w:bookmarkEnd w:id="439"/>
      <w:r w:rsidRPr="00DF38B2">
        <w:t xml:space="preserve">Frequency of feeling about aspects of life while subject to </w:t>
      </w:r>
      <w:r w:rsidR="005E4CAC">
        <w:t>income management</w:t>
      </w:r>
      <w:r w:rsidRPr="00DF38B2">
        <w:t>, negative outcomes</w:t>
      </w:r>
      <w:r w:rsidR="003E03B6">
        <w:t xml:space="preserve">, </w:t>
      </w:r>
      <w:r w:rsidR="003E03B6" w:rsidRPr="003C1097">
        <w:t>LSNIM, Wave 2, 2013</w:t>
      </w:r>
      <w:bookmarkEnd w:id="440"/>
    </w:p>
    <w:tbl>
      <w:tblPr>
        <w:tblW w:w="8943" w:type="dxa"/>
        <w:jc w:val="center"/>
        <w:tblLayout w:type="fixed"/>
        <w:tblLook w:val="04A0" w:firstRow="1" w:lastRow="0" w:firstColumn="1" w:lastColumn="0" w:noHBand="0" w:noVBand="1"/>
        <w:tblDescription w:val="This table reports on thee, whether a person felt “discriminated against”, “embarrassed” or that it was “not fair’ being on income management”.  These responses to these questions are presented in three horizontal panels in the table with data in each table being presented for three populations: Indigenous people on compulsory income management, non-Indigenous people on these measures, and all people on voluntary income management.&#10;The rows give the distribution of responses for these populations classified by whether they felt this way all the time; most of the time; a subtotal of these two categories and then the proportions reporting they felt this way sometimes, hardly ever or never. The last column gives the total which is 100 per cent for all rows.&#10;A number of the main findings are discussed in the text&#10;"/>
      </w:tblPr>
      <w:tblGrid>
        <w:gridCol w:w="1701"/>
        <w:gridCol w:w="1814"/>
        <w:gridCol w:w="567"/>
        <w:gridCol w:w="624"/>
        <w:gridCol w:w="992"/>
        <w:gridCol w:w="1033"/>
        <w:gridCol w:w="794"/>
        <w:gridCol w:w="709"/>
        <w:gridCol w:w="709"/>
      </w:tblGrid>
      <w:tr w:rsidR="00C9227A" w:rsidRPr="00DF38B2" w:rsidTr="00C9227A">
        <w:trPr>
          <w:trHeight w:val="20"/>
          <w:tblHeader/>
          <w:jc w:val="center"/>
        </w:trPr>
        <w:tc>
          <w:tcPr>
            <w:tcW w:w="1701" w:type="dxa"/>
            <w:tcBorders>
              <w:top w:val="single" w:sz="4" w:space="0" w:color="auto"/>
              <w:left w:val="nil"/>
              <w:bottom w:val="single" w:sz="4" w:space="0" w:color="auto"/>
              <w:right w:val="nil"/>
            </w:tcBorders>
          </w:tcPr>
          <w:p w:rsidR="00C9227A" w:rsidRPr="00DF38B2" w:rsidRDefault="00C9227A" w:rsidP="006654AE">
            <w:pPr>
              <w:pStyle w:val="tabletextleft"/>
              <w:rPr>
                <w:rFonts w:eastAsia="Times New Roman"/>
              </w:rPr>
            </w:pPr>
          </w:p>
        </w:tc>
        <w:tc>
          <w:tcPr>
            <w:tcW w:w="1814" w:type="dxa"/>
            <w:tcBorders>
              <w:top w:val="single" w:sz="4" w:space="0" w:color="auto"/>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p>
        </w:tc>
        <w:tc>
          <w:tcPr>
            <w:tcW w:w="567"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All</w:t>
            </w:r>
            <w:r>
              <w:rPr>
                <w:rFonts w:eastAsia="Times New Roman"/>
              </w:rPr>
              <w:t xml:space="preserve"> (%)</w:t>
            </w:r>
          </w:p>
        </w:tc>
        <w:tc>
          <w:tcPr>
            <w:tcW w:w="62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Most</w:t>
            </w:r>
            <w:r>
              <w:rPr>
                <w:rFonts w:eastAsia="Times New Roman"/>
              </w:rPr>
              <w:t xml:space="preserve"> (%)</w:t>
            </w:r>
          </w:p>
        </w:tc>
        <w:tc>
          <w:tcPr>
            <w:tcW w:w="99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i/>
                <w:iCs/>
              </w:rPr>
            </w:pPr>
            <w:r w:rsidRPr="00DF38B2">
              <w:rPr>
                <w:rFonts w:eastAsia="Times New Roman"/>
                <w:i/>
                <w:iCs/>
              </w:rPr>
              <w:t>Sub-total:</w:t>
            </w:r>
          </w:p>
          <w:p w:rsidR="00C9227A" w:rsidRPr="00DF38B2" w:rsidRDefault="00C9227A" w:rsidP="006654AE">
            <w:pPr>
              <w:pStyle w:val="tabletextright"/>
              <w:rPr>
                <w:rFonts w:eastAsia="Times New Roman"/>
                <w:i/>
                <w:iCs/>
              </w:rPr>
            </w:pPr>
            <w:r w:rsidRPr="00DF38B2">
              <w:rPr>
                <w:rFonts w:eastAsia="Times New Roman"/>
                <w:i/>
                <w:iCs/>
              </w:rPr>
              <w:t>All or Most</w:t>
            </w:r>
            <w:r>
              <w:rPr>
                <w:rFonts w:eastAsia="Times New Roman"/>
                <w:i/>
                <w:iCs/>
              </w:rPr>
              <w:t xml:space="preserve"> (%)</w:t>
            </w:r>
          </w:p>
        </w:tc>
        <w:tc>
          <w:tcPr>
            <w:tcW w:w="1033"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Sometimes</w:t>
            </w:r>
            <w:r>
              <w:rPr>
                <w:rFonts w:eastAsia="Times New Roman"/>
              </w:rPr>
              <w:t xml:space="preserve"> (%)</w:t>
            </w:r>
          </w:p>
        </w:tc>
        <w:tc>
          <w:tcPr>
            <w:tcW w:w="79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Hardly ever</w:t>
            </w:r>
            <w:r>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Never</w:t>
            </w:r>
            <w:r>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Pr>
                <w:rFonts w:eastAsia="Times New Roman"/>
              </w:rPr>
              <w:t>Total (%)</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discriminated against</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20.5</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7.9</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28.4</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30.5</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12.4</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28.7</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34.6</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8.8</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43.4</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30.2</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10.4</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3.9</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14.3</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18.2</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embarrassed</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20.2</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7.3</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27.5</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29.2</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12.3</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31.0</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11.8</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45.6</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19.9</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24.3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11.3</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2.5</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13.8</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32.5</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20.0</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that it is not fair</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25.8</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9.0</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34.8</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33.0</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11.4</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20.7</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6654AE">
            <w:pPr>
              <w:pStyle w:val="tabletext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41.5</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15.6</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57.0</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17.8</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5.9</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6654AE">
            <w:pPr>
              <w:pStyle w:val="tabletext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5.3</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18.4</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31.6</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19.7</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30.3</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003E03B6" w:rsidRPr="003E03B6">
        <w:t>Excludes ‘do not know’ and ‘not applicable’ responses</w:t>
      </w:r>
      <w:r w:rsidR="00DD663A">
        <w:t>.</w:t>
      </w:r>
    </w:p>
    <w:p w:rsidR="005E1FE0" w:rsidRDefault="005E1FE0" w:rsidP="006654AE">
      <w:pPr>
        <w:pStyle w:val="tablenotes"/>
        <w:keepNext w:val="0"/>
      </w:pPr>
      <w:r w:rsidRPr="00DF38B2">
        <w:t xml:space="preserve">Source: </w:t>
      </w:r>
      <w:r w:rsidR="003E03B6">
        <w:tab/>
      </w:r>
      <w:r w:rsidRPr="00DF38B2">
        <w:t>LSNIM Wave 2</w:t>
      </w:r>
      <w:r w:rsidR="00DD663A">
        <w:t>.</w:t>
      </w:r>
    </w:p>
    <w:p w:rsidR="003928BD" w:rsidRPr="00DF38B2" w:rsidRDefault="003928BD" w:rsidP="006654AE">
      <w:pPr>
        <w:pStyle w:val="tablefootnoteslastline"/>
      </w:pPr>
    </w:p>
    <w:p w:rsidR="005E1FE0" w:rsidRPr="00DF38B2" w:rsidRDefault="005E1FE0" w:rsidP="006654AE">
      <w:r w:rsidRPr="00DF38B2">
        <w:t>Another perspective on these questions can be considered in looking at the extent to which people never felt any of these negative experiences</w:t>
      </w:r>
      <w:r w:rsidR="00A1421A">
        <w:t xml:space="preserve">. </w:t>
      </w:r>
      <w:r w:rsidRPr="00DF38B2">
        <w:t>This varied from between just a third of those on Voluntary Income Management in response to the questions on discrimination and embarrassment, to fewer than 20 per</w:t>
      </w:r>
      <w:r w:rsidR="0014788B">
        <w:t xml:space="preserve"> </w:t>
      </w:r>
      <w:r w:rsidRPr="00DF38B2">
        <w:t>cent of non-Indigenous people subject to compulsory measures</w:t>
      </w:r>
      <w:r w:rsidR="00A1421A">
        <w:t xml:space="preserve">. </w:t>
      </w:r>
      <w:r w:rsidRPr="00DF38B2">
        <w:t xml:space="preserve">In many ways the first of these results is particularly surprising as it would suggest that while this group of people appear to have voluntarily chosen to go onto income management, the majority still </w:t>
      </w:r>
      <w:r w:rsidR="00DD663A" w:rsidRPr="00DF38B2">
        <w:t xml:space="preserve">at times </w:t>
      </w:r>
      <w:r w:rsidRPr="00DF38B2">
        <w:t>experience some negative sentiments about the program and its impact on their lives.</w:t>
      </w:r>
    </w:p>
    <w:p w:rsidR="005E1FE0" w:rsidRPr="00DF38B2" w:rsidRDefault="005E1FE0" w:rsidP="006654AE">
      <w:pPr>
        <w:pStyle w:val="Heading4"/>
      </w:pPr>
      <w:r w:rsidRPr="00DF38B2">
        <w:t>Perspectives of those who have exited the program</w:t>
      </w:r>
    </w:p>
    <w:p w:rsidR="005E1FE0" w:rsidRPr="00FE502F" w:rsidRDefault="005E1FE0" w:rsidP="006654AE">
      <w:r w:rsidRPr="00DF38B2">
        <w:t>Those people who had exited income management</w:t>
      </w:r>
      <w:r w:rsidR="00DD663A">
        <w:t xml:space="preserve"> –</w:t>
      </w:r>
      <w:r w:rsidRPr="00DF38B2">
        <w:t xml:space="preserve"> that is</w:t>
      </w:r>
      <w:r w:rsidR="00DD663A">
        <w:t>,</w:t>
      </w:r>
      <w:r w:rsidRPr="00DF38B2">
        <w:t xml:space="preserve"> those who were no longer subject to the measure</w:t>
      </w:r>
      <w:r w:rsidR="00DD663A">
        <w:t xml:space="preserve"> –</w:t>
      </w:r>
      <w:r w:rsidRPr="00DF38B2">
        <w:t xml:space="preserve"> were asked a series of questions which invited them to reflect upon their experience of being income managed. As was previously seen in </w:t>
      </w:r>
      <w:r w:rsidRPr="00DF38B2">
        <w:fldChar w:fldCharType="begin"/>
      </w:r>
      <w:r w:rsidRPr="00DF38B2">
        <w:instrText xml:space="preserve"> REF _Ref390806987 \h </w:instrText>
      </w:r>
      <w:r w:rsidRPr="00DF38B2">
        <w:fldChar w:fldCharType="separate"/>
      </w:r>
      <w:r w:rsidR="00906D13" w:rsidRPr="00DF38B2">
        <w:t xml:space="preserve">Table </w:t>
      </w:r>
      <w:r w:rsidR="00906D13">
        <w:rPr>
          <w:noProof/>
        </w:rPr>
        <w:t>7</w:t>
      </w:r>
      <w:r w:rsidR="00906D13">
        <w:noBreakHyphen/>
      </w:r>
      <w:r w:rsidR="00906D13">
        <w:rPr>
          <w:noProof/>
        </w:rPr>
        <w:t>4</w:t>
      </w:r>
      <w:r w:rsidRPr="00DF38B2">
        <w:fldChar w:fldCharType="end"/>
      </w:r>
      <w:r w:rsidRPr="00DF38B2">
        <w:t xml:space="preserve">, when compared to the population currently on income management, this group was somewhat more </w:t>
      </w:r>
      <w:r w:rsidRPr="00FE502F">
        <w:t>positive about the program.</w:t>
      </w:r>
    </w:p>
    <w:p w:rsidR="005E1FE0" w:rsidRPr="00DD663A" w:rsidRDefault="005E1FE0" w:rsidP="006654AE">
      <w:r w:rsidRPr="00DF38B2">
        <w:fldChar w:fldCharType="begin"/>
      </w:r>
      <w:r w:rsidRPr="00DF38B2">
        <w:instrText xml:space="preserve"> REF _Ref390857898 \h </w:instrText>
      </w:r>
      <w:r w:rsidRPr="00DF38B2">
        <w:fldChar w:fldCharType="separate"/>
      </w:r>
      <w:r w:rsidR="00906D13" w:rsidRPr="00DF38B2">
        <w:t xml:space="preserve">Figure </w:t>
      </w:r>
      <w:r w:rsidR="00906D13">
        <w:rPr>
          <w:noProof/>
        </w:rPr>
        <w:t>7</w:t>
      </w:r>
      <w:r w:rsidR="00906D13" w:rsidRPr="00DF38B2">
        <w:noBreakHyphen/>
      </w:r>
      <w:r w:rsidR="00906D13">
        <w:rPr>
          <w:noProof/>
        </w:rPr>
        <w:t>8</w:t>
      </w:r>
      <w:r w:rsidRPr="00DF38B2">
        <w:fldChar w:fldCharType="end"/>
      </w:r>
      <w:r w:rsidRPr="00DF38B2">
        <w:t xml:space="preserve"> and </w:t>
      </w:r>
      <w:r w:rsidRPr="00DF38B2">
        <w:fldChar w:fldCharType="begin"/>
      </w:r>
      <w:r w:rsidRPr="00DF38B2">
        <w:instrText xml:space="preserve"> REF _Ref390857850 \h </w:instrText>
      </w:r>
      <w:r w:rsidRPr="00DF38B2">
        <w:fldChar w:fldCharType="separate"/>
      </w:r>
      <w:r w:rsidR="00906D13" w:rsidRPr="00DF38B2">
        <w:t xml:space="preserve">Table </w:t>
      </w:r>
      <w:r w:rsidR="00906D13">
        <w:rPr>
          <w:noProof/>
        </w:rPr>
        <w:t>7</w:t>
      </w:r>
      <w:r w:rsidR="00906D13">
        <w:noBreakHyphen/>
      </w:r>
      <w:r w:rsidR="00906D13">
        <w:rPr>
          <w:noProof/>
        </w:rPr>
        <w:t>7</w:t>
      </w:r>
      <w:r w:rsidRPr="00DF38B2">
        <w:fldChar w:fldCharType="end"/>
      </w:r>
      <w:r w:rsidRPr="00DF38B2">
        <w:t xml:space="preserve"> present the results of four questions asked of this group – these were the extent to which they agreed with the statements </w:t>
      </w:r>
      <w:r w:rsidRPr="00DD663A">
        <w:t xml:space="preserve">“Income management was good for me”; “Income </w:t>
      </w:r>
      <w:r w:rsidR="005E4CAC">
        <w:t>m</w:t>
      </w:r>
      <w:r w:rsidRPr="00DD663A">
        <w:t>anagement was good for my children”; “Income management taught me</w:t>
      </w:r>
      <w:r w:rsidR="000F06BF">
        <w:t xml:space="preserve"> how to better manage my money”;</w:t>
      </w:r>
      <w:r w:rsidRPr="00DD663A">
        <w:t xml:space="preserve"> and “Income management made me change my behaviours (in a positive way)</w:t>
      </w:r>
      <w:r w:rsidR="00DD663A">
        <w:t>.</w:t>
      </w:r>
      <w:r w:rsidRPr="00DD663A">
        <w:t xml:space="preserve">” </w:t>
      </w:r>
    </w:p>
    <w:p w:rsidR="005E1FE0" w:rsidRPr="00DD663A" w:rsidRDefault="005E1FE0" w:rsidP="006654AE">
      <w:r w:rsidRPr="00DF38B2">
        <w:t xml:space="preserve">Two particular features of responses to these questions are apparent in </w:t>
      </w:r>
      <w:r w:rsidRPr="00DF38B2">
        <w:fldChar w:fldCharType="begin"/>
      </w:r>
      <w:r w:rsidRPr="00DF38B2">
        <w:instrText xml:space="preserve"> REF _Ref390555206 \h </w:instrText>
      </w:r>
      <w:r w:rsidRPr="00DF38B2">
        <w:fldChar w:fldCharType="separate"/>
      </w:r>
      <w:r w:rsidR="00906D13" w:rsidRPr="00DF38B2">
        <w:t xml:space="preserve">Table </w:t>
      </w:r>
      <w:r w:rsidR="00906D13">
        <w:rPr>
          <w:noProof/>
        </w:rPr>
        <w:t>7</w:t>
      </w:r>
      <w:r w:rsidR="00906D13">
        <w:noBreakHyphen/>
      </w:r>
      <w:r w:rsidR="00906D13">
        <w:rPr>
          <w:noProof/>
        </w:rPr>
        <w:t>8</w:t>
      </w:r>
      <w:r w:rsidRPr="00DF38B2">
        <w:fldChar w:fldCharType="end"/>
      </w:r>
      <w:r w:rsidR="00A1421A">
        <w:t xml:space="preserve">. </w:t>
      </w:r>
      <w:r w:rsidRPr="00DF38B2">
        <w:t>The first is that the results are quite polarised, with significant numbers both agreeing and disagreeing with each of the statements, indicative of there being little agreement about, or alternatively quite div</w:t>
      </w:r>
      <w:r w:rsidRPr="00FE502F">
        <w:t>erse experiences of, the program</w:t>
      </w:r>
      <w:r w:rsidR="00A1421A">
        <w:t xml:space="preserve">. </w:t>
      </w:r>
      <w:r w:rsidRPr="00FE502F">
        <w:t>The second, somewhat more subt</w:t>
      </w:r>
      <w:r w:rsidRPr="009655C3">
        <w:t xml:space="preserve">le feature is that while most people were willing to venture a perspective, with very few providing the neutral </w:t>
      </w:r>
      <w:r w:rsidRPr="00DD663A">
        <w:t>“Neither agree nor disagree”</w:t>
      </w:r>
      <w:r w:rsidRPr="00DF38B2">
        <w:t xml:space="preserve"> answer, there was, in a similar way to the questions about the appropriateness and value of income management as a program for welfare recipients, a relatively very low level of </w:t>
      </w:r>
      <w:r w:rsidRPr="00DD663A">
        <w:t>“strong agreement”</w:t>
      </w:r>
      <w:r w:rsidRPr="00DF38B2">
        <w:t xml:space="preserve"> response to any of the statements. That is, to the extent people feel positively they do so in a relatively lukewarm way. In contrast, while people who disagreed </w:t>
      </w:r>
      <w:r w:rsidR="00DD663A" w:rsidRPr="00DF38B2">
        <w:t xml:space="preserve">again </w:t>
      </w:r>
      <w:r w:rsidRPr="00DF38B2">
        <w:t xml:space="preserve">tended to use the more limited </w:t>
      </w:r>
      <w:r w:rsidRPr="00DD663A">
        <w:t>“Disagree” response, the number of “Strongly disagree” responses was much more apparent.</w:t>
      </w:r>
    </w:p>
    <w:p w:rsidR="005E1FE0" w:rsidRDefault="005E1FE0" w:rsidP="006654AE">
      <w:pPr>
        <w:pStyle w:val="Caption"/>
      </w:pPr>
      <w:bookmarkStart w:id="441" w:name="_Ref390857898"/>
      <w:bookmarkStart w:id="442" w:name="_Toc40373955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7</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441"/>
      <w:r w:rsidR="001D25DF">
        <w:tab/>
      </w:r>
      <w:r w:rsidRPr="00DF38B2">
        <w:t xml:space="preserve">Persons who have exited </w:t>
      </w:r>
      <w:r w:rsidR="00805646">
        <w:t xml:space="preserve">Compulsory </w:t>
      </w:r>
      <w:r w:rsidRPr="00DF38B2">
        <w:t>Income Management, reflections on impact of being on the program</w:t>
      </w:r>
      <w:r w:rsidR="002451CB">
        <w:t>,</w:t>
      </w:r>
      <w:r w:rsidR="002451CB" w:rsidRPr="002451CB">
        <w:t xml:space="preserve"> </w:t>
      </w:r>
      <w:r w:rsidR="002451CB" w:rsidRPr="003C1097">
        <w:t>LSNIM, Wave 2, 2013</w:t>
      </w:r>
      <w:bookmarkEnd w:id="442"/>
    </w:p>
    <w:p w:rsidR="009019C3" w:rsidRPr="009019C3" w:rsidRDefault="009019C3" w:rsidP="006654AE">
      <w:pPr>
        <w:jc w:val="center"/>
      </w:pPr>
      <w:r w:rsidRPr="009019C3">
        <w:rPr>
          <w:noProof/>
        </w:rPr>
        <w:drawing>
          <wp:inline distT="0" distB="0" distL="0" distR="0" wp14:anchorId="65908917" wp14:editId="74E8201A">
            <wp:extent cx="4632960" cy="2632075"/>
            <wp:effectExtent l="0" t="0" r="0" b="0"/>
            <wp:docPr id="163" name="Picture 163" descr="This bar chart shows the distribution of responses to two statements on whether income management taught people how to better manage their money or made them change their behaviours.  The response categories were:  Agree strongly /Agree /Neither Agree or Disagree /Disagree /Disagree strongly.&#10;Using this order of responses the distribution of responses were:&#10;Taught me how to better manage my money 5.5 /29.1 /10.5 /33.5 /21.1&#10;Change behaviours 2 /24.4 /16.3 /32.6 /24.4.&#10;The data is further discussed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32960" cy="2632075"/>
                    </a:xfrm>
                    <a:prstGeom prst="rect">
                      <a:avLst/>
                    </a:prstGeom>
                    <a:noFill/>
                    <a:ln>
                      <a:noFill/>
                    </a:ln>
                  </pic:spPr>
                </pic:pic>
              </a:graphicData>
            </a:graphic>
          </wp:inline>
        </w:drawing>
      </w:r>
    </w:p>
    <w:p w:rsidR="009019C3" w:rsidRPr="00DF38B2" w:rsidRDefault="009019C3" w:rsidP="006654AE">
      <w:pPr>
        <w:pStyle w:val="tablenotes"/>
      </w:pPr>
      <w:r w:rsidRPr="00DF38B2">
        <w:t xml:space="preserve">Note: </w:t>
      </w:r>
      <w:r>
        <w:tab/>
      </w:r>
      <w:r w:rsidRPr="00DF38B2">
        <w:t>Excludes “Do not know” and “Prefer not to say”</w:t>
      </w:r>
      <w:r>
        <w:t xml:space="preserve"> responses.</w:t>
      </w:r>
    </w:p>
    <w:p w:rsidR="005E1FE0" w:rsidRPr="00DF38B2" w:rsidRDefault="009019C3" w:rsidP="006654AE">
      <w:pPr>
        <w:pStyle w:val="tablenotes"/>
        <w:spacing w:after="360"/>
      </w:pPr>
      <w:r w:rsidRPr="00DF38B2">
        <w:t xml:space="preserve">Source: </w:t>
      </w:r>
      <w:r>
        <w:tab/>
      </w:r>
      <w:r w:rsidRPr="00DF38B2">
        <w:t>LSNIM Wave 2</w:t>
      </w:r>
      <w:r>
        <w:t>.</w:t>
      </w:r>
    </w:p>
    <w:p w:rsidR="005E1FE0" w:rsidRPr="00DF38B2" w:rsidRDefault="005E1FE0" w:rsidP="006654AE">
      <w:r w:rsidRPr="00DF38B2">
        <w:t xml:space="preserve">Taking the first statement </w:t>
      </w:r>
      <w:r w:rsidRPr="00DD663A">
        <w:t>“Income management was good for me”,</w:t>
      </w:r>
      <w:r w:rsidRPr="00DF38B2">
        <w:t xml:space="preserve"> 35.8 per cent of Indigenous and 34.0 per cent of non-Indigenous people who had exited income management expressed agreement</w:t>
      </w:r>
      <w:r w:rsidR="00DD663A">
        <w:t>,</w:t>
      </w:r>
      <w:r w:rsidRPr="00DF38B2">
        <w:t xml:space="preserve"> although fewer than 10 per cent strongly agreed</w:t>
      </w:r>
      <w:r w:rsidR="00A1421A">
        <w:t xml:space="preserve">. </w:t>
      </w:r>
      <w:r w:rsidRPr="00DF38B2">
        <w:t>These proportions were very markedly outweighed by the 52.8 per cent of Indigenous and 54.7 per cent of non-Indigenous respondents who disagreed with the statement</w:t>
      </w:r>
      <w:r w:rsidR="00A1421A">
        <w:t xml:space="preserve">. </w:t>
      </w:r>
      <w:r w:rsidRPr="00DF38B2">
        <w:t>This group included a quarter of Indigenous and 20 per cent of non-Indigenous respondents who strongly disagreed.</w:t>
      </w:r>
    </w:p>
    <w:p w:rsidR="005E1FE0" w:rsidRPr="00DF38B2" w:rsidRDefault="005E1FE0" w:rsidP="006654AE">
      <w:pPr>
        <w:pStyle w:val="Caption"/>
      </w:pPr>
      <w:bookmarkStart w:id="443" w:name="_Ref390857850"/>
      <w:bookmarkStart w:id="444" w:name="_Toc403739469"/>
      <w:r w:rsidRPr="00DF38B2">
        <w:t xml:space="preserve">Table </w:t>
      </w:r>
      <w:fldSimple w:instr=" STYLEREF 1 \s ">
        <w:r w:rsidR="00906D13">
          <w:rPr>
            <w:noProof/>
          </w:rPr>
          <w:t>7</w:t>
        </w:r>
      </w:fldSimple>
      <w:r w:rsidR="00D40B64">
        <w:noBreakHyphen/>
      </w:r>
      <w:fldSimple w:instr=" SEQ Table \* ARABIC \s 1 ">
        <w:r w:rsidR="00906D13">
          <w:rPr>
            <w:noProof/>
          </w:rPr>
          <w:t>7</w:t>
        </w:r>
      </w:fldSimple>
      <w:bookmarkEnd w:id="443"/>
      <w:r w:rsidRPr="00DF38B2">
        <w:tab/>
        <w:t xml:space="preserve">Persons who have exited </w:t>
      </w:r>
      <w:r w:rsidR="00805646">
        <w:t xml:space="preserve">Compulsory </w:t>
      </w:r>
      <w:r w:rsidRPr="00DF38B2">
        <w:t>Income Management, reflections on impact of being on the program</w:t>
      </w:r>
      <w:r w:rsidR="003E03B6">
        <w:t xml:space="preserve">, </w:t>
      </w:r>
      <w:r w:rsidR="003E03B6" w:rsidRPr="003C1097">
        <w:t>LSNIM, Wave 2, 2013</w:t>
      </w:r>
      <w:bookmarkEnd w:id="444"/>
    </w:p>
    <w:tbl>
      <w:tblPr>
        <w:tblW w:w="8427" w:type="dxa"/>
        <w:jc w:val="center"/>
        <w:tblLook w:val="04A0" w:firstRow="1" w:lastRow="0" w:firstColumn="1" w:lastColumn="0" w:noHBand="0" w:noVBand="1"/>
        <w:tblDescription w:val="This table discussed responses to 4 questions in the LSNIM – which were the extent to which this population of people who had exited compulsory income management agreed with the following statements: “Income management was good for me”, “Income Management was good for my children”; “Income management taught me how to better manage my money” and “Income management made me change my behaviours”. These questions form four horizontal panels to the table with each of these panels containing a row for the response by Indigenous people and one for non-Indigenous.&#10;The column headings provide for the extent of agreement with five categories ranging from “agree strongly” to “disagree strongly” with the table giving the distribution of people across these responses, with the final column showing the total which is 100 per cent in all cases.&#10;The major findings are reported in the text.&#10;"/>
      </w:tblPr>
      <w:tblGrid>
        <w:gridCol w:w="2071"/>
        <w:gridCol w:w="1417"/>
        <w:gridCol w:w="828"/>
        <w:gridCol w:w="851"/>
        <w:gridCol w:w="852"/>
        <w:gridCol w:w="852"/>
        <w:gridCol w:w="852"/>
        <w:gridCol w:w="704"/>
      </w:tblGrid>
      <w:tr w:rsidR="00C9227A" w:rsidRPr="00DF38B2" w:rsidTr="002C3738">
        <w:trPr>
          <w:trHeight w:val="20"/>
          <w:tblHeader/>
          <w:jc w:val="center"/>
        </w:trPr>
        <w:tc>
          <w:tcPr>
            <w:tcW w:w="2071" w:type="dxa"/>
            <w:tcBorders>
              <w:top w:val="single" w:sz="4" w:space="0" w:color="auto"/>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single" w:sz="4" w:space="0" w:color="auto"/>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p>
        </w:tc>
        <w:tc>
          <w:tcPr>
            <w:tcW w:w="828"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Agree strongly</w:t>
            </w:r>
            <w:r>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proofErr w:type="gramStart"/>
            <w:r w:rsidRPr="00DF38B2">
              <w:rPr>
                <w:rFonts w:eastAsia="Times New Roman"/>
              </w:rPr>
              <w:t>Neither Agree or</w:t>
            </w:r>
            <w:proofErr w:type="gramEnd"/>
            <w:r w:rsidRPr="00DF38B2">
              <w:rPr>
                <w:rFonts w:eastAsia="Times New Roman"/>
              </w:rPr>
              <w:t xml:space="preserve"> 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Disagree strongly</w:t>
            </w:r>
            <w:r>
              <w:rPr>
                <w:rFonts w:eastAsia="Times New Roman"/>
              </w:rPr>
              <w:t xml:space="preserve"> (%)</w:t>
            </w:r>
          </w:p>
        </w:tc>
        <w:tc>
          <w:tcPr>
            <w:tcW w:w="70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Pr>
                <w:rFonts w:eastAsia="Times New Roman"/>
              </w:rPr>
              <w:t>Total (%)</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2C3738" w:rsidP="00C9227A">
            <w:pPr>
              <w:pStyle w:val="tabletextleft"/>
              <w:jc w:val="left"/>
              <w:rPr>
                <w:rFonts w:eastAsia="Times New Roman"/>
              </w:rPr>
            </w:pPr>
            <w:r>
              <w:rPr>
                <w:rFonts w:eastAsia="Times New Roman"/>
              </w:rPr>
              <w:t xml:space="preserve">Extent people agreed: </w:t>
            </w:r>
            <w:r w:rsidR="00C9227A">
              <w:rPr>
                <w:rFonts w:eastAsia="Times New Roman"/>
              </w:rPr>
              <w:t>income management was good for me</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9.4</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26.4</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28.3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24.5</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5.7</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28.3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34.9</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19.8</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Extent people agreed: income management was good for my children</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43.3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30.0</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13.3</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8.8</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32.4</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11.8</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29.4</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17.6</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Extent people agreed: income management taught me how to better manage my money</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5.8</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38.5</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7.7</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23.1</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25.0</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5.7</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24.5</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39.6</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18.9</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2C3738" w:rsidRPr="00DF38B2" w:rsidTr="002C3738">
        <w:trPr>
          <w:trHeight w:val="20"/>
          <w:jc w:val="center"/>
        </w:trPr>
        <w:tc>
          <w:tcPr>
            <w:tcW w:w="2071" w:type="dxa"/>
            <w:vMerge w:val="restart"/>
            <w:tcBorders>
              <w:top w:val="single" w:sz="4" w:space="0" w:color="auto"/>
              <w:left w:val="nil"/>
              <w:right w:val="nil"/>
            </w:tcBorders>
          </w:tcPr>
          <w:p w:rsidR="002C3738" w:rsidRPr="00DF38B2" w:rsidRDefault="002C3738" w:rsidP="00C9227A">
            <w:pPr>
              <w:pStyle w:val="tabletextleft"/>
              <w:jc w:val="left"/>
              <w:rPr>
                <w:rFonts w:eastAsia="Times New Roman"/>
              </w:rPr>
            </w:pPr>
            <w:r>
              <w:rPr>
                <w:rFonts w:eastAsia="Times New Roman"/>
              </w:rPr>
              <w:t>Extent people agreed: income management made me change my behaviours</w:t>
            </w:r>
          </w:p>
        </w:tc>
        <w:tc>
          <w:tcPr>
            <w:tcW w:w="1417" w:type="dxa"/>
            <w:tcBorders>
              <w:top w:val="single" w:sz="4" w:space="0" w:color="auto"/>
              <w:left w:val="nil"/>
              <w:right w:val="nil"/>
            </w:tcBorders>
            <w:shd w:val="clear" w:color="auto" w:fill="auto"/>
            <w:noWrap/>
            <w:hideMark/>
          </w:tcPr>
          <w:p w:rsidR="002C3738" w:rsidRPr="00DF38B2" w:rsidRDefault="002C3738"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2.0</w:t>
            </w:r>
          </w:p>
        </w:tc>
        <w:tc>
          <w:tcPr>
            <w:tcW w:w="851"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28.6</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24.5</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16.3</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28.6</w:t>
            </w:r>
          </w:p>
        </w:tc>
        <w:tc>
          <w:tcPr>
            <w:tcW w:w="704"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100.0</w:t>
            </w:r>
          </w:p>
        </w:tc>
      </w:tr>
      <w:tr w:rsidR="002C3738" w:rsidRPr="00DF38B2" w:rsidTr="002C3738">
        <w:trPr>
          <w:trHeight w:val="20"/>
          <w:jc w:val="center"/>
        </w:trPr>
        <w:tc>
          <w:tcPr>
            <w:tcW w:w="2071" w:type="dxa"/>
            <w:vMerge/>
            <w:tcBorders>
              <w:left w:val="nil"/>
              <w:bottom w:val="single" w:sz="4" w:space="0" w:color="auto"/>
              <w:right w:val="nil"/>
            </w:tcBorders>
          </w:tcPr>
          <w:p w:rsidR="002C3738" w:rsidRPr="00DF38B2" w:rsidRDefault="002C3738"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2C3738" w:rsidRPr="00DF38B2" w:rsidRDefault="002C3738"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2.1</w:t>
            </w:r>
          </w:p>
        </w:tc>
        <w:tc>
          <w:tcPr>
            <w:tcW w:w="851"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22.9</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11.5</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41.7</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21.9</w:t>
            </w:r>
          </w:p>
        </w:tc>
        <w:tc>
          <w:tcPr>
            <w:tcW w:w="704"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Excludes “Do not know”, “Prefer not to say” and where relevant “Not applicable”</w:t>
      </w:r>
      <w:r w:rsidR="003E03B6">
        <w:t xml:space="preserve"> responses</w:t>
      </w:r>
      <w:r w:rsidR="00972F62">
        <w:t>.</w:t>
      </w:r>
    </w:p>
    <w:p w:rsidR="005E1FE0" w:rsidRDefault="005E1FE0" w:rsidP="006654AE">
      <w:pPr>
        <w:pStyle w:val="tablenotes"/>
      </w:pPr>
      <w:r w:rsidRPr="00DF38B2">
        <w:t xml:space="preserve">Source: </w:t>
      </w:r>
      <w:r w:rsidR="003E03B6">
        <w:tab/>
      </w:r>
      <w:r w:rsidRPr="00DF38B2">
        <w:t>LSNIM Wave 2</w:t>
      </w:r>
      <w:r w:rsidR="00972F62">
        <w:t>.</w:t>
      </w:r>
    </w:p>
    <w:p w:rsidR="003928BD" w:rsidRPr="00DF38B2" w:rsidRDefault="003928BD" w:rsidP="006654AE">
      <w:pPr>
        <w:pStyle w:val="tablefootnoteslastline"/>
      </w:pPr>
    </w:p>
    <w:p w:rsidR="005E1FE0" w:rsidRPr="00DF38B2" w:rsidRDefault="005E1FE0" w:rsidP="006654AE">
      <w:r w:rsidRPr="00DF38B2">
        <w:t xml:space="preserve">The second question, </w:t>
      </w:r>
      <w:r w:rsidR="00972F62">
        <w:t>concerning</w:t>
      </w:r>
      <w:r w:rsidRPr="00DF38B2">
        <w:t xml:space="preserve"> income management being good for the person’s children, recorded from the much smaller group of respondents for whom the question was relevant, </w:t>
      </w:r>
      <w:r w:rsidR="00B0466C" w:rsidRPr="00DF38B2">
        <w:t xml:space="preserve">obtained </w:t>
      </w:r>
      <w:r w:rsidRPr="00DF38B2">
        <w:t xml:space="preserve">the most positive of any of the responses. While again only a small group, 10.0 per cent of Indigenous and 8.8 per cent of non-Indigenous </w:t>
      </w:r>
      <w:r w:rsidR="00972F62">
        <w:t xml:space="preserve">respondents </w:t>
      </w:r>
      <w:r w:rsidRPr="00DF38B2">
        <w:t>strongly agreed with the statement</w:t>
      </w:r>
      <w:r w:rsidR="00A1421A">
        <w:t xml:space="preserve">. </w:t>
      </w:r>
      <w:r w:rsidRPr="00DF38B2">
        <w:t>Overall</w:t>
      </w:r>
      <w:r w:rsidR="00972F62">
        <w:t>,</w:t>
      </w:r>
      <w:r w:rsidRPr="00DF38B2">
        <w:t xml:space="preserve"> 53.3 per cent of Indigenous and 41.2 per cent of non-Indigenous LSNIM respondents who had exited income management agreed to some </w:t>
      </w:r>
      <w:r w:rsidRPr="00DF38B2">
        <w:lastRenderedPageBreak/>
        <w:t>extent. While in the case of non-Indigenous respondents this proportion was outweighed by the 47.</w:t>
      </w:r>
      <w:r w:rsidR="00805646">
        <w:t>1</w:t>
      </w:r>
      <w:r w:rsidRPr="00DF38B2">
        <w:t> per cent who disagreed, this was not the case for Indigenous respondents</w:t>
      </w:r>
      <w:r w:rsidR="00972F62">
        <w:t>,</w:t>
      </w:r>
      <w:r w:rsidRPr="00DF38B2">
        <w:t xml:space="preserve"> where a lesser 43.3 per cent did so.</w:t>
      </w:r>
    </w:p>
    <w:p w:rsidR="005E1FE0" w:rsidRPr="00DF38B2" w:rsidRDefault="005E1FE0" w:rsidP="006654AE">
      <w:r w:rsidRPr="00DF38B2">
        <w:t>In response to the third question, while again a solid group of respondents gave a response indicating that they believed income management taught them how to better manage money, this was outweighed by the proportion disagreeing. In the case of Indigenous respondents the relative proportions were 44.3 per cent agreeing and 48.1 per cent disagreeing. Amongst non-Indigenous respondents the proportion was 30.2 per cent relative to 58.5 per cent</w:t>
      </w:r>
      <w:r w:rsidR="00A1421A">
        <w:t xml:space="preserve">. </w:t>
      </w:r>
    </w:p>
    <w:p w:rsidR="005E1FE0" w:rsidRPr="00DF38B2" w:rsidRDefault="005E1FE0" w:rsidP="006654AE">
      <w:r w:rsidRPr="00DF38B2">
        <w:t>The lowest level of agreement with any of the statements was recorded in response to the question asking about whether income management led the person to change their behaviours</w:t>
      </w:r>
      <w:r w:rsidR="00A1421A">
        <w:t xml:space="preserve">. </w:t>
      </w:r>
      <w:r w:rsidRPr="00DF38B2">
        <w:t>Just two per</w:t>
      </w:r>
      <w:r w:rsidR="0014788B">
        <w:t xml:space="preserve"> </w:t>
      </w:r>
      <w:r w:rsidRPr="00DF38B2">
        <w:t>cent of the respondents to the LSNIM who had exited income management strongly agreed with this statement</w:t>
      </w:r>
      <w:r w:rsidR="00972F62">
        <w:t>,</w:t>
      </w:r>
      <w:r w:rsidRPr="00DF38B2">
        <w:t xml:space="preserve"> </w:t>
      </w:r>
      <w:r w:rsidR="00972F62">
        <w:t>while</w:t>
      </w:r>
      <w:r w:rsidRPr="00DF38B2">
        <w:t xml:space="preserve"> in total only 30.6 per cent of Indigenous and 25.0 per cent of non-Indigenous respondents did so. These were well outweighed by the 44.9 per cent and 63.6 per cent respectively who disagreed. </w:t>
      </w:r>
    </w:p>
    <w:p w:rsidR="005E1FE0" w:rsidRPr="00DF38B2" w:rsidRDefault="005E1FE0" w:rsidP="006654AE">
      <w:pPr>
        <w:pStyle w:val="Heading3"/>
      </w:pPr>
      <w:bookmarkStart w:id="445" w:name="_Toc403739068"/>
      <w:r w:rsidRPr="00DF38B2">
        <w:t>Summary of views and experiences as identified in the LSNIM</w:t>
      </w:r>
      <w:bookmarkEnd w:id="445"/>
    </w:p>
    <w:p w:rsidR="005E1FE0" w:rsidRPr="00DF38B2" w:rsidRDefault="005E1FE0" w:rsidP="006654AE">
      <w:r w:rsidRPr="00DF38B2">
        <w:t>As presented</w:t>
      </w:r>
      <w:r w:rsidR="00972F62">
        <w:t>,</w:t>
      </w:r>
      <w:r w:rsidRPr="00DF38B2">
        <w:t xml:space="preserve"> there is a marked diversity of views and experiences amongst the population subject to income management</w:t>
      </w:r>
      <w:r w:rsidR="00A1421A">
        <w:t xml:space="preserve">. </w:t>
      </w:r>
      <w:r w:rsidRPr="00DF38B2">
        <w:t>While for some it is a positive experience</w:t>
      </w:r>
      <w:r w:rsidR="00972F62">
        <w:t>,</w:t>
      </w:r>
      <w:r w:rsidRPr="00DF38B2">
        <w:t xml:space="preserve"> which they believe has enabled them to better manage their lives</w:t>
      </w:r>
      <w:r w:rsidR="00972F62">
        <w:t>,</w:t>
      </w:r>
      <w:r w:rsidRPr="00DF38B2">
        <w:t xml:space="preserve"> and for some from which they have learnt new skills, for others this is not the case. Rather, they see the program </w:t>
      </w:r>
      <w:r w:rsidR="00972F62">
        <w:t xml:space="preserve">as </w:t>
      </w:r>
      <w:r w:rsidRPr="00DF38B2">
        <w:t>having little real direct impact on their ability to manage their lives, and indeed one which at times impedes their capacity to do so</w:t>
      </w:r>
      <w:r w:rsidR="00A1421A">
        <w:t xml:space="preserve">. </w:t>
      </w:r>
      <w:r w:rsidRPr="00DF38B2">
        <w:t>In doing so the program also imposes costs on the group, building a sense of unfairness, of being discriminated against</w:t>
      </w:r>
      <w:r w:rsidR="00972F62">
        <w:t>,</w:t>
      </w:r>
      <w:r w:rsidRPr="00DF38B2">
        <w:t xml:space="preserve"> and embarrassment as they go about their daily activities.</w:t>
      </w:r>
    </w:p>
    <w:p w:rsidR="005E1FE0" w:rsidRPr="00DF38B2" w:rsidRDefault="005E1FE0" w:rsidP="006654AE">
      <w:r w:rsidRPr="00DF38B2">
        <w:t xml:space="preserve">To the extent there are positive sentiments from many, these frequently reflect not so much a sentiment of the program assisting them to change their lives and build their skills, but rather that the program has made their life easier. Reflecting this, this group shows little desire ever </w:t>
      </w:r>
      <w:r w:rsidR="00972F62" w:rsidRPr="00DF38B2">
        <w:t xml:space="preserve">to </w:t>
      </w:r>
      <w:r w:rsidRPr="00DF38B2">
        <w:t>move off income management, and indeed shows fear of the adjustments they would be required to make if they were to take responsibility for managing their funds themselves.</w:t>
      </w:r>
    </w:p>
    <w:p w:rsidR="005E1FE0" w:rsidRPr="00DF38B2" w:rsidRDefault="005E1FE0" w:rsidP="006654AE">
      <w:r w:rsidRPr="00DF38B2">
        <w:t>At a broader level the responses were frequently, but not always, tempered with some tepidity</w:t>
      </w:r>
      <w:r w:rsidR="00A1421A">
        <w:t xml:space="preserve">. </w:t>
      </w:r>
      <w:r w:rsidRPr="00DF38B2">
        <w:t>This was most frequently seen in the absence of strong agreement or disagreement with responses to many of the questions, especially where these were cast about the program as a whole.</w:t>
      </w:r>
    </w:p>
    <w:p w:rsidR="005E1FE0" w:rsidRPr="00DF38B2" w:rsidRDefault="005E1FE0" w:rsidP="006654AE">
      <w:pPr>
        <w:pStyle w:val="Heading2"/>
      </w:pPr>
      <w:bookmarkStart w:id="446" w:name="_Ref390788348"/>
      <w:bookmarkStart w:id="447" w:name="_Toc403739069"/>
      <w:r w:rsidRPr="00DF38B2">
        <w:t>Changes in outcomes and attitudes</w:t>
      </w:r>
      <w:bookmarkEnd w:id="446"/>
      <w:bookmarkEnd w:id="447"/>
    </w:p>
    <w:p w:rsidR="005E1FE0" w:rsidRPr="00DF38B2" w:rsidRDefault="005E1FE0" w:rsidP="006654AE">
      <w:r w:rsidRPr="00DF38B2">
        <w:t>The final, and perhaps most significant question from an evaluation perspective, is the extent to which the outcomes of individuals and the communities in which they live were impacted on by income management</w:t>
      </w:r>
      <w:r w:rsidR="00A1421A">
        <w:t xml:space="preserve">. </w:t>
      </w:r>
    </w:p>
    <w:p w:rsidR="005E1FE0" w:rsidRPr="00DF38B2" w:rsidRDefault="005E1FE0" w:rsidP="006654AE">
      <w:r w:rsidRPr="00DF38B2">
        <w:t>The longitudinal nature of the LSNIM allows this analysis to be based upon a comparison of changes in the responses recorded in 2011 and in 2013. For this analysis the focus is on the groups who have continued to be subject to income management in both waves of the survey</w:t>
      </w:r>
      <w:r w:rsidR="00A1421A">
        <w:t xml:space="preserve">. </w:t>
      </w:r>
      <w:r w:rsidRPr="00DF38B2">
        <w:t xml:space="preserve">The reason for this approach is that </w:t>
      </w:r>
      <w:r w:rsidR="003C307F">
        <w:t>it is difficult to attribute any changes in</w:t>
      </w:r>
      <w:r w:rsidRPr="00DF38B2">
        <w:t xml:space="preserve"> outcomes for those who have exited the program </w:t>
      </w:r>
      <w:r w:rsidR="003C307F">
        <w:t xml:space="preserve">to income management. While in some cases the change may reflect, at least in part, </w:t>
      </w:r>
      <w:r w:rsidRPr="00DF38B2">
        <w:t>their experience on the program,</w:t>
      </w:r>
      <w:r w:rsidR="003C307F">
        <w:t xml:space="preserve"> in many other cases it is more likely that the key factors will relate to their experience after (or indeed their reason for) exiting the program </w:t>
      </w:r>
      <w:r w:rsidRPr="00DF38B2">
        <w:t xml:space="preserve">including </w:t>
      </w:r>
      <w:r w:rsidR="003C307F">
        <w:t>for example gaining</w:t>
      </w:r>
      <w:r w:rsidRPr="00DF38B2">
        <w:t xml:space="preserve"> employment, </w:t>
      </w:r>
      <w:r w:rsidR="003C307F">
        <w:t>and the higher income associated with this</w:t>
      </w:r>
      <w:r w:rsidR="00A1421A">
        <w:t xml:space="preserve">. </w:t>
      </w:r>
    </w:p>
    <w:p w:rsidR="005E1FE0" w:rsidRPr="00DF38B2" w:rsidRDefault="005E1FE0" w:rsidP="006654AE">
      <w:r w:rsidRPr="00DF38B2">
        <w:t>Three sets of outcomes are considered here:</w:t>
      </w:r>
    </w:p>
    <w:p w:rsidR="005E1FE0" w:rsidRPr="00DF38B2" w:rsidRDefault="005E1FE0" w:rsidP="006654AE">
      <w:pPr>
        <w:pStyle w:val="dot"/>
      </w:pPr>
      <w:r w:rsidRPr="00DF38B2">
        <w:t>The incidence of adverse behaviours at the personal level within the close family</w:t>
      </w:r>
      <w:r w:rsidR="00176499">
        <w:t>.</w:t>
      </w:r>
    </w:p>
    <w:p w:rsidR="005E1FE0" w:rsidRPr="00DF38B2" w:rsidRDefault="005E1FE0" w:rsidP="006654AE">
      <w:pPr>
        <w:pStyle w:val="dot"/>
      </w:pPr>
      <w:r w:rsidRPr="00DF38B2">
        <w:t>The occurrence of poor outcomes at the community level</w:t>
      </w:r>
      <w:r w:rsidR="00176499">
        <w:t>.</w:t>
      </w:r>
    </w:p>
    <w:p w:rsidR="005E1FE0" w:rsidRPr="00DF38B2" w:rsidRDefault="005E1FE0" w:rsidP="006654AE">
      <w:pPr>
        <w:pStyle w:val="dot"/>
      </w:pPr>
      <w:r w:rsidRPr="00DF38B2">
        <w:t>The extent to which a person experiences adverse financial outcomes and stresses.</w:t>
      </w:r>
    </w:p>
    <w:p w:rsidR="005E1FE0" w:rsidRPr="00DF38B2" w:rsidRDefault="005E1FE0" w:rsidP="006654AE">
      <w:r w:rsidRPr="00DF38B2">
        <w:t>In each case we consider a number of individual indicators, along with aggregate measures created through combining a larger number of individual indicators into a single measure</w:t>
      </w:r>
      <w:r w:rsidR="00A1421A">
        <w:t xml:space="preserve">. </w:t>
      </w:r>
      <w:r w:rsidRPr="00DF38B2">
        <w:t xml:space="preserve">These latter are considered to be more robust instruments for assessing changes in outcomes, as it would be anticipated that, to the degree </w:t>
      </w:r>
      <w:r w:rsidRPr="00DF38B2">
        <w:lastRenderedPageBreak/>
        <w:t>income management impacts on behaviours and outcomes, this would be reflected across a range of outcomes rather than in a single isolated indicator. In addition, these combined measures provide greater statistical robustness</w:t>
      </w:r>
      <w:r w:rsidR="00A1421A">
        <w:t xml:space="preserve">. </w:t>
      </w:r>
      <w:r w:rsidRPr="00DF38B2">
        <w:t>In all cases the responses to questions have been recoded so that a positive score represents an improvement in outcomes.</w:t>
      </w:r>
    </w:p>
    <w:p w:rsidR="005E1FE0" w:rsidRPr="00DF38B2" w:rsidRDefault="005E1FE0" w:rsidP="006654AE">
      <w:r w:rsidRPr="00DF38B2">
        <w:t>The section then concludes with a brief overview, using the same statistical tools, of the extent to which attitudes about being subject to income management may have changed.</w:t>
      </w:r>
    </w:p>
    <w:p w:rsidR="005E1FE0" w:rsidRPr="00DF38B2" w:rsidRDefault="005E1FE0" w:rsidP="006654AE">
      <w:pPr>
        <w:pStyle w:val="Heading3"/>
      </w:pPr>
      <w:bookmarkStart w:id="448" w:name="_Toc403739070"/>
      <w:r w:rsidRPr="00DF38B2">
        <w:t>Impact on adverse behaviours</w:t>
      </w:r>
      <w:bookmarkEnd w:id="448"/>
    </w:p>
    <w:p w:rsidR="005E1FE0" w:rsidRPr="00DF38B2" w:rsidRDefault="005E1FE0" w:rsidP="006654AE">
      <w:r w:rsidRPr="00DF38B2">
        <w:t>The LSNIM contained in both waves a series of questions asking whether or not drinking alcohol</w:t>
      </w:r>
      <w:r w:rsidR="00E01E23">
        <w:t>,</w:t>
      </w:r>
      <w:r w:rsidRPr="00DF38B2">
        <w:t xml:space="preserve"> smoking marijuana or the use of other drugs</w:t>
      </w:r>
      <w:r w:rsidR="00E01E23">
        <w:t>,</w:t>
      </w:r>
      <w:r w:rsidRPr="00DF38B2">
        <w:t xml:space="preserve"> and gambling were a problem “for your family”</w:t>
      </w:r>
      <w:r w:rsidR="00A1421A">
        <w:t xml:space="preserve">. </w:t>
      </w:r>
      <w:r w:rsidRPr="00DF38B2">
        <w:t>The interviewing instructions emphasised that the question was being posed in terms of the “little family/close family” to ensure that the question was directed at the immediate sphere of the person subject to income management and the group of persons who were likely to be economically impacted by the restrictions imposed through income management.</w:t>
      </w:r>
    </w:p>
    <w:p w:rsidR="005E1FE0" w:rsidRPr="00DF38B2" w:rsidRDefault="001D2920" w:rsidP="006654AE">
      <w:r w:rsidRPr="00DF38B2">
        <w:t>The responses to the questions were sought in terms of whether or not the problem was “Not a pro</w:t>
      </w:r>
      <w:r>
        <w:t>blem”, “A bit of a problem” or</w:t>
      </w:r>
      <w:r w:rsidRPr="00DF38B2">
        <w:t xml:space="preserve"> “</w:t>
      </w:r>
      <w:r>
        <w:t xml:space="preserve">A </w:t>
      </w:r>
      <w:r w:rsidRPr="00DF38B2">
        <w:t xml:space="preserve">very big problem”. </w:t>
      </w:r>
      <w:r w:rsidR="005E1FE0" w:rsidRPr="00DF38B2">
        <w:t>In the matched longitudinal dataset some 49.6 per cent of the second wave responses indicated that none of these three items was a problem, although 15.5 per cent of respondents indicated that at least one was a very big problem</w:t>
      </w:r>
      <w:r w:rsidR="00A1421A">
        <w:t xml:space="preserve">. </w:t>
      </w:r>
      <w:r w:rsidR="005E1FE0" w:rsidRPr="00DF38B2">
        <w:t xml:space="preserve">Looking at the three major populations on income management, the incidence of any problem in the second wave was 52.3 per cent for Indigenous people on compulsory income management, 58.3 per cent for Indigenous people on </w:t>
      </w:r>
      <w:r w:rsidR="001544DF">
        <w:t>Voluntary Income Management</w:t>
      </w:r>
      <w:r w:rsidR="00E01E23">
        <w:t>,</w:t>
      </w:r>
      <w:r w:rsidR="005E1FE0" w:rsidRPr="00DF38B2">
        <w:t xml:space="preserve"> and 15.2 per cent for non-Indigenous people subject to compulsory income management</w:t>
      </w:r>
      <w:r w:rsidR="00A1421A">
        <w:t xml:space="preserve">. </w:t>
      </w:r>
      <w:r w:rsidR="005E1FE0" w:rsidRPr="00DF38B2">
        <w:t>For these three groups the incidence of a ‘very big problem’ was 24.1 per cent, 20.8 per cent</w:t>
      </w:r>
      <w:r w:rsidR="00E01E23">
        <w:t>,</w:t>
      </w:r>
      <w:r w:rsidR="005E1FE0" w:rsidRPr="00DF38B2">
        <w:t xml:space="preserve"> and 3.4 per cent respectively.</w:t>
      </w:r>
    </w:p>
    <w:p w:rsidR="005E1FE0" w:rsidRPr="00DF38B2" w:rsidRDefault="005E1FE0" w:rsidP="006654AE">
      <w:r w:rsidRPr="00DF38B2">
        <w:t xml:space="preserve">As noted in the </w:t>
      </w:r>
      <w:r w:rsidR="00B0466C" w:rsidRPr="00DF38B2">
        <w:t>First Evaluation R</w:t>
      </w:r>
      <w:r w:rsidRPr="00DF38B2">
        <w:t>eport</w:t>
      </w:r>
      <w:r w:rsidR="00E01E23">
        <w:t>,</w:t>
      </w:r>
      <w:r w:rsidRPr="00DF38B2">
        <w:t xml:space="preserve"> one issue which arises from these responses is that it suggests there </w:t>
      </w:r>
      <w:r w:rsidR="00F45BDC">
        <w:t>is</w:t>
      </w:r>
      <w:r w:rsidRPr="00DF38B2">
        <w:t xml:space="preserve"> a significant group of the population subject to income management who are not adversely affected by these problems. This is an important question for the evaluation as it directly responds to the evaluation questions concerning the targeting of the measure</w:t>
      </w:r>
      <w:r w:rsidR="00E01E23">
        <w:t>,</w:t>
      </w:r>
      <w:r w:rsidRPr="00DF38B2">
        <w:t xml:space="preserve"> and the need for people to be subject to the measure if responding to this type of problem is seen as being a central motivation for the program.</w:t>
      </w:r>
    </w:p>
    <w:p w:rsidR="005E1FE0" w:rsidRPr="00DF38B2" w:rsidRDefault="005E1FE0" w:rsidP="006654AE">
      <w:r w:rsidRPr="00DF38B2">
        <w:t>In the analysis here</w:t>
      </w:r>
      <w:r w:rsidR="00E01E23">
        <w:t>,</w:t>
      </w:r>
      <w:r w:rsidRPr="00DF38B2">
        <w:t xml:space="preserve"> </w:t>
      </w:r>
      <w:r w:rsidR="00E01E23" w:rsidRPr="00DF38B2">
        <w:t>however</w:t>
      </w:r>
      <w:r w:rsidR="00E01E23">
        <w:t>,</w:t>
      </w:r>
      <w:r w:rsidR="00E01E23" w:rsidRPr="00DF38B2">
        <w:t xml:space="preserve"> </w:t>
      </w:r>
      <w:r w:rsidRPr="00DF38B2">
        <w:t>we focus on a second dimension of the evaluation – that of the outcomes from the intervention</w:t>
      </w:r>
      <w:r w:rsidR="00E01E23">
        <w:t>,</w:t>
      </w:r>
      <w:r w:rsidRPr="00DF38B2">
        <w:t xml:space="preserve"> and address the question of whether or not income management has had an impact on the incidence of these problems. </w:t>
      </w:r>
    </w:p>
    <w:p w:rsidR="005E1FE0" w:rsidRPr="00DF38B2" w:rsidRDefault="005E1FE0" w:rsidP="006654AE">
      <w:r w:rsidRPr="00DF38B2">
        <w:fldChar w:fldCharType="begin"/>
      </w:r>
      <w:r w:rsidRPr="00DF38B2">
        <w:instrText xml:space="preserve"> REF _Ref390555206 \h </w:instrText>
      </w:r>
      <w:r w:rsidRPr="00DF38B2">
        <w:fldChar w:fldCharType="separate"/>
      </w:r>
      <w:r w:rsidR="00906D13" w:rsidRPr="00DF38B2">
        <w:t xml:space="preserve">Table </w:t>
      </w:r>
      <w:r w:rsidR="00906D13">
        <w:rPr>
          <w:noProof/>
        </w:rPr>
        <w:t>7</w:t>
      </w:r>
      <w:r w:rsidR="00906D13">
        <w:noBreakHyphen/>
      </w:r>
      <w:r w:rsidR="00906D13">
        <w:rPr>
          <w:noProof/>
        </w:rPr>
        <w:t>8</w:t>
      </w:r>
      <w:r w:rsidRPr="00DF38B2">
        <w:fldChar w:fldCharType="end"/>
      </w:r>
      <w:r w:rsidRPr="00DF38B2">
        <w:t xml:space="preserve"> provides the summary results of the analysis. The results shown are those of a ‘difference in difference’ estimator for the changes in outcomes for the populations subject to income management relative to the control groups</w:t>
      </w:r>
      <w:r w:rsidR="00E01E23">
        <w:t>.</w:t>
      </w:r>
      <w:r w:rsidRPr="00DF38B2">
        <w:rPr>
          <w:rStyle w:val="FootnoteReference"/>
        </w:rPr>
        <w:footnoteReference w:id="121"/>
      </w:r>
      <w:r w:rsidRPr="00DF38B2">
        <w:t xml:space="preserve"> For this analysis responses have been rescaled so that a positive score represents an improvement</w:t>
      </w:r>
      <w:r w:rsidR="00A1421A">
        <w:t xml:space="preserve">. </w:t>
      </w:r>
      <w:r w:rsidRPr="00FE502F">
        <w:t>As such</w:t>
      </w:r>
      <w:r w:rsidR="00B63EA2">
        <w:t>,</w:t>
      </w:r>
      <w:r w:rsidRPr="00FE502F">
        <w:t xml:space="preserve"> a score at, or close to, zero indicates that any change in t</w:t>
      </w:r>
      <w:r w:rsidRPr="009655C3">
        <w:t>hese indicators over time for those on income management are no different to those in the control group who are not affected by the measure</w:t>
      </w:r>
      <w:r w:rsidR="00A1421A">
        <w:t xml:space="preserve">. </w:t>
      </w:r>
      <w:r w:rsidRPr="009655C3">
        <w:t>A positive score suggests that the ‘treated’ population</w:t>
      </w:r>
      <w:r w:rsidR="00B63EA2">
        <w:t xml:space="preserve"> –</w:t>
      </w:r>
      <w:r w:rsidRPr="009655C3">
        <w:t xml:space="preserve"> that is</w:t>
      </w:r>
      <w:r w:rsidR="00B63EA2">
        <w:t>,</w:t>
      </w:r>
      <w:r w:rsidRPr="009655C3">
        <w:t xml:space="preserve"> those persons who have been on income management</w:t>
      </w:r>
      <w:r w:rsidR="00B63EA2">
        <w:t xml:space="preserve"> –</w:t>
      </w:r>
      <w:r w:rsidRPr="009655C3">
        <w:t xml:space="preserve"> have achieved a positive change in outcomes of a greater magnitude than that of the control group, or a negative change of a lesser magnitude</w:t>
      </w:r>
      <w:r w:rsidR="00A1421A">
        <w:t xml:space="preserve">. </w:t>
      </w:r>
      <w:r w:rsidRPr="009655C3">
        <w:t xml:space="preserve">Conversely a negative score indicates, again relative to the control group, that the change for the </w:t>
      </w:r>
      <w:r w:rsidR="00A04470">
        <w:t>income managed</w:t>
      </w:r>
      <w:r w:rsidRPr="00DF38B2">
        <w:t xml:space="preserve"> group is less positive, or more negative</w:t>
      </w:r>
      <w:r w:rsidR="00A1421A">
        <w:t xml:space="preserve">. </w:t>
      </w:r>
      <w:r w:rsidRPr="00DF38B2">
        <w:t xml:space="preserve">Hence these </w:t>
      </w:r>
      <w:proofErr w:type="gramStart"/>
      <w:r w:rsidRPr="00DF38B2">
        <w:t>difference</w:t>
      </w:r>
      <w:proofErr w:type="gramEnd"/>
      <w:r w:rsidRPr="00DF38B2">
        <w:t xml:space="preserve"> in difference measures do not report the actual change</w:t>
      </w:r>
      <w:r w:rsidR="00B63EA2">
        <w:t>,</w:t>
      </w:r>
      <w:r w:rsidRPr="00DF38B2">
        <w:t xml:space="preserve"> but rather whether the change </w:t>
      </w:r>
      <w:r w:rsidR="00B63EA2">
        <w:t>that</w:t>
      </w:r>
      <w:r w:rsidRPr="00DF38B2">
        <w:t xml:space="preserve"> has been recorded for the treated population is </w:t>
      </w:r>
      <w:r w:rsidR="00B0466C" w:rsidRPr="00DF38B2">
        <w:t xml:space="preserve">greater </w:t>
      </w:r>
      <w:r w:rsidRPr="00DF38B2">
        <w:t xml:space="preserve">or </w:t>
      </w:r>
      <w:r w:rsidR="00B0466C" w:rsidRPr="00DF38B2">
        <w:t xml:space="preserve">smaller </w:t>
      </w:r>
      <w:r w:rsidRPr="00DF38B2">
        <w:t>than that of those who have not been treated</w:t>
      </w:r>
      <w:r w:rsidR="00A1421A">
        <w:t xml:space="preserve">. </w:t>
      </w:r>
      <w:r w:rsidRPr="00DF38B2">
        <w:t>This allows the analysis to focus on whether or not the program has made a difference, rather than having to account for many other external influences. In the table the statistical significance of the results is given</w:t>
      </w:r>
      <w:r w:rsidR="00B63EA2">
        <w:t>.</w:t>
      </w:r>
      <w:r w:rsidRPr="00DF38B2">
        <w:rPr>
          <w:rStyle w:val="FootnoteReference"/>
        </w:rPr>
        <w:footnoteReference w:id="122"/>
      </w:r>
      <w:r w:rsidR="00A1421A">
        <w:t xml:space="preserve"> </w:t>
      </w:r>
      <w:r w:rsidRPr="00DF38B2">
        <w:t xml:space="preserve">The particular form of difference in difference estimator </w:t>
      </w:r>
      <w:r w:rsidRPr="00DF38B2">
        <w:lastRenderedPageBreak/>
        <w:t>used in these models uses propensity score matching to better match the population in the treatment and non-treatment group</w:t>
      </w:r>
      <w:r w:rsidR="00B63EA2">
        <w:t>;</w:t>
      </w:r>
      <w:r w:rsidRPr="00DF38B2">
        <w:t xml:space="preserve"> this approach recognises the difference in demographic and other characteristics of the control and New Income Management samples in the LSNIM.</w:t>
      </w:r>
      <w:r w:rsidR="00B55E4D">
        <w:rPr>
          <w:rStyle w:val="FootnoteReference"/>
        </w:rPr>
        <w:footnoteReference w:id="123"/>
      </w:r>
    </w:p>
    <w:p w:rsidR="005E1FE0" w:rsidRPr="00DF38B2" w:rsidRDefault="005E1FE0" w:rsidP="006654AE">
      <w:r w:rsidRPr="00FE502F">
        <w:t xml:space="preserve">The results in the table are initially presented for the three individual questions treating the degrees of incidence of the problem as a linear interval scale, </w:t>
      </w:r>
      <w:r w:rsidR="00B63EA2">
        <w:t>after which</w:t>
      </w:r>
      <w:r w:rsidRPr="00FE502F">
        <w:t xml:space="preserve"> two aggregate</w:t>
      </w:r>
      <w:r w:rsidRPr="009655C3">
        <w:t xml:space="preserve"> measures are considered. These involve a dichotomous scale and first record whether or not any of the three items represent either a </w:t>
      </w:r>
      <w:r w:rsidR="00B63EA2">
        <w:t>“</w:t>
      </w:r>
      <w:r w:rsidRPr="009655C3">
        <w:t>bit of a problem</w:t>
      </w:r>
      <w:r w:rsidR="00B63EA2">
        <w:t>”</w:t>
      </w:r>
      <w:r w:rsidRPr="009655C3">
        <w:t xml:space="preserve"> or a </w:t>
      </w:r>
      <w:r w:rsidR="00B63EA2">
        <w:t>“</w:t>
      </w:r>
      <w:r w:rsidRPr="009655C3">
        <w:t>very big problem</w:t>
      </w:r>
      <w:r w:rsidR="00B63EA2">
        <w:t>”</w:t>
      </w:r>
      <w:r w:rsidRPr="009655C3">
        <w:t xml:space="preserve"> (</w:t>
      </w:r>
      <w:r w:rsidR="00B63EA2">
        <w:t>that is,</w:t>
      </w:r>
      <w:r w:rsidRPr="009655C3">
        <w:t xml:space="preserve"> if there are any problems); and secondly</w:t>
      </w:r>
      <w:r w:rsidR="00B63EA2">
        <w:t>,</w:t>
      </w:r>
      <w:r w:rsidRPr="009655C3">
        <w:t xml:space="preserve"> whether any constitute a “v</w:t>
      </w:r>
      <w:r w:rsidRPr="00DF38B2">
        <w:t>ery big</w:t>
      </w:r>
      <w:r w:rsidR="00460F8F">
        <w:t>”</w:t>
      </w:r>
      <w:r w:rsidRPr="00DF38B2">
        <w:t xml:space="preserve"> problem.</w:t>
      </w:r>
      <w:r w:rsidR="005D1CC5">
        <w:t xml:space="preserve"> </w:t>
      </w:r>
      <w:r w:rsidR="00F15F6C">
        <w:t xml:space="preserve"> As detailed above the simple interpretation of the parameter values in the table is that a positive number indicates a relative improvement for people on income management while a negative indicates a relative decline.</w:t>
      </w:r>
    </w:p>
    <w:p w:rsidR="005E1FE0" w:rsidRPr="00DF38B2" w:rsidRDefault="005E1FE0" w:rsidP="006654AE">
      <w:r w:rsidRPr="00DF38B2">
        <w:t xml:space="preserve">Looking at the initial panel indicates only two statistically significant results, both for the group on </w:t>
      </w:r>
      <w:r w:rsidR="001544DF">
        <w:t>Voluntary Income Management</w:t>
      </w:r>
      <w:r w:rsidR="00B63EA2">
        <w:t>. The first is</w:t>
      </w:r>
      <w:r w:rsidRPr="00DF38B2">
        <w:t xml:space="preserve"> where an improvement is reported with regard to alcohol being a problem</w:t>
      </w:r>
      <w:r w:rsidR="00B63EA2">
        <w:t>; and the second</w:t>
      </w:r>
      <w:r w:rsidRPr="00DF38B2">
        <w:t xml:space="preserve"> less</w:t>
      </w:r>
      <w:r w:rsidR="00B63EA2">
        <w:t xml:space="preserve"> substantial</w:t>
      </w:r>
      <w:r w:rsidRPr="00DF38B2">
        <w:t xml:space="preserve"> and less significant, but negative score indicat</w:t>
      </w:r>
      <w:r w:rsidR="00B63EA2">
        <w:t>es</w:t>
      </w:r>
      <w:r w:rsidRPr="00DF38B2">
        <w:t xml:space="preserve"> a relative increase in problems relating to gambling in the families of those on </w:t>
      </w:r>
      <w:r w:rsidR="001544DF">
        <w:t>Voluntary Income Management</w:t>
      </w:r>
      <w:r w:rsidRPr="00DF38B2">
        <w:t>. Most of the other parameters in this panel are not just statistically insignificant but small – indicating no real change for those on the compulsory measures.</w:t>
      </w:r>
    </w:p>
    <w:p w:rsidR="005E1FE0" w:rsidRPr="00DF38B2" w:rsidRDefault="005E1FE0" w:rsidP="006654AE">
      <w:pPr>
        <w:pStyle w:val="Caption"/>
      </w:pPr>
      <w:bookmarkStart w:id="449" w:name="_Ref390555206"/>
      <w:bookmarkStart w:id="450" w:name="_Toc403739470"/>
      <w:r w:rsidRPr="00DF38B2">
        <w:t xml:space="preserve">Table </w:t>
      </w:r>
      <w:fldSimple w:instr=" STYLEREF 1 \s ">
        <w:r w:rsidR="00906D13">
          <w:rPr>
            <w:noProof/>
          </w:rPr>
          <w:t>7</w:t>
        </w:r>
      </w:fldSimple>
      <w:r w:rsidR="00D40B64">
        <w:noBreakHyphen/>
      </w:r>
      <w:fldSimple w:instr=" SEQ Table \* ARABIC \s 1 ">
        <w:r w:rsidR="00906D13">
          <w:rPr>
            <w:noProof/>
          </w:rPr>
          <w:t>8</w:t>
        </w:r>
      </w:fldSimple>
      <w:bookmarkEnd w:id="449"/>
      <w:r w:rsidR="001D25DF">
        <w:tab/>
      </w:r>
      <w:r w:rsidRPr="00DF38B2">
        <w:t xml:space="preserve">Difference in Difference analysis of whether or not alcohol, drugs and gambling are a family problem, change between </w:t>
      </w:r>
      <w:r w:rsidR="00460F8F">
        <w:t>W</w:t>
      </w:r>
      <w:r w:rsidRPr="00DF38B2">
        <w:t xml:space="preserve">aves 1 </w:t>
      </w:r>
      <w:r w:rsidR="00227C83">
        <w:t>and</w:t>
      </w:r>
      <w:r w:rsidRPr="00DF38B2">
        <w:t xml:space="preserve"> 2 of the LSNIM (2011 to 2013) for people subject to income management</w:t>
      </w:r>
      <w:bookmarkEnd w:id="450"/>
      <w:r w:rsidRPr="00DF38B2">
        <w:t xml:space="preserve"> </w:t>
      </w:r>
    </w:p>
    <w:tbl>
      <w:tblPr>
        <w:tblW w:w="8938"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given in this table. The first three rows relate to the existence of specific problems relating to alcohol, drugs and gambling respectively. The second two are for aggregate measures – whether any of these problems was a problem, and secondly whether any was a “very big problem”.&#10;There is extensive discussion of these results in the text.&#10;"/>
      </w:tblPr>
      <w:tblGrid>
        <w:gridCol w:w="1983"/>
        <w:gridCol w:w="1928"/>
        <w:gridCol w:w="1199"/>
        <w:gridCol w:w="485"/>
        <w:gridCol w:w="992"/>
        <w:gridCol w:w="567"/>
        <w:gridCol w:w="1217"/>
        <w:gridCol w:w="567"/>
      </w:tblGrid>
      <w:tr w:rsidR="002C3738" w:rsidRPr="00DF38B2" w:rsidTr="002C3738">
        <w:trPr>
          <w:trHeight w:val="20"/>
          <w:tblHeader/>
          <w:jc w:val="center"/>
        </w:trPr>
        <w:tc>
          <w:tcPr>
            <w:tcW w:w="1983" w:type="dxa"/>
            <w:tcBorders>
              <w:top w:val="single" w:sz="4" w:space="0" w:color="auto"/>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single" w:sz="4" w:space="0" w:color="auto"/>
              <w:left w:val="nil"/>
              <w:bottom w:val="nil"/>
              <w:right w:val="nil"/>
            </w:tcBorders>
            <w:shd w:val="clear" w:color="auto" w:fill="auto"/>
            <w:noWrap/>
          </w:tcPr>
          <w:p w:rsidR="002C3738" w:rsidRDefault="002C3738" w:rsidP="006654AE">
            <w:pPr>
              <w:pStyle w:val="tabletextleft"/>
              <w:jc w:val="left"/>
              <w:rPr>
                <w:rFonts w:eastAsia="Times New Roman"/>
              </w:rPr>
            </w:pPr>
            <w:r w:rsidRPr="00DF38B2">
              <w:rPr>
                <w:rFonts w:eastAsia="Times New Roman"/>
              </w:rPr>
              <w:t>Problems for family</w:t>
            </w:r>
          </w:p>
          <w:p w:rsidR="002C3738" w:rsidRPr="00DF38B2" w:rsidRDefault="002C3738" w:rsidP="006654AE">
            <w:pPr>
              <w:pStyle w:val="tabletextleft"/>
              <w:jc w:val="left"/>
              <w:rPr>
                <w:rFonts w:eastAsia="Times New Roman"/>
              </w:rPr>
            </w:pPr>
          </w:p>
        </w:tc>
        <w:tc>
          <w:tcPr>
            <w:tcW w:w="1684"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Indigenous Compulsory Income Management</w:t>
            </w:r>
          </w:p>
        </w:tc>
        <w:tc>
          <w:tcPr>
            <w:tcW w:w="1559"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Indigenous Voluntary Income Management</w:t>
            </w:r>
          </w:p>
        </w:tc>
        <w:tc>
          <w:tcPr>
            <w:tcW w:w="1784"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Non-Indigenous Compulsory Income Management</w:t>
            </w:r>
          </w:p>
        </w:tc>
      </w:tr>
      <w:tr w:rsidR="002C3738" w:rsidRPr="00DF38B2" w:rsidTr="002C3738">
        <w:trPr>
          <w:trHeight w:val="20"/>
          <w:jc w:val="center"/>
        </w:trPr>
        <w:tc>
          <w:tcPr>
            <w:tcW w:w="1983" w:type="dxa"/>
            <w:tcBorders>
              <w:top w:val="single" w:sz="4" w:space="0" w:color="auto"/>
              <w:left w:val="nil"/>
              <w:bottom w:val="nil"/>
              <w:right w:val="nil"/>
            </w:tcBorders>
          </w:tcPr>
          <w:p w:rsidR="002C3738" w:rsidRPr="00DF38B2" w:rsidRDefault="002C3738" w:rsidP="006654AE">
            <w:pPr>
              <w:pStyle w:val="tabletextleft"/>
              <w:jc w:val="left"/>
              <w:rPr>
                <w:rFonts w:eastAsia="Times New Roman"/>
              </w:rPr>
            </w:pPr>
            <w:r>
              <w:rPr>
                <w:rFonts w:eastAsia="Times New Roman"/>
              </w:rPr>
              <w:t>Specific problems (a)</w:t>
            </w:r>
          </w:p>
        </w:tc>
        <w:tc>
          <w:tcPr>
            <w:tcW w:w="1928"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Alcohol</w:t>
            </w:r>
          </w:p>
        </w:tc>
        <w:tc>
          <w:tcPr>
            <w:tcW w:w="1199"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-0.033</w:t>
            </w:r>
          </w:p>
        </w:tc>
        <w:tc>
          <w:tcPr>
            <w:tcW w:w="485"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0.359</w:t>
            </w:r>
          </w:p>
        </w:tc>
        <w:tc>
          <w:tcPr>
            <w:tcW w:w="56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0.069</w:t>
            </w:r>
          </w:p>
        </w:tc>
        <w:tc>
          <w:tcPr>
            <w:tcW w:w="56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Drugs</w:t>
            </w:r>
          </w:p>
        </w:tc>
        <w:tc>
          <w:tcPr>
            <w:tcW w:w="1199"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0.027</w:t>
            </w:r>
          </w:p>
        </w:tc>
        <w:tc>
          <w:tcPr>
            <w:tcW w:w="485"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0.079</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c>
          <w:tcPr>
            <w:tcW w:w="1217"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-0.091</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Gambling</w:t>
            </w:r>
          </w:p>
        </w:tc>
        <w:tc>
          <w:tcPr>
            <w:tcW w:w="1199"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0.012</w:t>
            </w:r>
          </w:p>
        </w:tc>
        <w:tc>
          <w:tcPr>
            <w:tcW w:w="485"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-0.280</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-0.002</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single" w:sz="4" w:space="0" w:color="auto"/>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jc w:val="left"/>
              <w:rPr>
                <w:rFonts w:eastAsia="Times New Roman"/>
              </w:rPr>
            </w:pPr>
          </w:p>
        </w:tc>
        <w:tc>
          <w:tcPr>
            <w:tcW w:w="1199"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992"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p>
        </w:tc>
        <w:tc>
          <w:tcPr>
            <w:tcW w:w="121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p>
        </w:tc>
      </w:tr>
      <w:tr w:rsidR="002C3738" w:rsidRPr="00DF38B2" w:rsidTr="002C3738">
        <w:trPr>
          <w:trHeight w:val="20"/>
          <w:jc w:val="center"/>
        </w:trPr>
        <w:tc>
          <w:tcPr>
            <w:tcW w:w="1983" w:type="dxa"/>
            <w:tcBorders>
              <w:top w:val="single" w:sz="4" w:space="0" w:color="auto"/>
              <w:left w:val="nil"/>
              <w:right w:val="nil"/>
            </w:tcBorders>
          </w:tcPr>
          <w:p w:rsidR="002C3738" w:rsidRPr="00DF38B2" w:rsidRDefault="002C3738" w:rsidP="006654AE">
            <w:pPr>
              <w:pStyle w:val="tabletextleft"/>
              <w:jc w:val="left"/>
              <w:rPr>
                <w:rFonts w:eastAsia="Times New Roman"/>
              </w:rPr>
            </w:pPr>
            <w:r>
              <w:rPr>
                <w:rFonts w:eastAsia="Times New Roman"/>
              </w:rPr>
              <w:t>Aggregate measures (b)</w:t>
            </w:r>
          </w:p>
        </w:tc>
        <w:tc>
          <w:tcPr>
            <w:tcW w:w="1928"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Any problem</w:t>
            </w:r>
          </w:p>
        </w:tc>
        <w:tc>
          <w:tcPr>
            <w:tcW w:w="1199"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0.291</w:t>
            </w:r>
          </w:p>
        </w:tc>
        <w:tc>
          <w:tcPr>
            <w:tcW w:w="485"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992"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0.389</w:t>
            </w:r>
          </w:p>
        </w:tc>
        <w:tc>
          <w:tcPr>
            <w:tcW w:w="567"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0.306</w:t>
            </w:r>
          </w:p>
        </w:tc>
        <w:tc>
          <w:tcPr>
            <w:tcW w:w="567"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r>
      <w:tr w:rsidR="002C3738" w:rsidRPr="00DF38B2" w:rsidTr="002C3738">
        <w:trPr>
          <w:trHeight w:val="20"/>
          <w:jc w:val="center"/>
        </w:trPr>
        <w:tc>
          <w:tcPr>
            <w:tcW w:w="1983" w:type="dxa"/>
            <w:tcBorders>
              <w:top w:val="nil"/>
              <w:left w:val="nil"/>
              <w:bottom w:val="single" w:sz="4" w:space="0" w:color="auto"/>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 xml:space="preserve">Any “very big” problem </w:t>
            </w:r>
          </w:p>
        </w:tc>
        <w:tc>
          <w:tcPr>
            <w:tcW w:w="1199"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-0.119</w:t>
            </w:r>
          </w:p>
        </w:tc>
        <w:tc>
          <w:tcPr>
            <w:tcW w:w="485"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c>
          <w:tcPr>
            <w:tcW w:w="992"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-0.240</w:t>
            </w: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-0.085</w:t>
            </w: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Individual problems have been scored using a three</w:t>
      </w:r>
      <w:r w:rsidR="00460F8F">
        <w:t>-</w:t>
      </w:r>
      <w:r w:rsidRPr="00DF38B2">
        <w:t>point scale (0 for a very big problem, 1 for a bit of a problem</w:t>
      </w:r>
      <w:r w:rsidR="00460F8F">
        <w:t>,</w:t>
      </w:r>
      <w:r w:rsidRPr="00DF38B2">
        <w:t xml:space="preserve"> and 2 for no problems</w:t>
      </w:r>
      <w:r w:rsidR="00460F8F">
        <w:t>;</w:t>
      </w:r>
      <w:r w:rsidRPr="00DF38B2">
        <w:t xml:space="preserve"> a positive score </w:t>
      </w:r>
      <w:r w:rsidR="00460F8F">
        <w:t>thus</w:t>
      </w:r>
      <w:r w:rsidRPr="00DF38B2">
        <w:t xml:space="preserve"> indicates an improvement for the treatment group</w:t>
      </w:r>
      <w:r w:rsidR="00F15F6C">
        <w:t xml:space="preserve"> (those on income management)</w:t>
      </w:r>
      <w:r w:rsidR="005D1CC5">
        <w:t xml:space="preserve"> </w:t>
      </w:r>
      <w:r w:rsidRPr="00DF38B2">
        <w:t>relative to the control group over the period.</w:t>
      </w:r>
    </w:p>
    <w:p w:rsidR="005E1FE0" w:rsidRPr="00DF38B2" w:rsidRDefault="005E1FE0" w:rsidP="006654AE">
      <w:pPr>
        <w:pStyle w:val="tablenotes"/>
        <w:ind w:left="1437" w:hanging="870"/>
      </w:pPr>
      <w:r w:rsidRPr="00DF38B2">
        <w:t>(b)</w:t>
      </w:r>
      <w:r w:rsidR="00227C83">
        <w:tab/>
      </w:r>
      <w:r w:rsidRPr="00DF38B2">
        <w:t>The aggregate measures have been scored with a value of 1 for the absence of all of the problems and 0 if any is reported. Again a positive response indicates an improvement relative to the control group.</w:t>
      </w:r>
    </w:p>
    <w:p w:rsidR="005E1FE0" w:rsidRPr="00DF38B2" w:rsidRDefault="005E1FE0" w:rsidP="006654AE">
      <w:pPr>
        <w:pStyle w:val="tablenotes"/>
        <w:ind w:left="1437"/>
      </w:pPr>
      <w:r w:rsidRPr="00DF38B2">
        <w:t>* Statistically significant at p&lt;0.10:</w:t>
      </w:r>
      <w:r w:rsidR="00B84AFE">
        <w:t xml:space="preserve"> </w:t>
      </w:r>
      <w:r w:rsidRPr="00DF38B2">
        <w:t>** statistically significant at p&lt;0.05: *** statistically significant at p&lt;0.01</w:t>
      </w:r>
      <w:r w:rsidR="00460F8F">
        <w:t>.</w:t>
      </w:r>
    </w:p>
    <w:p w:rsidR="005E1FE0" w:rsidRDefault="005E1FE0" w:rsidP="006654AE">
      <w:pPr>
        <w:pStyle w:val="tablenotes"/>
      </w:pPr>
      <w:r w:rsidRPr="00DF38B2">
        <w:t>Source:</w:t>
      </w:r>
      <w:r w:rsidR="00227C83">
        <w:tab/>
      </w:r>
      <w:r w:rsidRPr="00DF38B2">
        <w:t xml:space="preserve"> LSNIM Waves 1 </w:t>
      </w:r>
      <w:r w:rsidR="00227C83">
        <w:t>and</w:t>
      </w:r>
      <w:r w:rsidRPr="00DF38B2">
        <w:t xml:space="preserve"> 2</w:t>
      </w:r>
      <w:r w:rsidR="00227C83">
        <w:t>.</w:t>
      </w:r>
    </w:p>
    <w:p w:rsidR="003928BD" w:rsidRPr="00DF38B2" w:rsidRDefault="003928BD" w:rsidP="006654AE">
      <w:pPr>
        <w:pStyle w:val="tablefootnoteslastline"/>
      </w:pPr>
    </w:p>
    <w:p w:rsidR="005E1FE0" w:rsidRPr="00DF38B2" w:rsidRDefault="005E1FE0" w:rsidP="006654AE">
      <w:r w:rsidRPr="00DF38B2">
        <w:t>The aggregate measures suggest a more complex pattern of results</w:t>
      </w:r>
      <w:r w:rsidR="00A1421A">
        <w:t xml:space="preserve">. </w:t>
      </w:r>
      <w:r w:rsidRPr="00DF38B2">
        <w:t>The first most striking result is a consistent improvement across all three population subgroups relating to the incidence of any of the three problems at any level. That is there is a marked and statistically significant improvement, relative to the control group, in the proportion of individuals who report that they do not experience any of these problems in their family. Balanced against this</w:t>
      </w:r>
      <w:r w:rsidR="00671430">
        <w:t xml:space="preserve"> </w:t>
      </w:r>
      <w:r w:rsidRPr="00DF38B2">
        <w:t>is a pattern of negative results with regard to the incidence of a “very big</w:t>
      </w:r>
      <w:r w:rsidR="00671430">
        <w:t>”</w:t>
      </w:r>
      <w:r w:rsidRPr="00DF38B2">
        <w:t xml:space="preserve"> problem. This</w:t>
      </w:r>
      <w:r w:rsidR="00671430">
        <w:t>, however,</w:t>
      </w:r>
      <w:r w:rsidRPr="00DF38B2">
        <w:t xml:space="preserve"> was only statistically significant for those on </w:t>
      </w:r>
      <w:r w:rsidR="001544DF">
        <w:t>Voluntary Income Management</w:t>
      </w:r>
      <w:r w:rsidR="00A1421A">
        <w:t xml:space="preserve">. </w:t>
      </w:r>
    </w:p>
    <w:p w:rsidR="005E1FE0" w:rsidRPr="00DF38B2" w:rsidRDefault="005E1FE0" w:rsidP="006654AE">
      <w:r w:rsidRPr="00DF38B2">
        <w:t xml:space="preserve">Taken in aggregate these results suggest that there is some relative lessening in the incidence of </w:t>
      </w:r>
      <w:r w:rsidR="00F15F6C">
        <w:t xml:space="preserve">more </w:t>
      </w:r>
      <w:r w:rsidRPr="00DF38B2">
        <w:t xml:space="preserve">minor problems relating to alcohol, drugs and gambling for each of the sub-populations subject to income </w:t>
      </w:r>
      <w:r w:rsidRPr="00DF38B2">
        <w:lastRenderedPageBreak/>
        <w:t>management</w:t>
      </w:r>
      <w:r w:rsidR="00F15F6C">
        <w:t xml:space="preserve"> when compared with a similar population which</w:t>
      </w:r>
      <w:r w:rsidR="00F45BDC">
        <w:t xml:space="preserve"> was</w:t>
      </w:r>
      <w:r w:rsidR="00F15F6C">
        <w:t xml:space="preserve"> not on income management</w:t>
      </w:r>
      <w:r w:rsidRPr="00DF38B2">
        <w:t xml:space="preserve">, but no improvement, or in fact even potentially a relative deterioration for those on </w:t>
      </w:r>
      <w:r w:rsidR="001544DF">
        <w:t>Voluntary Income Management</w:t>
      </w:r>
      <w:r w:rsidR="00805646">
        <w:t>,</w:t>
      </w:r>
      <w:r w:rsidRPr="00DF38B2">
        <w:t xml:space="preserve"> in the incidence of more severe problems associated with these three items.</w:t>
      </w:r>
    </w:p>
    <w:p w:rsidR="005E1FE0" w:rsidRPr="00DF38B2" w:rsidRDefault="00671430" w:rsidP="006654AE">
      <w:r>
        <w:t>A</w:t>
      </w:r>
      <w:r w:rsidRPr="00DF38B2">
        <w:t xml:space="preserve">s has been discussed previously, </w:t>
      </w:r>
      <w:r>
        <w:t>i</w:t>
      </w:r>
      <w:r w:rsidR="005E1FE0" w:rsidRPr="00DF38B2">
        <w:t xml:space="preserve">t needs to be noted that income management is not the only policy </w:t>
      </w:r>
      <w:r w:rsidRPr="00066FEF">
        <w:t>affecting</w:t>
      </w:r>
      <w:r w:rsidR="005E1FE0" w:rsidRPr="00066FEF">
        <w:t xml:space="preserve"> outcomes for people in the Northern Territory</w:t>
      </w:r>
      <w:r w:rsidR="00066FEF" w:rsidRPr="00066FEF">
        <w:t>,</w:t>
      </w:r>
      <w:r w:rsidR="005E1FE0" w:rsidRPr="00066FEF">
        <w:t xml:space="preserve"> and that the results above reflect </w:t>
      </w:r>
      <w:r w:rsidR="00EC066B">
        <w:t xml:space="preserve">a combination of </w:t>
      </w:r>
      <w:r w:rsidR="005E1FE0" w:rsidRPr="00066FEF">
        <w:t xml:space="preserve">the impact of </w:t>
      </w:r>
      <w:r w:rsidR="00E964F2">
        <w:t>being on income management as well as other programs in areas such as health, education and community safety that have been implemented over recent years.</w:t>
      </w:r>
    </w:p>
    <w:p w:rsidR="005E1FE0" w:rsidRPr="00DF38B2" w:rsidRDefault="005E1FE0" w:rsidP="006654AE">
      <w:pPr>
        <w:pStyle w:val="Heading3"/>
      </w:pPr>
      <w:bookmarkStart w:id="451" w:name="_Toc403739071"/>
      <w:r w:rsidRPr="00DF38B2">
        <w:t>Impact on community outcomes</w:t>
      </w:r>
      <w:bookmarkEnd w:id="451"/>
    </w:p>
    <w:p w:rsidR="005E1FE0" w:rsidRPr="00DF38B2" w:rsidRDefault="005E1FE0" w:rsidP="006654AE">
      <w:r w:rsidRPr="00DF38B2">
        <w:t>The LSNIM contains a set of eight questions which focus on the incidence of problems at the community/ location level</w:t>
      </w:r>
      <w:r w:rsidR="00A1421A">
        <w:t xml:space="preserve">. </w:t>
      </w:r>
      <w:r w:rsidRPr="00DF38B2">
        <w:t>Three of these questions</w:t>
      </w:r>
      <w:r w:rsidR="005F0337" w:rsidRPr="005F0337">
        <w:t xml:space="preserve"> </w:t>
      </w:r>
      <w:r w:rsidR="005F0337" w:rsidRPr="00DF38B2">
        <w:t>concern child outcomes</w:t>
      </w:r>
      <w:r w:rsidRPr="00DF38B2">
        <w:t>: whether children are being looked after</w:t>
      </w:r>
      <w:r w:rsidR="005F0337">
        <w:t>;</w:t>
      </w:r>
      <w:r w:rsidRPr="00DF38B2">
        <w:t xml:space="preserve"> being taught language and culture</w:t>
      </w:r>
      <w:r w:rsidR="005F0337">
        <w:t>;</w:t>
      </w:r>
      <w:r w:rsidRPr="00DF38B2">
        <w:t xml:space="preserve"> and going to school</w:t>
      </w:r>
      <w:r w:rsidR="005F0337">
        <w:t>;</w:t>
      </w:r>
      <w:r w:rsidRPr="00DF38B2">
        <w:t xml:space="preserve"> with the balance </w:t>
      </w:r>
      <w:r w:rsidR="005F0337">
        <w:t xml:space="preserve">of the eight questions </w:t>
      </w:r>
      <w:r w:rsidRPr="00DF38B2">
        <w:t>being more general</w:t>
      </w:r>
      <w:r w:rsidR="00A1421A">
        <w:t xml:space="preserve">. </w:t>
      </w:r>
      <w:r w:rsidRPr="00DF38B2">
        <w:t>This second group comprises adults fighting over money, excessive alcohol consumption, drug use in the community, gambling</w:t>
      </w:r>
      <w:r w:rsidR="005F0337">
        <w:t>,</w:t>
      </w:r>
      <w:r w:rsidRPr="00DF38B2">
        <w:t xml:space="preserve"> and people </w:t>
      </w:r>
      <w:r w:rsidR="005F0337">
        <w:t>“</w:t>
      </w:r>
      <w:r w:rsidRPr="00DF38B2">
        <w:t>hassling</w:t>
      </w:r>
      <w:r w:rsidR="005F0337">
        <w:t>”</w:t>
      </w:r>
      <w:r w:rsidRPr="00DF38B2">
        <w:t xml:space="preserve"> others for money.</w:t>
      </w:r>
    </w:p>
    <w:p w:rsidR="005E1FE0" w:rsidRPr="00DF38B2" w:rsidRDefault="005E1FE0" w:rsidP="006654AE">
      <w:r w:rsidRPr="00DF38B2">
        <w:t xml:space="preserve">Again </w:t>
      </w:r>
      <w:r w:rsidR="00E964F2">
        <w:t xml:space="preserve">the responses to </w:t>
      </w:r>
      <w:r w:rsidRPr="00DF38B2">
        <w:t>these questions have been coded so that a positive score represents an improvement in outcomes</w:t>
      </w:r>
      <w:r w:rsidR="005F0337">
        <w:t>,</w:t>
      </w:r>
      <w:r w:rsidRPr="00DF38B2">
        <w:t xml:space="preserve"> and difference in difference estimators </w:t>
      </w:r>
      <w:r w:rsidR="00E964F2">
        <w:t xml:space="preserve">has been derived </w:t>
      </w:r>
      <w:r w:rsidRPr="00DF38B2">
        <w:t>using propensity score matching.</w:t>
      </w:r>
      <w:r w:rsidR="00E964F2">
        <w:t xml:space="preserve"> </w:t>
      </w:r>
    </w:p>
    <w:p w:rsidR="005E1FE0" w:rsidRPr="00DF38B2" w:rsidRDefault="005E1FE0" w:rsidP="006654AE">
      <w:r w:rsidRPr="00DF38B2">
        <w:t xml:space="preserve">Considering the selected individual items, in the first instance there is a dominance of negative scores – suggesting relative to the control locations that change in these community level outcomes over the last two years is less positive, or more negative. This was particularly marked among those subject to Compulsory Income Management, with large negatives in the difference in difference indicators being recorded across all of the specific items shown in </w:t>
      </w:r>
      <w:r w:rsidRPr="00FE502F">
        <w:fldChar w:fldCharType="begin"/>
      </w:r>
      <w:r w:rsidRPr="00DF38B2">
        <w:instrText xml:space="preserve"> REF _Ref390604715 \h </w:instrText>
      </w:r>
      <w:r w:rsidRPr="00FE502F">
        <w:fldChar w:fldCharType="separate"/>
      </w:r>
      <w:r w:rsidR="00906D13" w:rsidRPr="00DF38B2">
        <w:t xml:space="preserve">Table </w:t>
      </w:r>
      <w:r w:rsidR="00906D13">
        <w:rPr>
          <w:noProof/>
        </w:rPr>
        <w:t>7</w:t>
      </w:r>
      <w:r w:rsidR="00906D13">
        <w:noBreakHyphen/>
      </w:r>
      <w:r w:rsidR="00906D13">
        <w:rPr>
          <w:noProof/>
        </w:rPr>
        <w:t>9</w:t>
      </w:r>
      <w:r w:rsidRPr="00FE502F">
        <w:fldChar w:fldCharType="end"/>
      </w:r>
      <w:r w:rsidR="00A1421A">
        <w:t xml:space="preserve">. </w:t>
      </w:r>
      <w:r w:rsidRPr="00DF38B2">
        <w:t xml:space="preserve">In </w:t>
      </w:r>
      <w:r w:rsidRPr="00FE502F">
        <w:t xml:space="preserve">three cases – whether or not children are looked after properly, </w:t>
      </w:r>
      <w:r w:rsidRPr="009655C3">
        <w:t xml:space="preserve">whether they attend </w:t>
      </w:r>
      <w:proofErr w:type="gramStart"/>
      <w:r w:rsidRPr="009655C3">
        <w:t>school,</w:t>
      </w:r>
      <w:proofErr w:type="gramEnd"/>
      <w:r w:rsidRPr="009655C3">
        <w:t xml:space="preserve"> and whether people are hassled or harassed for money</w:t>
      </w:r>
      <w:r w:rsidR="00106C4F">
        <w:t xml:space="preserve"> –</w:t>
      </w:r>
      <w:r w:rsidRPr="009655C3">
        <w:t xml:space="preserve"> these changes were statistically significant. In the case of those on Voluntary Income Management only the negative change with regard to children attending school was statis</w:t>
      </w:r>
      <w:r w:rsidRPr="00DF38B2">
        <w:t>tically significant – and then only weakly.</w:t>
      </w:r>
    </w:p>
    <w:p w:rsidR="005E1FE0" w:rsidRPr="00DF38B2" w:rsidRDefault="005E1FE0" w:rsidP="006654AE">
      <w:pPr>
        <w:pStyle w:val="Caption"/>
      </w:pPr>
      <w:bookmarkStart w:id="452" w:name="_Ref390604715"/>
      <w:bookmarkStart w:id="453" w:name="_Toc403739471"/>
      <w:r w:rsidRPr="00DF38B2">
        <w:t xml:space="preserve">Table </w:t>
      </w:r>
      <w:fldSimple w:instr=" STYLEREF 1 \s ">
        <w:r w:rsidR="00906D13">
          <w:rPr>
            <w:noProof/>
          </w:rPr>
          <w:t>7</w:t>
        </w:r>
      </w:fldSimple>
      <w:r w:rsidR="00D40B64">
        <w:noBreakHyphen/>
      </w:r>
      <w:fldSimple w:instr=" SEQ Table \* ARABIC \s 1 ">
        <w:r w:rsidR="00906D13">
          <w:rPr>
            <w:noProof/>
          </w:rPr>
          <w:t>9</w:t>
        </w:r>
      </w:fldSimple>
      <w:bookmarkEnd w:id="452"/>
      <w:r w:rsidRPr="00DF38B2">
        <w:t xml:space="preserve"> </w:t>
      </w:r>
      <w:r w:rsidRPr="00DF38B2">
        <w:tab/>
        <w:t xml:space="preserve">Difference in </w:t>
      </w:r>
      <w:r w:rsidR="00106C4F">
        <w:t>d</w:t>
      </w:r>
      <w:r w:rsidRPr="00DF38B2">
        <w:t xml:space="preserve">ifference analysis of the perceived incidence of problems at the community/location level, change between </w:t>
      </w:r>
      <w:r w:rsidR="00106C4F">
        <w:t>W</w:t>
      </w:r>
      <w:r w:rsidRPr="00DF38B2">
        <w:t xml:space="preserve">aves 1 </w:t>
      </w:r>
      <w:r w:rsidR="00227C83">
        <w:t>and</w:t>
      </w:r>
      <w:r w:rsidRPr="00DF38B2">
        <w:t xml:space="preserve"> 2 of the LSNIM (2011 to 2013) for people subject to income management</w:t>
      </w:r>
      <w:bookmarkEnd w:id="453"/>
    </w:p>
    <w:tbl>
      <w:tblPr>
        <w:tblW w:w="8798"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Six rows of data are given in this table. The first two rows concern the existence of two specific problems related to children in the community – these are “Kids not being looked after properly” and “Kids not going to school”. The next two are concerned with two community level problems – “Drinking too much” and “Hassling for money”. The third grouping of two items are the incidence of any child problems and the incidence of any community level problems.&#10;There is extensive discussion of these results in the text.&#10;"/>
      </w:tblPr>
      <w:tblGrid>
        <w:gridCol w:w="1279"/>
        <w:gridCol w:w="2608"/>
        <w:gridCol w:w="1232"/>
        <w:gridCol w:w="485"/>
        <w:gridCol w:w="1184"/>
        <w:gridCol w:w="344"/>
        <w:gridCol w:w="1322"/>
        <w:gridCol w:w="344"/>
      </w:tblGrid>
      <w:tr w:rsidR="00DB3285" w:rsidRPr="00DF38B2" w:rsidTr="00DB3285">
        <w:trPr>
          <w:trHeight w:val="20"/>
          <w:tblHeader/>
          <w:jc w:val="center"/>
        </w:trPr>
        <w:tc>
          <w:tcPr>
            <w:tcW w:w="1279" w:type="dxa"/>
            <w:tcBorders>
              <w:top w:val="single" w:sz="4" w:space="0" w:color="auto"/>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single" w:sz="4" w:space="0" w:color="auto"/>
              <w:left w:val="nil"/>
              <w:bottom w:val="single" w:sz="4" w:space="0" w:color="auto"/>
              <w:right w:val="nil"/>
            </w:tcBorders>
            <w:shd w:val="clear" w:color="auto" w:fill="auto"/>
            <w:noWrap/>
          </w:tcPr>
          <w:p w:rsidR="00DB3285" w:rsidRPr="00DF38B2" w:rsidRDefault="00DB3285" w:rsidP="006654AE">
            <w:pPr>
              <w:pStyle w:val="tabletextleft"/>
              <w:jc w:val="left"/>
              <w:rPr>
                <w:rFonts w:eastAsia="Times New Roman"/>
              </w:rPr>
            </w:pPr>
            <w:r w:rsidRPr="00DF38B2">
              <w:rPr>
                <w:rFonts w:eastAsia="Times New Roman"/>
              </w:rPr>
              <w:t>Problems in community</w:t>
            </w:r>
          </w:p>
        </w:tc>
        <w:tc>
          <w:tcPr>
            <w:tcW w:w="1717"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Indigenous Compulsory Income Management</w:t>
            </w:r>
          </w:p>
        </w:tc>
        <w:tc>
          <w:tcPr>
            <w:tcW w:w="1528"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Indigenous Voluntary Income Management</w:t>
            </w:r>
          </w:p>
        </w:tc>
        <w:tc>
          <w:tcPr>
            <w:tcW w:w="1666"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Non-Indigenous Compulsory Income Management</w:t>
            </w: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Specific child related problems (a)</w:t>
            </w:r>
          </w:p>
        </w:tc>
        <w:tc>
          <w:tcPr>
            <w:tcW w:w="2608" w:type="dxa"/>
            <w:tcBorders>
              <w:top w:val="single" w:sz="4" w:space="0" w:color="auto"/>
              <w:left w:val="nil"/>
              <w:bottom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Kids not looked after properly</w:t>
            </w:r>
          </w:p>
        </w:tc>
        <w:tc>
          <w:tcPr>
            <w:tcW w:w="123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-0.528</w:t>
            </w:r>
          </w:p>
        </w:tc>
        <w:tc>
          <w:tcPr>
            <w:tcW w:w="485"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0.016</w:t>
            </w:r>
          </w:p>
        </w:tc>
        <w:tc>
          <w:tcPr>
            <w:tcW w:w="34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-0.072</w:t>
            </w:r>
          </w:p>
        </w:tc>
        <w:tc>
          <w:tcPr>
            <w:tcW w:w="344"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Kids not going to school</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-0.288</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-0.310</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-0.265</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Specific community problems</w:t>
            </w:r>
          </w:p>
        </w:tc>
        <w:tc>
          <w:tcPr>
            <w:tcW w:w="2608" w:type="dxa"/>
            <w:tcBorders>
              <w:top w:val="single" w:sz="4" w:space="0" w:color="auto"/>
              <w:left w:val="nil"/>
              <w:bottom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Drinking too much</w:t>
            </w:r>
          </w:p>
        </w:tc>
        <w:tc>
          <w:tcPr>
            <w:tcW w:w="123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-0.628</w:t>
            </w:r>
          </w:p>
        </w:tc>
        <w:tc>
          <w:tcPr>
            <w:tcW w:w="485"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-0.446</w:t>
            </w:r>
          </w:p>
        </w:tc>
        <w:tc>
          <w:tcPr>
            <w:tcW w:w="34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-0.086</w:t>
            </w:r>
          </w:p>
        </w:tc>
        <w:tc>
          <w:tcPr>
            <w:tcW w:w="344"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Hassling for money</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-0.298</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0.229</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-0.071</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Aggregate measures (b)</w:t>
            </w:r>
          </w:p>
        </w:tc>
        <w:tc>
          <w:tcPr>
            <w:tcW w:w="2608" w:type="dxa"/>
            <w:tcBorders>
              <w:top w:val="single" w:sz="4" w:space="0" w:color="auto"/>
              <w:left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 xml:space="preserve">Community </w:t>
            </w:r>
            <w:r>
              <w:rPr>
                <w:rFonts w:eastAsia="Times New Roman"/>
              </w:rPr>
              <w:t>–</w:t>
            </w:r>
            <w:r w:rsidRPr="00DF38B2">
              <w:rPr>
                <w:rFonts w:eastAsia="Times New Roman"/>
              </w:rPr>
              <w:t xml:space="preserve"> child outcomes</w:t>
            </w:r>
          </w:p>
        </w:tc>
        <w:tc>
          <w:tcPr>
            <w:tcW w:w="1232"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0.024</w:t>
            </w:r>
          </w:p>
        </w:tc>
        <w:tc>
          <w:tcPr>
            <w:tcW w:w="485"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-0.027</w:t>
            </w:r>
          </w:p>
        </w:tc>
        <w:tc>
          <w:tcPr>
            <w:tcW w:w="344"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-0.060</w:t>
            </w:r>
          </w:p>
        </w:tc>
        <w:tc>
          <w:tcPr>
            <w:tcW w:w="344" w:type="dxa"/>
            <w:tcBorders>
              <w:top w:val="single" w:sz="4" w:space="0" w:color="auto"/>
              <w:left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6654AE">
            <w:pPr>
              <w:pStyle w:val="tabletext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Community – general outcomes</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-0.061</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-0.002</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-0.027</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Individual problems have been scored using a three</w:t>
      </w:r>
      <w:r w:rsidR="00106C4F">
        <w:t>-</w:t>
      </w:r>
      <w:r w:rsidRPr="00DF38B2">
        <w:t xml:space="preserve">point scale (0 for a very big problem – which happens a lot of the time, 1 for a small problem – which happens a bit of the time; and 2 for not a problem – it does not happen here. A positive score </w:t>
      </w:r>
      <w:r w:rsidR="00106C4F">
        <w:t>thus</w:t>
      </w:r>
      <w:r w:rsidRPr="00DF38B2">
        <w:t xml:space="preserve"> indicates an improvement for the treatment group</w:t>
      </w:r>
      <w:r w:rsidR="00F15F6C">
        <w:t xml:space="preserve"> (</w:t>
      </w:r>
      <w:proofErr w:type="spellStart"/>
      <w:r w:rsidR="00F15F6C">
        <w:t>ie</w:t>
      </w:r>
      <w:proofErr w:type="spellEnd"/>
      <w:r w:rsidR="00F15F6C">
        <w:t xml:space="preserve"> those on income management)</w:t>
      </w:r>
      <w:r w:rsidRPr="00DF38B2">
        <w:t xml:space="preserve"> relative to the control group over the period.</w:t>
      </w:r>
    </w:p>
    <w:p w:rsidR="005E1FE0" w:rsidRPr="00DF38B2" w:rsidRDefault="005E1FE0" w:rsidP="006654AE">
      <w:pPr>
        <w:pStyle w:val="tablenotes"/>
        <w:ind w:left="1437" w:hanging="870"/>
      </w:pPr>
      <w:r w:rsidRPr="00DF38B2">
        <w:t>(b)</w:t>
      </w:r>
      <w:r w:rsidR="00227C83">
        <w:tab/>
      </w:r>
      <w:r w:rsidRPr="00DF38B2">
        <w:t>The aggregate measure is an average of all of the individual responses. Again</w:t>
      </w:r>
      <w:r w:rsidR="00106C4F">
        <w:t>,</w:t>
      </w:r>
      <w:r w:rsidRPr="00DF38B2">
        <w:t xml:space="preserve"> a positive response indicates an improvement relative to the control group.</w:t>
      </w:r>
    </w:p>
    <w:p w:rsidR="005E1FE0" w:rsidRPr="00DF38B2" w:rsidRDefault="005E1FE0" w:rsidP="006654AE">
      <w:pPr>
        <w:pStyle w:val="tablenotes"/>
        <w:ind w:left="1440"/>
      </w:pPr>
      <w:r w:rsidRPr="00DF38B2">
        <w:t>* = statistically significant at p&lt;0.10; ** = statistically significant at p&lt;0.05; *** = statistically significant at p&lt;0.01</w:t>
      </w:r>
      <w:r w:rsidR="00106C4F">
        <w:t>.</w:t>
      </w:r>
    </w:p>
    <w:p w:rsidR="005E1FE0" w:rsidRDefault="005E1FE0" w:rsidP="006654AE">
      <w:pPr>
        <w:pStyle w:val="tablenotes"/>
      </w:pPr>
      <w:r w:rsidRPr="00DF38B2">
        <w:t xml:space="preserve">Source: </w:t>
      </w:r>
      <w:r w:rsidR="00227C83">
        <w:tab/>
      </w:r>
      <w:r w:rsidRPr="00DF38B2">
        <w:t xml:space="preserve">LSNIM Waves 1 </w:t>
      </w:r>
      <w:r w:rsidR="00227C83">
        <w:t>and</w:t>
      </w:r>
      <w:r w:rsidRPr="00DF38B2">
        <w:t xml:space="preserve"> 2</w:t>
      </w:r>
      <w:r w:rsidR="00106C4F">
        <w:t>.</w:t>
      </w:r>
    </w:p>
    <w:p w:rsidR="003928BD" w:rsidRPr="00DF38B2" w:rsidRDefault="003928BD" w:rsidP="006654AE">
      <w:pPr>
        <w:pStyle w:val="tablefootnoteslastline"/>
      </w:pPr>
    </w:p>
    <w:p w:rsidR="00B55E4D" w:rsidRPr="00DF38B2" w:rsidRDefault="00B55E4D" w:rsidP="006654AE">
      <w:r w:rsidRPr="00DF38B2">
        <w:t>Turning to the two aggregate measures, the results are both small and statistically insignificant, although in all but the child outcomes as reported by those subject to Compulsory Income Management, the signs are negative.</w:t>
      </w:r>
    </w:p>
    <w:p w:rsidR="005E1FE0" w:rsidRPr="00DF38B2" w:rsidRDefault="005E1FE0" w:rsidP="006654AE">
      <w:r w:rsidRPr="00DF38B2">
        <w:lastRenderedPageBreak/>
        <w:t xml:space="preserve">While these results suggest that there has been some deterioration in some of these outcomes, we would be very cautious about making this interpretation. As indicated in the introduction to this chapter, we had some concerns about the apparent degree to which positive community </w:t>
      </w:r>
      <w:r w:rsidR="00593D5C">
        <w:t>wellbeing</w:t>
      </w:r>
      <w:r w:rsidRPr="00DF38B2">
        <w:t xml:space="preserve"> outcomes were reported in the first wave of the LSNIM when these results were compared with other data sources. Looking at the parameter values of the aggregate measures and the lack of statistical significance, an outcome of no change would be the most appropriate interpretation.</w:t>
      </w:r>
    </w:p>
    <w:p w:rsidR="005E1FE0" w:rsidRPr="00DF38B2" w:rsidRDefault="005E1FE0" w:rsidP="006654AE">
      <w:pPr>
        <w:pStyle w:val="Heading3"/>
      </w:pPr>
      <w:bookmarkStart w:id="454" w:name="_Toc403739072"/>
      <w:r w:rsidRPr="00DF38B2">
        <w:t xml:space="preserve">Impact on household financial </w:t>
      </w:r>
      <w:r w:rsidR="00593D5C">
        <w:t>wellbeing</w:t>
      </w:r>
      <w:r w:rsidRPr="00DF38B2">
        <w:t xml:space="preserve"> outcomes</w:t>
      </w:r>
      <w:bookmarkEnd w:id="454"/>
    </w:p>
    <w:p w:rsidR="005E1FE0" w:rsidRPr="00DF38B2" w:rsidRDefault="005E1FE0" w:rsidP="006654AE">
      <w:r w:rsidRPr="00DF38B2">
        <w:t xml:space="preserve">Eleven questions in the LSNIM address the incidence of money related problems across the waves. These ask whether or not a household ran out of money for food, or clothing, </w:t>
      </w:r>
      <w:r w:rsidR="00106C4F">
        <w:t>was</w:t>
      </w:r>
      <w:r w:rsidRPr="00DF38B2">
        <w:t xml:space="preserve"> unable to pay a range of bills – rent, electricity and other bills, whether they could save, whether they had financial problems because they gave money to others, or had to seek assistance from others, including seeking emergency relief, and being unable to do things such as visiting friends and pay</w:t>
      </w:r>
      <w:r w:rsidR="00106C4F">
        <w:t>ing</w:t>
      </w:r>
      <w:r w:rsidRPr="00DF38B2">
        <w:t xml:space="preserve"> for school activities because of a shortage of money</w:t>
      </w:r>
      <w:r w:rsidR="00A1421A">
        <w:t xml:space="preserve">. </w:t>
      </w:r>
      <w:r w:rsidRPr="00DF38B2">
        <w:t>Unlike the other questions, these questions have been asked of the LSNIM participants three times</w:t>
      </w:r>
      <w:r w:rsidR="00A1421A">
        <w:t xml:space="preserve">. </w:t>
      </w:r>
      <w:r w:rsidRPr="00DF38B2">
        <w:t>In the first wave of the survey they were asked about the incidence of these outcomes prior to being subject to income management, as well as in the preceding four weeks</w:t>
      </w:r>
      <w:r w:rsidR="00A1421A">
        <w:t xml:space="preserve">. </w:t>
      </w:r>
      <w:r w:rsidRPr="00DF38B2">
        <w:t>This latter question was then repeated in the second wave. This provides a richer dataset – and an extended time period for consideration</w:t>
      </w:r>
      <w:r w:rsidR="00A1421A">
        <w:t xml:space="preserve">. </w:t>
      </w:r>
      <w:r w:rsidR="005A2A0A" w:rsidRPr="00DF38B2">
        <w:t xml:space="preserve">Specifically, in addition to being able to compare a small set of items on pre-income management to current </w:t>
      </w:r>
      <w:r w:rsidR="00A412BD" w:rsidRPr="00DF38B2">
        <w:t xml:space="preserve">circumstances, as was done in the first report, it is possible for the analysis </w:t>
      </w:r>
      <w:r w:rsidR="0090049D" w:rsidRPr="00DF38B2">
        <w:t xml:space="preserve">here </w:t>
      </w:r>
      <w:r w:rsidR="00A412BD" w:rsidRPr="00DF38B2">
        <w:t>to take into account the impact of a further two years of income management, and to consider the impact of income management over this period on a wider set of outcomes.</w:t>
      </w:r>
    </w:p>
    <w:p w:rsidR="005E1FE0" w:rsidRPr="00DF38B2" w:rsidRDefault="005E1FE0" w:rsidP="006654AE">
      <w:r w:rsidRPr="00DF38B2">
        <w:t>At the same time as introducing additional information and permitting an extended period of analysis, the inclusion of a second time period also adds to the complexity</w:t>
      </w:r>
      <w:r w:rsidR="001F468C">
        <w:t xml:space="preserve"> of the results</w:t>
      </w:r>
      <w:r w:rsidRPr="00DF38B2">
        <w:t>, in particular where changes over time are not consistent – either across time periods or within time periods for particular subgroups.</w:t>
      </w:r>
    </w:p>
    <w:p w:rsidR="0006701E" w:rsidRDefault="005E1FE0" w:rsidP="006654AE">
      <w:r w:rsidRPr="00DF38B2">
        <w:t xml:space="preserve">This is illustrated in </w:t>
      </w:r>
      <w:r w:rsidRPr="00FE502F">
        <w:fldChar w:fldCharType="begin"/>
      </w:r>
      <w:r w:rsidRPr="00DF38B2">
        <w:instrText xml:space="preserve"> REF _Ref390617096 \h </w:instrText>
      </w:r>
      <w:r w:rsidRPr="00FE502F">
        <w:fldChar w:fldCharType="separate"/>
      </w:r>
      <w:r w:rsidR="00906D13" w:rsidRPr="00DF38B2">
        <w:t xml:space="preserve">Figure </w:t>
      </w:r>
      <w:r w:rsidR="00906D13">
        <w:rPr>
          <w:noProof/>
        </w:rPr>
        <w:t>7</w:t>
      </w:r>
      <w:r w:rsidR="00906D13" w:rsidRPr="00DF38B2">
        <w:noBreakHyphen/>
      </w:r>
      <w:r w:rsidR="00906D13">
        <w:rPr>
          <w:noProof/>
        </w:rPr>
        <w:t>9</w:t>
      </w:r>
      <w:r w:rsidRPr="00FE502F">
        <w:fldChar w:fldCharType="end"/>
      </w:r>
      <w:r w:rsidRPr="00DF38B2">
        <w:t xml:space="preserve"> and </w:t>
      </w:r>
      <w:r w:rsidRPr="00FE502F">
        <w:fldChar w:fldCharType="begin"/>
      </w:r>
      <w:r w:rsidRPr="00DF38B2">
        <w:instrText xml:space="preserve"> REF _Ref390617113 \h </w:instrText>
      </w:r>
      <w:r w:rsidRPr="00FE502F">
        <w:fldChar w:fldCharType="separate"/>
      </w:r>
      <w:r w:rsidR="00906D13" w:rsidRPr="00DF38B2">
        <w:t xml:space="preserve">Figure </w:t>
      </w:r>
      <w:r w:rsidR="00906D13">
        <w:rPr>
          <w:noProof/>
        </w:rPr>
        <w:t>7</w:t>
      </w:r>
      <w:r w:rsidR="00906D13" w:rsidRPr="00DF38B2">
        <w:noBreakHyphen/>
      </w:r>
      <w:r w:rsidR="00906D13">
        <w:rPr>
          <w:noProof/>
        </w:rPr>
        <w:t>10</w:t>
      </w:r>
      <w:r w:rsidRPr="00FE502F">
        <w:fldChar w:fldCharType="end"/>
      </w:r>
      <w:r w:rsidR="001F468C">
        <w:t>,</w:t>
      </w:r>
      <w:r w:rsidRPr="00DF38B2">
        <w:t xml:space="preserve"> which present the changes in the incidence of not running out of food because of a shortage of money, and not having financial problems because a person gave </w:t>
      </w:r>
      <w:r w:rsidRPr="00FE502F">
        <w:t>money to someone else, relative to the control group over ea</w:t>
      </w:r>
      <w:r w:rsidRPr="009655C3">
        <w:t>ch of the periods. (Again</w:t>
      </w:r>
      <w:r w:rsidR="00115F4A">
        <w:t>,</w:t>
      </w:r>
      <w:r w:rsidRPr="009655C3">
        <w:t xml:space="preserve"> th</w:t>
      </w:r>
      <w:r w:rsidR="00115F4A">
        <w:t>ese</w:t>
      </w:r>
      <w:r w:rsidRPr="009655C3">
        <w:t xml:space="preserve"> data ha</w:t>
      </w:r>
      <w:r w:rsidR="00115F4A">
        <w:t>ve</w:t>
      </w:r>
      <w:r w:rsidRPr="009655C3">
        <w:t xml:space="preserve"> been coded so that a positive score indicates a positive outcome.) </w:t>
      </w:r>
    </w:p>
    <w:p w:rsidR="006D3E76" w:rsidRDefault="006D3E76" w:rsidP="006654AE">
      <w:pPr>
        <w:pStyle w:val="Caption"/>
        <w:spacing w:after="120"/>
      </w:pPr>
      <w:bookmarkStart w:id="455" w:name="_Ref390617096"/>
      <w:bookmarkStart w:id="456" w:name="_Ref390617077"/>
      <w:bookmarkStart w:id="457" w:name="_Toc403739555"/>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9</w:t>
      </w:r>
      <w:r w:rsidRPr="00F157EE">
        <w:fldChar w:fldCharType="end"/>
      </w:r>
      <w:bookmarkEnd w:id="455"/>
      <w:r>
        <w:tab/>
      </w:r>
      <w:r w:rsidRPr="00DF38B2">
        <w:t xml:space="preserve">Change in incidence of not running out of food, relative to control group, before </w:t>
      </w:r>
      <w:r>
        <w:t>income management</w:t>
      </w:r>
      <w:r w:rsidRPr="00DF38B2">
        <w:t xml:space="preserve"> to Wave 1</w:t>
      </w:r>
      <w:r>
        <w:t>,</w:t>
      </w:r>
      <w:r w:rsidRPr="00DF38B2">
        <w:t xml:space="preserve"> and Wave 1 to Wave</w:t>
      </w:r>
      <w:bookmarkEnd w:id="456"/>
      <w:r>
        <w:t xml:space="preserve"> 2 (pre-income management 2011, 2013)</w:t>
      </w:r>
      <w:bookmarkEnd w:id="457"/>
    </w:p>
    <w:p w:rsidR="006D3E76" w:rsidRPr="006D3E76" w:rsidRDefault="006D3E76" w:rsidP="006654AE">
      <w:pPr>
        <w:spacing w:after="0" w:line="240" w:lineRule="auto"/>
        <w:jc w:val="center"/>
      </w:pPr>
      <w:r w:rsidRPr="006D3E76">
        <w:rPr>
          <w:noProof/>
        </w:rPr>
        <w:drawing>
          <wp:inline distT="0" distB="0" distL="0" distR="0" wp14:anchorId="59974E61" wp14:editId="1CA6B7BB">
            <wp:extent cx="4572000" cy="2710180"/>
            <wp:effectExtent l="0" t="0" r="0" b="0"/>
            <wp:docPr id="165" name="Picture 165" descr="This chart is a stacked bar chart showing change relative to the control group in responses to the incidence of running out of money for food over the two periods. For Indigenous people it shows the change for those on Compulsory, those who exited Compulsory, and those on voluntary income management. For non Indigenous it shows those on Compulsory, those who exited Compulsory, and those with an exemption.  The data is discussed in the text above and below the figure.  The table shows the conceptual approach to difference in difference analysis and indicates the diversity of relative changes over the different time periods.  The more substantive analysis is in the later part of the text where a difference in difference approach using propensity score matching is used.  The discussion in the text is mainly concerned with the diversity of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710180"/>
                    </a:xfrm>
                    <a:prstGeom prst="rect">
                      <a:avLst/>
                    </a:prstGeom>
                    <a:noFill/>
                    <a:ln>
                      <a:noFill/>
                    </a:ln>
                  </pic:spPr>
                </pic:pic>
              </a:graphicData>
            </a:graphic>
          </wp:inline>
        </w:drawing>
      </w:r>
    </w:p>
    <w:p w:rsidR="003928BD" w:rsidRDefault="006D3E76" w:rsidP="006654AE">
      <w:pPr>
        <w:pStyle w:val="tablefootnoteslastline"/>
        <w:keepLines w:val="0"/>
        <w:spacing w:after="240"/>
      </w:pPr>
      <w:r w:rsidRPr="006D3E76">
        <w:t>Source:</w:t>
      </w:r>
      <w:r w:rsidRPr="006D3E76">
        <w:tab/>
        <w:t xml:space="preserve"> LSNIM Waves 1 and 2.</w:t>
      </w:r>
    </w:p>
    <w:p w:rsidR="0006701E" w:rsidRDefault="0006701E" w:rsidP="006654AE">
      <w:r w:rsidRPr="009655C3">
        <w:t>As can be seen in the first of these two figures, Indigenous people compulsorily subject to income management showed a decrease in the extent to whic</w:t>
      </w:r>
      <w:r w:rsidRPr="00DF38B2">
        <w:t>h they avoided running out of money for food relative to the control group between starting on income management and the first wave of the LSNIM</w:t>
      </w:r>
      <w:r>
        <w:t xml:space="preserve">. </w:t>
      </w:r>
      <w:r w:rsidRPr="00DF38B2">
        <w:t>This situation was reversed between the first and the second wave of the survey, with the outcomes for the group improving relative to the change in the control group</w:t>
      </w:r>
      <w:r>
        <w:t xml:space="preserve">. </w:t>
      </w:r>
      <w:r w:rsidRPr="00DF38B2">
        <w:t xml:space="preserve">In contrast, the outcomes for those on </w:t>
      </w:r>
      <w:r w:rsidR="001544DF">
        <w:lastRenderedPageBreak/>
        <w:t>Voluntary Income Management</w:t>
      </w:r>
      <w:r w:rsidRPr="00DF38B2">
        <w:t xml:space="preserve"> improved over both periods, while those identifying as being Indigenous who had exited compulsory income management reported a relative decline in both periods.</w:t>
      </w:r>
    </w:p>
    <w:p w:rsidR="005E1FE0" w:rsidRDefault="005E1FE0" w:rsidP="006654AE">
      <w:r w:rsidRPr="00DF38B2">
        <w:t xml:space="preserve">Turning to the second </w:t>
      </w:r>
      <w:r w:rsidR="00D95B12">
        <w:t>figure</w:t>
      </w:r>
      <w:r w:rsidRPr="00DF38B2">
        <w:t xml:space="preserve"> – the extent to which people avoided having financial problems due to having given money to others, one sees a reversal of the situation for Indigenous people subject to compulsory income management</w:t>
      </w:r>
      <w:r w:rsidR="00A1421A">
        <w:t xml:space="preserve">. </w:t>
      </w:r>
      <w:r w:rsidRPr="00DF38B2">
        <w:t>This group now shows a relative improvement in the first period and a relative decline in the second period. For Indigenous people on the voluntary stream of income management the relative movement is positive in both periods, while non-Indigenous people subject to compulsory income management, while compared with the non-Indigenous control group, show the same pattern as Indigenous people on this program.</w:t>
      </w:r>
    </w:p>
    <w:p w:rsidR="008313F0" w:rsidRDefault="008313F0" w:rsidP="006654AE">
      <w:pPr>
        <w:pStyle w:val="Caption"/>
      </w:pPr>
      <w:bookmarkStart w:id="458" w:name="_Ref390617113"/>
      <w:bookmarkStart w:id="459" w:name="_Toc403739556"/>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10</w:t>
      </w:r>
      <w:r w:rsidRPr="00F157EE">
        <w:fldChar w:fldCharType="end"/>
      </w:r>
      <w:bookmarkEnd w:id="458"/>
      <w:r>
        <w:tab/>
        <w:t>C</w:t>
      </w:r>
      <w:r w:rsidRPr="00DF38B2">
        <w:t>hange in incidence of not having financial problems due to having given money to others, relative to control group, before</w:t>
      </w:r>
      <w:r>
        <w:t xml:space="preserve"> income management</w:t>
      </w:r>
      <w:r w:rsidRPr="00DF38B2">
        <w:t xml:space="preserve"> to Wave 1 and Wave 1 to Wave 2</w:t>
      </w:r>
      <w:r>
        <w:t>, (pre-income management, 2011, 2013)</w:t>
      </w:r>
      <w:bookmarkEnd w:id="459"/>
    </w:p>
    <w:p w:rsidR="008313F0" w:rsidRPr="008313F0" w:rsidRDefault="008313F0" w:rsidP="006654AE">
      <w:pPr>
        <w:jc w:val="center"/>
      </w:pPr>
      <w:r w:rsidRPr="008313F0">
        <w:rPr>
          <w:noProof/>
        </w:rPr>
        <w:drawing>
          <wp:inline distT="0" distB="0" distL="0" distR="0" wp14:anchorId="42E34844" wp14:editId="24582F8C">
            <wp:extent cx="4572000" cy="2759710"/>
            <wp:effectExtent l="0" t="0" r="0" b="2540"/>
            <wp:docPr id="166" name="Picture 166" descr="This chart is a stacked bar chart showing change relative to the control group in responses to the incidence of not having financial problems over the two periods. For Indigenous people it shows the change for those on Compulsory, those who exited Compulsory, and those on voluntary income management. For non Indigenous it shows those on Compulsory, those who exited Compulsory, and those with an exemption. There data is discussed in the text below. The main purpose of this table is to illustrate the conceptual approach to difference in difference analysis and to indicate the diversity of relative changes over the different time periods.  The more substantive analysis is in the later part of the text where a difference in difference approach using propensity score matching is used.  The discussion in the text is mainly concerned with the diversity of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0" cy="2759710"/>
                    </a:xfrm>
                    <a:prstGeom prst="rect">
                      <a:avLst/>
                    </a:prstGeom>
                    <a:noFill/>
                    <a:ln>
                      <a:noFill/>
                    </a:ln>
                  </pic:spPr>
                </pic:pic>
              </a:graphicData>
            </a:graphic>
          </wp:inline>
        </w:drawing>
      </w:r>
    </w:p>
    <w:p w:rsidR="003928BD" w:rsidRDefault="008313F0" w:rsidP="006654AE">
      <w:pPr>
        <w:pStyle w:val="tablenotes"/>
        <w:spacing w:after="360"/>
      </w:pPr>
      <w:r w:rsidRPr="00DF38B2">
        <w:t xml:space="preserve">Source: </w:t>
      </w:r>
      <w:r>
        <w:tab/>
      </w:r>
      <w:r w:rsidRPr="00DF38B2">
        <w:t xml:space="preserve">LSNIM Waves 1 </w:t>
      </w:r>
      <w:r>
        <w:t>and</w:t>
      </w:r>
      <w:r w:rsidRPr="00DF38B2">
        <w:t xml:space="preserve"> 2</w:t>
      </w:r>
      <w:r>
        <w:t>.</w:t>
      </w:r>
    </w:p>
    <w:p w:rsidR="005E1FE0" w:rsidRPr="00DF38B2" w:rsidRDefault="005E1FE0" w:rsidP="006654AE">
      <w:r w:rsidRPr="00DF38B2">
        <w:t xml:space="preserve">From an overall program evaluation perspective these patterns of movements suggest that there is need for considerable caution in interpreting these changes as being causally associated with </w:t>
      </w:r>
      <w:r w:rsidR="005E4CAC">
        <w:t>income management</w:t>
      </w:r>
      <w:r w:rsidRPr="00DF38B2">
        <w:t xml:space="preserve">, or at least as indicating </w:t>
      </w:r>
      <w:r w:rsidR="001F468C">
        <w:t>the</w:t>
      </w:r>
      <w:r w:rsidRPr="00DF38B2">
        <w:t xml:space="preserve"> need for an interpretation which takes into account why the program may differentially impact on those on the voluntary and compulsory measures and over the two time periods.</w:t>
      </w:r>
    </w:p>
    <w:p w:rsidR="005E1FE0" w:rsidRPr="00DF38B2" w:rsidRDefault="005E1FE0" w:rsidP="006654AE">
      <w:r w:rsidRPr="00DF38B2">
        <w:t xml:space="preserve">The results of the more sophisticated difference in difference analysis of these results are presented in </w:t>
      </w:r>
      <w:r w:rsidRPr="00FE502F">
        <w:fldChar w:fldCharType="begin"/>
      </w:r>
      <w:r w:rsidRPr="00DF38B2">
        <w:instrText xml:space="preserve"> REF _Ref390618652 \h </w:instrText>
      </w:r>
      <w:r w:rsidRPr="00FE502F">
        <w:fldChar w:fldCharType="separate"/>
      </w:r>
      <w:r w:rsidR="00906D13" w:rsidRPr="009655C3">
        <w:t xml:space="preserve">Table </w:t>
      </w:r>
      <w:r w:rsidR="00906D13">
        <w:rPr>
          <w:noProof/>
        </w:rPr>
        <w:t>7</w:t>
      </w:r>
      <w:r w:rsidR="00906D13">
        <w:noBreakHyphen/>
      </w:r>
      <w:r w:rsidR="00906D13">
        <w:rPr>
          <w:noProof/>
        </w:rPr>
        <w:t>10</w:t>
      </w:r>
      <w:r w:rsidRPr="00FE502F">
        <w:fldChar w:fldCharType="end"/>
      </w:r>
      <w:r w:rsidR="00A1421A">
        <w:t xml:space="preserve">. </w:t>
      </w:r>
      <w:r w:rsidRPr="00DF38B2">
        <w:t>While this essentially use</w:t>
      </w:r>
      <w:r w:rsidRPr="00FE502F">
        <w:t>s the same data as the above graphs</w:t>
      </w:r>
      <w:r w:rsidR="001F468C">
        <w:t>,</w:t>
      </w:r>
      <w:r w:rsidRPr="00FE502F">
        <w:t xml:space="preserve"> its results can differ f</w:t>
      </w:r>
      <w:r w:rsidRPr="009655C3">
        <w:t xml:space="preserve">rom that shown in the </w:t>
      </w:r>
      <w:r w:rsidR="00D95B12">
        <w:t>figure</w:t>
      </w:r>
      <w:r w:rsidRPr="009655C3">
        <w:t>s. This results from two factors</w:t>
      </w:r>
      <w:r w:rsidR="00A1421A">
        <w:t xml:space="preserve">. </w:t>
      </w:r>
      <w:r w:rsidRPr="009655C3">
        <w:t xml:space="preserve">The first is the extent to which the </w:t>
      </w:r>
      <w:r w:rsidR="00D95B12">
        <w:t>figure</w:t>
      </w:r>
      <w:r w:rsidRPr="009655C3">
        <w:t>s are based upon a slightly smaller sample size (which has data for each of the three time periods, compared with just the beginning and end point in the table)</w:t>
      </w:r>
      <w:r w:rsidR="00A1421A">
        <w:t xml:space="preserve">. </w:t>
      </w:r>
      <w:r w:rsidRPr="009655C3">
        <w:t>Secondly</w:t>
      </w:r>
      <w:r w:rsidR="00D02C90">
        <w:t>,</w:t>
      </w:r>
      <w:r w:rsidRPr="009655C3">
        <w:t xml:space="preserve"> because </w:t>
      </w:r>
      <w:r w:rsidR="00D02C90" w:rsidRPr="009655C3">
        <w:t>rather than simply relying upon differences in group means alone,</w:t>
      </w:r>
      <w:r w:rsidR="00D02C90">
        <w:t xml:space="preserve"> </w:t>
      </w:r>
      <w:r w:rsidRPr="009655C3">
        <w:t>the difference in difference estimator adopts a more rigorous form of matching between individuals to reduce the extent to which the comparison may be biased due</w:t>
      </w:r>
      <w:r w:rsidRPr="00DF38B2">
        <w:t xml:space="preserve"> to differences in the composition of the control and treatment populations.</w:t>
      </w:r>
    </w:p>
    <w:p w:rsidR="005E1FE0" w:rsidRPr="009655C3" w:rsidRDefault="005E1FE0" w:rsidP="006654AE">
      <w:r w:rsidRPr="00DF38B2">
        <w:t xml:space="preserve">The results of the difference in difference analysis are presented in </w:t>
      </w:r>
      <w:r w:rsidRPr="00FE502F">
        <w:fldChar w:fldCharType="begin"/>
      </w:r>
      <w:r w:rsidRPr="00DF38B2">
        <w:instrText xml:space="preserve"> REF _Ref390618652 \h </w:instrText>
      </w:r>
      <w:r w:rsidRPr="00FE502F">
        <w:fldChar w:fldCharType="separate"/>
      </w:r>
      <w:r w:rsidR="00906D13" w:rsidRPr="009655C3">
        <w:t xml:space="preserve">Table </w:t>
      </w:r>
      <w:r w:rsidR="00906D13">
        <w:rPr>
          <w:noProof/>
        </w:rPr>
        <w:t>7</w:t>
      </w:r>
      <w:r w:rsidR="00906D13">
        <w:noBreakHyphen/>
      </w:r>
      <w:r w:rsidR="00906D13">
        <w:rPr>
          <w:noProof/>
        </w:rPr>
        <w:t>10</w:t>
      </w:r>
      <w:r w:rsidRPr="00FE502F">
        <w:fldChar w:fldCharType="end"/>
      </w:r>
      <w:r w:rsidR="00A1421A">
        <w:t xml:space="preserve">. </w:t>
      </w:r>
      <w:r w:rsidRPr="00DF38B2">
        <w:t>This prese</w:t>
      </w:r>
      <w:r w:rsidRPr="00FE502F">
        <w:t>nts results for: a) three specific individual outcomes – run</w:t>
      </w:r>
      <w:r w:rsidRPr="009655C3">
        <w:t xml:space="preserve">ning out of money for food; having financial problems due to having given money to others; and having to ask others for money to purchase essentials; b) an aggregate of the three questions on paying bills on time; and c) an aggregate of the 11 items on which information on adverse financial outcomes were sought. This last is entitled </w:t>
      </w:r>
      <w:r w:rsidR="00D02C90">
        <w:t>“</w:t>
      </w:r>
      <w:r w:rsidRPr="009655C3">
        <w:t>absence of negative outcomes</w:t>
      </w:r>
      <w:r w:rsidR="00D02C90">
        <w:t>”</w:t>
      </w:r>
      <w:r w:rsidRPr="009655C3">
        <w:t xml:space="preserve"> in the table. Again</w:t>
      </w:r>
      <w:r w:rsidR="00D02C90">
        <w:t>,</w:t>
      </w:r>
      <w:r w:rsidRPr="009655C3">
        <w:t xml:space="preserve"> all of these have been coded so that a positive score represents an improvement.</w:t>
      </w:r>
    </w:p>
    <w:p w:rsidR="005E1FE0" w:rsidRPr="00DF38B2" w:rsidRDefault="005E1FE0" w:rsidP="006654AE">
      <w:pPr>
        <w:pStyle w:val="Caption"/>
      </w:pPr>
      <w:bookmarkStart w:id="460" w:name="_Ref390618652"/>
      <w:bookmarkStart w:id="461" w:name="_Toc403739472"/>
      <w:r w:rsidRPr="009655C3">
        <w:lastRenderedPageBreak/>
        <w:t xml:space="preserve">Table </w:t>
      </w:r>
      <w:fldSimple w:instr=" STYLEREF 1 \s ">
        <w:r w:rsidR="00906D13">
          <w:rPr>
            <w:noProof/>
          </w:rPr>
          <w:t>7</w:t>
        </w:r>
      </w:fldSimple>
      <w:r w:rsidR="00D40B64">
        <w:noBreakHyphen/>
      </w:r>
      <w:fldSimple w:instr=" SEQ Table \* ARABIC \s 1 ">
        <w:r w:rsidR="00906D13">
          <w:rPr>
            <w:noProof/>
          </w:rPr>
          <w:t>10</w:t>
        </w:r>
      </w:fldSimple>
      <w:bookmarkEnd w:id="460"/>
      <w:r w:rsidRPr="00DF38B2">
        <w:t xml:space="preserve"> </w:t>
      </w:r>
      <w:r w:rsidRPr="00DF38B2">
        <w:tab/>
        <w:t xml:space="preserve">Difference in </w:t>
      </w:r>
      <w:r w:rsidR="00D02C90">
        <w:t>d</w:t>
      </w:r>
      <w:r w:rsidRPr="00DF38B2">
        <w:t xml:space="preserve">ifference analysis of absence of specific adverse financial outcomes, before </w:t>
      </w:r>
      <w:r w:rsidR="00CC7910">
        <w:t>income management</w:t>
      </w:r>
      <w:r w:rsidR="00CC7910" w:rsidRPr="00DF38B2">
        <w:t xml:space="preserve"> </w:t>
      </w:r>
      <w:r w:rsidRPr="00DF38B2">
        <w:t>to Wave 2</w:t>
      </w:r>
      <w:r w:rsidR="00F74C63">
        <w:t xml:space="preserve"> (pre-</w:t>
      </w:r>
      <w:r w:rsidR="00CC7910">
        <w:t>income management</w:t>
      </w:r>
      <w:r w:rsidR="00F74C63" w:rsidRPr="00F74C63">
        <w:t>,</w:t>
      </w:r>
      <w:r w:rsidR="00D02C90">
        <w:t xml:space="preserve"> </w:t>
      </w:r>
      <w:r w:rsidR="00F74C63" w:rsidRPr="00F74C63">
        <w:t>2013)</w:t>
      </w:r>
      <w:bookmarkEnd w:id="461"/>
    </w:p>
    <w:tbl>
      <w:tblPr>
        <w:tblW w:w="8735"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provided. The first four relate to specific problems and whether these occurred in the past four weeks, while the final row looks at the absence of any negative outcomes against measures of financial stress. The four specific factors were that in the past four weeks the household: “Did not run out of money for food”; “Did not have problems paying bills”; “Did not have problems because gave money to others” and “Did not have to ask others for money for essentials”.&#10;There is extensive discussion of these results in the text.&#10;"/>
      </w:tblPr>
      <w:tblGrid>
        <w:gridCol w:w="1384"/>
        <w:gridCol w:w="2330"/>
        <w:gridCol w:w="1134"/>
        <w:gridCol w:w="567"/>
        <w:gridCol w:w="1134"/>
        <w:gridCol w:w="485"/>
        <w:gridCol w:w="960"/>
        <w:gridCol w:w="741"/>
      </w:tblGrid>
      <w:tr w:rsidR="00DB3285" w:rsidRPr="00DF38B2" w:rsidTr="00DB3285">
        <w:trPr>
          <w:trHeight w:val="20"/>
          <w:tblHeader/>
          <w:jc w:val="center"/>
        </w:trPr>
        <w:tc>
          <w:tcPr>
            <w:tcW w:w="1384" w:type="dxa"/>
            <w:tcBorders>
              <w:top w:val="single" w:sz="4" w:space="0" w:color="auto"/>
              <w:left w:val="nil"/>
              <w:bottom w:val="single" w:sz="4" w:space="0" w:color="auto"/>
              <w:right w:val="nil"/>
            </w:tcBorders>
          </w:tcPr>
          <w:p w:rsidR="00DB3285" w:rsidRPr="00DF38B2" w:rsidRDefault="00DB3285" w:rsidP="006654AE">
            <w:pPr>
              <w:pStyle w:val="tabletextleft"/>
              <w:ind w:left="79" w:hanging="79"/>
              <w:jc w:val="left"/>
              <w:rPr>
                <w:rFonts w:eastAsia="Times New Roman"/>
              </w:rPr>
            </w:pPr>
          </w:p>
        </w:tc>
        <w:tc>
          <w:tcPr>
            <w:tcW w:w="2330" w:type="dxa"/>
            <w:tcBorders>
              <w:top w:val="single" w:sz="4" w:space="0" w:color="auto"/>
              <w:left w:val="nil"/>
              <w:bottom w:val="single" w:sz="4" w:space="0" w:color="auto"/>
              <w:right w:val="nil"/>
            </w:tcBorders>
            <w:shd w:val="clear" w:color="auto" w:fill="auto"/>
            <w:noWrap/>
          </w:tcPr>
          <w:p w:rsidR="00DB3285" w:rsidRPr="00DF38B2" w:rsidRDefault="00DB3285" w:rsidP="006654AE">
            <w:pPr>
              <w:pStyle w:val="tabletextleft"/>
              <w:ind w:left="79" w:hanging="79"/>
              <w:jc w:val="left"/>
              <w:rPr>
                <w:rFonts w:eastAsia="Times New Roman"/>
              </w:rPr>
            </w:pPr>
            <w:r w:rsidRPr="00DF38B2">
              <w:rPr>
                <w:rFonts w:eastAsia="Times New Roman"/>
              </w:rPr>
              <w:t>Whether in the past four weeks</w:t>
            </w:r>
          </w:p>
        </w:tc>
        <w:tc>
          <w:tcPr>
            <w:tcW w:w="1701"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Indigenous Compulsory Income Management</w:t>
            </w:r>
          </w:p>
        </w:tc>
        <w:tc>
          <w:tcPr>
            <w:tcW w:w="1619"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Indigenous Voluntary Income Management</w:t>
            </w:r>
          </w:p>
        </w:tc>
        <w:tc>
          <w:tcPr>
            <w:tcW w:w="1701"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Non-Indigenous Compulsory Income Management</w:t>
            </w:r>
          </w:p>
        </w:tc>
      </w:tr>
      <w:tr w:rsidR="00DB3285" w:rsidRPr="00DF38B2" w:rsidTr="00656A64">
        <w:trPr>
          <w:trHeight w:val="20"/>
          <w:jc w:val="center"/>
        </w:trPr>
        <w:tc>
          <w:tcPr>
            <w:tcW w:w="1384" w:type="dxa"/>
            <w:vMerge w:val="restart"/>
            <w:tcBorders>
              <w:top w:val="single" w:sz="4" w:space="0" w:color="auto"/>
              <w:left w:val="nil"/>
              <w:right w:val="nil"/>
            </w:tcBorders>
          </w:tcPr>
          <w:p w:rsidR="00DB3285" w:rsidRPr="00DF38B2" w:rsidRDefault="00DB3285" w:rsidP="006654AE">
            <w:pPr>
              <w:pStyle w:val="tabletextleft"/>
              <w:ind w:left="79" w:hanging="79"/>
              <w:jc w:val="left"/>
              <w:rPr>
                <w:rFonts w:eastAsia="Times New Roman"/>
              </w:rPr>
            </w:pPr>
            <w:r w:rsidRPr="00DF38B2">
              <w:rPr>
                <w:rFonts w:eastAsia="Times New Roman"/>
              </w:rPr>
              <w:t>Specific outcomes (a)</w:t>
            </w:r>
          </w:p>
        </w:tc>
        <w:tc>
          <w:tcPr>
            <w:tcW w:w="2330" w:type="dxa"/>
            <w:tcBorders>
              <w:top w:val="single" w:sz="4" w:space="0" w:color="auto"/>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run</w:t>
            </w:r>
            <w:r>
              <w:rPr>
                <w:rFonts w:eastAsia="Times New Roman"/>
              </w:rPr>
              <w:t xml:space="preserve"> </w:t>
            </w:r>
            <w:r w:rsidRPr="00DF38B2">
              <w:rPr>
                <w:rFonts w:eastAsia="Times New Roman"/>
              </w:rPr>
              <w:t>out of money for food</w:t>
            </w:r>
          </w:p>
        </w:tc>
        <w:tc>
          <w:tcPr>
            <w:tcW w:w="1134"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0.029</w:t>
            </w:r>
          </w:p>
        </w:tc>
        <w:tc>
          <w:tcPr>
            <w:tcW w:w="567" w:type="dxa"/>
            <w:tcBorders>
              <w:top w:val="single" w:sz="4" w:space="0" w:color="auto"/>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 xml:space="preserve"> </w:t>
            </w:r>
          </w:p>
        </w:tc>
        <w:tc>
          <w:tcPr>
            <w:tcW w:w="1134"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0.176</w:t>
            </w:r>
          </w:p>
        </w:tc>
        <w:tc>
          <w:tcPr>
            <w:tcW w:w="485" w:type="dxa"/>
            <w:tcBorders>
              <w:top w:val="single" w:sz="4" w:space="0" w:color="auto"/>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-0.014</w:t>
            </w:r>
          </w:p>
        </w:tc>
        <w:tc>
          <w:tcPr>
            <w:tcW w:w="741"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problems paying bills (b)</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0.340</w:t>
            </w:r>
          </w:p>
        </w:tc>
        <w:tc>
          <w:tcPr>
            <w:tcW w:w="567"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 xml:space="preserve"> </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0.077</w:t>
            </w:r>
          </w:p>
        </w:tc>
        <w:tc>
          <w:tcPr>
            <w:tcW w:w="485"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0.035</w:t>
            </w:r>
          </w:p>
        </w:tc>
        <w:tc>
          <w:tcPr>
            <w:tcW w:w="741" w:type="dxa"/>
            <w:tcBorders>
              <w:top w:val="nil"/>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problems because gave money to others</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0.185</w:t>
            </w:r>
          </w:p>
        </w:tc>
        <w:tc>
          <w:tcPr>
            <w:tcW w:w="567"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0.050</w:t>
            </w:r>
          </w:p>
        </w:tc>
        <w:tc>
          <w:tcPr>
            <w:tcW w:w="741" w:type="dxa"/>
            <w:tcBorders>
              <w:top w:val="nil"/>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bottom w:val="single" w:sz="4" w:space="0" w:color="auto"/>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single" w:sz="4" w:space="0" w:color="auto"/>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to ask others for money for essentials</w:t>
            </w:r>
          </w:p>
        </w:tc>
        <w:tc>
          <w:tcPr>
            <w:tcW w:w="1134"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-0.199</w:t>
            </w:r>
          </w:p>
        </w:tc>
        <w:tc>
          <w:tcPr>
            <w:tcW w:w="567" w:type="dxa"/>
            <w:tcBorders>
              <w:top w:val="nil"/>
              <w:left w:val="nil"/>
              <w:bottom w:val="single" w:sz="4" w:space="0" w:color="auto"/>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1134"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-0.288</w:t>
            </w:r>
          </w:p>
        </w:tc>
        <w:tc>
          <w:tcPr>
            <w:tcW w:w="485" w:type="dxa"/>
            <w:tcBorders>
              <w:top w:val="nil"/>
              <w:left w:val="nil"/>
              <w:bottom w:val="single" w:sz="4" w:space="0" w:color="auto"/>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-0.032</w:t>
            </w:r>
          </w:p>
        </w:tc>
        <w:tc>
          <w:tcPr>
            <w:tcW w:w="741"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tcBorders>
              <w:top w:val="single" w:sz="4" w:space="0" w:color="auto"/>
              <w:left w:val="nil"/>
              <w:bottom w:val="single" w:sz="4" w:space="0" w:color="auto"/>
              <w:right w:val="nil"/>
            </w:tcBorders>
          </w:tcPr>
          <w:p w:rsidR="00DB3285" w:rsidRPr="00DF38B2" w:rsidRDefault="00DB3285" w:rsidP="006654AE">
            <w:pPr>
              <w:pStyle w:val="tabletextleft"/>
              <w:ind w:left="79" w:hanging="79"/>
              <w:jc w:val="left"/>
              <w:rPr>
                <w:rFonts w:eastAsia="Times New Roman"/>
              </w:rPr>
            </w:pPr>
            <w:r w:rsidRPr="00DF38B2">
              <w:rPr>
                <w:rFonts w:eastAsia="Times New Roman"/>
              </w:rPr>
              <w:t>Aggregate measure (c)</w:t>
            </w:r>
          </w:p>
        </w:tc>
        <w:tc>
          <w:tcPr>
            <w:tcW w:w="2330" w:type="dxa"/>
            <w:tcBorders>
              <w:top w:val="single" w:sz="4" w:space="0" w:color="auto"/>
              <w:left w:val="nil"/>
              <w:bottom w:val="single" w:sz="4" w:space="0" w:color="auto"/>
              <w:right w:val="nil"/>
            </w:tcBorders>
            <w:shd w:val="clear" w:color="auto" w:fill="auto"/>
            <w:noWrap/>
            <w:hideMark/>
          </w:tcPr>
          <w:p w:rsidR="00DB3285" w:rsidRPr="00DF38B2" w:rsidRDefault="00DB3285" w:rsidP="00DB3285">
            <w:pPr>
              <w:pStyle w:val="tabletextleft"/>
              <w:ind w:left="79" w:hanging="79"/>
              <w:jc w:val="left"/>
              <w:rPr>
                <w:rFonts w:eastAsia="Times New Roman"/>
              </w:rPr>
            </w:pPr>
            <w:r w:rsidRPr="00DF38B2">
              <w:rPr>
                <w:rFonts w:eastAsia="Times New Roman"/>
              </w:rPr>
              <w:t>Absence of negative outcomes</w:t>
            </w:r>
          </w:p>
        </w:tc>
        <w:tc>
          <w:tcPr>
            <w:tcW w:w="1134"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-0.012</w:t>
            </w:r>
          </w:p>
        </w:tc>
        <w:tc>
          <w:tcPr>
            <w:tcW w:w="567"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 xml:space="preserve"> </w:t>
            </w:r>
          </w:p>
        </w:tc>
        <w:tc>
          <w:tcPr>
            <w:tcW w:w="1134"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-0.009</w:t>
            </w:r>
          </w:p>
        </w:tc>
        <w:tc>
          <w:tcPr>
            <w:tcW w:w="485"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 xml:space="preserve"> </w:t>
            </w:r>
          </w:p>
        </w:tc>
        <w:tc>
          <w:tcPr>
            <w:tcW w:w="960"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-0.004</w:t>
            </w:r>
          </w:p>
        </w:tc>
        <w:tc>
          <w:tcPr>
            <w:tcW w:w="741" w:type="dxa"/>
            <w:tcBorders>
              <w:top w:val="single" w:sz="4" w:space="0" w:color="auto"/>
              <w:left w:val="nil"/>
              <w:bottom w:val="single" w:sz="4" w:space="0" w:color="auto"/>
              <w:right w:val="nil"/>
            </w:tcBorders>
          </w:tcPr>
          <w:p w:rsidR="00DB3285" w:rsidRPr="00DF38B2" w:rsidRDefault="00DB3285" w:rsidP="006654AE">
            <w:pPr>
              <w:pStyle w:val="tabletextright"/>
              <w:rPr>
                <w:rFonts w:eastAsia="Times New Roman"/>
              </w:rPr>
            </w:pPr>
          </w:p>
        </w:tc>
      </w:tr>
    </w:tbl>
    <w:p w:rsidR="00B01EB2" w:rsidRDefault="00B01EB2" w:rsidP="006654AE">
      <w:pPr>
        <w:pStyle w:val="tablenotes"/>
      </w:pPr>
      <w:r>
        <w:t>Notes:</w:t>
      </w:r>
    </w:p>
    <w:p w:rsidR="005E1FE0" w:rsidRPr="00DF38B2" w:rsidRDefault="005E1FE0" w:rsidP="006654AE">
      <w:pPr>
        <w:pStyle w:val="tablenotes"/>
        <w:ind w:left="1437" w:hanging="870"/>
      </w:pPr>
      <w:r w:rsidRPr="00DF38B2">
        <w:t xml:space="preserve">(a) </w:t>
      </w:r>
      <w:r w:rsidR="00B01EB2">
        <w:tab/>
      </w:r>
      <w:r w:rsidRPr="00DF38B2">
        <w:t xml:space="preserve">Individual problems have been scored using a scale of 1 for the absence of a problem and 0 if it is reported. A positive score hence indicates an improvement for the treatment group </w:t>
      </w:r>
      <w:r w:rsidR="00F15F6C">
        <w:t>(</w:t>
      </w:r>
      <w:proofErr w:type="spellStart"/>
      <w:r w:rsidR="00F15F6C">
        <w:t>ie</w:t>
      </w:r>
      <w:proofErr w:type="spellEnd"/>
      <w:r w:rsidR="00F15F6C">
        <w:t xml:space="preserve"> those on income management) </w:t>
      </w:r>
      <w:r w:rsidRPr="00DF38B2">
        <w:t xml:space="preserve">relative to the control group over the period. </w:t>
      </w:r>
    </w:p>
    <w:p w:rsidR="005E1FE0" w:rsidRPr="00DF38B2" w:rsidRDefault="005E1FE0" w:rsidP="006654AE">
      <w:pPr>
        <w:pStyle w:val="tablenotes"/>
        <w:ind w:left="1437" w:hanging="870"/>
      </w:pPr>
      <w:r w:rsidRPr="00DF38B2">
        <w:t xml:space="preserve">(b) </w:t>
      </w:r>
      <w:r w:rsidR="00B01EB2">
        <w:tab/>
      </w:r>
      <w:r w:rsidRPr="00DF38B2">
        <w:t>This is the average of being unable to pay for rent, being unable to pay for electricity and water</w:t>
      </w:r>
      <w:r w:rsidR="00D02C90">
        <w:t>,</w:t>
      </w:r>
      <w:r w:rsidRPr="00DF38B2">
        <w:t xml:space="preserve"> and being unable to pay other bills. This broader measure enables the data to encompass a larger proportion of the population for wh</w:t>
      </w:r>
      <w:r w:rsidR="00D02C90">
        <w:t>ich</w:t>
      </w:r>
      <w:r w:rsidRPr="00DF38B2">
        <w:t xml:space="preserve"> a single one of these items may be out of scope.</w:t>
      </w:r>
    </w:p>
    <w:p w:rsidR="005E1FE0" w:rsidRPr="00DF38B2" w:rsidRDefault="005E1FE0" w:rsidP="006654AE">
      <w:pPr>
        <w:pStyle w:val="tablenotes"/>
        <w:ind w:left="1437" w:hanging="870"/>
      </w:pPr>
      <w:r w:rsidRPr="00DF38B2">
        <w:t>(c)</w:t>
      </w:r>
      <w:r w:rsidR="00B01EB2">
        <w:tab/>
      </w:r>
      <w:r w:rsidRPr="00DF38B2">
        <w:t>The aggregate measure is an average of all of the individual responses. Again</w:t>
      </w:r>
      <w:r w:rsidR="00D02C90">
        <w:t>,</w:t>
      </w:r>
      <w:r w:rsidRPr="00DF38B2">
        <w:t xml:space="preserve"> a positive response indicates an improvement relative to the control group.</w:t>
      </w:r>
    </w:p>
    <w:p w:rsidR="005E1FE0" w:rsidRPr="00DF38B2" w:rsidRDefault="005E1FE0" w:rsidP="006654AE">
      <w:pPr>
        <w:pStyle w:val="tablenotes"/>
        <w:ind w:left="1440"/>
      </w:pPr>
      <w:r w:rsidRPr="00DF38B2">
        <w:t>* = statistically significant at p&lt;0.10; ** = statistically significant at p&lt;0.05; *** = statistically significant at p&lt;0.01</w:t>
      </w:r>
      <w:r w:rsidR="00D02C90">
        <w:t>.</w:t>
      </w:r>
    </w:p>
    <w:p w:rsidR="005E1FE0" w:rsidRDefault="005E1FE0" w:rsidP="006654AE">
      <w:pPr>
        <w:pStyle w:val="tablenotes"/>
      </w:pPr>
      <w:r w:rsidRPr="00DF38B2">
        <w:t xml:space="preserve">Source: LSNIM Waves 1 </w:t>
      </w:r>
      <w:r w:rsidR="00B01EB2">
        <w:t>and</w:t>
      </w:r>
      <w:r w:rsidRPr="00DF38B2">
        <w:t xml:space="preserve"> 2</w:t>
      </w:r>
      <w:r w:rsidR="00B01EB2">
        <w:t>.</w:t>
      </w:r>
    </w:p>
    <w:p w:rsidR="003928BD" w:rsidRPr="00DF38B2" w:rsidRDefault="003928BD" w:rsidP="006654AE">
      <w:pPr>
        <w:pStyle w:val="tablefootnoteslastline"/>
      </w:pPr>
    </w:p>
    <w:p w:rsidR="005E1FE0" w:rsidRPr="00DF38B2" w:rsidRDefault="005E1FE0" w:rsidP="006654AE">
      <w:r w:rsidRPr="00DF38B2">
        <w:t xml:space="preserve">Indigenous people subject to Compulsory Income Management have positive outcomes on the first three individual measures, although </w:t>
      </w:r>
      <w:r w:rsidR="008B66C8" w:rsidRPr="00DF38B2">
        <w:t xml:space="preserve">only </w:t>
      </w:r>
      <w:r w:rsidRPr="00DF38B2">
        <w:t>the res</w:t>
      </w:r>
      <w:r w:rsidR="008B66C8">
        <w:t>ponse to</w:t>
      </w:r>
      <w:r w:rsidRPr="00DF38B2">
        <w:t xml:space="preserve"> not having problems due to giving money to others was statistically significant</w:t>
      </w:r>
      <w:r w:rsidR="008B66C8">
        <w:t>, while</w:t>
      </w:r>
      <w:r w:rsidR="00A412BD" w:rsidRPr="00DF38B2">
        <w:t xml:space="preserve"> the parameter values on the question of running out of money for food </w:t>
      </w:r>
      <w:r w:rsidR="008B66C8">
        <w:t>are</w:t>
      </w:r>
      <w:r w:rsidR="00A412BD" w:rsidRPr="00DF38B2">
        <w:t xml:space="preserve"> very small</w:t>
      </w:r>
      <w:r w:rsidR="00A1421A">
        <w:t xml:space="preserve">. </w:t>
      </w:r>
      <w:r w:rsidRPr="00DF38B2">
        <w:t>Conversely, the</w:t>
      </w:r>
      <w:r w:rsidR="008B66C8">
        <w:t>re is</w:t>
      </w:r>
      <w:r w:rsidRPr="00DF38B2">
        <w:t xml:space="preserve"> a statistically significant increase in the extent to which they had to ask others for money</w:t>
      </w:r>
      <w:r w:rsidR="008B66C8">
        <w:t xml:space="preserve"> to</w:t>
      </w:r>
      <w:r w:rsidRPr="00DF38B2">
        <w:t xml:space="preserve"> obtain essentials</w:t>
      </w:r>
      <w:r w:rsidR="00A1421A">
        <w:t xml:space="preserve">. </w:t>
      </w:r>
      <w:r w:rsidR="00DE3F20">
        <w:t>The data for</w:t>
      </w:r>
      <w:r w:rsidRPr="00DF38B2">
        <w:t xml:space="preserve"> Indigenous people on Voluntary Income Management</w:t>
      </w:r>
      <w:r w:rsidR="008B66C8">
        <w:t>,</w:t>
      </w:r>
      <w:r w:rsidRPr="00DF38B2">
        <w:t xml:space="preserve"> </w:t>
      </w:r>
      <w:r w:rsidR="00DE3F20">
        <w:t>again shows positive</w:t>
      </w:r>
      <w:r w:rsidRPr="00DF38B2">
        <w:t xml:space="preserve"> changes </w:t>
      </w:r>
      <w:r w:rsidR="00DE3F20">
        <w:t>to the first three questions, but in this case all were</w:t>
      </w:r>
      <w:r w:rsidRPr="00DF38B2">
        <w:t xml:space="preserve"> statistically significant, although some </w:t>
      </w:r>
      <w:r w:rsidR="00DE3F20">
        <w:t>very</w:t>
      </w:r>
      <w:r w:rsidRPr="00DF38B2">
        <w:t xml:space="preserve"> weak</w:t>
      </w:r>
      <w:r w:rsidR="00DE3F20">
        <w:t>ly so</w:t>
      </w:r>
      <w:r w:rsidRPr="00DF38B2">
        <w:t xml:space="preserve">. </w:t>
      </w:r>
      <w:r w:rsidR="00DE3F20">
        <w:t>As with Indigenous people on the Compulsory measure there was a reported deterioration in having to ask other for money for essentials</w:t>
      </w:r>
      <w:r w:rsidR="005D1CC5">
        <w:t xml:space="preserve"> </w:t>
      </w:r>
      <w:r w:rsidR="00DE3F20">
        <w:t xml:space="preserve">- this result was strongly significant. </w:t>
      </w:r>
      <w:r w:rsidRPr="00DF38B2">
        <w:t>None of these individual items are statistically significant for non-Indigenous people subject to Compulsory Income Management</w:t>
      </w:r>
      <w:r w:rsidR="00A1421A">
        <w:t xml:space="preserve">. </w:t>
      </w:r>
      <w:r w:rsidRPr="00DF38B2">
        <w:t xml:space="preserve">All three groups report a negative change on the aggregate measure, although in no case is this statistically </w:t>
      </w:r>
      <w:proofErr w:type="gramStart"/>
      <w:r w:rsidRPr="00DF38B2">
        <w:t>significant.</w:t>
      </w:r>
      <w:proofErr w:type="gramEnd"/>
    </w:p>
    <w:p w:rsidR="005E1FE0" w:rsidRPr="00DF38B2" w:rsidRDefault="005E1FE0" w:rsidP="006654AE">
      <w:r w:rsidRPr="00DF38B2">
        <w:t>These responses, when taken as a whole, do not appear to indicate any marked changes in these outcomes relative to the control group that was not subject to income management. Potentially it may be considered that there has been some decrease in the incidence of humbugging leading to financial problems, but this is balanced by an increase in people on income management seeking assistance from others</w:t>
      </w:r>
      <w:r w:rsidR="00A1421A">
        <w:t xml:space="preserve">. </w:t>
      </w:r>
      <w:r w:rsidRPr="00DF38B2">
        <w:t xml:space="preserve">The results for people who identify as Indigenous Australians on Voluntary Income Management are somewhat more positive, although the statistically most robust result for this group is the negative response to the question </w:t>
      </w:r>
      <w:r w:rsidR="008B66C8">
        <w:t>concerning</w:t>
      </w:r>
      <w:r w:rsidRPr="00DF38B2">
        <w:t xml:space="preserve"> asking others for assistance. </w:t>
      </w:r>
    </w:p>
    <w:p w:rsidR="005E1FE0" w:rsidRPr="00DF38B2" w:rsidRDefault="005E1FE0" w:rsidP="006654AE">
      <w:r w:rsidRPr="00DF38B2">
        <w:t>As an indicator of income management leading to better financial outcomes these results provide little support for any such change having occurred</w:t>
      </w:r>
      <w:r w:rsidR="00A412BD" w:rsidRPr="00DF38B2">
        <w:t xml:space="preserve"> for those on compulsory measures</w:t>
      </w:r>
      <w:r w:rsidR="00A1421A">
        <w:t xml:space="preserve">. </w:t>
      </w:r>
      <w:r w:rsidRPr="00DF38B2">
        <w:t>Again</w:t>
      </w:r>
      <w:r w:rsidR="008B66C8">
        <w:t>,</w:t>
      </w:r>
      <w:r w:rsidRPr="00DF38B2">
        <w:t xml:space="preserve"> it needs to be noted that these outcomes not only reflect the impact of </w:t>
      </w:r>
      <w:r w:rsidR="005E4CAC">
        <w:t>income management</w:t>
      </w:r>
      <w:r w:rsidRPr="00DF38B2">
        <w:t>, but also of the other policies and programs that have been put in place.</w:t>
      </w:r>
    </w:p>
    <w:p w:rsidR="005E1FE0" w:rsidRPr="00DF38B2" w:rsidRDefault="005E1FE0" w:rsidP="006654AE">
      <w:pPr>
        <w:pStyle w:val="Heading3"/>
      </w:pPr>
      <w:bookmarkStart w:id="462" w:name="_Toc403739073"/>
      <w:r w:rsidRPr="00DF38B2">
        <w:t>Changes in attitudes to income management</w:t>
      </w:r>
      <w:bookmarkEnd w:id="462"/>
    </w:p>
    <w:p w:rsidR="005E1FE0" w:rsidRPr="00DF38B2" w:rsidRDefault="005E1FE0" w:rsidP="006654AE">
      <w:r w:rsidRPr="00DF38B2">
        <w:t>The final element of this consideration is concerned with the extent to which there have been changes in attitude about income management</w:t>
      </w:r>
      <w:r w:rsidR="00A1421A">
        <w:t xml:space="preserve">. </w:t>
      </w:r>
      <w:r w:rsidRPr="00DF38B2">
        <w:t>As discussed earlier in this chapter, responses with regard to how people feel about income management appear to be more positive in the second wave of the LSNIM and in the accompanying qualitative data collection</w:t>
      </w:r>
      <w:r w:rsidR="00A1421A">
        <w:t xml:space="preserve">. </w:t>
      </w:r>
      <w:r w:rsidRPr="00DF38B2">
        <w:t xml:space="preserve">The question remains whether or not these are part of </w:t>
      </w:r>
      <w:r w:rsidRPr="00DF38B2">
        <w:lastRenderedPageBreak/>
        <w:t>broader shifts with regard to attitudes about the receipt of welfare</w:t>
      </w:r>
      <w:r w:rsidR="00A1421A">
        <w:t xml:space="preserve">. </w:t>
      </w:r>
      <w:r w:rsidRPr="00DF38B2">
        <w:t>The LSNIM provides some scope for this to be tested</w:t>
      </w:r>
      <w:r w:rsidR="00A1421A">
        <w:t xml:space="preserve">. </w:t>
      </w:r>
      <w:r w:rsidRPr="00DF38B2">
        <w:t>While this comparison is less robust than those presented above</w:t>
      </w:r>
      <w:r w:rsidR="008B66C8">
        <w:t>,</w:t>
      </w:r>
      <w:r w:rsidRPr="00DF38B2">
        <w:t xml:space="preserve"> where the same questions are used for both the treatment and control groups, it is still considered to have merit. (The difference here relates to the fact that while it is easy to collect information on the incidence of particular outcomes from both those on income management and those who are not, it is of course not possible to ask those not on income management about their feelings about the program. As a best alternative the same set of questions is posed to this group more generally about income support</w:t>
      </w:r>
      <w:r w:rsidR="00A1421A">
        <w:t xml:space="preserve">. </w:t>
      </w:r>
      <w:r w:rsidRPr="00DF38B2">
        <w:t>Further</w:t>
      </w:r>
      <w:r w:rsidR="008B66C8">
        <w:t>,</w:t>
      </w:r>
      <w:r w:rsidRPr="00DF38B2">
        <w:t xml:space="preserve"> while some questions such as sense of financial control can be explored using this methodology, others, such as desire to remain on income management, cannot.) In addition, in contrast with the questions on outcomes, this analysis simply concentrates on changes in attitudes over the past two years, and does not compare outcomes with those prior to income management</w:t>
      </w:r>
      <w:r w:rsidR="008B66C8">
        <w:t>.</w:t>
      </w:r>
    </w:p>
    <w:p w:rsidR="005E1FE0" w:rsidRPr="00DF38B2" w:rsidRDefault="005E1FE0" w:rsidP="006654AE">
      <w:pPr>
        <w:pStyle w:val="Caption"/>
      </w:pPr>
      <w:bookmarkStart w:id="463" w:name="_Toc403739473"/>
      <w:r w:rsidRPr="00DF38B2">
        <w:t xml:space="preserve">Table </w:t>
      </w:r>
      <w:fldSimple w:instr=" STYLEREF 1 \s ">
        <w:r w:rsidR="00906D13">
          <w:rPr>
            <w:noProof/>
          </w:rPr>
          <w:t>7</w:t>
        </w:r>
      </w:fldSimple>
      <w:r w:rsidR="00D40B64">
        <w:noBreakHyphen/>
      </w:r>
      <w:fldSimple w:instr=" SEQ Table \* ARABIC \s 1 ">
        <w:r w:rsidR="00906D13">
          <w:rPr>
            <w:noProof/>
          </w:rPr>
          <w:t>11</w:t>
        </w:r>
      </w:fldSimple>
      <w:r w:rsidRPr="00DF38B2">
        <w:tab/>
        <w:t xml:space="preserve">Difference in </w:t>
      </w:r>
      <w:r w:rsidR="008B66C8">
        <w:t>d</w:t>
      </w:r>
      <w:r w:rsidRPr="00DF38B2">
        <w:t xml:space="preserve">ifference analysis of feelings about income management, change between Waves 1 </w:t>
      </w:r>
      <w:r w:rsidR="00227C83">
        <w:t>and</w:t>
      </w:r>
      <w:r w:rsidRPr="00DF38B2">
        <w:t xml:space="preserve"> 2</w:t>
      </w:r>
      <w:r w:rsidR="00F74C63">
        <w:t xml:space="preserve"> (2011, 2013)</w:t>
      </w:r>
      <w:bookmarkEnd w:id="463"/>
    </w:p>
    <w:tbl>
      <w:tblPr>
        <w:tblW w:w="8815" w:type="dxa"/>
        <w:tblInd w:w="93" w:type="dxa"/>
        <w:tblLook w:val="04A0" w:firstRow="1" w:lastRow="0" w:firstColumn="1" w:lastColumn="0" w:noHBand="0" w:noVBand="1"/>
        <w:tblDescription w:val="This is the last of the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provided. The first four relate to specific feelings about the experience or outcome of being income managed and the fifth is an aggregate summary measure formed from 8 different items. While some of the attitudes/experiences are couched as negatives the data has been recoded so that a positive parameter value represents a positive change relative to the control population.  The specific items which form the first four lines of data are views that it is ”Not fair being income managed”, that “I feel discriminated against” being income managed, “Things are better for me and my family” and “I feel I have more control over my money”.&#10;These results are discussed in the text.&#10;"/>
      </w:tblPr>
      <w:tblGrid>
        <w:gridCol w:w="1319"/>
        <w:gridCol w:w="2332"/>
        <w:gridCol w:w="1175"/>
        <w:gridCol w:w="545"/>
        <w:gridCol w:w="1233"/>
        <w:gridCol w:w="490"/>
        <w:gridCol w:w="1165"/>
        <w:gridCol w:w="556"/>
      </w:tblGrid>
      <w:tr w:rsidR="00656A64" w:rsidRPr="00DF38B2" w:rsidTr="00EB5275">
        <w:trPr>
          <w:trHeight w:val="20"/>
          <w:tblHeader/>
        </w:trPr>
        <w:tc>
          <w:tcPr>
            <w:tcW w:w="1319" w:type="dxa"/>
            <w:tcBorders>
              <w:top w:val="single" w:sz="4" w:space="0" w:color="auto"/>
              <w:left w:val="nil"/>
              <w:bottom w:val="single" w:sz="4" w:space="0" w:color="auto"/>
              <w:right w:val="nil"/>
            </w:tcBorders>
          </w:tcPr>
          <w:p w:rsidR="00656A64" w:rsidRPr="00DF38B2" w:rsidRDefault="00656A64" w:rsidP="006654AE">
            <w:pPr>
              <w:pStyle w:val="tabletextleft"/>
              <w:jc w:val="left"/>
              <w:rPr>
                <w:rFonts w:eastAsia="Times New Roman"/>
              </w:rPr>
            </w:pPr>
          </w:p>
        </w:tc>
        <w:tc>
          <w:tcPr>
            <w:tcW w:w="2332" w:type="dxa"/>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left"/>
              <w:jc w:val="left"/>
              <w:rPr>
                <w:rFonts w:eastAsia="Times New Roman"/>
              </w:rPr>
            </w:pPr>
            <w:r w:rsidRPr="00DF38B2">
              <w:rPr>
                <w:rFonts w:eastAsia="Times New Roman"/>
              </w:rPr>
              <w:t>Attitude (recoded so that a higher score is positive)</w:t>
            </w:r>
          </w:p>
        </w:tc>
        <w:tc>
          <w:tcPr>
            <w:tcW w:w="1720"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Indigenous Compulsory Income Management</w:t>
            </w:r>
          </w:p>
        </w:tc>
        <w:tc>
          <w:tcPr>
            <w:tcW w:w="1723"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Indigenous Voluntary Income Management</w:t>
            </w:r>
          </w:p>
        </w:tc>
        <w:tc>
          <w:tcPr>
            <w:tcW w:w="1721"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Non-Indigenous Compulsory Income Management</w:t>
            </w:r>
          </w:p>
        </w:tc>
      </w:tr>
      <w:tr w:rsidR="00B03FF6" w:rsidRPr="00DF38B2" w:rsidTr="00EB5275">
        <w:trPr>
          <w:trHeight w:val="20"/>
        </w:trPr>
        <w:tc>
          <w:tcPr>
            <w:tcW w:w="1319" w:type="dxa"/>
            <w:vMerge w:val="restart"/>
            <w:tcBorders>
              <w:top w:val="single" w:sz="4" w:space="0" w:color="auto"/>
              <w:left w:val="nil"/>
              <w:right w:val="nil"/>
            </w:tcBorders>
          </w:tcPr>
          <w:p w:rsidR="00B03FF6" w:rsidRPr="00DF38B2" w:rsidRDefault="00B03FF6" w:rsidP="006654AE">
            <w:pPr>
              <w:pStyle w:val="tabletextleft"/>
              <w:ind w:left="113" w:hanging="113"/>
              <w:jc w:val="left"/>
              <w:rPr>
                <w:rFonts w:eastAsia="Times New Roman"/>
              </w:rPr>
            </w:pPr>
            <w:r w:rsidRPr="00DF38B2">
              <w:rPr>
                <w:rFonts w:eastAsia="Times New Roman"/>
              </w:rPr>
              <w:t>Specific outcomes (a)</w:t>
            </w:r>
          </w:p>
        </w:tc>
        <w:tc>
          <w:tcPr>
            <w:tcW w:w="2332" w:type="dxa"/>
            <w:tcBorders>
              <w:top w:val="single" w:sz="4" w:space="0" w:color="auto"/>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Not fair being income managed</w:t>
            </w:r>
          </w:p>
        </w:tc>
        <w:tc>
          <w:tcPr>
            <w:tcW w:w="1175" w:type="dxa"/>
            <w:tcBorders>
              <w:top w:val="single" w:sz="4" w:space="0" w:color="auto"/>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0.148</w:t>
            </w:r>
          </w:p>
        </w:tc>
        <w:tc>
          <w:tcPr>
            <w:tcW w:w="545"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233"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pPr>
            <w:r w:rsidRPr="00DF38B2">
              <w:t>-0.532</w:t>
            </w:r>
          </w:p>
        </w:tc>
        <w:tc>
          <w:tcPr>
            <w:tcW w:w="490"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165" w:type="dxa"/>
            <w:tcBorders>
              <w:top w:val="single" w:sz="4" w:space="0" w:color="auto"/>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1.031</w:t>
            </w:r>
          </w:p>
        </w:tc>
        <w:tc>
          <w:tcPr>
            <w:tcW w:w="556"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r>
      <w:tr w:rsidR="00B03FF6" w:rsidRPr="00DF38B2" w:rsidTr="00EB5275">
        <w:trPr>
          <w:trHeight w:val="20"/>
        </w:trPr>
        <w:tc>
          <w:tcPr>
            <w:tcW w:w="1319" w:type="dxa"/>
            <w:vMerge/>
            <w:tcBorders>
              <w:left w:val="nil"/>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I feel discriminated against</w:t>
            </w:r>
          </w:p>
        </w:tc>
        <w:tc>
          <w:tcPr>
            <w:tcW w:w="117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1.365</w:t>
            </w:r>
          </w:p>
        </w:tc>
        <w:tc>
          <w:tcPr>
            <w:tcW w:w="545"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233" w:type="dxa"/>
            <w:tcBorders>
              <w:top w:val="nil"/>
              <w:left w:val="nil"/>
              <w:bottom w:val="nil"/>
              <w:right w:val="nil"/>
            </w:tcBorders>
            <w:shd w:val="clear" w:color="auto" w:fill="auto"/>
            <w:noWrap/>
            <w:hideMark/>
          </w:tcPr>
          <w:p w:rsidR="00B03FF6" w:rsidRPr="00DF38B2" w:rsidRDefault="00B03FF6" w:rsidP="00B03FF6">
            <w:pPr>
              <w:pStyle w:val="tabletextleft"/>
              <w:jc w:val="right"/>
            </w:pPr>
            <w:r w:rsidRPr="00DF38B2">
              <w:t>0.271</w:t>
            </w:r>
          </w:p>
        </w:tc>
        <w:tc>
          <w:tcPr>
            <w:tcW w:w="490"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16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1.159</w:t>
            </w:r>
          </w:p>
        </w:tc>
        <w:tc>
          <w:tcPr>
            <w:tcW w:w="556"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r>
      <w:tr w:rsidR="00B03FF6" w:rsidRPr="00DF38B2" w:rsidTr="00EB5275">
        <w:trPr>
          <w:trHeight w:val="20"/>
        </w:trPr>
        <w:tc>
          <w:tcPr>
            <w:tcW w:w="1319" w:type="dxa"/>
            <w:vMerge/>
            <w:tcBorders>
              <w:left w:val="nil"/>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Things are better for me and my family</w:t>
            </w:r>
          </w:p>
        </w:tc>
        <w:tc>
          <w:tcPr>
            <w:tcW w:w="117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-1.424</w:t>
            </w:r>
          </w:p>
        </w:tc>
        <w:tc>
          <w:tcPr>
            <w:tcW w:w="545"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233" w:type="dxa"/>
            <w:tcBorders>
              <w:top w:val="nil"/>
              <w:left w:val="nil"/>
              <w:bottom w:val="nil"/>
              <w:right w:val="nil"/>
            </w:tcBorders>
            <w:shd w:val="clear" w:color="auto" w:fill="auto"/>
            <w:noWrap/>
            <w:hideMark/>
          </w:tcPr>
          <w:p w:rsidR="00B03FF6" w:rsidRPr="00DF38B2" w:rsidRDefault="00B03FF6" w:rsidP="00B03FF6">
            <w:pPr>
              <w:pStyle w:val="tabletextleft"/>
              <w:jc w:val="right"/>
            </w:pPr>
            <w:r w:rsidRPr="00DF38B2">
              <w:t>-1.180</w:t>
            </w:r>
          </w:p>
        </w:tc>
        <w:tc>
          <w:tcPr>
            <w:tcW w:w="490"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16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2.165</w:t>
            </w:r>
          </w:p>
        </w:tc>
        <w:tc>
          <w:tcPr>
            <w:tcW w:w="556"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r>
      <w:tr w:rsidR="00B03FF6" w:rsidRPr="00DF38B2" w:rsidTr="00EB5275">
        <w:trPr>
          <w:trHeight w:val="20"/>
        </w:trPr>
        <w:tc>
          <w:tcPr>
            <w:tcW w:w="1319" w:type="dxa"/>
            <w:vMerge/>
            <w:tcBorders>
              <w:left w:val="nil"/>
              <w:bottom w:val="single" w:sz="4" w:space="0" w:color="auto"/>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single" w:sz="4" w:space="0" w:color="auto"/>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I feel I have more control over my money</w:t>
            </w:r>
          </w:p>
        </w:tc>
        <w:tc>
          <w:tcPr>
            <w:tcW w:w="1175" w:type="dxa"/>
            <w:tcBorders>
              <w:top w:val="nil"/>
              <w:left w:val="nil"/>
              <w:bottom w:val="single" w:sz="4" w:space="0" w:color="auto"/>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0.636</w:t>
            </w:r>
          </w:p>
        </w:tc>
        <w:tc>
          <w:tcPr>
            <w:tcW w:w="545"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233"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pPr>
            <w:r w:rsidRPr="00DF38B2">
              <w:t>0.120</w:t>
            </w:r>
          </w:p>
        </w:tc>
        <w:tc>
          <w:tcPr>
            <w:tcW w:w="490"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p>
        </w:tc>
        <w:tc>
          <w:tcPr>
            <w:tcW w:w="1165" w:type="dxa"/>
            <w:tcBorders>
              <w:top w:val="nil"/>
              <w:left w:val="nil"/>
              <w:bottom w:val="single" w:sz="4" w:space="0" w:color="auto"/>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2.695</w:t>
            </w:r>
          </w:p>
        </w:tc>
        <w:tc>
          <w:tcPr>
            <w:tcW w:w="556"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r>
      <w:tr w:rsidR="00656A64" w:rsidRPr="00DF38B2" w:rsidTr="00EB5275">
        <w:trPr>
          <w:trHeight w:val="20"/>
        </w:trPr>
        <w:tc>
          <w:tcPr>
            <w:tcW w:w="1319" w:type="dxa"/>
            <w:tcBorders>
              <w:top w:val="single" w:sz="4" w:space="0" w:color="auto"/>
              <w:left w:val="nil"/>
              <w:bottom w:val="single" w:sz="4" w:space="0" w:color="auto"/>
              <w:right w:val="nil"/>
            </w:tcBorders>
          </w:tcPr>
          <w:p w:rsidR="00656A64" w:rsidRPr="00DF38B2" w:rsidRDefault="00656A64" w:rsidP="006654AE">
            <w:pPr>
              <w:pStyle w:val="tabletextleft"/>
              <w:rPr>
                <w:rFonts w:eastAsia="Times New Roman"/>
              </w:rPr>
            </w:pPr>
            <w:r w:rsidRPr="00DF38B2">
              <w:t>Aggregate</w:t>
            </w:r>
          </w:p>
        </w:tc>
        <w:tc>
          <w:tcPr>
            <w:tcW w:w="2332" w:type="dxa"/>
            <w:tcBorders>
              <w:top w:val="single" w:sz="4" w:space="0" w:color="auto"/>
              <w:left w:val="nil"/>
              <w:bottom w:val="single" w:sz="4" w:space="0" w:color="auto"/>
              <w:right w:val="nil"/>
            </w:tcBorders>
            <w:shd w:val="clear" w:color="auto" w:fill="auto"/>
            <w:noWrap/>
            <w:vAlign w:val="bottom"/>
            <w:hideMark/>
          </w:tcPr>
          <w:p w:rsidR="00656A64" w:rsidRPr="00DF38B2" w:rsidRDefault="00656A64" w:rsidP="006654AE">
            <w:pPr>
              <w:pStyle w:val="tabletextleft"/>
              <w:rPr>
                <w:rFonts w:eastAsia="Times New Roman"/>
              </w:rPr>
            </w:pPr>
            <w:r w:rsidRPr="00DF38B2">
              <w:rPr>
                <w:rFonts w:eastAsia="Times New Roman"/>
              </w:rPr>
              <w:t>Summary measure</w:t>
            </w:r>
          </w:p>
        </w:tc>
        <w:tc>
          <w:tcPr>
            <w:tcW w:w="117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right"/>
              <w:rPr>
                <w:rFonts w:eastAsia="Times New Roman"/>
              </w:rPr>
            </w:pPr>
            <w:r w:rsidRPr="00DF38B2">
              <w:rPr>
                <w:rFonts w:eastAsia="Times New Roman"/>
              </w:rPr>
              <w:t>0.770</w:t>
            </w:r>
          </w:p>
        </w:tc>
        <w:tc>
          <w:tcPr>
            <w:tcW w:w="54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w:t>
            </w:r>
          </w:p>
        </w:tc>
        <w:tc>
          <w:tcPr>
            <w:tcW w:w="1233"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pPr>
            <w:r w:rsidRPr="00DF38B2">
              <w:t>0.036</w:t>
            </w:r>
          </w:p>
        </w:tc>
        <w:tc>
          <w:tcPr>
            <w:tcW w:w="490"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w:t>
            </w:r>
          </w:p>
        </w:tc>
        <w:tc>
          <w:tcPr>
            <w:tcW w:w="116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right"/>
              <w:rPr>
                <w:rFonts w:eastAsia="Times New Roman"/>
              </w:rPr>
            </w:pPr>
            <w:r w:rsidRPr="00DF38B2">
              <w:rPr>
                <w:rFonts w:eastAsia="Times New Roman"/>
              </w:rPr>
              <w:t>0.902</w:t>
            </w:r>
          </w:p>
        </w:tc>
        <w:tc>
          <w:tcPr>
            <w:tcW w:w="556"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 xml:space="preserve"> </w:t>
            </w: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Responses to these questions were collected on a Likert scale of time frequency which varied from the person feeling in this way</w:t>
      </w:r>
      <w:r w:rsidR="00536061">
        <w:t>:</w:t>
      </w:r>
      <w:r w:rsidRPr="00DF38B2">
        <w:t xml:space="preserve"> “All the time” through five graduations to “Never” feeling this way. All responses have been recoded onto a five</w:t>
      </w:r>
      <w:r w:rsidR="00536061">
        <w:t>-</w:t>
      </w:r>
      <w:r w:rsidRPr="00DF38B2">
        <w:t>point scale from -2 to +2 in a way that a higher score represents a more positive outcome.</w:t>
      </w:r>
    </w:p>
    <w:p w:rsidR="005E1FE0" w:rsidRPr="00DF38B2" w:rsidRDefault="005E1FE0" w:rsidP="006654AE">
      <w:pPr>
        <w:pStyle w:val="tablenotes"/>
        <w:ind w:left="1437" w:hanging="870"/>
      </w:pPr>
      <w:r w:rsidRPr="00DF38B2">
        <w:t xml:space="preserve">(b) </w:t>
      </w:r>
      <w:r w:rsidR="00227C83">
        <w:tab/>
      </w:r>
      <w:r w:rsidRPr="00DF38B2">
        <w:t xml:space="preserve">Average of 8 items: I feel discriminated against; Being on </w:t>
      </w:r>
      <w:r w:rsidR="005E4CAC">
        <w:t>income management</w:t>
      </w:r>
      <w:r w:rsidRPr="00DF38B2">
        <w:t xml:space="preserve"> is embarrassing; I am more in control of my life; it is not fair; things are better for me and my family; I feel I have more control over my money; I am not worried about money when I have income management; and I feel safer on </w:t>
      </w:r>
      <w:r w:rsidR="005E4CAC">
        <w:t>income management</w:t>
      </w:r>
      <w:r w:rsidRPr="00DF38B2">
        <w:t>.</w:t>
      </w:r>
    </w:p>
    <w:p w:rsidR="005E1FE0" w:rsidRDefault="005E1FE0" w:rsidP="006654AE">
      <w:pPr>
        <w:pStyle w:val="tablenotes"/>
      </w:pPr>
      <w:r w:rsidRPr="00DF38B2">
        <w:t xml:space="preserve">Source: </w:t>
      </w:r>
      <w:r w:rsidR="00227C83">
        <w:tab/>
      </w:r>
      <w:r w:rsidRPr="00DF38B2">
        <w:t xml:space="preserve">LSNIM Waves 1 </w:t>
      </w:r>
      <w:r w:rsidR="00227C83">
        <w:t>and</w:t>
      </w:r>
      <w:r w:rsidR="00227C83" w:rsidRPr="00DF38B2">
        <w:t xml:space="preserve"> </w:t>
      </w:r>
      <w:r w:rsidRPr="00DF38B2">
        <w:t>2</w:t>
      </w:r>
      <w:r w:rsidR="00B01EB2">
        <w:t>.</w:t>
      </w:r>
    </w:p>
    <w:p w:rsidR="003928BD" w:rsidRPr="00DF38B2" w:rsidRDefault="003928BD" w:rsidP="006654AE">
      <w:pPr>
        <w:pStyle w:val="tablefootnoteslastline"/>
      </w:pPr>
    </w:p>
    <w:p w:rsidR="005E1FE0" w:rsidRPr="00DF38B2" w:rsidRDefault="005E1FE0" w:rsidP="006654AE">
      <w:r w:rsidRPr="00DF38B2">
        <w:t xml:space="preserve">The table suggests a diversity of responses. Both Indigenous and non-Indigenous people subject to compulsory income management report a decline in the relative incidence of feeling that being on income management is unfair or that they feel discriminated against because they are being income managed. This shift </w:t>
      </w:r>
      <w:r w:rsidR="00536061">
        <w:t>is</w:t>
      </w:r>
      <w:r w:rsidRPr="00DF38B2">
        <w:t xml:space="preserve"> significant for Indigenous respondents</w:t>
      </w:r>
      <w:r w:rsidR="00A1421A">
        <w:t xml:space="preserve">. </w:t>
      </w:r>
      <w:r w:rsidRPr="00DF38B2">
        <w:t xml:space="preserve">The relative direction of change in response to the question on whether being on income management was positive for them, was negative and statistically significant for Indigenous people on both compulsory and </w:t>
      </w:r>
      <w:r w:rsidR="001544DF">
        <w:t>Voluntary Income Management</w:t>
      </w:r>
      <w:r w:rsidR="00A1421A">
        <w:t xml:space="preserve">. </w:t>
      </w:r>
      <w:r w:rsidRPr="00DF38B2">
        <w:t>In contrast</w:t>
      </w:r>
      <w:r w:rsidR="00536061">
        <w:t>,</w:t>
      </w:r>
      <w:r w:rsidRPr="00DF38B2">
        <w:t xml:space="preserve"> it was strongly positive and significant for the non-Indigenous compulsory income management population, wh</w:t>
      </w:r>
      <w:r w:rsidR="00536061">
        <w:t>ich</w:t>
      </w:r>
      <w:r w:rsidRPr="00DF38B2">
        <w:t xml:space="preserve"> also showed a relatively positive and significant improvement with regard to feeling that they were more in control over their money. </w:t>
      </w:r>
    </w:p>
    <w:p w:rsidR="005E1FE0" w:rsidRPr="00DF38B2" w:rsidRDefault="005E1FE0" w:rsidP="006654AE">
      <w:r w:rsidRPr="00DF38B2">
        <w:t>The summary measure, which averages the results to all eight of the questions in this part of the survey, was positive for all three population groups, but only significant for Indigenous respondents subject to Compulsory Income Management.</w:t>
      </w:r>
    </w:p>
    <w:p w:rsidR="005E1FE0" w:rsidRPr="00DF38B2" w:rsidRDefault="005E1FE0" w:rsidP="006654AE">
      <w:r w:rsidRPr="00DF38B2">
        <w:t>While this is the least robust of the measures of change, it would suggest mild support for the result seen in the descriptive data that people’s feelings about being on income management are more positive in the second wave of the LSNIM.</w:t>
      </w:r>
    </w:p>
    <w:p w:rsidR="005E1FE0" w:rsidRPr="00DF38B2" w:rsidRDefault="005E1FE0" w:rsidP="006654AE">
      <w:pPr>
        <w:pStyle w:val="Heading3"/>
      </w:pPr>
      <w:bookmarkStart w:id="464" w:name="_Toc403739074"/>
      <w:r w:rsidRPr="00DF38B2">
        <w:t>Summary of personal and community outcomes</w:t>
      </w:r>
      <w:bookmarkEnd w:id="464"/>
    </w:p>
    <w:p w:rsidR="005E1FE0" w:rsidRPr="00DF38B2" w:rsidRDefault="005E1FE0" w:rsidP="006654AE">
      <w:r w:rsidRPr="00DF38B2">
        <w:t>This section has considered a wide range of indicators of individual, family and community outcomes to identify the extent to which income management has improved outcomes, as reported by people in the longitudinal survey undertaken as part of the evaluation</w:t>
      </w:r>
      <w:r w:rsidR="00A1421A">
        <w:t xml:space="preserve">. </w:t>
      </w:r>
      <w:r w:rsidR="00B2147D">
        <w:t>T</w:t>
      </w:r>
      <w:r w:rsidRPr="00DF38B2">
        <w:t xml:space="preserve">he </w:t>
      </w:r>
      <w:r w:rsidR="00B2147D">
        <w:t>o</w:t>
      </w:r>
      <w:r w:rsidR="00B2147D" w:rsidRPr="00DF38B2">
        <w:t xml:space="preserve">verall </w:t>
      </w:r>
      <w:r w:rsidRPr="00DF38B2">
        <w:t>results do not suggest that there has been any transformative impact</w:t>
      </w:r>
      <w:r w:rsidR="00A1421A">
        <w:t xml:space="preserve">. </w:t>
      </w:r>
      <w:r w:rsidR="00B2147D">
        <w:t>While t</w:t>
      </w:r>
      <w:r w:rsidRPr="00DF38B2">
        <w:t xml:space="preserve">here is some suggestion that there has been a decrease in the relative extent to which families may face any problems due to alcohol, drugs and gambling, this is </w:t>
      </w:r>
      <w:r w:rsidRPr="00DF38B2">
        <w:lastRenderedPageBreak/>
        <w:t xml:space="preserve">counterbalanced by an increase </w:t>
      </w:r>
      <w:r w:rsidR="00A412BD" w:rsidRPr="00DF38B2">
        <w:t xml:space="preserve">or no change </w:t>
      </w:r>
      <w:r w:rsidRPr="00DF38B2">
        <w:t>in having more severe problems from these causes</w:t>
      </w:r>
      <w:r w:rsidR="00A1421A">
        <w:t xml:space="preserve">. </w:t>
      </w:r>
      <w:r w:rsidR="00B2147D">
        <w:t>I</w:t>
      </w:r>
      <w:r w:rsidR="00B2147D" w:rsidRPr="00DF38B2">
        <w:t>n addition to showing the same aggregate pattern</w:t>
      </w:r>
      <w:r w:rsidR="00B2147D">
        <w:t>, t</w:t>
      </w:r>
      <w:r w:rsidRPr="00DF38B2">
        <w:t xml:space="preserve">hose on </w:t>
      </w:r>
      <w:r w:rsidR="001544DF">
        <w:t>Voluntary Income Management</w:t>
      </w:r>
      <w:r w:rsidRPr="00DF38B2">
        <w:t xml:space="preserve"> in addition to showing the same aggregate pattern have positive change with regard to problems with alcohol</w:t>
      </w:r>
      <w:r w:rsidR="00B2147D">
        <w:t>,</w:t>
      </w:r>
      <w:r w:rsidRPr="00DF38B2">
        <w:t xml:space="preserve"> but deterioration with respect to gambling. Similarly</w:t>
      </w:r>
      <w:r w:rsidR="00B2147D">
        <w:t>,</w:t>
      </w:r>
      <w:r w:rsidRPr="00DF38B2">
        <w:t xml:space="preserve"> while there is an apparent relative improvement with regard to being adversely affected by humbugging at the individual level, there is no evidence of this reducing at the community level</w:t>
      </w:r>
      <w:r w:rsidR="007C106D">
        <w:t>;</w:t>
      </w:r>
      <w:r w:rsidRPr="00DF38B2">
        <w:t xml:space="preserve"> and there has been a relative increase in the propensity of people subject to income management to seek financial assistance from others in order to obtain essentials. There is no evidence of there being improvements at the individual level when all of the indictors are drawn together.</w:t>
      </w:r>
    </w:p>
    <w:p w:rsidR="005E1FE0" w:rsidRPr="00DF38B2" w:rsidRDefault="005E1FE0" w:rsidP="006654AE">
      <w:r w:rsidRPr="00DF38B2">
        <w:t xml:space="preserve">While as indicated above the data does not point to any consistent significant improvements by </w:t>
      </w:r>
      <w:r w:rsidR="00270A0E">
        <w:t>subgroup</w:t>
      </w:r>
      <w:r w:rsidR="00B12917">
        <w:t>,</w:t>
      </w:r>
      <w:r w:rsidRPr="00DF38B2">
        <w:t xml:space="preserve"> this is most apparent for those on compulsory measures</w:t>
      </w:r>
      <w:r w:rsidR="00A1421A">
        <w:t xml:space="preserve">. </w:t>
      </w:r>
      <w:r w:rsidRPr="00DF38B2">
        <w:t xml:space="preserve">In the case of those on </w:t>
      </w:r>
      <w:r w:rsidR="001544DF">
        <w:t>Voluntary Income Management</w:t>
      </w:r>
      <w:r w:rsidRPr="00DF38B2">
        <w:t xml:space="preserve"> the picture is more complex – with a pattern of some apparent improvements on </w:t>
      </w:r>
      <w:r w:rsidR="00B12917">
        <w:t>a number of</w:t>
      </w:r>
      <w:r w:rsidRPr="00DF38B2">
        <w:t xml:space="preserve"> specific indicators, but with these being countered by some strong negatives, and an absence of change in the aggregate measures</w:t>
      </w:r>
      <w:r w:rsidR="00B12917">
        <w:t>.</w:t>
      </w:r>
    </w:p>
    <w:p w:rsidR="005E1FE0" w:rsidRPr="00DF38B2" w:rsidRDefault="005E1FE0" w:rsidP="006654AE">
      <w:r w:rsidRPr="00DF38B2">
        <w:t>Despite the absence of these effects there appears to be a softening of the attitudes of people subject to income management to the policy</w:t>
      </w:r>
      <w:r w:rsidR="00B12917">
        <w:t>;</w:t>
      </w:r>
      <w:r w:rsidRPr="00DF38B2">
        <w:t xml:space="preserve"> this however may be another reflection of the extent to which those on the program have adjusted to it and accept, and indeed </w:t>
      </w:r>
      <w:r w:rsidR="00B12917">
        <w:t>prefer</w:t>
      </w:r>
      <w:r w:rsidRPr="00DF38B2">
        <w:t xml:space="preserve"> it as an easier way of managing</w:t>
      </w:r>
      <w:r w:rsidR="00A1421A">
        <w:t xml:space="preserve">. </w:t>
      </w:r>
    </w:p>
    <w:p w:rsidR="005E1FE0" w:rsidRPr="00DF38B2" w:rsidRDefault="005E1FE0" w:rsidP="006654AE">
      <w:pPr>
        <w:pStyle w:val="Heading2"/>
      </w:pPr>
      <w:bookmarkStart w:id="465" w:name="_Toc403739075"/>
      <w:r w:rsidRPr="00DF38B2">
        <w:t>Summary</w:t>
      </w:r>
      <w:bookmarkEnd w:id="465"/>
    </w:p>
    <w:p w:rsidR="005E1FE0" w:rsidRPr="00DF38B2" w:rsidRDefault="005E1FE0" w:rsidP="006654AE">
      <w:r w:rsidRPr="00DF38B2">
        <w:t>This chapter draws together two strings of analysis</w:t>
      </w:r>
      <w:r w:rsidR="00A1421A">
        <w:t xml:space="preserve">. </w:t>
      </w:r>
      <w:r w:rsidRPr="00DF38B2">
        <w:t>The first are the views of those who are currently subject to income management or have exited the program as quantified in the LSNIM</w:t>
      </w:r>
      <w:r w:rsidR="00A1421A">
        <w:t xml:space="preserve">. </w:t>
      </w:r>
      <w:r w:rsidRPr="00DF38B2">
        <w:t>The second uses data derived from the LSNIM to evaluate the extent to which income management may have impacted on the outcomes of those on the program.</w:t>
      </w:r>
    </w:p>
    <w:p w:rsidR="005E1FE0" w:rsidRPr="00DF38B2" w:rsidRDefault="005E1FE0" w:rsidP="006654AE">
      <w:r w:rsidRPr="00DF38B2">
        <w:t>The first section identified several themes</w:t>
      </w:r>
      <w:r w:rsidR="00A1421A">
        <w:t xml:space="preserve">. </w:t>
      </w:r>
      <w:r w:rsidRPr="00DF38B2">
        <w:t xml:space="preserve">The </w:t>
      </w:r>
      <w:r w:rsidR="00B12917">
        <w:t>initial theme</w:t>
      </w:r>
      <w:r w:rsidRPr="00DF38B2">
        <w:t xml:space="preserve"> was a wide diversity of views about the program, ranging from the highly positive to the negative</w:t>
      </w:r>
      <w:r w:rsidR="00A1421A">
        <w:t xml:space="preserve">. </w:t>
      </w:r>
      <w:r w:rsidRPr="00DF38B2">
        <w:t>The second was some evidence that, while there w</w:t>
      </w:r>
      <w:r w:rsidR="00670730">
        <w:t>as</w:t>
      </w:r>
      <w:r w:rsidRPr="00DF38B2">
        <w:t xml:space="preserve"> a</w:t>
      </w:r>
      <w:r w:rsidR="00D239CD">
        <w:t xml:space="preserve"> </w:t>
      </w:r>
      <w:r w:rsidRPr="00DF38B2">
        <w:t>considerable group who report that they feel they were gaining benefit from the initiative, this was being achieved not so much by an enhancement of their skills and abilities, but rather by making management of their lives easier, frequently through additional tools such as the BasicsCard</w:t>
      </w:r>
      <w:r w:rsidR="00A1421A">
        <w:t xml:space="preserve">. </w:t>
      </w:r>
      <w:r w:rsidRPr="00DF38B2">
        <w:t>A strong sentiment from this group was a desire to remain on the program indefinitely. In contrast</w:t>
      </w:r>
      <w:r w:rsidR="00670730">
        <w:t>,</w:t>
      </w:r>
      <w:r w:rsidRPr="00DF38B2">
        <w:t xml:space="preserve"> for others income management stimulates some strong negative sentiments of unfairness, embarrassment and discrimination, and acts against what people express as their desire to control their own lives, and their freedom.</w:t>
      </w:r>
    </w:p>
    <w:p w:rsidR="005E1FE0" w:rsidRPr="00DF38B2" w:rsidRDefault="005E1FE0" w:rsidP="006654AE">
      <w:r w:rsidRPr="00DF38B2">
        <w:t>The final section considers the extent to which income management has actually improved outcomes</w:t>
      </w:r>
      <w:r w:rsidR="00A1421A">
        <w:t xml:space="preserve">. </w:t>
      </w:r>
      <w:r w:rsidRPr="00DF38B2">
        <w:t>While this analysis found a few isolated positive outcomes, including a relative reduction in moderate problems associated with alcohol</w:t>
      </w:r>
      <w:r w:rsidR="00670730">
        <w:t>,</w:t>
      </w:r>
      <w:r w:rsidRPr="00DF38B2">
        <w:t xml:space="preserve"> drugs</w:t>
      </w:r>
      <w:r w:rsidR="00670730">
        <w:t>,</w:t>
      </w:r>
      <w:r w:rsidRPr="00DF38B2">
        <w:t xml:space="preserve"> and gambling at the family level, these were balanced by </w:t>
      </w:r>
      <w:r w:rsidR="00A412BD" w:rsidRPr="00DF38B2">
        <w:t>no change</w:t>
      </w:r>
      <w:r w:rsidR="00212938" w:rsidRPr="00DF38B2">
        <w:t>,</w:t>
      </w:r>
      <w:r w:rsidR="00A412BD" w:rsidRPr="00DF38B2">
        <w:t xml:space="preserve"> or even </w:t>
      </w:r>
      <w:r w:rsidRPr="00DF38B2">
        <w:t>a relative increase in higher</w:t>
      </w:r>
      <w:r w:rsidR="00670730">
        <w:t>-</w:t>
      </w:r>
      <w:r w:rsidRPr="00DF38B2">
        <w:t>level problems from these causes, and no evidence of any community wide impacts</w:t>
      </w:r>
      <w:r w:rsidR="00A1421A">
        <w:t xml:space="preserve">. </w:t>
      </w:r>
      <w:r w:rsidRPr="00DF38B2">
        <w:t>Similarly</w:t>
      </w:r>
      <w:r w:rsidR="00670730">
        <w:t>,</w:t>
      </w:r>
      <w:r w:rsidRPr="00DF38B2">
        <w:t xml:space="preserve"> while identifying a relative decrease in the incidence of adverse outcomes from financial harassment at the individual level</w:t>
      </w:r>
      <w:r w:rsidR="00670730">
        <w:t>,</w:t>
      </w:r>
      <w:r w:rsidRPr="00DF38B2">
        <w:t xml:space="preserve"> there was an increase in the extent to which people on income management sought financial assistance from others. There was no aggregate impact across the whole domain of financial </w:t>
      </w:r>
      <w:r w:rsidR="00593D5C">
        <w:t>wellbeing</w:t>
      </w:r>
      <w:r w:rsidRPr="00DF38B2">
        <w:t xml:space="preserve"> outcomes</w:t>
      </w:r>
      <w:r w:rsidR="00A1421A">
        <w:t xml:space="preserve">. </w:t>
      </w:r>
      <w:r w:rsidRPr="00DF38B2">
        <w:t>To the extent there were positive shifts, these were more apparent for those who had chosen to go onto Voluntary Income Management, rather than those who were obliged to go onto the compulsory measures.</w:t>
      </w:r>
    </w:p>
    <w:p w:rsidR="005E1FE0" w:rsidRPr="00DF38B2" w:rsidRDefault="005E1FE0" w:rsidP="006654AE">
      <w:pPr>
        <w:spacing w:line="276" w:lineRule="auto"/>
        <w:rPr>
          <w:szCs w:val="19"/>
        </w:rPr>
        <w:sectPr w:rsidR="005E1FE0" w:rsidRPr="00DF38B2" w:rsidSect="00285084">
          <w:headerReference w:type="even" r:id="rId132"/>
          <w:headerReference w:type="default" r:id="rId133"/>
          <w:footerReference w:type="even" r:id="rId134"/>
          <w:footerReference w:type="default" r:id="rId135"/>
          <w:headerReference w:type="first" r:id="rId136"/>
          <w:footerReference w:type="first" r:id="rId137"/>
          <w:pgSz w:w="11906" w:h="16838" w:code="9"/>
          <w:pgMar w:top="1247" w:right="1701" w:bottom="1134" w:left="1871" w:header="567" w:footer="340" w:gutter="0"/>
          <w:cols w:space="708"/>
          <w:titlePg/>
          <w:docGrid w:linePitch="360"/>
        </w:sectPr>
      </w:pPr>
    </w:p>
    <w:p w:rsidR="00FE1A6A" w:rsidRDefault="00FE1A6A" w:rsidP="006654AE">
      <w:pPr>
        <w:spacing w:line="276" w:lineRule="auto"/>
        <w:jc w:val="left"/>
      </w:pPr>
      <w:r>
        <w:lastRenderedPageBreak/>
        <w:br w:type="page"/>
      </w:r>
    </w:p>
    <w:p w:rsidR="00535C84" w:rsidRDefault="00535C84" w:rsidP="006654AE"/>
    <w:p w:rsidR="00FE1A6A" w:rsidRPr="00DF38B2" w:rsidRDefault="00FE1A6A" w:rsidP="006654AE">
      <w:pPr>
        <w:sectPr w:rsidR="00FE1A6A" w:rsidRPr="00DF38B2" w:rsidSect="00285084">
          <w:type w:val="continuous"/>
          <w:pgSz w:w="11906" w:h="16838" w:code="9"/>
          <w:pgMar w:top="1247" w:right="1701" w:bottom="1134" w:left="1871" w:header="567" w:footer="340" w:gutter="0"/>
          <w:cols w:space="708"/>
          <w:titlePg/>
          <w:docGrid w:linePitch="360"/>
        </w:sectPr>
      </w:pPr>
    </w:p>
    <w:p w:rsidR="00535C84" w:rsidRPr="00DF38B2" w:rsidRDefault="00535C84" w:rsidP="004F3A3D">
      <w:pPr>
        <w:pStyle w:val="Heading1"/>
      </w:pPr>
      <w:bookmarkStart w:id="466" w:name="_Toc403739076"/>
      <w:r w:rsidRPr="00DF38B2">
        <w:lastRenderedPageBreak/>
        <w:t xml:space="preserve">Views of people on income management </w:t>
      </w:r>
      <w:r w:rsidR="00670730">
        <w:t>–</w:t>
      </w:r>
      <w:r w:rsidR="00670730" w:rsidRPr="00DF38B2">
        <w:t xml:space="preserve"> </w:t>
      </w:r>
      <w:r w:rsidRPr="00DF38B2">
        <w:t>qualitative findings</w:t>
      </w:r>
      <w:bookmarkEnd w:id="466"/>
    </w:p>
    <w:p w:rsidR="00535C84" w:rsidRPr="00DF38B2" w:rsidRDefault="00535C84" w:rsidP="00F42BEE">
      <w:pPr>
        <w:spacing w:before="1134" w:after="210"/>
      </w:pPr>
      <w:r w:rsidRPr="00DF38B2">
        <w:t>The following chapter outlines the themes that emerged from analysis of the qualitative interviews which were conducted in conjunction with the Longitudinal Study of New Income Management Survey. The numbers of participants within the different income management subgroups were quite small</w:t>
      </w:r>
      <w:r w:rsidR="00A1421A">
        <w:t xml:space="preserve">. </w:t>
      </w:r>
      <w:r w:rsidRPr="00DF38B2">
        <w:t>However</w:t>
      </w:r>
      <w:r w:rsidR="009E078C">
        <w:t>,</w:t>
      </w:r>
      <w:r w:rsidRPr="00DF38B2">
        <w:t xml:space="preserve"> the </w:t>
      </w:r>
      <w:r w:rsidR="00D1211F">
        <w:t>response</w:t>
      </w:r>
      <w:r w:rsidRPr="00DF38B2">
        <w:t>s assist in illustrating some of the views and experiences reported in the survey (refer to Chapter 7). Responses to open questions made by people who participated in the survey have also been incorporated in the findings.</w:t>
      </w:r>
    </w:p>
    <w:p w:rsidR="00535C84" w:rsidRPr="00DF38B2" w:rsidRDefault="00535C84" w:rsidP="006654AE">
      <w:pPr>
        <w:pStyle w:val="Heading2"/>
      </w:pPr>
      <w:bookmarkStart w:id="467" w:name="_Toc403739077"/>
      <w:r w:rsidRPr="00DF38B2">
        <w:t>Introduction</w:t>
      </w:r>
      <w:bookmarkEnd w:id="467"/>
      <w:r w:rsidRPr="00DF38B2">
        <w:t xml:space="preserve"> </w:t>
      </w:r>
    </w:p>
    <w:p w:rsidR="00535C84" w:rsidRPr="00DF38B2" w:rsidRDefault="00535C84" w:rsidP="006654AE">
      <w:r w:rsidRPr="00DF38B2">
        <w:t>As outlined in Chapter 3, semi-structured qualitative interviews were conducted alongside the Longitudinal Study of New Income Management Survey with 46 people as part of the second phase of the evaluation. A total of 40 interviews were conducted with people living in the Northern Territory and six were with people living in the remote contrast sites. Of the interviews conducted with people in the Northern Territory, 29 people were living in urban areas and 11 in remote areas. This included 31 people on income management at the time of the interview, four people who had been on income management but were no longer, two nominees, and three senior elders. Women were more likely to participate in the interviews, with 22 female participants interviewed compared to 15 male participants. The gender of the three senior elders was not recorded. Almost two thirds of interview participants were Indigenous and one third non-Indigenous. The number of people interviewed on each of the different income management measures is outline</w:t>
      </w:r>
      <w:r w:rsidR="009E078C">
        <w:t>d</w:t>
      </w:r>
      <w:r w:rsidRPr="00DF38B2">
        <w:t xml:space="preserve"> in</w:t>
      </w:r>
      <w:r w:rsidR="00E9541F">
        <w:t xml:space="preserve"> </w:t>
      </w:r>
      <w:r w:rsidR="00E9541F">
        <w:fldChar w:fldCharType="begin"/>
      </w:r>
      <w:r w:rsidR="00E9541F">
        <w:instrText xml:space="preserve"> REF _Ref401834190 \h </w:instrText>
      </w:r>
      <w:r w:rsidR="00E9541F">
        <w:fldChar w:fldCharType="separate"/>
      </w:r>
      <w:r w:rsidR="00906D13">
        <w:t xml:space="preserve">Table </w:t>
      </w:r>
      <w:r w:rsidR="00906D13">
        <w:rPr>
          <w:noProof/>
        </w:rPr>
        <w:t>8</w:t>
      </w:r>
      <w:r w:rsidR="00906D13">
        <w:noBreakHyphen/>
      </w:r>
      <w:r w:rsidR="00906D13">
        <w:rPr>
          <w:noProof/>
        </w:rPr>
        <w:t>1</w:t>
      </w:r>
      <w:r w:rsidR="00E9541F">
        <w:fldChar w:fldCharType="end"/>
      </w:r>
      <w:r w:rsidRPr="00DF38B2">
        <w:t>. Each subgroup was quite small, aside from those on Voluntary Income Management.</w:t>
      </w:r>
    </w:p>
    <w:p w:rsidR="00535C84" w:rsidRPr="00DF38B2" w:rsidRDefault="00535C84" w:rsidP="006654AE">
      <w:r w:rsidRPr="00DF38B2">
        <w:t xml:space="preserve">Six interviews were conducted in the remote contrast sites. This included two people on </w:t>
      </w:r>
      <w:r w:rsidR="001544DF">
        <w:t>Voluntary Income Management</w:t>
      </w:r>
      <w:r w:rsidRPr="00DF38B2">
        <w:t>, two young people wishing to commence income management</w:t>
      </w:r>
      <w:r w:rsidR="009E078C">
        <w:t>,</w:t>
      </w:r>
      <w:r w:rsidRPr="00DF38B2">
        <w:t xml:space="preserve"> and two service providers.</w:t>
      </w:r>
    </w:p>
    <w:p w:rsidR="00535C84" w:rsidRPr="00DF38B2" w:rsidRDefault="00A24A36" w:rsidP="006654AE">
      <w:pPr>
        <w:pStyle w:val="Caption"/>
        <w:rPr>
          <w:szCs w:val="19"/>
        </w:rPr>
      </w:pPr>
      <w:bookmarkStart w:id="468" w:name="_Ref401834190"/>
      <w:bookmarkStart w:id="469" w:name="_Toc403739474"/>
      <w:r>
        <w:t xml:space="preserve">Table </w:t>
      </w:r>
      <w:fldSimple w:instr=" STYLEREF 1 \s ">
        <w:r w:rsidR="00906D13">
          <w:rPr>
            <w:noProof/>
          </w:rPr>
          <w:t>8</w:t>
        </w:r>
      </w:fldSimple>
      <w:r w:rsidR="00D40B64">
        <w:noBreakHyphen/>
      </w:r>
      <w:fldSimple w:instr=" SEQ Table \* ARABIC \s 1 ">
        <w:r w:rsidR="00906D13">
          <w:rPr>
            <w:noProof/>
          </w:rPr>
          <w:t>1</w:t>
        </w:r>
      </w:fldSimple>
      <w:bookmarkEnd w:id="468"/>
      <w:r>
        <w:tab/>
      </w:r>
      <w:r w:rsidR="00535C84" w:rsidRPr="00DF38B2">
        <w:t>Number of qualitative interviews</w:t>
      </w:r>
      <w:r w:rsidR="00F74C63">
        <w:t xml:space="preserve">, 2013 </w:t>
      </w:r>
      <w:r w:rsidR="002451CB">
        <w:t>and</w:t>
      </w:r>
      <w:r w:rsidR="00F74C63">
        <w:t xml:space="preserve"> 2014</w:t>
      </w:r>
      <w:bookmarkEnd w:id="469"/>
    </w:p>
    <w:tbl>
      <w:tblPr>
        <w:tblW w:w="5193" w:type="pct"/>
        <w:tblInd w:w="-539" w:type="dxa"/>
        <w:tblLayout w:type="fixed"/>
        <w:tblCellMar>
          <w:left w:w="28" w:type="dxa"/>
          <w:right w:w="28" w:type="dxa"/>
        </w:tblCellMar>
        <w:tblLook w:val="04A0" w:firstRow="1" w:lastRow="0" w:firstColumn="1" w:lastColumn="0" w:noHBand="0" w:noVBand="1"/>
        <w:tblDescription w:val="This is a simple table. The header row shows the characteristics of the persons interviewed – including current and past income managed people, service providers and others. The rows show the location of the people interviewed."/>
      </w:tblPr>
      <w:tblGrid>
        <w:gridCol w:w="1986"/>
        <w:gridCol w:w="499"/>
        <w:gridCol w:w="691"/>
        <w:gridCol w:w="396"/>
        <w:gridCol w:w="436"/>
        <w:gridCol w:w="674"/>
        <w:gridCol w:w="741"/>
        <w:gridCol w:w="669"/>
        <w:gridCol w:w="826"/>
        <w:gridCol w:w="690"/>
        <w:gridCol w:w="552"/>
        <w:gridCol w:w="554"/>
      </w:tblGrid>
      <w:tr w:rsidR="00EB5275" w:rsidRPr="00DF38B2" w:rsidTr="00EB5275">
        <w:trPr>
          <w:trHeight w:val="20"/>
          <w:tblHeader/>
        </w:trPr>
        <w:tc>
          <w:tcPr>
            <w:tcW w:w="1139" w:type="pct"/>
            <w:tcBorders>
              <w:top w:val="single" w:sz="4" w:space="0" w:color="auto"/>
              <w:bottom w:val="single" w:sz="4" w:space="0" w:color="auto"/>
            </w:tcBorders>
          </w:tcPr>
          <w:p w:rsidR="00535C84" w:rsidRPr="009655C3" w:rsidRDefault="00535C84" w:rsidP="006654AE">
            <w:pPr>
              <w:pStyle w:val="tabletextleft"/>
              <w:jc w:val="left"/>
            </w:pPr>
            <w:r w:rsidRPr="009655C3">
              <w:t>Area</w:t>
            </w:r>
          </w:p>
        </w:tc>
        <w:tc>
          <w:tcPr>
            <w:tcW w:w="286" w:type="pct"/>
            <w:tcBorders>
              <w:top w:val="single" w:sz="4" w:space="0" w:color="auto"/>
              <w:bottom w:val="single" w:sz="4" w:space="0" w:color="auto"/>
            </w:tcBorders>
          </w:tcPr>
          <w:p w:rsidR="00535C84" w:rsidRPr="00DF38B2" w:rsidRDefault="00535C84" w:rsidP="006654AE">
            <w:pPr>
              <w:pStyle w:val="tabletextleft"/>
              <w:jc w:val="right"/>
            </w:pPr>
            <w:r w:rsidRPr="00DF38B2">
              <w:t>CPIM</w:t>
            </w:r>
          </w:p>
        </w:tc>
        <w:tc>
          <w:tcPr>
            <w:tcW w:w="396" w:type="pct"/>
            <w:tcBorders>
              <w:top w:val="single" w:sz="4" w:space="0" w:color="auto"/>
              <w:bottom w:val="single" w:sz="4" w:space="0" w:color="auto"/>
            </w:tcBorders>
          </w:tcPr>
          <w:p w:rsidR="00535C84" w:rsidRPr="00DF38B2" w:rsidRDefault="00535C84" w:rsidP="006654AE">
            <w:pPr>
              <w:pStyle w:val="tabletextleft"/>
              <w:jc w:val="right"/>
            </w:pPr>
            <w:r w:rsidRPr="00DF38B2">
              <w:t>CIM-LTW</w:t>
            </w:r>
            <w:r w:rsidR="00C23964">
              <w:t>PR</w:t>
            </w:r>
          </w:p>
        </w:tc>
        <w:tc>
          <w:tcPr>
            <w:tcW w:w="227" w:type="pct"/>
            <w:tcBorders>
              <w:top w:val="single" w:sz="4" w:space="0" w:color="auto"/>
              <w:bottom w:val="single" w:sz="4" w:space="0" w:color="auto"/>
            </w:tcBorders>
          </w:tcPr>
          <w:p w:rsidR="00535C84" w:rsidRPr="00DF38B2" w:rsidRDefault="00535C84" w:rsidP="006654AE">
            <w:pPr>
              <w:pStyle w:val="tabletextleft"/>
              <w:jc w:val="right"/>
            </w:pPr>
            <w:r w:rsidRPr="00DF38B2">
              <w:t>CIM-DEY</w:t>
            </w:r>
          </w:p>
        </w:tc>
        <w:tc>
          <w:tcPr>
            <w:tcW w:w="250" w:type="pct"/>
            <w:tcBorders>
              <w:top w:val="single" w:sz="4" w:space="0" w:color="auto"/>
              <w:bottom w:val="single" w:sz="4" w:space="0" w:color="auto"/>
            </w:tcBorders>
          </w:tcPr>
          <w:p w:rsidR="00535C84" w:rsidRPr="00DF38B2" w:rsidRDefault="00535C84" w:rsidP="006654AE">
            <w:pPr>
              <w:pStyle w:val="tabletextleft"/>
              <w:jc w:val="right"/>
            </w:pPr>
            <w:r w:rsidRPr="00DF38B2">
              <w:t>VIM</w:t>
            </w:r>
          </w:p>
        </w:tc>
        <w:tc>
          <w:tcPr>
            <w:tcW w:w="387" w:type="pct"/>
            <w:tcBorders>
              <w:top w:val="single" w:sz="4" w:space="0" w:color="auto"/>
              <w:bottom w:val="single" w:sz="4" w:space="0" w:color="auto"/>
            </w:tcBorders>
          </w:tcPr>
          <w:p w:rsidR="00535C84" w:rsidRPr="00DF38B2" w:rsidRDefault="00535C84" w:rsidP="006654AE">
            <w:pPr>
              <w:pStyle w:val="tabletextleft"/>
              <w:jc w:val="right"/>
            </w:pPr>
            <w:r w:rsidRPr="00DF38B2">
              <w:t>VWPR</w:t>
            </w:r>
          </w:p>
        </w:tc>
        <w:tc>
          <w:tcPr>
            <w:tcW w:w="425" w:type="pct"/>
            <w:tcBorders>
              <w:top w:val="single" w:sz="4" w:space="0" w:color="auto"/>
              <w:bottom w:val="single" w:sz="4" w:space="0" w:color="auto"/>
            </w:tcBorders>
          </w:tcPr>
          <w:p w:rsidR="00535C84" w:rsidRPr="00DF38B2" w:rsidRDefault="00535C84" w:rsidP="006654AE">
            <w:pPr>
              <w:pStyle w:val="tabletextleft"/>
              <w:jc w:val="right"/>
            </w:pPr>
            <w:r w:rsidRPr="00DF38B2">
              <w:t>Exempt</w:t>
            </w:r>
          </w:p>
          <w:p w:rsidR="00535C84" w:rsidRPr="00DF38B2" w:rsidRDefault="00535C84" w:rsidP="006654AE">
            <w:pPr>
              <w:pStyle w:val="tabletextleft"/>
              <w:jc w:val="right"/>
            </w:pPr>
            <w:r w:rsidRPr="00DF38B2">
              <w:t>Exited</w:t>
            </w:r>
          </w:p>
        </w:tc>
        <w:tc>
          <w:tcPr>
            <w:tcW w:w="384" w:type="pct"/>
            <w:tcBorders>
              <w:top w:val="single" w:sz="4" w:space="0" w:color="auto"/>
              <w:bottom w:val="single" w:sz="4" w:space="0" w:color="auto"/>
            </w:tcBorders>
          </w:tcPr>
          <w:p w:rsidR="00535C84" w:rsidRPr="00DF38B2" w:rsidRDefault="00535C84" w:rsidP="006654AE">
            <w:pPr>
              <w:pStyle w:val="tabletextleft"/>
              <w:jc w:val="right"/>
            </w:pPr>
            <w:r w:rsidRPr="00DF38B2">
              <w:t>Senior elder</w:t>
            </w:r>
          </w:p>
        </w:tc>
        <w:tc>
          <w:tcPr>
            <w:tcW w:w="474" w:type="pct"/>
            <w:tcBorders>
              <w:top w:val="single" w:sz="4" w:space="0" w:color="auto"/>
              <w:bottom w:val="single" w:sz="4" w:space="0" w:color="auto"/>
            </w:tcBorders>
          </w:tcPr>
          <w:p w:rsidR="00535C84" w:rsidRPr="00DF38B2" w:rsidRDefault="00535C84" w:rsidP="006654AE">
            <w:pPr>
              <w:pStyle w:val="tabletextleft"/>
              <w:jc w:val="right"/>
            </w:pPr>
            <w:r w:rsidRPr="00DF38B2">
              <w:t>Nominee</w:t>
            </w:r>
          </w:p>
        </w:tc>
        <w:tc>
          <w:tcPr>
            <w:tcW w:w="396" w:type="pct"/>
            <w:tcBorders>
              <w:top w:val="single" w:sz="4" w:space="0" w:color="auto"/>
              <w:bottom w:val="single" w:sz="4" w:space="0" w:color="auto"/>
            </w:tcBorders>
          </w:tcPr>
          <w:p w:rsidR="00535C84" w:rsidRPr="00DF38B2" w:rsidRDefault="00535C84" w:rsidP="006654AE">
            <w:pPr>
              <w:pStyle w:val="tabletextleft"/>
              <w:jc w:val="right"/>
            </w:pPr>
            <w:r w:rsidRPr="00DF38B2">
              <w:t>Service provider</w:t>
            </w:r>
          </w:p>
        </w:tc>
        <w:tc>
          <w:tcPr>
            <w:tcW w:w="317" w:type="pct"/>
            <w:tcBorders>
              <w:top w:val="single" w:sz="4" w:space="0" w:color="auto"/>
              <w:bottom w:val="single" w:sz="4" w:space="0" w:color="auto"/>
            </w:tcBorders>
          </w:tcPr>
          <w:p w:rsidR="00535C84" w:rsidRPr="00DF38B2" w:rsidRDefault="00535C84" w:rsidP="006654AE">
            <w:pPr>
              <w:pStyle w:val="tabletextleft"/>
              <w:jc w:val="right"/>
            </w:pPr>
            <w:r w:rsidRPr="00DF38B2">
              <w:t>Other</w:t>
            </w:r>
          </w:p>
        </w:tc>
        <w:tc>
          <w:tcPr>
            <w:tcW w:w="318" w:type="pct"/>
            <w:tcBorders>
              <w:top w:val="single" w:sz="4" w:space="0" w:color="auto"/>
              <w:bottom w:val="single" w:sz="4" w:space="0" w:color="auto"/>
            </w:tcBorders>
          </w:tcPr>
          <w:p w:rsidR="00535C84" w:rsidRPr="00DF38B2" w:rsidRDefault="00535C84" w:rsidP="006654AE">
            <w:pPr>
              <w:pStyle w:val="tabletextleft"/>
              <w:jc w:val="right"/>
            </w:pPr>
            <w:r w:rsidRPr="00DF38B2">
              <w:t>Total</w:t>
            </w:r>
          </w:p>
        </w:tc>
      </w:tr>
      <w:tr w:rsidR="00EB5275" w:rsidRPr="00DF38B2" w:rsidTr="00EB5275">
        <w:trPr>
          <w:trHeight w:val="20"/>
        </w:trPr>
        <w:tc>
          <w:tcPr>
            <w:tcW w:w="1139" w:type="pct"/>
            <w:tcBorders>
              <w:top w:val="single" w:sz="4" w:space="0" w:color="auto"/>
            </w:tcBorders>
            <w:vAlign w:val="bottom"/>
          </w:tcPr>
          <w:p w:rsidR="00535C84" w:rsidRPr="00DF38B2" w:rsidRDefault="00535C84" w:rsidP="006654AE">
            <w:pPr>
              <w:pStyle w:val="tabletextleft"/>
              <w:jc w:val="left"/>
            </w:pPr>
            <w:r w:rsidRPr="00DF38B2">
              <w:t xml:space="preserve">NT </w:t>
            </w:r>
            <w:r w:rsidR="009E078C">
              <w:t>–</w:t>
            </w:r>
            <w:r w:rsidRPr="00DF38B2">
              <w:t xml:space="preserve"> urban</w:t>
            </w:r>
          </w:p>
        </w:tc>
        <w:tc>
          <w:tcPr>
            <w:tcW w:w="286" w:type="pct"/>
            <w:tcBorders>
              <w:top w:val="single" w:sz="4" w:space="0" w:color="auto"/>
            </w:tcBorders>
            <w:vAlign w:val="bottom"/>
          </w:tcPr>
          <w:p w:rsidR="00535C84" w:rsidRPr="00FE502F" w:rsidRDefault="00535C84" w:rsidP="006654AE">
            <w:pPr>
              <w:pStyle w:val="tabletextleft"/>
              <w:jc w:val="right"/>
            </w:pPr>
            <w:r w:rsidRPr="00FE502F">
              <w:t>2</w:t>
            </w:r>
          </w:p>
        </w:tc>
        <w:tc>
          <w:tcPr>
            <w:tcW w:w="396" w:type="pct"/>
            <w:tcBorders>
              <w:top w:val="single" w:sz="4" w:space="0" w:color="auto"/>
            </w:tcBorders>
            <w:vAlign w:val="bottom"/>
          </w:tcPr>
          <w:p w:rsidR="00535C84" w:rsidRPr="009655C3" w:rsidRDefault="00535C84" w:rsidP="006654AE">
            <w:pPr>
              <w:pStyle w:val="tabletextleft"/>
              <w:jc w:val="right"/>
            </w:pPr>
            <w:r w:rsidRPr="009655C3">
              <w:t>3</w:t>
            </w:r>
          </w:p>
        </w:tc>
        <w:tc>
          <w:tcPr>
            <w:tcW w:w="227" w:type="pct"/>
            <w:tcBorders>
              <w:top w:val="single" w:sz="4" w:space="0" w:color="auto"/>
            </w:tcBorders>
            <w:vAlign w:val="bottom"/>
          </w:tcPr>
          <w:p w:rsidR="00535C84" w:rsidRPr="00DF38B2" w:rsidRDefault="00535C84" w:rsidP="006654AE">
            <w:pPr>
              <w:pStyle w:val="tabletextleft"/>
              <w:jc w:val="right"/>
            </w:pPr>
            <w:r w:rsidRPr="00DF38B2">
              <w:t>5</w:t>
            </w:r>
          </w:p>
        </w:tc>
        <w:tc>
          <w:tcPr>
            <w:tcW w:w="250" w:type="pct"/>
            <w:tcBorders>
              <w:top w:val="single" w:sz="4" w:space="0" w:color="auto"/>
            </w:tcBorders>
            <w:vAlign w:val="bottom"/>
          </w:tcPr>
          <w:p w:rsidR="00535C84" w:rsidRPr="00DF38B2" w:rsidRDefault="00535C84" w:rsidP="006654AE">
            <w:pPr>
              <w:pStyle w:val="tabletextleft"/>
              <w:jc w:val="right"/>
            </w:pPr>
            <w:r w:rsidRPr="00DF38B2">
              <w:t>10</w:t>
            </w:r>
          </w:p>
        </w:tc>
        <w:tc>
          <w:tcPr>
            <w:tcW w:w="387" w:type="pct"/>
            <w:tcBorders>
              <w:top w:val="single" w:sz="4" w:space="0" w:color="auto"/>
            </w:tcBorders>
            <w:vAlign w:val="bottom"/>
          </w:tcPr>
          <w:p w:rsidR="00535C84" w:rsidRPr="00DF38B2" w:rsidRDefault="00535C84" w:rsidP="006654AE">
            <w:pPr>
              <w:pStyle w:val="tabletextleft"/>
              <w:jc w:val="right"/>
            </w:pPr>
            <w:r w:rsidRPr="00DF38B2">
              <w:t>5</w:t>
            </w:r>
          </w:p>
        </w:tc>
        <w:tc>
          <w:tcPr>
            <w:tcW w:w="425" w:type="pct"/>
            <w:tcBorders>
              <w:top w:val="single" w:sz="4" w:space="0" w:color="auto"/>
            </w:tcBorders>
            <w:vAlign w:val="bottom"/>
          </w:tcPr>
          <w:p w:rsidR="00535C84" w:rsidRPr="00DF38B2" w:rsidRDefault="00535C84" w:rsidP="006654AE">
            <w:pPr>
              <w:pStyle w:val="tabletextleft"/>
              <w:jc w:val="right"/>
            </w:pPr>
            <w:r w:rsidRPr="00DF38B2">
              <w:t>4</w:t>
            </w:r>
          </w:p>
        </w:tc>
        <w:tc>
          <w:tcPr>
            <w:tcW w:w="384" w:type="pct"/>
            <w:tcBorders>
              <w:top w:val="single" w:sz="4" w:space="0" w:color="auto"/>
            </w:tcBorders>
            <w:vAlign w:val="bottom"/>
          </w:tcPr>
          <w:p w:rsidR="00535C84" w:rsidRPr="00DF38B2" w:rsidRDefault="0063799D" w:rsidP="006654AE">
            <w:pPr>
              <w:pStyle w:val="tabletextleft"/>
              <w:jc w:val="right"/>
            </w:pPr>
            <w:r w:rsidRPr="00DF38B2">
              <w:t>-</w:t>
            </w:r>
          </w:p>
        </w:tc>
        <w:tc>
          <w:tcPr>
            <w:tcW w:w="474" w:type="pct"/>
            <w:tcBorders>
              <w:top w:val="single" w:sz="4" w:space="0" w:color="auto"/>
            </w:tcBorders>
            <w:vAlign w:val="bottom"/>
          </w:tcPr>
          <w:p w:rsidR="00535C84" w:rsidRPr="00DF38B2" w:rsidRDefault="0063799D" w:rsidP="006654AE">
            <w:pPr>
              <w:pStyle w:val="tabletextleft"/>
              <w:jc w:val="right"/>
            </w:pPr>
            <w:r w:rsidRPr="00DF38B2">
              <w:t>-</w:t>
            </w:r>
          </w:p>
        </w:tc>
        <w:tc>
          <w:tcPr>
            <w:tcW w:w="396" w:type="pct"/>
            <w:tcBorders>
              <w:top w:val="single" w:sz="4" w:space="0" w:color="auto"/>
            </w:tcBorders>
            <w:vAlign w:val="bottom"/>
          </w:tcPr>
          <w:p w:rsidR="00535C84" w:rsidRPr="00DF38B2" w:rsidRDefault="0063799D" w:rsidP="006654AE">
            <w:pPr>
              <w:pStyle w:val="tabletextleft"/>
              <w:jc w:val="right"/>
            </w:pPr>
            <w:r w:rsidRPr="00DF38B2">
              <w:t>-</w:t>
            </w:r>
          </w:p>
        </w:tc>
        <w:tc>
          <w:tcPr>
            <w:tcW w:w="317" w:type="pct"/>
            <w:tcBorders>
              <w:top w:val="single" w:sz="4" w:space="0" w:color="auto"/>
            </w:tcBorders>
            <w:vAlign w:val="bottom"/>
          </w:tcPr>
          <w:p w:rsidR="00535C84" w:rsidRPr="00DF38B2" w:rsidRDefault="0063799D" w:rsidP="006654AE">
            <w:pPr>
              <w:pStyle w:val="tabletextleft"/>
              <w:jc w:val="right"/>
            </w:pPr>
            <w:r w:rsidRPr="00DF38B2">
              <w:t>-</w:t>
            </w:r>
          </w:p>
        </w:tc>
        <w:tc>
          <w:tcPr>
            <w:tcW w:w="318" w:type="pct"/>
            <w:tcBorders>
              <w:top w:val="single" w:sz="4" w:space="0" w:color="auto"/>
            </w:tcBorders>
            <w:vAlign w:val="bottom"/>
          </w:tcPr>
          <w:p w:rsidR="00535C84" w:rsidRPr="00DF38B2" w:rsidRDefault="00535C84" w:rsidP="006654AE">
            <w:pPr>
              <w:pStyle w:val="tabletextleft"/>
              <w:jc w:val="right"/>
            </w:pPr>
            <w:r w:rsidRPr="00DF38B2">
              <w:t>29</w:t>
            </w:r>
          </w:p>
        </w:tc>
      </w:tr>
      <w:tr w:rsidR="00EB5275" w:rsidRPr="00DF38B2" w:rsidTr="00EB5275">
        <w:trPr>
          <w:trHeight w:val="20"/>
        </w:trPr>
        <w:tc>
          <w:tcPr>
            <w:tcW w:w="1139" w:type="pct"/>
            <w:vAlign w:val="bottom"/>
          </w:tcPr>
          <w:p w:rsidR="00535C84" w:rsidRPr="00DF38B2" w:rsidRDefault="00535C84" w:rsidP="006654AE">
            <w:pPr>
              <w:pStyle w:val="tabletextleft"/>
              <w:jc w:val="left"/>
            </w:pPr>
            <w:r w:rsidRPr="00DF38B2">
              <w:t xml:space="preserve">NT </w:t>
            </w:r>
            <w:r w:rsidR="009E078C">
              <w:t>–</w:t>
            </w:r>
            <w:r w:rsidRPr="00DF38B2">
              <w:t xml:space="preserve"> remote</w:t>
            </w:r>
          </w:p>
        </w:tc>
        <w:tc>
          <w:tcPr>
            <w:tcW w:w="286" w:type="pct"/>
            <w:vAlign w:val="bottom"/>
          </w:tcPr>
          <w:p w:rsidR="00535C84" w:rsidRPr="009655C3" w:rsidRDefault="0063799D" w:rsidP="006654AE">
            <w:pPr>
              <w:pStyle w:val="tabletextleft"/>
              <w:jc w:val="right"/>
            </w:pPr>
            <w:r w:rsidRPr="00FE502F">
              <w:t>-</w:t>
            </w:r>
          </w:p>
        </w:tc>
        <w:tc>
          <w:tcPr>
            <w:tcW w:w="396" w:type="pct"/>
            <w:vAlign w:val="bottom"/>
          </w:tcPr>
          <w:p w:rsidR="00535C84" w:rsidRPr="00DF38B2" w:rsidRDefault="00535C84" w:rsidP="006654AE">
            <w:pPr>
              <w:pStyle w:val="tabletextleft"/>
              <w:jc w:val="right"/>
            </w:pPr>
            <w:r w:rsidRPr="00DF38B2">
              <w:t>1</w:t>
            </w:r>
          </w:p>
        </w:tc>
        <w:tc>
          <w:tcPr>
            <w:tcW w:w="227" w:type="pct"/>
            <w:vAlign w:val="bottom"/>
          </w:tcPr>
          <w:p w:rsidR="00535C84" w:rsidRPr="00DF38B2" w:rsidRDefault="0063799D" w:rsidP="006654AE">
            <w:pPr>
              <w:pStyle w:val="tabletextleft"/>
              <w:jc w:val="right"/>
            </w:pPr>
            <w:r w:rsidRPr="00DF38B2">
              <w:t>-</w:t>
            </w:r>
          </w:p>
        </w:tc>
        <w:tc>
          <w:tcPr>
            <w:tcW w:w="250" w:type="pct"/>
            <w:vAlign w:val="bottom"/>
          </w:tcPr>
          <w:p w:rsidR="00535C84" w:rsidRPr="00DF38B2" w:rsidRDefault="0063799D" w:rsidP="006654AE">
            <w:pPr>
              <w:pStyle w:val="tabletextleft"/>
              <w:jc w:val="right"/>
            </w:pPr>
            <w:r w:rsidRPr="00DF38B2">
              <w:t>-</w:t>
            </w:r>
          </w:p>
        </w:tc>
        <w:tc>
          <w:tcPr>
            <w:tcW w:w="387" w:type="pct"/>
            <w:vAlign w:val="bottom"/>
          </w:tcPr>
          <w:p w:rsidR="00535C84" w:rsidRPr="00DF38B2" w:rsidRDefault="00535C84" w:rsidP="006654AE">
            <w:pPr>
              <w:pStyle w:val="tabletextleft"/>
              <w:jc w:val="right"/>
            </w:pPr>
            <w:r w:rsidRPr="00DF38B2">
              <w:t>1</w:t>
            </w:r>
          </w:p>
        </w:tc>
        <w:tc>
          <w:tcPr>
            <w:tcW w:w="425" w:type="pct"/>
            <w:vAlign w:val="bottom"/>
          </w:tcPr>
          <w:p w:rsidR="00535C84" w:rsidRPr="00DF38B2" w:rsidRDefault="0063799D" w:rsidP="006654AE">
            <w:pPr>
              <w:pStyle w:val="tabletextleft"/>
              <w:ind w:left="-148" w:firstLine="148"/>
              <w:jc w:val="right"/>
            </w:pPr>
            <w:r w:rsidRPr="00DF38B2">
              <w:t>-</w:t>
            </w:r>
          </w:p>
        </w:tc>
        <w:tc>
          <w:tcPr>
            <w:tcW w:w="384" w:type="pct"/>
            <w:vAlign w:val="bottom"/>
          </w:tcPr>
          <w:p w:rsidR="00535C84" w:rsidRPr="00DF38B2" w:rsidRDefault="00535C84" w:rsidP="006654AE">
            <w:pPr>
              <w:pStyle w:val="tabletextleft"/>
              <w:jc w:val="right"/>
            </w:pPr>
            <w:r w:rsidRPr="00DF38B2">
              <w:t>3</w:t>
            </w:r>
          </w:p>
        </w:tc>
        <w:tc>
          <w:tcPr>
            <w:tcW w:w="474" w:type="pct"/>
            <w:vAlign w:val="bottom"/>
          </w:tcPr>
          <w:p w:rsidR="00535C84" w:rsidRPr="00DF38B2" w:rsidRDefault="00535C84" w:rsidP="006654AE">
            <w:pPr>
              <w:pStyle w:val="tabletextleft"/>
              <w:jc w:val="right"/>
            </w:pPr>
            <w:r w:rsidRPr="00DF38B2">
              <w:t>2</w:t>
            </w:r>
          </w:p>
        </w:tc>
        <w:tc>
          <w:tcPr>
            <w:tcW w:w="396" w:type="pct"/>
            <w:vAlign w:val="bottom"/>
          </w:tcPr>
          <w:p w:rsidR="00535C84" w:rsidRPr="00DF38B2" w:rsidRDefault="0063799D" w:rsidP="006654AE">
            <w:pPr>
              <w:pStyle w:val="tabletextleft"/>
              <w:jc w:val="right"/>
            </w:pPr>
            <w:r w:rsidRPr="00DF38B2">
              <w:t>-</w:t>
            </w:r>
          </w:p>
        </w:tc>
        <w:tc>
          <w:tcPr>
            <w:tcW w:w="317" w:type="pct"/>
            <w:vAlign w:val="bottom"/>
          </w:tcPr>
          <w:p w:rsidR="00535C84" w:rsidRPr="00DF38B2" w:rsidRDefault="00B01EB2" w:rsidP="006654AE">
            <w:pPr>
              <w:pStyle w:val="tabletextleft"/>
              <w:jc w:val="right"/>
            </w:pPr>
            <w:r w:rsidRPr="00DF38B2">
              <w:t>4</w:t>
            </w:r>
            <w:r>
              <w:rPr>
                <w:vertAlign w:val="superscript"/>
              </w:rPr>
              <w:t>a</w:t>
            </w:r>
          </w:p>
        </w:tc>
        <w:tc>
          <w:tcPr>
            <w:tcW w:w="318" w:type="pct"/>
            <w:vAlign w:val="bottom"/>
          </w:tcPr>
          <w:p w:rsidR="00535C84" w:rsidRPr="00DF38B2" w:rsidRDefault="00535C84" w:rsidP="006654AE">
            <w:pPr>
              <w:pStyle w:val="tabletextleft"/>
              <w:jc w:val="right"/>
            </w:pPr>
            <w:r w:rsidRPr="00DF38B2">
              <w:t>11</w:t>
            </w:r>
          </w:p>
        </w:tc>
      </w:tr>
      <w:tr w:rsidR="00EB5275" w:rsidRPr="00DF38B2" w:rsidTr="00EB5275">
        <w:trPr>
          <w:trHeight w:val="20"/>
        </w:trPr>
        <w:tc>
          <w:tcPr>
            <w:tcW w:w="1139" w:type="pct"/>
            <w:vAlign w:val="bottom"/>
          </w:tcPr>
          <w:p w:rsidR="00535C84" w:rsidRPr="00DF38B2" w:rsidRDefault="00535C84" w:rsidP="006654AE">
            <w:pPr>
              <w:pStyle w:val="tabletextleft"/>
              <w:jc w:val="left"/>
            </w:pPr>
            <w:r w:rsidRPr="00DF38B2">
              <w:t xml:space="preserve">Contrast Site B </w:t>
            </w:r>
            <w:r w:rsidR="009E078C">
              <w:t>–</w:t>
            </w:r>
            <w:r w:rsidRPr="00DF38B2">
              <w:t xml:space="preserve"> remote</w:t>
            </w:r>
          </w:p>
        </w:tc>
        <w:tc>
          <w:tcPr>
            <w:tcW w:w="286" w:type="pct"/>
            <w:vAlign w:val="bottom"/>
          </w:tcPr>
          <w:p w:rsidR="00535C84" w:rsidRPr="00DF38B2" w:rsidRDefault="0063799D" w:rsidP="006654AE">
            <w:pPr>
              <w:pStyle w:val="tabletextleft"/>
              <w:jc w:val="right"/>
            </w:pPr>
            <w:r w:rsidRPr="00DF38B2">
              <w:t>-</w:t>
            </w:r>
          </w:p>
        </w:tc>
        <w:tc>
          <w:tcPr>
            <w:tcW w:w="396" w:type="pct"/>
            <w:vAlign w:val="bottom"/>
          </w:tcPr>
          <w:p w:rsidR="00535C84" w:rsidRPr="00DF38B2" w:rsidRDefault="0063799D" w:rsidP="006654AE">
            <w:pPr>
              <w:pStyle w:val="tabletextleft"/>
              <w:jc w:val="right"/>
            </w:pPr>
            <w:r w:rsidRPr="00DF38B2">
              <w:t>-</w:t>
            </w:r>
          </w:p>
        </w:tc>
        <w:tc>
          <w:tcPr>
            <w:tcW w:w="227" w:type="pct"/>
            <w:vAlign w:val="bottom"/>
          </w:tcPr>
          <w:p w:rsidR="00535C84" w:rsidRPr="00DF38B2" w:rsidRDefault="0063799D" w:rsidP="006654AE">
            <w:pPr>
              <w:pStyle w:val="tabletextleft"/>
              <w:jc w:val="right"/>
            </w:pPr>
            <w:r w:rsidRPr="00DF38B2">
              <w:t>-</w:t>
            </w:r>
          </w:p>
        </w:tc>
        <w:tc>
          <w:tcPr>
            <w:tcW w:w="250" w:type="pct"/>
            <w:vAlign w:val="bottom"/>
          </w:tcPr>
          <w:p w:rsidR="00535C84" w:rsidRPr="00DF38B2" w:rsidRDefault="00535C84" w:rsidP="006654AE">
            <w:pPr>
              <w:pStyle w:val="tabletextleft"/>
              <w:jc w:val="right"/>
            </w:pPr>
            <w:r w:rsidRPr="00DF38B2">
              <w:t>2</w:t>
            </w:r>
          </w:p>
        </w:tc>
        <w:tc>
          <w:tcPr>
            <w:tcW w:w="387" w:type="pct"/>
            <w:vAlign w:val="bottom"/>
          </w:tcPr>
          <w:p w:rsidR="00535C84" w:rsidRPr="00DF38B2" w:rsidRDefault="0063799D" w:rsidP="006654AE">
            <w:pPr>
              <w:pStyle w:val="tabletextleft"/>
              <w:jc w:val="right"/>
            </w:pPr>
            <w:r w:rsidRPr="00DF38B2">
              <w:t>-</w:t>
            </w:r>
          </w:p>
        </w:tc>
        <w:tc>
          <w:tcPr>
            <w:tcW w:w="425" w:type="pct"/>
            <w:vAlign w:val="bottom"/>
          </w:tcPr>
          <w:p w:rsidR="00535C84" w:rsidRPr="00DF38B2" w:rsidRDefault="0063799D" w:rsidP="006654AE">
            <w:pPr>
              <w:pStyle w:val="tabletextleft"/>
              <w:jc w:val="right"/>
            </w:pPr>
            <w:r w:rsidRPr="00DF38B2">
              <w:t>-</w:t>
            </w:r>
          </w:p>
        </w:tc>
        <w:tc>
          <w:tcPr>
            <w:tcW w:w="384" w:type="pct"/>
            <w:vAlign w:val="bottom"/>
          </w:tcPr>
          <w:p w:rsidR="00535C84" w:rsidRPr="00DF38B2" w:rsidRDefault="0063799D" w:rsidP="006654AE">
            <w:pPr>
              <w:pStyle w:val="tabletextleft"/>
              <w:jc w:val="right"/>
            </w:pPr>
            <w:r w:rsidRPr="00DF38B2">
              <w:t>-</w:t>
            </w:r>
          </w:p>
        </w:tc>
        <w:tc>
          <w:tcPr>
            <w:tcW w:w="474" w:type="pct"/>
            <w:vAlign w:val="bottom"/>
          </w:tcPr>
          <w:p w:rsidR="00535C84" w:rsidRPr="00DF38B2" w:rsidRDefault="0063799D" w:rsidP="006654AE">
            <w:pPr>
              <w:pStyle w:val="tabletextleft"/>
              <w:jc w:val="right"/>
            </w:pPr>
            <w:r w:rsidRPr="00DF38B2">
              <w:t>-</w:t>
            </w:r>
          </w:p>
        </w:tc>
        <w:tc>
          <w:tcPr>
            <w:tcW w:w="396" w:type="pct"/>
            <w:vAlign w:val="bottom"/>
          </w:tcPr>
          <w:p w:rsidR="00535C84" w:rsidRPr="00DF38B2" w:rsidRDefault="00535C84" w:rsidP="006654AE">
            <w:pPr>
              <w:pStyle w:val="tabletextleft"/>
              <w:jc w:val="right"/>
            </w:pPr>
            <w:r w:rsidRPr="00DF38B2">
              <w:t>2</w:t>
            </w:r>
          </w:p>
        </w:tc>
        <w:tc>
          <w:tcPr>
            <w:tcW w:w="317" w:type="pct"/>
            <w:vAlign w:val="bottom"/>
          </w:tcPr>
          <w:p w:rsidR="00535C84" w:rsidRPr="00DF38B2" w:rsidRDefault="00B01EB2" w:rsidP="006654AE">
            <w:pPr>
              <w:pStyle w:val="tabletextleft"/>
              <w:jc w:val="right"/>
            </w:pPr>
            <w:r w:rsidRPr="00DF38B2">
              <w:t>2</w:t>
            </w:r>
            <w:r>
              <w:rPr>
                <w:vertAlign w:val="superscript"/>
              </w:rPr>
              <w:t>b</w:t>
            </w:r>
          </w:p>
        </w:tc>
        <w:tc>
          <w:tcPr>
            <w:tcW w:w="318" w:type="pct"/>
            <w:vAlign w:val="bottom"/>
          </w:tcPr>
          <w:p w:rsidR="00535C84" w:rsidRPr="00DF38B2" w:rsidRDefault="00535C84" w:rsidP="006654AE">
            <w:pPr>
              <w:pStyle w:val="tabletextleft"/>
              <w:jc w:val="right"/>
            </w:pPr>
            <w:r w:rsidRPr="00DF38B2">
              <w:t>6</w:t>
            </w:r>
          </w:p>
        </w:tc>
      </w:tr>
      <w:tr w:rsidR="00EB5275" w:rsidRPr="00DF38B2" w:rsidTr="00EB5275">
        <w:trPr>
          <w:trHeight w:val="20"/>
        </w:trPr>
        <w:tc>
          <w:tcPr>
            <w:tcW w:w="1139" w:type="pct"/>
            <w:tcBorders>
              <w:bottom w:val="single" w:sz="4" w:space="0" w:color="auto"/>
            </w:tcBorders>
            <w:vAlign w:val="bottom"/>
          </w:tcPr>
          <w:p w:rsidR="00535C84" w:rsidRPr="00DF38B2" w:rsidRDefault="00535C84" w:rsidP="006654AE">
            <w:pPr>
              <w:pStyle w:val="tabletextleft"/>
              <w:jc w:val="left"/>
            </w:pPr>
            <w:r w:rsidRPr="00DF38B2">
              <w:t>Total</w:t>
            </w:r>
          </w:p>
        </w:tc>
        <w:tc>
          <w:tcPr>
            <w:tcW w:w="286" w:type="pct"/>
            <w:tcBorders>
              <w:bottom w:val="single" w:sz="4" w:space="0" w:color="auto"/>
            </w:tcBorders>
            <w:vAlign w:val="bottom"/>
          </w:tcPr>
          <w:p w:rsidR="00535C84" w:rsidRPr="00FE502F" w:rsidRDefault="00535C84" w:rsidP="006654AE">
            <w:pPr>
              <w:pStyle w:val="tabletextleft"/>
              <w:jc w:val="right"/>
            </w:pPr>
            <w:r w:rsidRPr="00FE502F">
              <w:t>2</w:t>
            </w:r>
          </w:p>
        </w:tc>
        <w:tc>
          <w:tcPr>
            <w:tcW w:w="396" w:type="pct"/>
            <w:tcBorders>
              <w:bottom w:val="single" w:sz="4" w:space="0" w:color="auto"/>
            </w:tcBorders>
            <w:vAlign w:val="bottom"/>
          </w:tcPr>
          <w:p w:rsidR="00535C84" w:rsidRPr="009655C3" w:rsidRDefault="00535C84" w:rsidP="006654AE">
            <w:pPr>
              <w:pStyle w:val="tabletextleft"/>
              <w:jc w:val="right"/>
            </w:pPr>
            <w:r w:rsidRPr="009655C3">
              <w:t>4</w:t>
            </w:r>
          </w:p>
        </w:tc>
        <w:tc>
          <w:tcPr>
            <w:tcW w:w="227" w:type="pct"/>
            <w:tcBorders>
              <w:bottom w:val="single" w:sz="4" w:space="0" w:color="auto"/>
            </w:tcBorders>
            <w:vAlign w:val="bottom"/>
          </w:tcPr>
          <w:p w:rsidR="00535C84" w:rsidRPr="00DF38B2" w:rsidRDefault="00535C84" w:rsidP="006654AE">
            <w:pPr>
              <w:pStyle w:val="tabletextleft"/>
              <w:jc w:val="right"/>
            </w:pPr>
            <w:r w:rsidRPr="00DF38B2">
              <w:t>5</w:t>
            </w:r>
          </w:p>
        </w:tc>
        <w:tc>
          <w:tcPr>
            <w:tcW w:w="250" w:type="pct"/>
            <w:tcBorders>
              <w:bottom w:val="single" w:sz="4" w:space="0" w:color="auto"/>
            </w:tcBorders>
            <w:vAlign w:val="bottom"/>
          </w:tcPr>
          <w:p w:rsidR="00535C84" w:rsidRPr="00DF38B2" w:rsidRDefault="00535C84" w:rsidP="006654AE">
            <w:pPr>
              <w:pStyle w:val="tabletextleft"/>
              <w:jc w:val="right"/>
            </w:pPr>
            <w:r w:rsidRPr="00DF38B2">
              <w:t>12</w:t>
            </w:r>
          </w:p>
        </w:tc>
        <w:tc>
          <w:tcPr>
            <w:tcW w:w="387" w:type="pct"/>
            <w:tcBorders>
              <w:bottom w:val="single" w:sz="4" w:space="0" w:color="auto"/>
            </w:tcBorders>
            <w:vAlign w:val="bottom"/>
          </w:tcPr>
          <w:p w:rsidR="00535C84" w:rsidRPr="00DF38B2" w:rsidRDefault="00535C84" w:rsidP="006654AE">
            <w:pPr>
              <w:pStyle w:val="tabletextleft"/>
              <w:jc w:val="right"/>
            </w:pPr>
            <w:r w:rsidRPr="00DF38B2">
              <w:t>6</w:t>
            </w:r>
          </w:p>
        </w:tc>
        <w:tc>
          <w:tcPr>
            <w:tcW w:w="425" w:type="pct"/>
            <w:tcBorders>
              <w:bottom w:val="single" w:sz="4" w:space="0" w:color="auto"/>
            </w:tcBorders>
            <w:vAlign w:val="bottom"/>
          </w:tcPr>
          <w:p w:rsidR="00535C84" w:rsidRPr="00DF38B2" w:rsidRDefault="00535C84" w:rsidP="006654AE">
            <w:pPr>
              <w:pStyle w:val="tabletextleft"/>
              <w:jc w:val="right"/>
            </w:pPr>
            <w:r w:rsidRPr="00DF38B2">
              <w:t>4</w:t>
            </w:r>
          </w:p>
        </w:tc>
        <w:tc>
          <w:tcPr>
            <w:tcW w:w="384" w:type="pct"/>
            <w:tcBorders>
              <w:bottom w:val="single" w:sz="4" w:space="0" w:color="auto"/>
            </w:tcBorders>
            <w:vAlign w:val="bottom"/>
          </w:tcPr>
          <w:p w:rsidR="00535C84" w:rsidRPr="00DF38B2" w:rsidRDefault="00535C84" w:rsidP="006654AE">
            <w:pPr>
              <w:pStyle w:val="tabletextleft"/>
              <w:jc w:val="right"/>
            </w:pPr>
            <w:r w:rsidRPr="00DF38B2">
              <w:t>3</w:t>
            </w:r>
          </w:p>
        </w:tc>
        <w:tc>
          <w:tcPr>
            <w:tcW w:w="474" w:type="pct"/>
            <w:tcBorders>
              <w:bottom w:val="single" w:sz="4" w:space="0" w:color="auto"/>
            </w:tcBorders>
            <w:vAlign w:val="bottom"/>
          </w:tcPr>
          <w:p w:rsidR="00535C84" w:rsidRPr="00DF38B2" w:rsidRDefault="00535C84" w:rsidP="006654AE">
            <w:pPr>
              <w:pStyle w:val="tabletextleft"/>
              <w:jc w:val="right"/>
            </w:pPr>
            <w:r w:rsidRPr="00DF38B2">
              <w:t>2</w:t>
            </w:r>
          </w:p>
        </w:tc>
        <w:tc>
          <w:tcPr>
            <w:tcW w:w="396" w:type="pct"/>
            <w:tcBorders>
              <w:bottom w:val="single" w:sz="4" w:space="0" w:color="auto"/>
            </w:tcBorders>
            <w:vAlign w:val="bottom"/>
          </w:tcPr>
          <w:p w:rsidR="00535C84" w:rsidRPr="00DF38B2" w:rsidRDefault="00535C84" w:rsidP="006654AE">
            <w:pPr>
              <w:pStyle w:val="tabletextleft"/>
              <w:jc w:val="right"/>
            </w:pPr>
            <w:r w:rsidRPr="00DF38B2">
              <w:t>2</w:t>
            </w:r>
          </w:p>
        </w:tc>
        <w:tc>
          <w:tcPr>
            <w:tcW w:w="317" w:type="pct"/>
            <w:tcBorders>
              <w:bottom w:val="single" w:sz="4" w:space="0" w:color="auto"/>
            </w:tcBorders>
            <w:vAlign w:val="bottom"/>
          </w:tcPr>
          <w:p w:rsidR="00535C84" w:rsidRPr="00DF38B2" w:rsidRDefault="00535C84" w:rsidP="006654AE">
            <w:pPr>
              <w:pStyle w:val="tabletextleft"/>
              <w:jc w:val="right"/>
            </w:pPr>
            <w:r w:rsidRPr="00DF38B2">
              <w:t>6</w:t>
            </w:r>
          </w:p>
        </w:tc>
        <w:tc>
          <w:tcPr>
            <w:tcW w:w="318" w:type="pct"/>
            <w:tcBorders>
              <w:bottom w:val="single" w:sz="4" w:space="0" w:color="auto"/>
            </w:tcBorders>
            <w:vAlign w:val="bottom"/>
          </w:tcPr>
          <w:p w:rsidR="00535C84" w:rsidRPr="00DF38B2" w:rsidRDefault="00535C84" w:rsidP="006654AE">
            <w:pPr>
              <w:pStyle w:val="tabletextleft"/>
              <w:jc w:val="right"/>
            </w:pPr>
            <w:r w:rsidRPr="00DF38B2">
              <w:t>46</w:t>
            </w:r>
          </w:p>
        </w:tc>
      </w:tr>
    </w:tbl>
    <w:p w:rsidR="00535C84" w:rsidRPr="00DF38B2" w:rsidRDefault="00B01EB2" w:rsidP="006654AE">
      <w:pPr>
        <w:pStyle w:val="tablenotes"/>
      </w:pPr>
      <w:r w:rsidRPr="00B01EB2">
        <w:t>Notes</w:t>
      </w:r>
      <w:r>
        <w:t>:</w:t>
      </w:r>
      <w:r>
        <w:tab/>
      </w:r>
      <w:r w:rsidRPr="00B01EB2">
        <w:t>(a)</w:t>
      </w:r>
      <w:r w:rsidR="00535C84" w:rsidRPr="00DF38B2">
        <w:t xml:space="preserve"> Participants were on income management but the type of income management was not recorded</w:t>
      </w:r>
      <w:r w:rsidR="009E078C">
        <w:t>.</w:t>
      </w:r>
    </w:p>
    <w:p w:rsidR="00535C84" w:rsidRPr="009655C3" w:rsidRDefault="00B01EB2" w:rsidP="006654AE">
      <w:pPr>
        <w:pStyle w:val="tablenotes"/>
        <w:ind w:left="1287" w:firstLine="153"/>
      </w:pPr>
      <w:r w:rsidRPr="00B01EB2">
        <w:t>(b</w:t>
      </w:r>
      <w:r w:rsidR="009E078C">
        <w:t>)</w:t>
      </w:r>
      <w:r w:rsidR="00535C84" w:rsidRPr="009655C3">
        <w:t xml:space="preserve"> Participants wishing to commence income management</w:t>
      </w:r>
      <w:r w:rsidR="009E078C">
        <w:t>.</w:t>
      </w:r>
    </w:p>
    <w:p w:rsidR="00535C84" w:rsidRPr="00DF38B2" w:rsidRDefault="00535C84" w:rsidP="006654AE">
      <w:pPr>
        <w:pStyle w:val="tablefootnoteslastline"/>
      </w:pPr>
    </w:p>
    <w:p w:rsidR="00535C84" w:rsidRPr="00DF38B2" w:rsidRDefault="00535C84" w:rsidP="006654AE">
      <w:r w:rsidRPr="00DF38B2">
        <w:t>The interviews involved series of supplementary questions that were undertaken at the conclusion of the survey. The interviews explored the following broad questions:</w:t>
      </w:r>
    </w:p>
    <w:p w:rsidR="00535C84" w:rsidRPr="00DF38B2" w:rsidRDefault="00535C84" w:rsidP="006654AE">
      <w:pPr>
        <w:pStyle w:val="dot"/>
      </w:pPr>
      <w:r w:rsidRPr="00DF38B2">
        <w:t xml:space="preserve">Participants’ </w:t>
      </w:r>
      <w:proofErr w:type="gramStart"/>
      <w:r w:rsidRPr="00DF38B2">
        <w:t>perceptions of what they feel is</w:t>
      </w:r>
      <w:proofErr w:type="gramEnd"/>
      <w:r w:rsidRPr="00DF38B2">
        <w:t xml:space="preserve"> good or bad about income management</w:t>
      </w:r>
      <w:r w:rsidR="00176499">
        <w:t>.</w:t>
      </w:r>
    </w:p>
    <w:p w:rsidR="00535C84" w:rsidRPr="00DF38B2" w:rsidRDefault="00176499" w:rsidP="006654AE">
      <w:pPr>
        <w:pStyle w:val="dot"/>
      </w:pPr>
      <w:r>
        <w:lastRenderedPageBreak/>
        <w:t>The d</w:t>
      </w:r>
      <w:r w:rsidR="00535C84" w:rsidRPr="00DF38B2">
        <w:t>ifferences in having a BasicsCard to a key card</w:t>
      </w:r>
      <w:r>
        <w:t>?</w:t>
      </w:r>
    </w:p>
    <w:p w:rsidR="00535C84" w:rsidRPr="00DF38B2" w:rsidRDefault="00535C84" w:rsidP="006654AE">
      <w:pPr>
        <w:pStyle w:val="dot"/>
      </w:pPr>
      <w:r w:rsidRPr="00DF38B2">
        <w:t>Participants’ attitudes to staying on income management or getting off income management</w:t>
      </w:r>
      <w:r w:rsidR="00176499">
        <w:t>.</w:t>
      </w:r>
    </w:p>
    <w:p w:rsidR="00535C84" w:rsidRPr="00DF38B2" w:rsidRDefault="00176499" w:rsidP="006654AE">
      <w:pPr>
        <w:pStyle w:val="dot"/>
      </w:pPr>
      <w:r>
        <w:t>The reasons w</w:t>
      </w:r>
      <w:r w:rsidR="00535C84" w:rsidRPr="00DF38B2">
        <w:t>hy people have voluntarily taken up income management</w:t>
      </w:r>
      <w:r>
        <w:t>.</w:t>
      </w:r>
    </w:p>
    <w:p w:rsidR="00535C84" w:rsidRPr="00DF38B2" w:rsidRDefault="00535C84" w:rsidP="006654AE">
      <w:pPr>
        <w:pStyle w:val="dot"/>
      </w:pPr>
      <w:r w:rsidRPr="00DF38B2">
        <w:t>Changes in health and wellbeing; including the use of tobacco/alcohol/</w:t>
      </w:r>
      <w:proofErr w:type="spellStart"/>
      <w:r w:rsidRPr="00DF38B2">
        <w:t>gunja</w:t>
      </w:r>
      <w:proofErr w:type="spellEnd"/>
      <w:r w:rsidRPr="00DF38B2">
        <w:t>/gambling</w:t>
      </w:r>
      <w:r w:rsidR="00176499">
        <w:t xml:space="preserve"> while on income management.</w:t>
      </w:r>
    </w:p>
    <w:p w:rsidR="00535C84" w:rsidRPr="00DF38B2" w:rsidRDefault="00535C84" w:rsidP="006654AE">
      <w:pPr>
        <w:pStyle w:val="dot"/>
      </w:pPr>
      <w:r w:rsidRPr="00DF38B2">
        <w:t>The impact of income management on how well people manage their money</w:t>
      </w:r>
      <w:r w:rsidR="00176499">
        <w:t>.</w:t>
      </w:r>
    </w:p>
    <w:p w:rsidR="00535C84" w:rsidRPr="00DF38B2" w:rsidRDefault="00535C84" w:rsidP="006654AE">
      <w:pPr>
        <w:pStyle w:val="dot"/>
      </w:pPr>
      <w:r w:rsidRPr="00DF38B2">
        <w:t>Impacts of income management on the overall community health and wellbeing.</w:t>
      </w:r>
    </w:p>
    <w:p w:rsidR="00535C84" w:rsidRPr="00DF38B2" w:rsidRDefault="00535C84" w:rsidP="006654AE">
      <w:r w:rsidRPr="00DF38B2">
        <w:t>In both the qualitative interviews a</w:t>
      </w:r>
      <w:r w:rsidR="009E078C">
        <w:t>nd</w:t>
      </w:r>
      <w:r w:rsidRPr="00DF38B2">
        <w:t xml:space="preserve"> the survey responses, non-Indigenous participants, especially women, were more likely to answer questions, and their answers were longer and more detailed</w:t>
      </w:r>
      <w:r w:rsidR="00A1421A">
        <w:t xml:space="preserve">. </w:t>
      </w:r>
      <w:r w:rsidRPr="00DF38B2">
        <w:t>This is reflected in the selection of quotes below</w:t>
      </w:r>
      <w:r w:rsidR="00A1421A">
        <w:t xml:space="preserve">. </w:t>
      </w:r>
      <w:r w:rsidRPr="00DF38B2">
        <w:t>Generally, people who responded to the open</w:t>
      </w:r>
      <w:r w:rsidR="009E078C">
        <w:t>-</w:t>
      </w:r>
      <w:r w:rsidRPr="00DF38B2">
        <w:t>ended questions in the survey were more likely to provide negative responses, and similarly in the interviews negative views were more strongly expressed</w:t>
      </w:r>
      <w:r w:rsidR="00A1421A">
        <w:t xml:space="preserve">. </w:t>
      </w:r>
      <w:r w:rsidRPr="00DF38B2">
        <w:t>This is often the case when open</w:t>
      </w:r>
      <w:r w:rsidR="009E078C">
        <w:t>-</w:t>
      </w:r>
      <w:r w:rsidRPr="00DF38B2">
        <w:t>ended questions are provided</w:t>
      </w:r>
      <w:r w:rsidR="00A1421A">
        <w:t xml:space="preserve">. </w:t>
      </w:r>
      <w:r w:rsidRPr="00DF38B2">
        <w:t>The quotes presented below are therefore illustrative of themes which emerged from the analysis</w:t>
      </w:r>
      <w:r w:rsidR="009E078C">
        <w:t>,</w:t>
      </w:r>
      <w:r w:rsidRPr="00DF38B2">
        <w:t xml:space="preserve"> and numbers of quotes are not necessarily proportionate to the numbers of people who responded in a particular way to the point, but are indicative of the themes which emerged from the response</w:t>
      </w:r>
      <w:r w:rsidR="00A1421A">
        <w:t xml:space="preserve">. </w:t>
      </w:r>
      <w:r w:rsidRPr="00DF38B2">
        <w:t>Where a particular point was made by the majority of participants in the qualitative interviews</w:t>
      </w:r>
      <w:r w:rsidR="009E078C">
        <w:t>,</w:t>
      </w:r>
      <w:r w:rsidRPr="00DF38B2">
        <w:t xml:space="preserve"> this is pointed out in the analysis</w:t>
      </w:r>
      <w:r w:rsidR="00A1421A">
        <w:t xml:space="preserve">. </w:t>
      </w:r>
    </w:p>
    <w:p w:rsidR="00535C84" w:rsidRPr="00DF38B2" w:rsidRDefault="00535C84" w:rsidP="006654AE">
      <w:pPr>
        <w:pStyle w:val="Heading2"/>
      </w:pPr>
      <w:bookmarkStart w:id="470" w:name="_Toc403739078"/>
      <w:r w:rsidRPr="00DF38B2">
        <w:t>Views and experiences</w:t>
      </w:r>
      <w:bookmarkEnd w:id="470"/>
    </w:p>
    <w:p w:rsidR="00535C84" w:rsidRPr="00DF38B2" w:rsidRDefault="00535C84" w:rsidP="006654AE">
      <w:pPr>
        <w:pStyle w:val="Heading3"/>
      </w:pPr>
      <w:bookmarkStart w:id="471" w:name="_Toc403739079"/>
      <w:r w:rsidRPr="00DF38B2">
        <w:t>Navigating the income management system</w:t>
      </w:r>
      <w:bookmarkEnd w:id="471"/>
      <w:r w:rsidRPr="00DF38B2">
        <w:t xml:space="preserve"> </w:t>
      </w:r>
    </w:p>
    <w:p w:rsidR="00535C84" w:rsidRPr="00DF38B2" w:rsidRDefault="00535C84" w:rsidP="006654AE">
      <w:r w:rsidRPr="00DF38B2">
        <w:t>Participants in the qualitative interviews were asked about what they felt was good or bad about income management. Reflecting the patterns in survey responses about different aspects of the measures, there were some differences in responses to these questions based on whether people were on the voluntary or compulsory measures. This was particularly the case in regard to how people experienced the process of being placed on income management and how they were informed about this.</w:t>
      </w:r>
    </w:p>
    <w:p w:rsidR="00535C84" w:rsidRPr="00DF38B2" w:rsidRDefault="00535C84" w:rsidP="006654AE">
      <w:r w:rsidRPr="00DF38B2">
        <w:t>People who were on compulsory forms of income management frequently spoke about a lack of notice and information from Centrelink regarding their income support payments starting to be quarantined into the income management account. Late or no notification for people being put into the income management system resulted in some people not being able to immediately apply for an exemption</w:t>
      </w:r>
      <w:r w:rsidR="009E078C">
        <w:t>,</w:t>
      </w:r>
      <w:r w:rsidRPr="00DF38B2">
        <w:t xml:space="preserve"> and for others it caused problems with direct debit payments from bank accounts</w:t>
      </w:r>
      <w:r w:rsidR="00A1421A">
        <w:t>.</w:t>
      </w:r>
      <w:r w:rsidR="0025567B">
        <w:rPr>
          <w:rStyle w:val="FootnoteReference"/>
        </w:rPr>
        <w:footnoteReference w:id="124"/>
      </w:r>
      <w:r w:rsidR="00A1421A">
        <w:t xml:space="preserve"> </w:t>
      </w:r>
    </w:p>
    <w:p w:rsidR="007A0337" w:rsidRPr="00DF38B2" w:rsidRDefault="00535C84" w:rsidP="006654AE">
      <w:pPr>
        <w:ind w:left="720"/>
      </w:pPr>
      <w:r w:rsidRPr="00DF38B2">
        <w:t>How the information was initially put out was a bit random. No information or warning about being put on income management. It wasn’t voluntary. (Exited,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left"/>
      </w:pPr>
      <w:r w:rsidRPr="00DF38B2">
        <w:t>I received a letter late and then it was too late to not be put on income management. (CIM-DEY, non-Indigenous male living in urban area, interview)</w:t>
      </w:r>
    </w:p>
    <w:p w:rsidR="007A0337" w:rsidRPr="00DF38B2" w:rsidRDefault="00535C84" w:rsidP="006654AE">
      <w:pPr>
        <w:ind w:left="720"/>
      </w:pPr>
      <w:r w:rsidRPr="00DF38B2">
        <w:t>One week I was getting the full amount, the next week I got half the amount. That’s how I found out I was on income management. (CIM-DEY, non-Indigenous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left"/>
      </w:pPr>
      <w:r w:rsidRPr="00DF38B2">
        <w:t>I never got told, just started getting less money. (CIM-LTW</w:t>
      </w:r>
      <w:r w:rsidR="00C23964">
        <w:t>PR</w:t>
      </w:r>
      <w:r w:rsidRPr="00DF38B2">
        <w:t>, Indigenous male living in remote area, interview)</w:t>
      </w:r>
    </w:p>
    <w:p w:rsidR="00535C84" w:rsidRPr="00DF38B2" w:rsidRDefault="00535C84" w:rsidP="006654AE">
      <w:r w:rsidRPr="00DF38B2">
        <w:t>For one person, the lack of notice led to a period of financial hardship because she did not have sufficient funds available to pay rent or bills. As the</w:t>
      </w:r>
      <w:r w:rsidR="00E731B8">
        <w:t>y</w:t>
      </w:r>
      <w:r w:rsidRPr="00DF38B2">
        <w:t xml:space="preserve"> explained:</w:t>
      </w:r>
      <w:r w:rsidR="005D1CC5">
        <w:t xml:space="preserve"> </w:t>
      </w:r>
    </w:p>
    <w:p w:rsidR="007A0337" w:rsidRPr="00DF38B2" w:rsidRDefault="00535C84" w:rsidP="006654AE">
      <w:pPr>
        <w:ind w:left="720"/>
      </w:pPr>
      <w:r w:rsidRPr="00DF38B2">
        <w:lastRenderedPageBreak/>
        <w:t>I didn’t know I was on income management, I got put on income management and then found out I was on it because I didn’t have enough money in my bank to pay my rent</w:t>
      </w:r>
      <w:r w:rsidR="009E078C">
        <w:t xml:space="preserve"> ….</w:t>
      </w:r>
      <w:r w:rsidRPr="00DF38B2">
        <w:t xml:space="preserve"> I actually ended up with debt because I couldn’t pay my rent that fortnight and it put me out for the next two months</w:t>
      </w:r>
      <w:r w:rsidR="009E078C">
        <w:t xml:space="preserve"> </w:t>
      </w:r>
      <w:r w:rsidR="00176499">
        <w:t>…</w:t>
      </w:r>
      <w:r w:rsidR="009E078C">
        <w:t>.</w:t>
      </w:r>
      <w:r w:rsidRPr="00DF38B2">
        <w:t xml:space="preserve"> </w:t>
      </w:r>
      <w:proofErr w:type="gramStart"/>
      <w:r w:rsidRPr="00DF38B2">
        <w:t>when</w:t>
      </w:r>
      <w:proofErr w:type="gramEnd"/>
      <w:r w:rsidRPr="00DF38B2">
        <w:t xml:space="preserve"> I went into Centrelink they told me that they had sent me out a letter advising of this changeover and giving me the option to get an exemption, but I didn’t receive any letters. (Exempt, non-Indigenous female living in urban area, interview)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 xml:space="preserve">Once income management had been established, people across the different types of income management noted that routine communication with Centrelink related to managing their </w:t>
      </w:r>
      <w:r w:rsidR="00A04470">
        <w:t>income managed</w:t>
      </w:r>
      <w:r w:rsidRPr="00DF38B2">
        <w:t xml:space="preserve"> funds could be challenging. A small number of people on</w:t>
      </w:r>
      <w:r w:rsidR="00C23964">
        <w:t xml:space="preserve"> Vulnerable and Voluntary </w:t>
      </w:r>
      <w:r w:rsidR="00A8053C">
        <w:t>Income</w:t>
      </w:r>
      <w:r w:rsidR="00C23964">
        <w:t xml:space="preserve"> Management</w:t>
      </w:r>
      <w:r w:rsidRPr="00DF38B2">
        <w:t xml:space="preserve"> spoke about the inconvenience of needing to make telephone calls to Centrelink to have money transferred from the account containing their unallocated </w:t>
      </w:r>
      <w:r w:rsidR="00A04470">
        <w:t>income managed</w:t>
      </w:r>
      <w:r w:rsidRPr="00DF38B2">
        <w:t xml:space="preserve"> funds, colloquially known as their </w:t>
      </w:r>
      <w:r w:rsidRPr="007F70B0">
        <w:t>kitty</w:t>
      </w:r>
      <w:r w:rsidRPr="00DF38B2">
        <w:rPr>
          <w:i/>
        </w:rPr>
        <w:t xml:space="preserve">, </w:t>
      </w:r>
      <w:r w:rsidRPr="00DF38B2">
        <w:t>onto their BasicsCard</w:t>
      </w:r>
      <w:r w:rsidR="007F70B0">
        <w:t>,</w:t>
      </w:r>
      <w:r w:rsidRPr="00DF38B2">
        <w:t xml:space="preserve"> or to arrange bill payments. Lengthy waiting times while on the telephone to Centrelink were seen as inconvenient and </w:t>
      </w:r>
      <w:r w:rsidR="003B078B">
        <w:t xml:space="preserve">reported as being </w:t>
      </w:r>
      <w:r w:rsidRPr="00DF38B2">
        <w:t>costly when the only option was to call via a mobile phone.</w:t>
      </w:r>
      <w:r w:rsidR="003B078B">
        <w:rPr>
          <w:rStyle w:val="FootnoteReference"/>
        </w:rPr>
        <w:footnoteReference w:id="125"/>
      </w:r>
      <w:r w:rsidRPr="00DF38B2">
        <w:t xml:space="preserve">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have to wait a long time when I ring up Centrelink to transfer money over to my BasicsCard. (</w:t>
      </w:r>
      <w:r w:rsidR="00D1211F" w:rsidRPr="00DF38B2">
        <w:t>V</w:t>
      </w:r>
      <w:r w:rsidR="00D1211F">
        <w:t>ulnerable,</w:t>
      </w:r>
      <w:r w:rsidRPr="00DF38B2">
        <w:t xml:space="preserve">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The main thing about BasicsCard is money in the kitty has to be transferred over to BasicsCard and you have to buggerise around with that. It costs you money on the phone too</w:t>
      </w:r>
      <w:r w:rsidR="007F70B0">
        <w:t>: c</w:t>
      </w:r>
      <w:r w:rsidRPr="00DF38B2">
        <w:t>harged at normal rate. That’s a problem. You spend about an hour on the phone. (Exited,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Bill payment arrangements – you have to call up and provide bill/account payment details. When I’ve paid out a bill I have to make changes to this and call waiting is problematic. It also costs money on your phone call too. I only have a mobile phone and there is no such thing as a free call with a mobile. (</w:t>
      </w:r>
      <w:r w:rsidR="00C23964" w:rsidRPr="00DF38B2">
        <w:t>V</w:t>
      </w:r>
      <w:r w:rsidR="00C23964">
        <w:t>oluntary</w:t>
      </w:r>
      <w:r w:rsidRPr="00DF38B2">
        <w: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A couple of people did, however, speak positively about the assistance received from staff when they did contact Centrelink:</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Best thing is the service [at Centrelink]. I’ve rung up and spoke to people and had no dramas with Centrelink </w:t>
      </w:r>
      <w:r w:rsidR="007F70B0">
        <w:t>….</w:t>
      </w:r>
      <w:r w:rsidRPr="00DF38B2">
        <w:t xml:space="preserve"> I’ve had problems with internet banking for BasicsCard, transferring from kitty onto the card </w:t>
      </w:r>
      <w:r w:rsidR="007F70B0">
        <w:t>….</w:t>
      </w:r>
      <w:r w:rsidR="007F70B0" w:rsidRPr="00DF38B2">
        <w:t xml:space="preserve"> </w:t>
      </w:r>
      <w:r w:rsidRPr="00DF38B2">
        <w:t>I spoke to a lady and she helped me track down the problem. (CIM-DEY, non-Indigenous female living in an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The lady I spoke to in the exemption team was amazing. (Exempt, non-Indigenous female living in an urban area, interview)</w:t>
      </w:r>
    </w:p>
    <w:p w:rsidR="00535C84" w:rsidRPr="00DF38B2" w:rsidRDefault="00535C84" w:rsidP="006654AE">
      <w:pPr>
        <w:pStyle w:val="Heading4"/>
      </w:pPr>
      <w:r w:rsidRPr="00DF38B2">
        <w:rPr>
          <w:rStyle w:val="Heading4Char"/>
        </w:rPr>
        <w:t>Exemptions and appeals</w:t>
      </w:r>
      <w:r w:rsidRPr="00DF38B2">
        <w:t xml:space="preserve"> </w:t>
      </w:r>
    </w:p>
    <w:p w:rsidR="00535C84" w:rsidRPr="00DF38B2" w:rsidRDefault="00535C84" w:rsidP="006654AE">
      <w:r w:rsidRPr="00DF38B2">
        <w:t>Participants in the qualitative interviews were asked about whether they wished to remain on income management and whether they had attempted to gain an exemption or to exit income management. Almost half of the participants on compulsory income management who were interviewed spoke of wishing to exit income management. However, a number of challenges were raised including not being provided with clear information from Centrelink relating to the process of getting an exemption or lodging an appeal, and the perception that the process was complex and arduous. As people explained:</w:t>
      </w:r>
    </w:p>
    <w:p w:rsidR="00535C84" w:rsidRPr="00DF38B2" w:rsidRDefault="00535C84" w:rsidP="006654AE">
      <w:pPr>
        <w:ind w:left="720"/>
      </w:pPr>
      <w:r w:rsidRPr="00DF38B2">
        <w:t>I don’t have any information on that. I’ve asked what I need to do to get off it, twice now and gotten nowhere. So I’ve just given up. (CIM-LTW</w:t>
      </w:r>
      <w:r w:rsidR="00C23964">
        <w:t>PR</w:t>
      </w:r>
      <w:r w:rsidRPr="00DF38B2">
        <w:t>, non-Indigenous male living in urban area, interview)</w:t>
      </w:r>
    </w:p>
    <w:p w:rsidR="00535C84" w:rsidRPr="00DF38B2" w:rsidRDefault="00535C84" w:rsidP="006654AE">
      <w:pPr>
        <w:ind w:left="720"/>
      </w:pPr>
      <w:r w:rsidRPr="00DF38B2">
        <w:t xml:space="preserve">The [exemptions] process doesn’t seem to be easy. I’d have to go into Centrelink to get told to fill in another form and then after doing that I’d be told that I need to come back on another day to </w:t>
      </w:r>
      <w:r w:rsidRPr="00DF38B2">
        <w:lastRenderedPageBreak/>
        <w:t>have an interview. It’s a big run around. I don’t even know what I have to do to actually get off income management. (CIM-DEY, non-Indigenous male living in urban area, interview)</w:t>
      </w:r>
    </w:p>
    <w:p w:rsidR="00535C84" w:rsidRPr="00DF38B2" w:rsidRDefault="00535C84" w:rsidP="006654AE">
      <w:pPr>
        <w:ind w:left="720"/>
      </w:pPr>
      <w:r w:rsidRPr="00DF38B2">
        <w:t>Tried to get off income management but you’ve got to do all these tests. I want to get off that BasicsCard. I don’t want to be managed. (CPIM, Indigenous male living in urban area, interview)</w:t>
      </w:r>
    </w:p>
    <w:p w:rsidR="00535C84" w:rsidRPr="00DF38B2" w:rsidRDefault="00535C84" w:rsidP="006654AE">
      <w:r w:rsidRPr="00DF38B2">
        <w:t xml:space="preserve">These challenges were similar to those raised in survey responses by people on compulsory income management. The survey asked participants about their experience when trying to get an exemption. Both </w:t>
      </w:r>
      <w:r w:rsidR="002C2E8A">
        <w:t>I</w:t>
      </w:r>
      <w:r w:rsidRPr="00DF38B2">
        <w:t>ndigenous and non-Indigenous participants spoke of challenges. The key challenges raised were not receiving sufficient assistance or information from staff at Centrelink, the amount of documentation required</w:t>
      </w:r>
      <w:r w:rsidR="007F70B0">
        <w:t>,</w:t>
      </w:r>
      <w:r w:rsidRPr="00DF38B2">
        <w:t xml:space="preserve"> or having their application rejected due to school attendance records of their children.</w:t>
      </w:r>
    </w:p>
    <w:p w:rsidR="00535C84" w:rsidRPr="00DF38B2" w:rsidRDefault="00535C84" w:rsidP="006654AE">
      <w:r w:rsidRPr="00DF38B2">
        <w:t>On the other hand, the two people interviewed who had been successful in gaining an exemption spoke about finding the exemption process quite straightforward. Both were non-Indigenous females who had school-aged children and were living in an urban area</w:t>
      </w:r>
      <w:r w:rsidR="00A1421A">
        <w:t xml:space="preserve">. </w:t>
      </w:r>
      <w:r w:rsidRPr="00DF38B2">
        <w:t>They spoke of arranging health checks through their general practitioners, organising school attendance records</w:t>
      </w:r>
      <w:r w:rsidR="007F70B0">
        <w:t>,</w:t>
      </w:r>
      <w:r w:rsidRPr="00DF38B2">
        <w:t xml:space="preserve"> and discussing with a </w:t>
      </w:r>
      <w:r w:rsidR="00060511">
        <w:t>DHS</w:t>
      </w:r>
      <w:r w:rsidRPr="00DF38B2">
        <w:t xml:space="preserve"> staff member how they budget and manage their finances. However, one expressed concern that while she was able to understand the process it may be challenging for certain groups of people:</w:t>
      </w:r>
    </w:p>
    <w:p w:rsidR="00535C84" w:rsidRPr="00DF38B2" w:rsidRDefault="00535C84" w:rsidP="006654AE">
      <w:pPr>
        <w:ind w:left="720"/>
      </w:pPr>
      <w:r w:rsidRPr="00DF38B2">
        <w:t>It was easy for someone like me but for those people who have low literacy and numeracy skills I can see how it would be a daunting task. (Exited, non-Indigenous female living in urban area, interview)</w:t>
      </w:r>
    </w:p>
    <w:p w:rsidR="00535C84" w:rsidRPr="00DF38B2" w:rsidRDefault="00535C84" w:rsidP="006654AE">
      <w:r w:rsidRPr="00DF38B2">
        <w:t>The other spoke of being provided with incorrect information by professionals involved in the exemption process</w:t>
      </w:r>
      <w:r w:rsidR="007F70B0">
        <w:t>,</w:t>
      </w:r>
      <w:r w:rsidRPr="00DF38B2">
        <w:t xml:space="preserve"> which indicates there may be a need for further community education:</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was given incorrect information on the doctor’s medical papers by the doctors</w:t>
      </w:r>
      <w:r w:rsidR="007F70B0">
        <w:t>,</w:t>
      </w:r>
      <w:r w:rsidRPr="00DF38B2">
        <w:t xml:space="preserve"> which screwed me around really badly</w:t>
      </w:r>
      <w:r w:rsidR="00A1421A">
        <w:t xml:space="preserve">. </w:t>
      </w:r>
      <w:r w:rsidRPr="00DF38B2">
        <w:t>It was really embarrassing as they made me out to look like I didn’t know what I was doing. (Exempt,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There were mixed views expressed by survey participants who had gained an exemption from income management when asked about the exemption process. Again, those commenting were non-Indigenous females living in urban areas. Half of those who commented spoke about the process being straight</w:t>
      </w:r>
      <w:r w:rsidR="007F70B0">
        <w:t>-</w:t>
      </w:r>
      <w:r w:rsidRPr="00DF38B2">
        <w:t>forward</w:t>
      </w:r>
      <w:r w:rsidR="007F70B0">
        <w:t>,</w:t>
      </w:r>
      <w:r w:rsidRPr="00DF38B2">
        <w:t xml:space="preserve"> with most commenting that they could understand the rationale behind the process, including the potential intrusiveness of the questions relating to personal money management decisions. As people explained:</w:t>
      </w:r>
    </w:p>
    <w:p w:rsidR="00535C84" w:rsidRPr="00DF38B2" w:rsidRDefault="00535C84" w:rsidP="006654AE">
      <w:pPr>
        <w:ind w:left="720"/>
      </w:pPr>
      <w:r w:rsidRPr="00DF38B2">
        <w:t xml:space="preserve">It was really easy and I do agree with why they would be </w:t>
      </w:r>
      <w:proofErr w:type="gramStart"/>
      <w:r w:rsidRPr="00DF38B2">
        <w:t>so</w:t>
      </w:r>
      <w:proofErr w:type="gramEnd"/>
      <w:r w:rsidRPr="00DF38B2">
        <w:t xml:space="preserve"> nosey as to what you’re spending your money on. I mean </w:t>
      </w:r>
      <w:proofErr w:type="gramStart"/>
      <w:r w:rsidRPr="00DF38B2">
        <w:t>it</w:t>
      </w:r>
      <w:r w:rsidR="007F70B0">
        <w:t>’</w:t>
      </w:r>
      <w:r w:rsidRPr="00DF38B2">
        <w:t>s</w:t>
      </w:r>
      <w:proofErr w:type="gramEnd"/>
      <w:r w:rsidRPr="00DF38B2">
        <w:t xml:space="preserve"> tax payers</w:t>
      </w:r>
      <w:r w:rsidR="007F70B0">
        <w:t>’</w:t>
      </w:r>
      <w:r w:rsidRPr="00DF38B2">
        <w:t xml:space="preserve"> money not yours. (Exempt, non-Indigenous female living in urban area, survey response)</w:t>
      </w:r>
    </w:p>
    <w:p w:rsidR="00535C84" w:rsidRPr="00DF38B2" w:rsidRDefault="00535C84" w:rsidP="006654AE">
      <w:pPr>
        <w:ind w:left="720"/>
      </w:pPr>
      <w:r w:rsidRPr="00DF38B2">
        <w:t xml:space="preserve">It was straightforward, not a hassle, I understand why you have to through it. </w:t>
      </w:r>
      <w:proofErr w:type="gramStart"/>
      <w:r w:rsidRPr="00DF38B2">
        <w:t>A good process.</w:t>
      </w:r>
      <w:proofErr w:type="gramEnd"/>
      <w:r w:rsidRPr="00DF38B2">
        <w:t xml:space="preserve"> (Exempt, non-Indigenous female living in urban area, survey response)</w:t>
      </w:r>
    </w:p>
    <w:p w:rsidR="00535C84" w:rsidRPr="00DF38B2" w:rsidRDefault="00535C84" w:rsidP="006654AE">
      <w:pPr>
        <w:ind w:left="720"/>
      </w:pPr>
      <w:r w:rsidRPr="00DF38B2">
        <w:t>It</w:t>
      </w:r>
      <w:r w:rsidR="007F70B0">
        <w:t>’</w:t>
      </w:r>
      <w:r w:rsidRPr="00DF38B2">
        <w:t>s not a pleasant experience but I understand the reason why it</w:t>
      </w:r>
      <w:r w:rsidR="007F70B0">
        <w:t>’</w:t>
      </w:r>
      <w:r w:rsidRPr="00DF38B2">
        <w:t xml:space="preserve">s there. It was an easy process and the </w:t>
      </w:r>
      <w:proofErr w:type="gramStart"/>
      <w:r w:rsidRPr="00DF38B2">
        <w:t>staff were</w:t>
      </w:r>
      <w:proofErr w:type="gramEnd"/>
      <w:r w:rsidRPr="00DF38B2">
        <w:t xml:space="preserve"> good. (Exempt, non-Indigenous female living in urban area, survey response)</w:t>
      </w:r>
    </w:p>
    <w:p w:rsidR="00535C84" w:rsidRPr="00DF38B2" w:rsidRDefault="00535C84" w:rsidP="006654AE">
      <w:r w:rsidRPr="00DF38B2">
        <w:t>However, the other half of the participants who commented spoke about the process being lengthy or frustrating, with a couple of people acknowledging that they felt embarrassed or humiliated during the process:</w:t>
      </w:r>
    </w:p>
    <w:p w:rsidR="00535C84" w:rsidRPr="00DF38B2" w:rsidRDefault="00535C84" w:rsidP="006654AE">
      <w:pPr>
        <w:ind w:left="720"/>
      </w:pPr>
      <w:r w:rsidRPr="00DF38B2">
        <w:t>Long and very drawn out, that said the lady that did the interview was good humoured and apologetic, said this happens all the time and she gets people like me all the time who are more than capable, the process was way too long, far harder to get me off it than it was for them to put me on it. (Exempt, non-Indigenous female living in urban area, survey response)</w:t>
      </w:r>
    </w:p>
    <w:p w:rsidR="00535C84" w:rsidRPr="00DF38B2" w:rsidRDefault="00535C84" w:rsidP="006654AE">
      <w:pPr>
        <w:ind w:left="720"/>
      </w:pPr>
      <w:r w:rsidRPr="00DF38B2">
        <w:t xml:space="preserve">I found it annoying that I had to do all the running around for paperwork from the school and doctors </w:t>
      </w:r>
      <w:r w:rsidR="007F70B0">
        <w:t>….</w:t>
      </w:r>
      <w:r w:rsidRPr="00DF38B2">
        <w:t xml:space="preserve"> I also think its shaming to ask your child</w:t>
      </w:r>
      <w:r w:rsidR="007F70B0">
        <w:t>’</w:t>
      </w:r>
      <w:r w:rsidRPr="00DF38B2">
        <w:t xml:space="preserve">s school to give you an attendance record as then they know your payments are government funded and look at you differently every time </w:t>
      </w:r>
      <w:r w:rsidRPr="00DF38B2">
        <w:lastRenderedPageBreak/>
        <w:t>you’re behind in your fees or any other struggles you may have. (Exempt, non-Indigenous female living in urban area, survey response)</w:t>
      </w:r>
    </w:p>
    <w:p w:rsidR="00535C84" w:rsidRPr="00DF38B2" w:rsidRDefault="00535C84" w:rsidP="006654AE">
      <w:pPr>
        <w:ind w:left="720"/>
      </w:pPr>
      <w:r w:rsidRPr="00DF38B2">
        <w:t>The way in which the income management is structured doesn</w:t>
      </w:r>
      <w:r w:rsidR="007F70B0">
        <w:t>’</w:t>
      </w:r>
      <w:r w:rsidRPr="00DF38B2">
        <w:t>t work. The appeal system doesn</w:t>
      </w:r>
      <w:r w:rsidR="00717A03">
        <w:t>’</w:t>
      </w:r>
      <w:r w:rsidRPr="00DF38B2">
        <w:t xml:space="preserve">t work and makes people have to go through ridiculous steps to prove they are not in need of income management </w:t>
      </w:r>
      <w:r w:rsidR="00717A03">
        <w:t>….</w:t>
      </w:r>
      <w:r w:rsidRPr="00DF38B2">
        <w:t xml:space="preserve"> People should be exempt from income management who do not have alcohol, drug or gambling problems. My child regularly attends school and it is condescending to be asked to provide proof of this when it is a given in the way I bring my children up. I am far happier now that I am off it and can pay all of my bills and manage my money myself. (Exempt, non-Indigenous male living in urban area, survey response)</w:t>
      </w:r>
    </w:p>
    <w:p w:rsidR="00535C84" w:rsidRPr="00DF38B2" w:rsidRDefault="00535C84" w:rsidP="006654AE">
      <w:pPr>
        <w:pStyle w:val="Heading3"/>
      </w:pPr>
      <w:bookmarkStart w:id="472" w:name="_Toc403739080"/>
      <w:r w:rsidRPr="00DF38B2">
        <w:t>Fairness of the income management process</w:t>
      </w:r>
      <w:bookmarkEnd w:id="472"/>
    </w:p>
    <w:p w:rsidR="00535C84" w:rsidRPr="00DF38B2" w:rsidRDefault="00535C84" w:rsidP="00665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 xml:space="preserve">Around a quarter of people across income management types, with the exception of people on VIM, expressed the view during the qualitative interviews that the income management system would be fairer if compulsory income management was decided on a case-by-case basis rather than being applied universally: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think it needs to be a case</w:t>
      </w:r>
      <w:r w:rsidR="00717A03">
        <w:t>-</w:t>
      </w:r>
      <w:r w:rsidRPr="00DF38B2">
        <w:t>by</w:t>
      </w:r>
      <w:r w:rsidR="00717A03">
        <w:t>-</w:t>
      </w:r>
      <w:r w:rsidRPr="00DF38B2">
        <w:t>case implementation</w:t>
      </w:r>
      <w:r w:rsidR="00A1421A">
        <w:t xml:space="preserve">. </w:t>
      </w:r>
      <w:r w:rsidRPr="00DF38B2">
        <w:t>You can’t prequalify people because that would be discriminatory, so you would have to look at each case individually. (Exited, non-Indigenous female living in an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This point of view was most often held by people interviewed who reported a pre-existing ability to budget and manage their finances</w:t>
      </w:r>
      <w:r w:rsidR="00A1421A">
        <w:t xml:space="preserve">. </w:t>
      </w:r>
      <w:r w:rsidRPr="00DF38B2">
        <w:t>This group of people perceived little personal benefit from being placed on income management, although</w:t>
      </w:r>
      <w:r w:rsidR="00212938" w:rsidRPr="00DF38B2">
        <w:t xml:space="preserve"> they felt</w:t>
      </w:r>
      <w:r w:rsidRPr="00DF38B2">
        <w:t xml:space="preserve"> that it </w:t>
      </w:r>
      <w:r w:rsidR="00212938" w:rsidRPr="00DF38B2">
        <w:t xml:space="preserve">may </w:t>
      </w:r>
      <w:r w:rsidRPr="00DF38B2">
        <w:t>be useful for those who were less able to manage their finances or who were experiencing difficulties with substance abuse. They suggested that the assessment process required modifying:</w:t>
      </w:r>
    </w:p>
    <w:p w:rsidR="00535C84" w:rsidRPr="00DF38B2" w:rsidRDefault="00535C84" w:rsidP="006654AE">
      <w:pPr>
        <w:ind w:left="720"/>
      </w:pPr>
      <w:r w:rsidRPr="00FE502F">
        <w:t>Regardless of whether or not someone is on an income support payment, they should be assessed properly to ascertain whether or not they will actually benefit from bein</w:t>
      </w:r>
      <w:r w:rsidRPr="009655C3">
        <w:t>g on income management. Some people who are on income management are capable of managing their money and do so quite well. A more holistic approach, finding out whether or not there is substance abuse or care of children issues, this should be identified a</w:t>
      </w:r>
      <w:r w:rsidRPr="00DF38B2">
        <w:t>nd then the person placed on income management. If the person does not have issues it</w:t>
      </w:r>
      <w:r w:rsidR="00717A03">
        <w:t>’</w:t>
      </w:r>
      <w:r w:rsidRPr="00DF38B2">
        <w:t>s a waste of government money as well as the person on income management is really inconvenienced. (CIM-LTW</w:t>
      </w:r>
      <w:r w:rsidR="00C23964">
        <w:t>PR</w:t>
      </w:r>
      <w:r w:rsidRPr="00DF38B2">
        <w:t>, Indigenous female living in urban area, interview)</w:t>
      </w:r>
    </w:p>
    <w:p w:rsidR="00535C84" w:rsidRPr="00DF38B2" w:rsidRDefault="00535C84" w:rsidP="006654AE">
      <w:r w:rsidRPr="00DF38B2">
        <w:t>A number of people who participated in the survey, predominantly people who were either exempt or had exited income management, shared this perspective:</w:t>
      </w:r>
    </w:p>
    <w:p w:rsidR="00535C84" w:rsidRPr="00DF38B2" w:rsidRDefault="00535C84" w:rsidP="006654AE">
      <w:pPr>
        <w:ind w:left="720"/>
      </w:pPr>
      <w:r w:rsidRPr="00DF38B2">
        <w:t>They should take more of a close look at people’s circumstances and then make a judgement on it. (CIM-LTW</w:t>
      </w:r>
      <w:r w:rsidR="00C23964">
        <w:t>PR</w:t>
      </w:r>
      <w:r w:rsidRPr="00DF38B2">
        <w:t>, non-Indigenous male living in an urban area, survey response)</w:t>
      </w:r>
    </w:p>
    <w:p w:rsidR="00535C84" w:rsidRPr="00DF38B2" w:rsidRDefault="00535C84" w:rsidP="006654AE">
      <w:pPr>
        <w:ind w:left="720"/>
      </w:pPr>
      <w:r w:rsidRPr="00DF38B2">
        <w:t>There are a small minority who will benefit but it should not be a blanket solution. (Exited, non-Indigenous female living in urban area, survey response)</w:t>
      </w:r>
    </w:p>
    <w:p w:rsidR="00535C84" w:rsidRPr="00DF38B2" w:rsidRDefault="00535C84" w:rsidP="006654AE">
      <w:pPr>
        <w:ind w:left="720"/>
      </w:pPr>
      <w:r w:rsidRPr="00DF38B2">
        <w:t>Don’t put people in the same basket. Do a bit more investigating on how people spend their money. (Exited, non-Indigenous male living in urban area, survey response)</w:t>
      </w:r>
    </w:p>
    <w:p w:rsidR="00535C84" w:rsidRPr="00DF38B2" w:rsidRDefault="00535C84" w:rsidP="006654AE">
      <w:pPr>
        <w:ind w:left="720"/>
      </w:pPr>
      <w:r w:rsidRPr="00DF38B2">
        <w:t>They are tarnishing everyone with the same brush. I welcome Centrelink to come into my home and see my lifestyle. I don’t drink, smoke or gamble. Audit me. I’m happy for them to come. (Exempt, non-Indigenous female living in urban area, survey response)</w:t>
      </w:r>
    </w:p>
    <w:p w:rsidR="00535C84" w:rsidRPr="00DF38B2" w:rsidRDefault="00535C84" w:rsidP="006654AE">
      <w:pPr>
        <w:ind w:left="720"/>
      </w:pPr>
      <w:r w:rsidRPr="00DF38B2">
        <w:t xml:space="preserve">If there’s someone who has </w:t>
      </w:r>
      <w:r w:rsidR="00D1211F">
        <w:t xml:space="preserve">a </w:t>
      </w:r>
      <w:r w:rsidRPr="00DF38B2">
        <w:t>problem with drink I would tell them to go on it to get help</w:t>
      </w:r>
      <w:r w:rsidR="007A1D43">
        <w:t>;</w:t>
      </w:r>
      <w:r w:rsidRPr="00DF38B2">
        <w:t xml:space="preserve"> but if not, then not. In my view everyone should be on the same level. If you can’t support your kids by buying food, drinking, gambling too much and taking drugs then yes, put them on income management</w:t>
      </w:r>
      <w:r w:rsidR="007A1D43">
        <w:t>; b</w:t>
      </w:r>
      <w:r w:rsidRPr="00DF38B2">
        <w:t>ut if you support your family the right way then no. (Exited, non-Indigenous male living in urban area, survey response)</w:t>
      </w:r>
    </w:p>
    <w:p w:rsidR="00535C84" w:rsidRPr="00DF38B2" w:rsidRDefault="00535C84" w:rsidP="006654AE">
      <w:r w:rsidRPr="00DF38B2">
        <w:lastRenderedPageBreak/>
        <w:t xml:space="preserve">A small number of people also commented, in either the survey or </w:t>
      </w:r>
      <w:r w:rsidR="007A1D43">
        <w:t xml:space="preserve">the </w:t>
      </w:r>
      <w:r w:rsidRPr="00DF38B2">
        <w:t>interview, on what they perceived as inherent value judgements behind the introduction of income management by the Federal Government. This included some participants seeing income management as a measure targeted at Indigenous people:</w:t>
      </w:r>
    </w:p>
    <w:p w:rsidR="00535C84" w:rsidRPr="00DF38B2" w:rsidRDefault="00535C84" w:rsidP="006654AE">
      <w:pPr>
        <w:ind w:left="720"/>
      </w:pPr>
      <w:r w:rsidRPr="00DF38B2">
        <w:t xml:space="preserve">I believe the BasicsCard and income management is racist and very discriminatory </w:t>
      </w:r>
      <w:r w:rsidR="007A1D43">
        <w:t>…</w:t>
      </w:r>
      <w:r w:rsidR="007A1D43" w:rsidRPr="00DF38B2">
        <w:t xml:space="preserve"> </w:t>
      </w:r>
      <w:r w:rsidRPr="00DF38B2">
        <w:t>if one person is on income management then everyone should be on it. All kinds, not just black mob cause they think we can’t manage our money, not just a few States, the whole of Australia. (CIM-LTW</w:t>
      </w:r>
      <w:r w:rsidR="00C23964">
        <w:t>PR</w:t>
      </w:r>
      <w:r w:rsidRPr="00DF38B2">
        <w:t>, Indigenous male, survey response)</w:t>
      </w:r>
    </w:p>
    <w:p w:rsidR="00535C84" w:rsidRPr="00DF38B2" w:rsidRDefault="00535C84" w:rsidP="006654AE">
      <w:pPr>
        <w:ind w:left="720"/>
      </w:pPr>
      <w:r w:rsidRPr="00DF38B2">
        <w:t>Being income managed has changed their lifestyle which is good for some people but the Government shouldn’t paint us all with the one brush. Because most of us have different lifestyles and we are not all the same. (Exited, Indigenous female living in an urban area, survey response)</w:t>
      </w:r>
    </w:p>
    <w:p w:rsidR="00535C84" w:rsidRPr="00DF38B2" w:rsidRDefault="00535C84" w:rsidP="006654AE">
      <w:pPr>
        <w:ind w:left="720"/>
      </w:pPr>
      <w:r w:rsidRPr="00DF38B2">
        <w:t>I asked why I got put on a black fella card and I was told that I chose to go on it. That’s not true. (CIM-LTW</w:t>
      </w:r>
      <w:r w:rsidR="00C23964">
        <w:t>PR</w:t>
      </w:r>
      <w:r w:rsidRPr="00DF38B2">
        <w:t>, non-Indigenous male living in urban area, interview)</w:t>
      </w:r>
    </w:p>
    <w:p w:rsidR="00535C84" w:rsidRPr="00DF38B2" w:rsidRDefault="00535C84" w:rsidP="006654AE">
      <w:r w:rsidRPr="00DF38B2">
        <w:t>There was also a sense that income management was about imposing a way of living that was not necessarily relevant to the people who are subject to it. As people noted:</w:t>
      </w:r>
    </w:p>
    <w:p w:rsidR="00535C84" w:rsidRPr="00DF38B2" w:rsidRDefault="00535C84" w:rsidP="006654AE">
      <w:pPr>
        <w:ind w:left="720"/>
      </w:pPr>
      <w:r w:rsidRPr="00DF38B2">
        <w:t>Their way of thinking [Government], they think it’s a good thing to do. But it’s their way of thinking. (CPIM, Indigenous male living in urban area, interview)</w:t>
      </w:r>
    </w:p>
    <w:p w:rsidR="00535C84" w:rsidRPr="00DF38B2" w:rsidRDefault="00535C84" w:rsidP="006654AE">
      <w:pPr>
        <w:ind w:left="720"/>
      </w:pPr>
      <w:r w:rsidRPr="00DF38B2">
        <w:t>Income management is being forced on to people. Feels that this has created more of an issue where people can</w:t>
      </w:r>
      <w:r w:rsidR="007A1D43">
        <w:t>’</w:t>
      </w:r>
      <w:r w:rsidRPr="00DF38B2">
        <w:t>t give money as a family obligation and this means there is more stress in the community and can result in crime, unhappiness, and less safety. There is no understanding from the Government behind why people do things, it is just about making them stop a behaviour, for example, drinking. (Exempt, non-Indigenous female living in urban area, survey response)</w:t>
      </w:r>
    </w:p>
    <w:p w:rsidR="00535C84" w:rsidRPr="00DF38B2" w:rsidRDefault="00535C84" w:rsidP="006654AE">
      <w:r w:rsidRPr="00DF38B2">
        <w:t>This theme was also supported in interviews with intermediaries that included legal services, child protection and Centrelink staff who noted that income management did not take into account the ways that many Indigenous families in remote areas lived and shared their money</w:t>
      </w:r>
      <w:r w:rsidR="00A1421A">
        <w:t xml:space="preserve">. </w:t>
      </w:r>
    </w:p>
    <w:p w:rsidR="00535C84" w:rsidRPr="00DF38B2" w:rsidRDefault="00535C84" w:rsidP="006654AE">
      <w:pPr>
        <w:pStyle w:val="Heading3"/>
      </w:pPr>
      <w:bookmarkStart w:id="473" w:name="_Toc403739081"/>
      <w:r w:rsidRPr="00DF38B2">
        <w:t xml:space="preserve">Money management </w:t>
      </w:r>
      <w:r w:rsidR="00FA48C3">
        <w:t>and financial counselling</w:t>
      </w:r>
      <w:bookmarkEnd w:id="473"/>
      <w:r w:rsidR="00FA48C3">
        <w:t xml:space="preserve"> </w:t>
      </w:r>
    </w:p>
    <w:p w:rsidR="00535C84" w:rsidRPr="00DF38B2" w:rsidRDefault="00535C84" w:rsidP="006654AE">
      <w:r w:rsidRPr="00DF38B2">
        <w:t>There were mixed views as to the perceived benefits of income management in terms of providing assistance with money management and budgeting to meet essential household needs and expenses. Just over a quarter of people interviewed, who were either on a compulsory income management measure (</w:t>
      </w:r>
      <w:r w:rsidR="00C23964">
        <w:t>Compulsory Income Management, Vulnerable Income Management and Child Protection Income Management</w:t>
      </w:r>
      <w:r w:rsidRPr="00DF38B2">
        <w:t xml:space="preserve">) or who were exempt or had exited income management, spoke about the negative impact of income management on meeting essential household needs and expenses. People in this group were from a variety of different age groups, predominantly lived in urban areas, and were largely, although not solely, non-Indigenous. No one in this group spoke of having substance abuse issues at the time of commencing income management. </w:t>
      </w:r>
    </w:p>
    <w:p w:rsidR="00535C84" w:rsidRPr="00DF38B2" w:rsidRDefault="00535C84" w:rsidP="006654AE">
      <w:r w:rsidRPr="00DF38B2">
        <w:t>This group described difficulty managing given the reduced amount of non-allocated funds available when on income management. This had implications for people in having sufficient funds available to cover rent, bills and other payments, when payments could not be made directly through the income management system. Over half of th</w:t>
      </w:r>
      <w:r w:rsidR="00FA48C3">
        <w:t>is sub-</w:t>
      </w:r>
      <w:r w:rsidRPr="00DF38B2">
        <w:t xml:space="preserve">group spoke of experiencing an increase in financial hardship resulting from these restrictions. Issues raised related to the high cost of living in urban areas in the Northern Territory, particularly difficulties faced in covering the cost of private rental when not all landlords are able or willing to accept </w:t>
      </w:r>
      <w:r w:rsidR="00A04470">
        <w:t>income managed</w:t>
      </w:r>
      <w:r w:rsidRPr="00DF38B2">
        <w:t xml:space="preserve"> funds.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I find it’s made things more complicated </w:t>
      </w:r>
      <w:r w:rsidR="007A1D43">
        <w:t>…</w:t>
      </w:r>
      <w:r w:rsidR="007A1D43" w:rsidRPr="00DF38B2">
        <w:t xml:space="preserve"> </w:t>
      </w:r>
      <w:r w:rsidRPr="00DF38B2">
        <w:t>I still have to look after our bills and household costs. The price of living here is high; money is spent and budgeted as tightly as possible. We were better off before income management. We managed it ourselves and could work things out a lot easier. (CIM-LTW</w:t>
      </w:r>
      <w:r w:rsidR="00C23964">
        <w:t>PR</w:t>
      </w:r>
      <w:r w:rsidRPr="00DF38B2">
        <w:t>, non-Indigenous female living in urban area, interview)</w:t>
      </w:r>
    </w:p>
    <w:p w:rsidR="00535C84" w:rsidRPr="00DF38B2" w:rsidRDefault="00535C84" w:rsidP="006654AE">
      <w:pPr>
        <w:ind w:left="720"/>
      </w:pPr>
      <w:r w:rsidRPr="00DF38B2">
        <w:t>I pay $500</w:t>
      </w:r>
      <w:r w:rsidR="00212938" w:rsidRPr="00DF38B2">
        <w:t xml:space="preserve"> a </w:t>
      </w:r>
      <w:r w:rsidRPr="00DF38B2">
        <w:t xml:space="preserve">week in rent here, and I pay that straight to my landlord. I have to share with my ex-partner. It’s the only way I can keep up with the bills. But rent is so expensive. There are a lot of </w:t>
      </w:r>
      <w:r w:rsidRPr="00DF38B2">
        <w:lastRenderedPageBreak/>
        <w:t>people who can handle their money that shouldn’t be on it.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Money management doesn’t exist because there’s not enough cash to manage. I have to pay $80</w:t>
      </w:r>
      <w:r w:rsidR="00212938" w:rsidRPr="00DF38B2">
        <w:t xml:space="preserve"> per </w:t>
      </w:r>
      <w:r w:rsidRPr="00DF38B2">
        <w:t>week in rent which means there’s no money left to manage. (CIM-LTW</w:t>
      </w:r>
      <w:r w:rsidR="00C23964">
        <w:t>PR</w:t>
      </w:r>
      <w:r w:rsidRPr="00DF38B2">
        <w:t>, non-Indigenous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sidRPr="00DF38B2">
        <w:t>A couple of people who spoke about these issues suggested that a change to the percentage of money quarantined to the BasicsCard could make the issue more manageable:</w:t>
      </w:r>
    </w:p>
    <w:p w:rsidR="00535C84" w:rsidRPr="00DF38B2" w:rsidRDefault="00535C84" w:rsidP="006654AE">
      <w:pPr>
        <w:ind w:left="720"/>
      </w:pPr>
      <w:r w:rsidRPr="00DF38B2">
        <w:t xml:space="preserve">Family support can cause problems </w:t>
      </w:r>
      <w:r w:rsidR="006E6E03">
        <w:t>….</w:t>
      </w:r>
      <w:r w:rsidR="006E6E03" w:rsidRPr="00DF38B2">
        <w:t xml:space="preserve"> </w:t>
      </w:r>
      <w:r w:rsidRPr="00DF38B2">
        <w:t>It takes all the cash. We get less than what we owe. I only get $170 and rest is BasicsCard. If they could balance it out better it wouldn’t be so bad. (CPIM, non-Indigenous male living in urban area, interview)</w:t>
      </w:r>
    </w:p>
    <w:p w:rsidR="00535C84" w:rsidRPr="00DF38B2" w:rsidRDefault="00535C84" w:rsidP="006654AE">
      <w:pPr>
        <w:ind w:left="720"/>
      </w:pPr>
      <w:r w:rsidRPr="00DF38B2">
        <w:t xml:space="preserve">My rent is $30 more than the Centrelink payment so I need to do casual work. </w:t>
      </w:r>
      <w:proofErr w:type="gramStart"/>
      <w:r w:rsidRPr="00DF38B2">
        <w:t>This screws</w:t>
      </w:r>
      <w:proofErr w:type="gramEnd"/>
      <w:r w:rsidRPr="00DF38B2">
        <w:t xml:space="preserve"> up payments depending on how much work I get. I’ve been looking for full</w:t>
      </w:r>
      <w:r w:rsidR="006E6E03">
        <w:t>-</w:t>
      </w:r>
      <w:r w:rsidRPr="00DF38B2">
        <w:t xml:space="preserve">time work but no success as yet </w:t>
      </w:r>
      <w:r w:rsidR="006E6E03">
        <w:t>….</w:t>
      </w:r>
      <w:r w:rsidR="006E6E03" w:rsidRPr="00DF38B2">
        <w:t xml:space="preserve"> </w:t>
      </w:r>
      <w:r w:rsidRPr="00DF38B2">
        <w:t xml:space="preserve">I help people to grow food gardens. </w:t>
      </w:r>
      <w:proofErr w:type="gramStart"/>
      <w:r w:rsidRPr="00DF38B2">
        <w:t>Friends and that.</w:t>
      </w:r>
      <w:proofErr w:type="gramEnd"/>
      <w:r w:rsidRPr="00DF38B2">
        <w:t xml:space="preserve"> So my need for $270 in the BasicsCard isn’t required </w:t>
      </w:r>
      <w:r w:rsidR="006E6E03">
        <w:t>…</w:t>
      </w:r>
      <w:r w:rsidR="006E6E03" w:rsidRPr="00DF38B2">
        <w:t xml:space="preserve"> </w:t>
      </w:r>
      <w:r w:rsidRPr="00DF38B2">
        <w:t>all I need is $80 on my BasicsCard. It becomes an embarrassment. (Exited,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sidRPr="00DF38B2">
        <w:t>Increased financial hardship was often accompanied by an increase in emotional distress, with half the group reporting that income management direct</w:t>
      </w:r>
      <w:r w:rsidR="006E6E03">
        <w:t>ly</w:t>
      </w:r>
      <w:r w:rsidRPr="00DF38B2">
        <w:t xml:space="preserve"> impacted on their emotional wellbeing. As people explained: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It makes life a lot harder actually. I was already suffering from depression and that just made it worse. (</w:t>
      </w:r>
      <w:r w:rsidR="00C23964" w:rsidRPr="00DF38B2">
        <w:t>V</w:t>
      </w:r>
      <w:r w:rsidR="00C23964">
        <w:t>ulnerable</w:t>
      </w:r>
      <w:r w:rsidRPr="00DF38B2">
        <w:t>, 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Cash goes on rent so you have to live off your BasicsCard. You can’t go and do little things because you can’t use the BasicsCard. Your future’s gone. Hate to be a young person on it. (CIM-LTW</w:t>
      </w:r>
      <w:r w:rsidR="00C23964">
        <w:t>PR</w:t>
      </w:r>
      <w:r w:rsidRPr="00DF38B2">
        <w:t>, non-Indigenous male living in urban area, interview)</w:t>
      </w:r>
    </w:p>
    <w:p w:rsidR="00535C84" w:rsidRPr="00DF38B2" w:rsidRDefault="00535C84" w:rsidP="006654AE">
      <w:r w:rsidRPr="00DF38B2">
        <w:t xml:space="preserve">The majority of people in this group </w:t>
      </w:r>
      <w:r w:rsidR="00212938" w:rsidRPr="00DF38B2">
        <w:t xml:space="preserve">considered there may be </w:t>
      </w:r>
      <w:r w:rsidRPr="00DF38B2">
        <w:t>potential benefits of income management for people who may experience difficulty managing money</w:t>
      </w:r>
      <w:r w:rsidR="006E6E03">
        <w:t>,</w:t>
      </w:r>
      <w:r w:rsidRPr="00DF38B2">
        <w:t xml:space="preserve"> but felt they themselves had sound money management skills. Given this, being placed on income management was seen as unnecessary and often a hindrance to successful financial management.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 want to feel that I’m in control again</w:t>
      </w:r>
      <w:r w:rsidR="00A1421A">
        <w:t xml:space="preserve">. </w:t>
      </w:r>
      <w:r w:rsidRPr="00DF38B2">
        <w:t>I can decide how and what I spend my money on</w:t>
      </w:r>
      <w:r w:rsidR="00A1421A">
        <w:t xml:space="preserve">. </w:t>
      </w:r>
      <w:r w:rsidRPr="00DF38B2">
        <w:t>It’s not like I drink or take drugs</w:t>
      </w:r>
      <w:r w:rsidR="00A1421A">
        <w:t xml:space="preserve">. </w:t>
      </w:r>
      <w:r w:rsidRPr="00DF38B2">
        <w:t>I’ve been looking after myself and my family for a long time now and I’m pretty sure I can do that still</w:t>
      </w:r>
      <w:r w:rsidR="00A1421A">
        <w:t xml:space="preserve">. </w:t>
      </w:r>
      <w:r w:rsidRPr="00DF38B2">
        <w:t>I’m not that far gone</w:t>
      </w:r>
      <w:r w:rsidR="00A1421A">
        <w:t xml:space="preserve">. </w:t>
      </w:r>
      <w:r w:rsidRPr="00DF38B2">
        <w:t xml:space="preserve">I’m getting on and I’ve been unwell, but I can still look after my family right </w:t>
      </w:r>
      <w:r w:rsidR="006E6E03">
        <w:t>….</w:t>
      </w:r>
      <w:r w:rsidR="006E6E03" w:rsidRPr="00DF38B2">
        <w:t xml:space="preserve"> </w:t>
      </w:r>
      <w:r w:rsidRPr="00DF38B2">
        <w:t>It’s like taking over your finances</w:t>
      </w:r>
      <w:r w:rsidR="00A1421A">
        <w:t xml:space="preserve">. </w:t>
      </w:r>
      <w:r w:rsidRPr="00DF38B2">
        <w:t>It’s not fair on people that don’t need it. (CIM-LTW</w:t>
      </w:r>
      <w:r w:rsidR="00C23964">
        <w:t>PR</w:t>
      </w:r>
      <w:r w:rsidRPr="00DF38B2">
        <w: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 know how to handle my money. I have a degree in business management and I’m a qualified hairdresser who has managed salons. I know what I need to do and I was doing fine before the incident. I had some problems after that but I don’t understand why I have to have my money managed and I don’t know why I can’t get off it. (</w:t>
      </w:r>
      <w:r w:rsidR="00C23964" w:rsidRPr="00DF38B2">
        <w:t>V</w:t>
      </w:r>
      <w:r w:rsidR="00C23964">
        <w:t>ulnerable</w:t>
      </w:r>
      <w:r w:rsidRPr="00DF38B2">
        <w:t>, 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I’m very good at saving money</w:t>
      </w:r>
      <w:r w:rsidR="00A1421A">
        <w:t xml:space="preserve">. </w:t>
      </w:r>
      <w:r w:rsidRPr="00DF38B2">
        <w:t xml:space="preserve">In fact before I was on income management I was actually able to save money, but now that I am on income management I have </w:t>
      </w:r>
      <w:proofErr w:type="gramStart"/>
      <w:r w:rsidRPr="00DF38B2">
        <w:t>a really</w:t>
      </w:r>
      <w:proofErr w:type="gramEnd"/>
      <w:r w:rsidRPr="00DF38B2">
        <w:t xml:space="preserve"> hard time saving money. (CIM-DEY, non-Indigenous female living in urban area, interview)</w:t>
      </w:r>
    </w:p>
    <w:p w:rsidR="00535C84" w:rsidRPr="00DF38B2" w:rsidRDefault="00535C84" w:rsidP="006654AE">
      <w:r w:rsidRPr="00DF38B2">
        <w:t xml:space="preserve">On the other hand, almost half of the people interviewed, predominantly those on the Vulnerable and Voluntary measures, spoke of income management </w:t>
      </w:r>
      <w:r w:rsidR="00212938" w:rsidRPr="00DF38B2">
        <w:t xml:space="preserve">having a positive effect </w:t>
      </w:r>
      <w:r w:rsidRPr="00DF38B2">
        <w:t>in enabling them to meet essential household needs and expenses. People in this group commonly lived in public housing, mostly in town camps/communities or remote areas</w:t>
      </w:r>
      <w:r w:rsidR="00A1421A">
        <w:t xml:space="preserve">. </w:t>
      </w:r>
      <w:r w:rsidRPr="00DF38B2">
        <w:t>They described income management as beneficial for ensuring bills and rent were paid, and money was available for food.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lastRenderedPageBreak/>
        <w:t>Makes you handle and manage money more carefully</w:t>
      </w:r>
      <w:r w:rsidR="00A1421A">
        <w:t xml:space="preserve">. </w:t>
      </w:r>
      <w:r w:rsidRPr="00DF38B2">
        <w:t>You watch what you buy</w:t>
      </w:r>
      <w:r w:rsidR="00A1421A">
        <w:t xml:space="preserve">. </w:t>
      </w:r>
      <w:proofErr w:type="gramStart"/>
      <w:r w:rsidRPr="00DF38B2">
        <w:t>Stuff for the house</w:t>
      </w:r>
      <w:r w:rsidR="00A1421A">
        <w:t>.</w:t>
      </w:r>
      <w:proofErr w:type="gramEnd"/>
      <w:r w:rsidR="00A1421A">
        <w:t xml:space="preserve"> </w:t>
      </w:r>
      <w:r w:rsidRPr="00DF38B2">
        <w:t>Bills are always paid and food always. (</w:t>
      </w:r>
      <w:r w:rsidR="00C23964" w:rsidRPr="00DF38B2">
        <w:t>V</w:t>
      </w:r>
      <w:r w:rsidR="00C23964">
        <w:t>oluntary</w:t>
      </w:r>
      <w:r w:rsidRPr="00DF38B2">
        <w:t>, Indigenous male living in urban area, interview)</w:t>
      </w:r>
    </w:p>
    <w:p w:rsidR="00535C84" w:rsidRPr="00DF38B2" w:rsidRDefault="00535C84" w:rsidP="006654AE">
      <w:pPr>
        <w:ind w:left="720"/>
      </w:pPr>
      <w:r w:rsidRPr="00DF38B2">
        <w:t>Income management is good when you’re paying bills. Without the BasicsCard we’d be stuck. I know they say about going back to normal ways, but once they do that all the money goes to grog. (Exited,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stay on it more for the convenience</w:t>
      </w:r>
      <w:r w:rsidR="00A1421A">
        <w:t xml:space="preserve">. </w:t>
      </w:r>
      <w:r w:rsidRPr="00DF38B2">
        <w:t xml:space="preserve">Someone else pays my bills and it’s easier to budget at the end of the day </w:t>
      </w:r>
      <w:r w:rsidR="006E6E03">
        <w:t>….</w:t>
      </w:r>
      <w:r w:rsidR="006E6E03" w:rsidRPr="00DF38B2">
        <w:t xml:space="preserve"> </w:t>
      </w:r>
      <w:r w:rsidRPr="00DF38B2">
        <w:t>It’s a bit like a bill</w:t>
      </w:r>
      <w:r w:rsidR="006E6E03">
        <w:t>-</w:t>
      </w:r>
      <w:r w:rsidRPr="00DF38B2">
        <w:t>paying account</w:t>
      </w:r>
      <w:r w:rsidR="00A1421A">
        <w:t xml:space="preserve">. </w:t>
      </w:r>
      <w:r w:rsidRPr="00DF38B2">
        <w:t>You don’t have to worry about bills getting paid on time. (</w:t>
      </w:r>
      <w:r w:rsidR="00A8053C" w:rsidRPr="00DF38B2">
        <w:t>V</w:t>
      </w:r>
      <w:r w:rsidR="00A8053C">
        <w:t xml:space="preserve">oluntary, </w:t>
      </w:r>
      <w:r w:rsidR="00A8053C" w:rsidRPr="00DF38B2">
        <w:t>non</w:t>
      </w:r>
      <w:r w:rsidRPr="00DF38B2">
        <w:t>-Indigenous female living in urban area, interview)</w:t>
      </w:r>
    </w:p>
    <w:p w:rsidR="00535C84" w:rsidRPr="00DF38B2" w:rsidRDefault="00535C84" w:rsidP="006654AE">
      <w:pPr>
        <w:ind w:left="720"/>
      </w:pPr>
      <w:r w:rsidRPr="00DF38B2">
        <w:t xml:space="preserve">I think it has made a positive difference to how I spend my money. I never used to be very good with that, I like that it gets done for me really. I don’t have to worry about it. Now all my bills get paid and I’ve got money for food and there is more in the groceries, so it been </w:t>
      </w:r>
      <w:proofErr w:type="gramStart"/>
      <w:r w:rsidRPr="00DF38B2">
        <w:t>good</w:t>
      </w:r>
      <w:proofErr w:type="gramEnd"/>
      <w:r w:rsidRPr="00DF38B2">
        <w:t xml:space="preserve"> like that. (CIM-LTW</w:t>
      </w:r>
      <w:r w:rsidR="00C23964">
        <w:t>PR</w:t>
      </w:r>
      <w:r w:rsidRPr="00DF38B2">
        <w:t>, non-Indigenous female living in urban area, interview)</w:t>
      </w:r>
    </w:p>
    <w:p w:rsidR="00535C84" w:rsidRPr="00DF38B2" w:rsidRDefault="00535C84" w:rsidP="006654AE">
      <w:pPr>
        <w:spacing w:after="0"/>
      </w:pPr>
      <w:r w:rsidRPr="00DF38B2">
        <w:t xml:space="preserve">People in this group tended to report that they experienced difficulty managing their finances prior to commencing on income management, with just over half the group reporting that a significant amount of money would previously have been spent on alcohol, cannabis (referred to as </w:t>
      </w:r>
      <w:r w:rsidR="006E6E03">
        <w:t>‘</w:t>
      </w:r>
      <w:proofErr w:type="spellStart"/>
      <w:r w:rsidRPr="00DF38B2">
        <w:t>gunja</w:t>
      </w:r>
      <w:proofErr w:type="spellEnd"/>
      <w:r w:rsidR="006E6E03">
        <w:t>’</w:t>
      </w:r>
      <w:r w:rsidRPr="00DF38B2">
        <w:t>) or gambling. A significant advantage identified in terms of financial management was the assistance provided by income management to alter previous spending patterns. Most in this group, as well as a number of survey participants, spoke about income management assisting them to save money and ensure that funds were available for food and essential items across the length of the pay period</w:t>
      </w:r>
      <w:r w:rsidR="00A1421A">
        <w:t xml:space="preserve">. </w:t>
      </w:r>
      <w:r w:rsidRPr="00DF38B2">
        <w:t>As people explained:</w:t>
      </w:r>
    </w:p>
    <w:p w:rsidR="00535C84" w:rsidRPr="00DF38B2" w:rsidRDefault="00535C84" w:rsidP="006654AE">
      <w:pPr>
        <w:spacing w:after="0"/>
      </w:pP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Helps me manage my money</w:t>
      </w:r>
      <w:r w:rsidR="006E6E03">
        <w:t>;</w:t>
      </w:r>
      <w:r w:rsidR="00A1421A">
        <w:t xml:space="preserve"> </w:t>
      </w:r>
      <w:r w:rsidRPr="00DF38B2">
        <w:t>It just made it easier to manage my money</w:t>
      </w:r>
      <w:r w:rsidR="00A1421A">
        <w:t xml:space="preserve">. </w:t>
      </w:r>
      <w:r w:rsidRPr="00DF38B2">
        <w:t xml:space="preserve">Half on </w:t>
      </w:r>
      <w:proofErr w:type="spellStart"/>
      <w:r w:rsidRPr="00DF38B2">
        <w:t>keycard</w:t>
      </w:r>
      <w:proofErr w:type="spellEnd"/>
      <w:r w:rsidRPr="00DF38B2">
        <w:t xml:space="preserve"> and half on BasicsCard</w:t>
      </w:r>
      <w:r w:rsidR="006E6E03">
        <w:t>,</w:t>
      </w:r>
      <w:r w:rsidRPr="00DF38B2">
        <w:t xml:space="preserve"> it just made it easier for me</w:t>
      </w:r>
      <w:r w:rsidR="00A1421A">
        <w:t xml:space="preserve">. </w:t>
      </w:r>
      <w:r w:rsidRPr="00DF38B2">
        <w:t>Before when income management started, I used to spend all my money in a couple days or one week</w:t>
      </w:r>
      <w:r w:rsidR="00A1421A">
        <w:t xml:space="preserve">. </w:t>
      </w:r>
      <w:r w:rsidRPr="00DF38B2">
        <w:t>But now it’s better. (</w:t>
      </w:r>
      <w:r w:rsidR="00C23964" w:rsidRPr="00DF38B2">
        <w:t>V</w:t>
      </w:r>
      <w:r w:rsidR="00C23964">
        <w:t>oluntary</w:t>
      </w:r>
      <w:r w:rsidRPr="00DF38B2">
        <w:t>,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wanted to go on because when we get cash we spend it really quick and then have to wait until next payday to see some cash. By that time we run out of food and go hungry. I wanted to go on income management because I was struggling.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 xml:space="preserve">Not overspending my money. I used to always spend </w:t>
      </w:r>
      <w:proofErr w:type="spellStart"/>
      <w:r w:rsidRPr="00DF38B2">
        <w:t>spend</w:t>
      </w:r>
      <w:proofErr w:type="spellEnd"/>
      <w:r w:rsidRPr="00DF38B2">
        <w:t xml:space="preserve"> but now I have a limit to what I spend my money on. (</w:t>
      </w:r>
      <w:proofErr w:type="gramStart"/>
      <w:r w:rsidRPr="00DF38B2">
        <w:t>exempt</w:t>
      </w:r>
      <w:proofErr w:type="gramEnd"/>
      <w:r w:rsidRPr="00DF38B2">
        <w:t>, non-Indigenous female living in urban area, survey response)</w:t>
      </w:r>
    </w:p>
    <w:p w:rsidR="00535C84" w:rsidRPr="00DF38B2" w:rsidRDefault="00535C84" w:rsidP="006654AE">
      <w:pPr>
        <w:ind w:left="720"/>
      </w:pPr>
      <w:r w:rsidRPr="00DF38B2">
        <w:t>I used to be real frivolous with my money but now I think about tomorrow and not just today, it</w:t>
      </w:r>
      <w:r w:rsidR="006E6E03">
        <w:t>’</w:t>
      </w:r>
      <w:r w:rsidRPr="00DF38B2">
        <w:t>s helped me understand the value of money. (</w:t>
      </w:r>
      <w:r w:rsidR="00C23964" w:rsidRPr="00DF38B2">
        <w:t>V</w:t>
      </w:r>
      <w:r w:rsidR="00C23964">
        <w:t>ulnerable</w:t>
      </w:r>
      <w:r w:rsidRPr="00DF38B2">
        <w:t>, Indigenous female living in urban area, survey response)</w:t>
      </w:r>
    </w:p>
    <w:p w:rsidR="00535C84" w:rsidRPr="00DF38B2" w:rsidRDefault="00535C84" w:rsidP="006654AE">
      <w:r w:rsidRPr="00DF38B2">
        <w:t>However, there were mixed views expressed as to whether income management provided assistance in enhancing money management or budgeting skills</w:t>
      </w:r>
      <w:r w:rsidR="00A1421A">
        <w:t xml:space="preserve">. </w:t>
      </w:r>
      <w:r w:rsidRPr="00DF38B2">
        <w:t>One person interviewed, who was exempt from income management, commented that income management does not sufficiently teach people to budget:</w:t>
      </w:r>
    </w:p>
    <w:p w:rsidR="00535C84" w:rsidRPr="00DF38B2" w:rsidRDefault="00535C84" w:rsidP="006654AE">
      <w:pPr>
        <w:ind w:left="720"/>
      </w:pPr>
      <w:proofErr w:type="gramStart"/>
      <w:r w:rsidRPr="00DF38B2">
        <w:t>Doesn’t actually teach them to really manage their budget appropriately.</w:t>
      </w:r>
      <w:proofErr w:type="gramEnd"/>
      <w:r w:rsidRPr="00DF38B2">
        <w:t xml:space="preserve"> For example, do you go to the servo and spend $70 on food but really only end up with about $20 worth of food? </w:t>
      </w:r>
      <w:r w:rsidR="00816C07">
        <w:t>….</w:t>
      </w:r>
      <w:r w:rsidR="00816C07" w:rsidRPr="00DF38B2">
        <w:t xml:space="preserve"> </w:t>
      </w:r>
      <w:r w:rsidRPr="00DF38B2">
        <w:t>Should teach people how to manage their money not manage it for them. (Exempt, non-Indigenous female living in urban area, interview)</w:t>
      </w:r>
    </w:p>
    <w:p w:rsidR="00535C84" w:rsidRPr="00DF38B2" w:rsidRDefault="00535C84" w:rsidP="006654AE">
      <w:r w:rsidRPr="00DF38B2">
        <w:t>This view was supported by a couple of respondents in the survey who described income management as a short</w:t>
      </w:r>
      <w:r w:rsidR="00816C07">
        <w:t>-</w:t>
      </w:r>
      <w:r w:rsidRPr="00DF38B2">
        <w:t>term strategy that did not necessar</w:t>
      </w:r>
      <w:r w:rsidR="00816C07">
        <w:t>il</w:t>
      </w:r>
      <w:r w:rsidRPr="00DF38B2">
        <w:t xml:space="preserve">y enhance the skills of those who required assistance: </w:t>
      </w:r>
    </w:p>
    <w:p w:rsidR="00535C84" w:rsidRPr="00DF38B2" w:rsidRDefault="00535C84" w:rsidP="006654AE">
      <w:pPr>
        <w:ind w:left="720"/>
      </w:pPr>
      <w:r w:rsidRPr="00DF38B2">
        <w:t>I can see the merits of it and how it can work for people especially out in communities, but there should be more choice in how much is quarantined and not just a blanket number</w:t>
      </w:r>
      <w:r w:rsidR="00816C07">
        <w:t xml:space="preserve"> ….</w:t>
      </w:r>
      <w:r w:rsidR="00816C07" w:rsidRPr="00DF38B2">
        <w:t xml:space="preserve"> </w:t>
      </w:r>
      <w:r w:rsidRPr="00DF38B2">
        <w:t>I feel that it</w:t>
      </w:r>
      <w:r w:rsidR="00816C07">
        <w:t>’</w:t>
      </w:r>
      <w:r w:rsidRPr="00DF38B2">
        <w:t>s just a Band-Aid fix and really more time spent on education of how to manage money is needed, more consultation with community and people actually on the ground experiencing it. (Exempt, non-Indigenous female living in urban area, survey response)</w:t>
      </w:r>
    </w:p>
    <w:p w:rsidR="00535C84" w:rsidRPr="00DF38B2" w:rsidRDefault="00535C84" w:rsidP="006654AE">
      <w:pPr>
        <w:ind w:left="720"/>
      </w:pPr>
      <w:r w:rsidRPr="00DF38B2">
        <w:lastRenderedPageBreak/>
        <w:t>I don</w:t>
      </w:r>
      <w:r w:rsidR="00816C07">
        <w:t>’</w:t>
      </w:r>
      <w:r w:rsidRPr="00DF38B2">
        <w:t>t think income management is actually teaching people to be self-sufficient and responsible it just controls it all for them, so people aren</w:t>
      </w:r>
      <w:r w:rsidR="00816C07">
        <w:t>’</w:t>
      </w:r>
      <w:r w:rsidRPr="00DF38B2">
        <w:t>t actually learning. (Exempt, non-Indigenous female living in urban area, survey response)</w:t>
      </w:r>
    </w:p>
    <w:p w:rsidR="00535C84" w:rsidRPr="00DF38B2" w:rsidRDefault="00535C84" w:rsidP="006654AE">
      <w:r w:rsidRPr="00DF38B2">
        <w:t>However other participants had the opposite view:</w:t>
      </w:r>
    </w:p>
    <w:p w:rsidR="00535C84" w:rsidRPr="00DF38B2" w:rsidRDefault="00535C84" w:rsidP="006654AE">
      <w:pPr>
        <w:ind w:left="720"/>
      </w:pPr>
      <w:r w:rsidRPr="00DF38B2">
        <w:t>BasicsCard has changed people</w:t>
      </w:r>
      <w:r w:rsidR="00816C07">
        <w:t>’</w:t>
      </w:r>
      <w:r w:rsidRPr="00DF38B2">
        <w:t xml:space="preserve">s way of spending their money and teaching them to spend it properly. </w:t>
      </w:r>
      <w:proofErr w:type="gramStart"/>
      <w:r w:rsidRPr="00DF38B2">
        <w:t>Teaching them to spend it on to buying more food, clothes and other stuff instead of wasting it on grog, drugs and gambling.</w:t>
      </w:r>
      <w:proofErr w:type="gramEnd"/>
      <w:r w:rsidRPr="00DF38B2">
        <w:t xml:space="preserve"> (CIM-LTW</w:t>
      </w:r>
      <w:r w:rsidR="00C23964">
        <w:t>PR</w:t>
      </w:r>
      <w:r w:rsidRPr="00DF38B2">
        <w:t>, Indigenous male living in urban area, interview)</w:t>
      </w:r>
    </w:p>
    <w:p w:rsidR="00535C84" w:rsidRPr="00DF38B2" w:rsidRDefault="00535C84" w:rsidP="006654AE">
      <w:pPr>
        <w:ind w:left="720"/>
      </w:pPr>
      <w:r w:rsidRPr="00DF38B2">
        <w:t>It</w:t>
      </w:r>
      <w:r w:rsidR="00816C07">
        <w:t>’</w:t>
      </w:r>
      <w:r w:rsidRPr="00DF38B2">
        <w:t>s a great idea to teach how to allocate your money better and to allocate your money for your bills. (Exited, non-Indigenous male living in urban area, survey response)</w:t>
      </w:r>
    </w:p>
    <w:p w:rsidR="00535C84" w:rsidRPr="00DF38B2" w:rsidRDefault="00535C84" w:rsidP="006654AE">
      <w:pPr>
        <w:ind w:left="720"/>
      </w:pPr>
      <w:r w:rsidRPr="00DF38B2">
        <w:t>It</w:t>
      </w:r>
      <w:r w:rsidR="00816C07">
        <w:t>’</w:t>
      </w:r>
      <w:r w:rsidRPr="00DF38B2">
        <w:t>s just taught me to be positive and not just chuck around my money. It taught me on how to budget my money. (Exited, Indigenous female living in urban area, survey response)</w:t>
      </w:r>
    </w:p>
    <w:p w:rsidR="00535C84" w:rsidRPr="00DF38B2" w:rsidRDefault="00535C84" w:rsidP="006654AE">
      <w:pPr>
        <w:pStyle w:val="Heading3"/>
      </w:pPr>
      <w:bookmarkStart w:id="474" w:name="_Toc403739082"/>
      <w:r w:rsidRPr="00DF38B2">
        <w:t>Restrictions resulting from income management</w:t>
      </w:r>
      <w:bookmarkEnd w:id="474"/>
    </w:p>
    <w:p w:rsidR="00535C84" w:rsidRPr="00DF38B2" w:rsidRDefault="00535C84" w:rsidP="006654AE">
      <w:r w:rsidRPr="00DF38B2">
        <w:t xml:space="preserve">Across all income management </w:t>
      </w:r>
      <w:proofErr w:type="gramStart"/>
      <w:r w:rsidRPr="00DF38B2">
        <w:t>types</w:t>
      </w:r>
      <w:proofErr w:type="gramEnd"/>
      <w:r w:rsidRPr="00DF38B2">
        <w:t xml:space="preserve"> people raised issues relating to the restrictions imposed through the use of the BasicsCard. People spoke about being forced to shop in large supermarket chains rather than alternative options such as food markets, health food shops or food cooperatives</w:t>
      </w:r>
      <w:r w:rsidR="00816C07">
        <w:t>:</w:t>
      </w:r>
    </w:p>
    <w:p w:rsidR="00535C84" w:rsidRPr="00E731B8" w:rsidRDefault="00535C84" w:rsidP="006654AE">
      <w:pPr>
        <w:ind w:left="720"/>
      </w:pPr>
      <w:r w:rsidRPr="00E731B8">
        <w:t xml:space="preserve">You can only go to certain area. Places that you can get what you need. It does force you to use </w:t>
      </w:r>
      <w:r w:rsidR="00FA48C3">
        <w:t>(person named major supermarket)</w:t>
      </w:r>
      <w:r w:rsidR="005D1CC5">
        <w:t xml:space="preserve"> </w:t>
      </w:r>
      <w:r w:rsidRPr="00E731B8">
        <w:t>(CIM-DEY, non-Indigenous male living in urban area)</w:t>
      </w:r>
    </w:p>
    <w:p w:rsidR="00535C84" w:rsidRPr="00DF38B2" w:rsidRDefault="00535C84" w:rsidP="006654AE">
      <w:pPr>
        <w:ind w:left="720"/>
      </w:pPr>
      <w:r w:rsidRPr="00E731B8">
        <w:t>Well [my local] shop. You can’t use it there anymore. They had the BasicsCard facility removed because they were selling grog and tobacco to the Aboriginals (CIM-DEY, non-Indigenous male living in urban area).</w:t>
      </w:r>
    </w:p>
    <w:p w:rsidR="00535C84" w:rsidRPr="00DF38B2" w:rsidRDefault="00535C84" w:rsidP="006654AE">
      <w:pPr>
        <w:ind w:left="720"/>
      </w:pPr>
      <w:r w:rsidRPr="00DF38B2">
        <w:t>Being income managed in the Northern Territory meant that I could only use my BasicsCard there and that was at limited places, I found it to be very hard to live my life</w:t>
      </w:r>
      <w:r w:rsidR="001E189B">
        <w:t>,</w:t>
      </w:r>
      <w:r w:rsidRPr="00DF38B2">
        <w:t xml:space="preserve"> i</w:t>
      </w:r>
      <w:r w:rsidR="001E189B">
        <w:t>.</w:t>
      </w:r>
      <w:r w:rsidRPr="00DF38B2">
        <w:t>e</w:t>
      </w:r>
      <w:r w:rsidR="001E189B">
        <w:t>.,</w:t>
      </w:r>
      <w:r w:rsidRPr="00DF38B2">
        <w:t xml:space="preserve"> get fuel at certain places and shop where I would normally</w:t>
      </w:r>
      <w:r w:rsidR="001E189B">
        <w:t xml:space="preserve"> </w:t>
      </w:r>
      <w:r w:rsidRPr="00DF38B2">
        <w:t>(I mainly use a health shop). I was put on income management not by choice and it is terrible for me (survey response, Indigenous female).</w:t>
      </w:r>
    </w:p>
    <w:p w:rsidR="00535C84" w:rsidRPr="00DF38B2" w:rsidRDefault="00535C84" w:rsidP="006654AE">
      <w:r w:rsidRPr="00DF38B2">
        <w:t>Not being able to use BasicsCard to pay utility bills</w:t>
      </w:r>
      <w:r w:rsidR="002B30B2">
        <w:t xml:space="preserve"> (until recently)</w:t>
      </w:r>
      <w:r w:rsidRPr="00DF38B2">
        <w:t>, credit bills or private property rental was a significant issue for some people</w:t>
      </w:r>
      <w:r w:rsidR="00FA48C3">
        <w:rPr>
          <w:rStyle w:val="FootnoteReference"/>
        </w:rPr>
        <w:footnoteReference w:id="126"/>
      </w:r>
      <w:r w:rsidRPr="00DF38B2">
        <w:t xml:space="preserve">: </w:t>
      </w:r>
    </w:p>
    <w:p w:rsidR="00535C84" w:rsidRPr="00DF38B2" w:rsidRDefault="00535C84" w:rsidP="006654AE">
      <w:pPr>
        <w:ind w:left="720"/>
      </w:pPr>
      <w:r w:rsidRPr="00DF38B2">
        <w:t>It’s a government card so you should be able to use the thing on government facilities or utilities but you can’t. Like power, water or the post office. (CIM-LTW</w:t>
      </w:r>
      <w:r w:rsidR="00C23964">
        <w:t>PR</w:t>
      </w:r>
      <w:r w:rsidRPr="00DF38B2">
        <w:t>, Indigenous male living in rural area, interview)</w:t>
      </w:r>
    </w:p>
    <w:p w:rsidR="00535C84" w:rsidRPr="00DF38B2" w:rsidRDefault="00535C84" w:rsidP="006654AE">
      <w:pPr>
        <w:ind w:left="720"/>
      </w:pPr>
      <w:r w:rsidRPr="00DF38B2">
        <w:t>Because they make it harder to pay bills by putting me on income management which takes too much time to ring around on the phone to get bills paid for. And takes so much more time to go from place to place to get letters and cheques to take to where you need to pay. (CIM-LTW</w:t>
      </w:r>
      <w:r w:rsidR="00C23964">
        <w:t>PR</w:t>
      </w:r>
      <w:r w:rsidRPr="00DF38B2">
        <w:t>, non-Indigenous male, survey response)</w:t>
      </w:r>
    </w:p>
    <w:p w:rsidR="00535C84" w:rsidRPr="00DF38B2" w:rsidRDefault="00535C84" w:rsidP="006654AE">
      <w:pPr>
        <w:ind w:left="720"/>
      </w:pPr>
      <w:r w:rsidRPr="00DF38B2">
        <w:t>Electricity and certain basics – you can’t pay your bills with it. I feel like a kid not being able to pay my power bill with BasicsCard and need to call Centrelink to ask them to transfer my money for me.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It is flawed in that certain bills and expenses cannot be paid through income management. If it is to work better changes need to be made. For example, rent should be able to be paid to private landlords and credit card payments should be able to be made through income management. (Exempt, non-Indigenous male living in urban area, survey response)</w:t>
      </w:r>
    </w:p>
    <w:p w:rsidR="00535C84" w:rsidRPr="00DF38B2" w:rsidRDefault="00535C84" w:rsidP="006654AE">
      <w:r w:rsidRPr="00DF38B2">
        <w:t>Access to pharmacies and restrictions in being</w:t>
      </w:r>
      <w:r w:rsidR="001E189B">
        <w:t xml:space="preserve"> able</w:t>
      </w:r>
      <w:r w:rsidRPr="00DF38B2">
        <w:t xml:space="preserve"> to travel interstate were also commonly raised by people across income management types: </w:t>
      </w:r>
    </w:p>
    <w:p w:rsidR="00535C84" w:rsidRPr="00DF38B2" w:rsidRDefault="00535C84" w:rsidP="006654AE">
      <w:pPr>
        <w:ind w:left="720"/>
      </w:pPr>
      <w:r w:rsidRPr="00DF38B2">
        <w:lastRenderedPageBreak/>
        <w:t>I have had chemist refuse BasicsCard which caused problems with me accessing my medication.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Places won’t accept it. Leaving the state I had problems using it at second</w:t>
      </w:r>
      <w:r w:rsidR="001E189B">
        <w:t>-</w:t>
      </w:r>
      <w:r w:rsidRPr="00DF38B2">
        <w:t>hand shops and pharmacies. I had to get a prescription filled for my daughter and couldn’t find a chemist that would accept it. (</w:t>
      </w:r>
      <w:r w:rsidR="00C23964" w:rsidRPr="00DF38B2">
        <w:t>V</w:t>
      </w:r>
      <w:r w:rsidR="00C23964">
        <w:t>oluntary</w:t>
      </w:r>
      <w:r w:rsidRPr="00DF38B2">
        <w:t>, non-Indigenous female living in urban area, interview)</w:t>
      </w:r>
    </w:p>
    <w:p w:rsidR="00535C84" w:rsidRPr="00DF38B2" w:rsidRDefault="00535C84" w:rsidP="006654AE">
      <w:pPr>
        <w:ind w:left="720"/>
      </w:pPr>
      <w:r w:rsidRPr="00DF38B2">
        <w:t>Travel is also a bit difficult because of a lack of facilities around Australia. (Exempt, non-Indigenous female living in urban area, interview)</w:t>
      </w:r>
    </w:p>
    <w:p w:rsidR="00535C84" w:rsidRPr="00DF38B2" w:rsidRDefault="00535C84" w:rsidP="006654AE">
      <w:r w:rsidRPr="00DF38B2">
        <w:t>One person noted that the situation had improved somewhat since income management was first introduced in the Northern Territory</w:t>
      </w:r>
      <w:r w:rsidR="001E189B">
        <w:t>,</w:t>
      </w:r>
      <w:r w:rsidRPr="00DF38B2">
        <w:t xml:space="preserve"> as more places within </w:t>
      </w:r>
      <w:r w:rsidR="001E189B">
        <w:t xml:space="preserve">the </w:t>
      </w:r>
      <w:r w:rsidRPr="00DF38B2">
        <w:t>Northern Territory accept BasicsCard than previously:</w:t>
      </w:r>
    </w:p>
    <w:p w:rsidR="00535C84" w:rsidRPr="00DF38B2" w:rsidRDefault="00535C84" w:rsidP="006654AE">
      <w:pPr>
        <w:ind w:left="720"/>
      </w:pPr>
      <w:r w:rsidRPr="00DF38B2">
        <w:t>Fair now</w:t>
      </w:r>
      <w:r w:rsidR="001E189B">
        <w:t>,</w:t>
      </w:r>
      <w:r w:rsidRPr="00DF38B2">
        <w:t xml:space="preserve"> but </w:t>
      </w:r>
      <w:r w:rsidR="001E189B">
        <w:t>five</w:t>
      </w:r>
      <w:r w:rsidRPr="00DF38B2">
        <w:t xml:space="preserve"> years ago it wasn’t. More people know about it. My friend lost his keys</w:t>
      </w:r>
      <w:r w:rsidR="001E189B">
        <w:t>: w</w:t>
      </w:r>
      <w:r w:rsidRPr="00DF38B2">
        <w:t xml:space="preserve">e called a locksmith and paid it with BasicsCard. </w:t>
      </w:r>
      <w:r w:rsidR="001E189B">
        <w:t>Five</w:t>
      </w:r>
      <w:r w:rsidRPr="00DF38B2">
        <w:t xml:space="preserve"> minutes</w:t>
      </w:r>
      <w:r w:rsidR="001E189B">
        <w:t>:</w:t>
      </w:r>
      <w:r w:rsidRPr="00DF38B2">
        <w:t xml:space="preserve"> sorted. (</w:t>
      </w:r>
      <w:r w:rsidR="00C23964">
        <w:t>Vulnerable</w:t>
      </w:r>
      <w:r w:rsidRPr="00DF38B2">
        <w:t xml:space="preserve">, Indigenous female living in urban area, interview) </w:t>
      </w:r>
    </w:p>
    <w:p w:rsidR="00535C84" w:rsidRPr="00DF38B2" w:rsidRDefault="00535C84" w:rsidP="006654AE">
      <w:pPr>
        <w:pStyle w:val="Heading3"/>
      </w:pPr>
      <w:bookmarkStart w:id="475" w:name="_Toc403739083"/>
      <w:r w:rsidRPr="00DF38B2">
        <w:t>Changes in financial harassment (‘humbug’)</w:t>
      </w:r>
      <w:bookmarkEnd w:id="475"/>
    </w:p>
    <w:p w:rsidR="00535C84" w:rsidRPr="00DF38B2" w:rsidRDefault="00535C84" w:rsidP="006654AE">
      <w:r w:rsidRPr="00DF38B2">
        <w:t xml:space="preserve">At an individual level there were mixed responses to whether income management had reduced financial harassment or ‘humbugging’ for the participant. Most of those who reported issues during interviews were either on </w:t>
      </w:r>
      <w:r w:rsidR="00C23964">
        <w:t>Vulnerable</w:t>
      </w:r>
      <w:r w:rsidR="00C23964" w:rsidRPr="00DF38B2">
        <w:t xml:space="preserve"> </w:t>
      </w:r>
      <w:r w:rsidRPr="00DF38B2">
        <w:t>or V</w:t>
      </w:r>
      <w:r w:rsidR="00C23964">
        <w:t xml:space="preserve">oluntary </w:t>
      </w:r>
      <w:r w:rsidRPr="00DF38B2">
        <w:t>I</w:t>
      </w:r>
      <w:r w:rsidR="00C23964">
        <w:t xml:space="preserve">ncome </w:t>
      </w:r>
      <w:r w:rsidRPr="00DF38B2">
        <w:t>M</w:t>
      </w:r>
      <w:r w:rsidR="00C23964">
        <w:t>anagement</w:t>
      </w:r>
      <w:r w:rsidRPr="00DF38B2">
        <w:t xml:space="preserve"> measures and living in town camps or communities, with older people reporting more harassment than younger people. For those reporting ongoing financial harassment with the introduction of income management, it was often for food and accommodation rather than directly for cash:</w:t>
      </w:r>
    </w:p>
    <w:p w:rsidR="00535C84" w:rsidRPr="00DF38B2" w:rsidRDefault="00535C84" w:rsidP="006654AE">
      <w:pPr>
        <w:ind w:left="720"/>
      </w:pPr>
      <w:r w:rsidRPr="00DF38B2">
        <w:t>BasicsCard has not changed humbug for me at all. That mob don’t take no for an answer. They use me as a temporary house and when they come in from Groote Eylandt and Daly River way, they stay here and don’t help me with anything.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 got big mob of grandchildren. They humbug me for feed and that. I’m a big</w:t>
      </w:r>
      <w:r w:rsidR="001E189B">
        <w:t>-</w:t>
      </w:r>
      <w:r w:rsidRPr="00DF38B2">
        <w:t xml:space="preserve">hearted </w:t>
      </w:r>
      <w:proofErr w:type="gramStart"/>
      <w:r w:rsidRPr="00DF38B2">
        <w:t>woman,</w:t>
      </w:r>
      <w:proofErr w:type="gramEnd"/>
      <w:r w:rsidRPr="00DF38B2">
        <w:t xml:space="preserve"> I like to share things with my family. Especially grandchildren, I can’t be hard. Maybe a little bit of dollars, mostly I just give them a feed and cigarette </w:t>
      </w:r>
      <w:r w:rsidR="001E189B">
        <w:t>…</w:t>
      </w:r>
      <w:r w:rsidR="001E189B" w:rsidRPr="00DF38B2">
        <w:t xml:space="preserve"> </w:t>
      </w:r>
      <w:r w:rsidRPr="00DF38B2">
        <w:t>but we black fella hey, we do that, we share with our families. (V</w:t>
      </w:r>
      <w:r w:rsidR="00C23964">
        <w:t>oluntary</w:t>
      </w:r>
      <w:r w:rsidRPr="00DF38B2">
        <w:t>, Indigenous female living in urban area, interview)</w:t>
      </w:r>
    </w:p>
    <w:p w:rsidR="00535C84" w:rsidRPr="00DF38B2" w:rsidRDefault="00535C84" w:rsidP="006654AE">
      <w:pPr>
        <w:ind w:left="720"/>
      </w:pPr>
      <w:r w:rsidRPr="00DF38B2">
        <w:t>Sometimes if you got big family and they come over they eat all your food and it’s gone then too. (</w:t>
      </w:r>
      <w:r w:rsidR="00C23964" w:rsidRPr="00DF38B2">
        <w:t>V</w:t>
      </w:r>
      <w:r w:rsidR="00C23964">
        <w:t>ulnerable</w:t>
      </w:r>
      <w:r w:rsidRPr="00DF38B2">
        <w:t>, Indigenous female living in urban area, interview)</w:t>
      </w:r>
    </w:p>
    <w:p w:rsidR="00535C84" w:rsidRPr="00DF38B2" w:rsidRDefault="00535C84" w:rsidP="006654AE">
      <w:r w:rsidRPr="00DF38B2">
        <w:t>Security issues, including theft of the BasicsCard, were also raised in a small number of cases by people interviewed as contributing to ongoing financial harassment:</w:t>
      </w:r>
    </w:p>
    <w:p w:rsidR="00535C84" w:rsidRPr="00DF38B2" w:rsidRDefault="00535C84" w:rsidP="006654AE">
      <w:pPr>
        <w:ind w:left="720"/>
      </w:pPr>
      <w:proofErr w:type="gramStart"/>
      <w:r w:rsidRPr="00DF38B2">
        <w:t>Still humbug and stealing.</w:t>
      </w:r>
      <w:proofErr w:type="gramEnd"/>
      <w:r w:rsidRPr="00DF38B2">
        <w:t xml:space="preserve"> They get the cards out of their bag when they sleep </w:t>
      </w:r>
      <w:r w:rsidR="001E189B">
        <w:t>…</w:t>
      </w:r>
      <w:r w:rsidR="001E189B" w:rsidRPr="00DF38B2">
        <w:t xml:space="preserve"> </w:t>
      </w:r>
      <w:r w:rsidRPr="00DF38B2">
        <w:t xml:space="preserve">so they can still steal their BasicsCard food </w:t>
      </w:r>
      <w:r w:rsidR="001E189B">
        <w:t>…</w:t>
      </w:r>
      <w:r w:rsidR="001E189B" w:rsidRPr="00DF38B2">
        <w:t xml:space="preserve"> </w:t>
      </w:r>
      <w:r w:rsidRPr="00DF38B2">
        <w:t xml:space="preserve">me and my wife, they steal our cards. Not really different, still need to look after it the same as a </w:t>
      </w:r>
      <w:proofErr w:type="spellStart"/>
      <w:r w:rsidRPr="00DF38B2">
        <w:t>keycard</w:t>
      </w:r>
      <w:proofErr w:type="spellEnd"/>
      <w:r w:rsidRPr="00DF38B2">
        <w:t>. (</w:t>
      </w:r>
      <w:r w:rsidR="00C23964">
        <w:t>Voluntary</w:t>
      </w:r>
      <w:r w:rsidRPr="00DF38B2">
        <w:t>, Indigenous male living in urban area, interview)</w:t>
      </w:r>
    </w:p>
    <w:p w:rsidR="00535C84" w:rsidRPr="00DF38B2" w:rsidRDefault="00535C84" w:rsidP="006654AE">
      <w:pPr>
        <w:ind w:left="720"/>
      </w:pPr>
      <w:r w:rsidRPr="00DF38B2">
        <w:t xml:space="preserve">I lived at a community and supervised at a bank and I know how people share their information and their pins. Family will humbug or come in with someone else’s card and try to get a balance on it or withdraw money </w:t>
      </w:r>
      <w:r w:rsidR="001E189B">
        <w:t>…</w:t>
      </w:r>
      <w:r w:rsidR="001E189B" w:rsidRPr="00DF38B2">
        <w:t xml:space="preserve"> </w:t>
      </w:r>
      <w:r w:rsidRPr="00DF38B2">
        <w:t xml:space="preserve">with the BasicsCard it’s no different </w:t>
      </w:r>
      <w:r w:rsidR="001E189B">
        <w:t>…</w:t>
      </w:r>
      <w:r w:rsidR="001E189B" w:rsidRPr="00DF38B2">
        <w:t xml:space="preserve"> </w:t>
      </w:r>
      <w:r w:rsidRPr="00DF38B2">
        <w:t>there should be a photo ID on the cards</w:t>
      </w:r>
      <w:r w:rsidR="001E189B">
        <w:t>.</w:t>
      </w:r>
      <w:r w:rsidRPr="00DF38B2">
        <w:t xml:space="preserve"> (Exempt, non-Indigenous female living in urban area, interview)</w:t>
      </w:r>
    </w:p>
    <w:p w:rsidR="00535C84" w:rsidRPr="00DF38B2" w:rsidRDefault="00535C84" w:rsidP="006654AE">
      <w:r w:rsidRPr="00DF38B2">
        <w:t>One older woman interviewed spoke of gaining assistance from her daughter to keep her BasicsCard safe, as she would otherwise most likely hand it over to family members requesting assistance:</w:t>
      </w:r>
    </w:p>
    <w:p w:rsidR="00535C84" w:rsidRPr="00DF38B2" w:rsidRDefault="00535C84" w:rsidP="006654AE">
      <w:pPr>
        <w:ind w:left="720"/>
      </w:pPr>
      <w:r w:rsidRPr="00DF38B2">
        <w:t xml:space="preserve">I couldn’t hold my money. People would run to me for food, grog, smoke, but this time I only share with family </w:t>
      </w:r>
      <w:r w:rsidR="001E189B">
        <w:t>…</w:t>
      </w:r>
      <w:r w:rsidR="001E189B" w:rsidRPr="00DF38B2">
        <w:t xml:space="preserve"> </w:t>
      </w:r>
      <w:r w:rsidRPr="00DF38B2">
        <w:t>I still help them. My daughter, she looks after my BasicsCard for me. I can’t have it here so she helps me with that. (V</w:t>
      </w:r>
      <w:r w:rsidR="00C23964">
        <w:t>oluntary</w:t>
      </w:r>
      <w:r w:rsidRPr="00DF38B2">
        <w:t>, Indigenous female living in urban area)</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However, it was difficult to determine, based on the small sample of interviews conducted, whether changes in financial harassment following the introduction of income management was potentially location</w:t>
      </w:r>
      <w:r w:rsidR="001E189B">
        <w:t>-</w:t>
      </w:r>
      <w:r w:rsidRPr="00DF38B2">
        <w:lastRenderedPageBreak/>
        <w:t>specific, as a number of participants in the surveys who lived in remote areas indicated that income management had assisted with managing financial harassment. A number of people, predominantly older women on Voluntary Income Management, also spoke about income management providing some protection from financial harassment or financial exploitation</w:t>
      </w:r>
      <w:r w:rsidR="00A1421A">
        <w:t xml:space="preserve">. </w:t>
      </w:r>
      <w:r w:rsidRPr="00DF38B2">
        <w:t>This group spoke about wishing to remain on income management due to the above</w:t>
      </w:r>
      <w:r w:rsidR="001E189B">
        <w:t>-</w:t>
      </w:r>
      <w:r w:rsidRPr="00DF38B2">
        <w:t>mentioned benefits and subsequent improvements to their quality of life:</w:t>
      </w:r>
    </w:p>
    <w:p w:rsidR="00535C84" w:rsidRPr="00DF38B2" w:rsidRDefault="00535C84" w:rsidP="006654AE">
      <w:pPr>
        <w:ind w:left="720"/>
      </w:pPr>
      <w:r w:rsidRPr="00DF38B2">
        <w:t>I’m an old lady, it is good for me and my kids and grandkids can’t get money off me, I</w:t>
      </w:r>
      <w:r w:rsidR="001E189B">
        <w:t>’</w:t>
      </w:r>
      <w:r w:rsidRPr="00DF38B2">
        <w:t>m very strong with my money</w:t>
      </w:r>
      <w:r w:rsidR="00A1421A">
        <w:t xml:space="preserve">. </w:t>
      </w:r>
      <w:r w:rsidRPr="00DF38B2">
        <w:t>When I</w:t>
      </w:r>
      <w:r w:rsidR="001E189B">
        <w:t>’</w:t>
      </w:r>
      <w:r w:rsidRPr="00DF38B2">
        <w:t>m sick I</w:t>
      </w:r>
      <w:r w:rsidR="001E189B">
        <w:t>’</w:t>
      </w:r>
      <w:r w:rsidRPr="00DF38B2">
        <w:t>ll give my granddaughter to get me medicine and food that</w:t>
      </w:r>
      <w:r w:rsidR="001E189B">
        <w:t>’</w:t>
      </w:r>
      <w:r w:rsidRPr="00DF38B2">
        <w:t>s all. (</w:t>
      </w:r>
      <w:r w:rsidR="00C23964" w:rsidRPr="00DF38B2">
        <w:t>V</w:t>
      </w:r>
      <w:r w:rsidR="00C23964">
        <w:t>ulnerable</w:t>
      </w:r>
      <w:r w:rsidRPr="00DF38B2">
        <w:t>, Indigenous female living in remote area, survey response)</w:t>
      </w:r>
    </w:p>
    <w:p w:rsidR="00535C84" w:rsidRPr="00DF38B2" w:rsidRDefault="00535C84" w:rsidP="006654AE">
      <w:pPr>
        <w:ind w:left="720"/>
      </w:pPr>
      <w:r w:rsidRPr="00DF38B2">
        <w:t>Sometimes I feel good about it. Other times I</w:t>
      </w:r>
      <w:r w:rsidR="001E189B">
        <w:t>’</w:t>
      </w:r>
      <w:r w:rsidRPr="00DF38B2">
        <w:t>m no good. My feelings go up and down about being on income management. When I</w:t>
      </w:r>
      <w:r w:rsidR="001E189B">
        <w:t>’</w:t>
      </w:r>
      <w:r w:rsidRPr="00DF38B2">
        <w:t>m on income management it saves me from being humbug but then it still little money that I’m getting compared to other mob. (</w:t>
      </w:r>
      <w:r w:rsidR="00C23964" w:rsidRPr="00DF38B2">
        <w:t>V</w:t>
      </w:r>
      <w:r w:rsidR="00C23964">
        <w:t>oluntary</w:t>
      </w:r>
      <w:r w:rsidRPr="00DF38B2">
        <w:t>, Indigenous female living in remote area, survey response)</w:t>
      </w:r>
    </w:p>
    <w:p w:rsidR="00535C84" w:rsidRPr="00DF38B2" w:rsidRDefault="00535C84" w:rsidP="006654AE">
      <w:pPr>
        <w:ind w:left="720"/>
      </w:pPr>
      <w:r w:rsidRPr="00DF38B2">
        <w:t>Family always asking for money but BasicsCard helps me be more relaxed because you can</w:t>
      </w:r>
      <w:r w:rsidR="001E189B">
        <w:t>’</w:t>
      </w:r>
      <w:r w:rsidRPr="00DF38B2">
        <w:t>t get money from BasicsCard. (</w:t>
      </w:r>
      <w:r w:rsidR="00C23964" w:rsidRPr="00DF38B2">
        <w:t>V</w:t>
      </w:r>
      <w:r w:rsidR="00C23964">
        <w:t>oluntary</w:t>
      </w:r>
      <w:r w:rsidRPr="00DF38B2">
        <w:t>, Indigenous male living in remote area, survey response)</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Income </w:t>
      </w:r>
      <w:r w:rsidR="005E4CAC">
        <w:t>m</w:t>
      </w:r>
      <w:r w:rsidRPr="00DF38B2">
        <w:t>anagement made my life better, ever since I came onto income management. Ever since the intervention and when I first got my BasicsCard. That’s when my life started to change. (Indigenous female living in remote area, interview)</w:t>
      </w:r>
    </w:p>
    <w:p w:rsidR="00535C84" w:rsidRPr="00DF38B2" w:rsidRDefault="00535C84" w:rsidP="006654AE">
      <w:r w:rsidRPr="00DF38B2">
        <w:t xml:space="preserve">One person commented during an interview that it was people with alcohol or drug problems who continued to harass others </w:t>
      </w:r>
      <w:r w:rsidR="001E189B" w:rsidRPr="00DF38B2">
        <w:t>f</w:t>
      </w:r>
      <w:r w:rsidR="001E189B">
        <w:t>or money</w:t>
      </w:r>
      <w:r w:rsidR="001E189B" w:rsidRPr="00DF38B2">
        <w:t xml:space="preserve"> </w:t>
      </w:r>
      <w:r w:rsidRPr="00DF38B2">
        <w:t xml:space="preserve">within the community. This is consistent with information shared by another person, living in the remote comparison site, who spoke about the personal benefits of having been on </w:t>
      </w:r>
      <w:r w:rsidR="001544DF">
        <w:t>Voluntary Income Management</w:t>
      </w:r>
      <w:r w:rsidRPr="00DF38B2">
        <w:t xml:space="preserve"> for a short period. She explained that her husband was a heavy marijuana user and could be abusive towards herself and her children. Prior to commencing on income management, he would commonly use all the fortnightly income to purchase drugs or alcohol. Income management had been a positive measure for this person, in that she had learnt strategies to ensure that money was available </w:t>
      </w:r>
      <w:r w:rsidR="0053304D">
        <w:t>to</w:t>
      </w:r>
      <w:r w:rsidRPr="00DF38B2">
        <w:t xml:space="preserve"> purchase food. She had, however, elected to not remain on income management as she kept losing her BasicsCard. As she explained:</w:t>
      </w:r>
    </w:p>
    <w:p w:rsidR="00535C84" w:rsidRPr="00DF38B2" w:rsidRDefault="00535C84" w:rsidP="006654AE">
      <w:pPr>
        <w:ind w:left="720"/>
      </w:pPr>
      <w:r w:rsidRPr="00DF38B2">
        <w:t xml:space="preserve">Last year, all my money got spent on payday. I had to give it to other people, mainly my husband so he could buy </w:t>
      </w:r>
      <w:proofErr w:type="spellStart"/>
      <w:r w:rsidRPr="00DF38B2">
        <w:t>gunja</w:t>
      </w:r>
      <w:proofErr w:type="spellEnd"/>
      <w:r w:rsidRPr="00DF38B2">
        <w:t xml:space="preserve"> and grog. My husband used to take all the money. Now I hide it. I tell people that I got less than I really do </w:t>
      </w:r>
      <w:r w:rsidR="0053304D">
        <w:t>…</w:t>
      </w:r>
      <w:r w:rsidR="0053304D" w:rsidRPr="00DF38B2">
        <w:t xml:space="preserve"> </w:t>
      </w:r>
      <w:r w:rsidRPr="00DF38B2">
        <w:t xml:space="preserve">I did that because I had to get my kids back from welfare and stop these problems </w:t>
      </w:r>
      <w:r w:rsidR="0053304D">
        <w:t>….</w:t>
      </w:r>
      <w:r w:rsidR="0053304D" w:rsidRPr="00DF38B2">
        <w:t xml:space="preserve"> </w:t>
      </w:r>
      <w:r w:rsidRPr="00DF38B2">
        <w:t>I’m off it now, but the BasicsCard taught me to save my money. I made the choice to put my kids first and look after them. On the BasicsCard I didn’t have to give all my money to my husband, and that taught me to hide money so I had some for a feed for my kids. (Exited, Indigenous female living in remote contrast site)</w:t>
      </w:r>
    </w:p>
    <w:p w:rsidR="00535C84" w:rsidRPr="00DF38B2" w:rsidRDefault="00535C84" w:rsidP="006654AE">
      <w:r w:rsidRPr="00DF38B2">
        <w:t>While financial harassment often occurred for Indigenous people, some non-Indigenous people also reported experiencing harassment from friends, often for food or cigarettes. A couple of younger people spoke of no longer being as harassed since commencing income management:</w:t>
      </w:r>
    </w:p>
    <w:p w:rsidR="00535C84" w:rsidRPr="00DF38B2" w:rsidRDefault="00535C84" w:rsidP="006654AE">
      <w:pPr>
        <w:ind w:left="720"/>
      </w:pPr>
      <w:r w:rsidRPr="00DF38B2">
        <w:t xml:space="preserve">I do have one friend who tends to humbug a bit. </w:t>
      </w:r>
      <w:proofErr w:type="gramStart"/>
      <w:r w:rsidRPr="00DF38B2">
        <w:t>Mostly for ciggies.</w:t>
      </w:r>
      <w:proofErr w:type="gramEnd"/>
      <w:r w:rsidRPr="00DF38B2">
        <w:t xml:space="preserve"> It</w:t>
      </w:r>
      <w:r w:rsidR="0053304D">
        <w:t>’</w:t>
      </w:r>
      <w:r w:rsidRPr="00DF38B2">
        <w:t>s a bit better now because I just say “no”. It’s a lot better. (CIM-LTW</w:t>
      </w:r>
      <w:r w:rsidR="00C23964">
        <w:t>PR</w:t>
      </w:r>
      <w:r w:rsidRPr="00DF38B2">
        <w:t>, non-Indigenous female living in urban area, interview)</w:t>
      </w:r>
    </w:p>
    <w:p w:rsidR="00535C84" w:rsidRPr="00DF38B2" w:rsidRDefault="00535C84" w:rsidP="006654AE">
      <w:r w:rsidRPr="00DF38B2">
        <w:t>At a community level, a number of people interviewed spoke of income management failing to make a significant difference to the incidence of financial harassment or humbugging, although some of the methods were observed to have changed:</w:t>
      </w:r>
    </w:p>
    <w:p w:rsidR="00535C84" w:rsidRPr="00DF38B2" w:rsidRDefault="00535C84" w:rsidP="006654AE">
      <w:pPr>
        <w:ind w:left="720"/>
      </w:pPr>
      <w:r w:rsidRPr="00DF38B2">
        <w:t>You pull up to servos and see all the people on BasicsCard trying to humbug people to pay for fuel with BasicsCard and get the cash for themselves.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Every day if I go out</w:t>
      </w:r>
      <w:r w:rsidR="0053304D">
        <w:t>:</w:t>
      </w:r>
      <w:r w:rsidRPr="00DF38B2">
        <w:t xml:space="preserve"> I get humbugged wherever I go. Down town, down the beach </w:t>
      </w:r>
      <w:r w:rsidR="0053304D">
        <w:t>…</w:t>
      </w:r>
      <w:r w:rsidR="0053304D" w:rsidRPr="00DF38B2">
        <w:t xml:space="preserve"> </w:t>
      </w:r>
      <w:r w:rsidRPr="00DF38B2">
        <w:t xml:space="preserve">I’ve noticed an increase in prostitution as well. They have come up to me a lot more than they used to </w:t>
      </w:r>
      <w:r w:rsidRPr="00DF38B2">
        <w:lastRenderedPageBreak/>
        <w:t>and ask me if I want sex for $20 or a six</w:t>
      </w:r>
      <w:r w:rsidR="0053304D">
        <w:t>-</w:t>
      </w:r>
      <w:r w:rsidRPr="00DF38B2">
        <w:t>pack. (CIM-LTW</w:t>
      </w:r>
      <w:r w:rsidR="00C23964">
        <w:t>PR</w:t>
      </w:r>
      <w:r w:rsidRPr="00DF38B2">
        <w:t>, non-Indigenous male living in urban area, interview)</w:t>
      </w:r>
    </w:p>
    <w:p w:rsidR="00535C84" w:rsidRPr="00DF38B2" w:rsidRDefault="00535C84" w:rsidP="006654AE">
      <w:pPr>
        <w:ind w:left="720"/>
      </w:pPr>
      <w:r w:rsidRPr="00DF38B2">
        <w:t>If they can’t get cash out of people then they will humbug for a feed because they’ve spent all their money on whatever and have no food. (Exempt, non-Indigenous female living in urban area, interview)</w:t>
      </w:r>
    </w:p>
    <w:p w:rsidR="00535C84" w:rsidRPr="00DF38B2" w:rsidRDefault="00535C84" w:rsidP="006654AE">
      <w:pPr>
        <w:pStyle w:val="Heading3"/>
      </w:pPr>
      <w:bookmarkStart w:id="476" w:name="_Toc403739084"/>
      <w:r w:rsidRPr="00DF38B2">
        <w:t>Health and wellbeing</w:t>
      </w:r>
      <w:bookmarkEnd w:id="476"/>
    </w:p>
    <w:p w:rsidR="00535C84" w:rsidRPr="00DF38B2" w:rsidRDefault="00535C84" w:rsidP="006654AE">
      <w:r w:rsidRPr="00DF38B2">
        <w:t>There were mixed views as to the perceived benefits of income management both in terms of providing assistance with accessing food and other essential items and reducing drug and alcohol consumption</w:t>
      </w:r>
      <w:r w:rsidR="00A1421A">
        <w:t xml:space="preserve">. </w:t>
      </w:r>
      <w:r w:rsidRPr="00DF38B2">
        <w:t>Similar to the responses in the quantitative survey, people on compulsory income management and those who were exempt or had exited income management spoke about limited change in their quality of life or behaviour following the introduction of income management. As one person explained:</w:t>
      </w:r>
    </w:p>
    <w:p w:rsidR="00535C84" w:rsidRPr="00DF38B2" w:rsidRDefault="00535C84" w:rsidP="006654AE">
      <w:pPr>
        <w:ind w:left="720"/>
      </w:pPr>
      <w:r w:rsidRPr="00DF38B2">
        <w:t>You spend it all on food, rent, bills</w:t>
      </w:r>
      <w:r w:rsidR="0053304D">
        <w:t>,</w:t>
      </w:r>
      <w:r w:rsidRPr="00DF38B2">
        <w:t xml:space="preserve"> so it doesn’t make much difference to me. (CIM-DEY, non-Indigenous living in urban area, interview)</w:t>
      </w:r>
    </w:p>
    <w:p w:rsidR="00535C84" w:rsidRPr="00DF38B2" w:rsidRDefault="00535C84" w:rsidP="006654AE">
      <w:r w:rsidRPr="00DF38B2">
        <w:t xml:space="preserve">People on the </w:t>
      </w:r>
      <w:r w:rsidR="00C23964">
        <w:t xml:space="preserve">Vulnerable and Voluntary Income </w:t>
      </w:r>
      <w:r w:rsidR="00A8053C">
        <w:t>Management</w:t>
      </w:r>
      <w:r w:rsidRPr="00DF38B2">
        <w:t xml:space="preserve"> measures were more likely to speak about positive benefits of income management to their wellbeing, including being better able to care for themselves or their family. Having funds specifically designated to be used for food and other essential items had enabled </w:t>
      </w:r>
      <w:r w:rsidR="00212938" w:rsidRPr="00DF38B2">
        <w:t xml:space="preserve">these </w:t>
      </w:r>
      <w:r w:rsidRPr="00DF38B2">
        <w:t xml:space="preserve">people to make positive changes to their spending habits. As people </w:t>
      </w:r>
      <w:r w:rsidR="00212938" w:rsidRPr="00DF38B2">
        <w:t>reported</w:t>
      </w:r>
      <w:proofErr w:type="gramStart"/>
      <w:r w:rsidRPr="00DF38B2">
        <w:t>:</w:t>
      </w:r>
      <w:r w:rsidR="0053304D">
        <w:t>:</w:t>
      </w:r>
      <w:proofErr w:type="gramEnd"/>
    </w:p>
    <w:p w:rsidR="00535C84" w:rsidRPr="00DF38B2" w:rsidRDefault="00535C84" w:rsidP="006654AE">
      <w:pPr>
        <w:ind w:left="720"/>
      </w:pPr>
      <w:r w:rsidRPr="00DF38B2">
        <w:t xml:space="preserve">Now when I get my BasicsCard money I buy nice food, like yoghurt. </w:t>
      </w:r>
      <w:proofErr w:type="gramStart"/>
      <w:r w:rsidRPr="00DF38B2">
        <w:t>Really improving my health and attitude.</w:t>
      </w:r>
      <w:proofErr w:type="gramEnd"/>
      <w:r w:rsidRPr="00DF38B2">
        <w:t xml:space="preserve"> That’s because I am homeless and don’t have my kids. BasicsCard has helped me to change the path I am on.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 wanted to go on because when we get cash we spend it really quick and then have to wait until next pay day to see some cash. By that time we run out of food and go hungry. (</w:t>
      </w:r>
      <w:r w:rsidR="00C23964" w:rsidRPr="00DF38B2">
        <w:t>V</w:t>
      </w:r>
      <w:r w:rsidR="00C23964">
        <w:t>ulnerable</w:t>
      </w:r>
      <w:r w:rsidRPr="00DF38B2">
        <w:t>, Indigenous female living in urban area, interview)</w:t>
      </w:r>
    </w:p>
    <w:p w:rsidR="00535C84" w:rsidRPr="00DF38B2" w:rsidRDefault="00535C84" w:rsidP="006654AE">
      <w:r w:rsidRPr="00DF38B2">
        <w:t xml:space="preserve">A number of people on various income management measures spoke about the personal health benefits of having less money available for the purchase of alcohol or drugs: </w:t>
      </w:r>
    </w:p>
    <w:p w:rsidR="00535C84" w:rsidRPr="00DF38B2" w:rsidRDefault="00535C84" w:rsidP="006654AE">
      <w:pPr>
        <w:ind w:left="720"/>
      </w:pPr>
      <w:r w:rsidRPr="00DF38B2">
        <w:t xml:space="preserve">Get myself feed and clothing. It’s </w:t>
      </w:r>
      <w:r w:rsidR="0053304D">
        <w:t>okay</w:t>
      </w:r>
      <w:r w:rsidRPr="00DF38B2">
        <w:t xml:space="preserve"> when I get onto BasicsCard. I used to spend all my money on, you know, drinking and gambling. (</w:t>
      </w:r>
      <w:r w:rsidR="00C23964">
        <w:t>Voluntary,</w:t>
      </w:r>
      <w:r w:rsidRPr="00DF38B2">
        <w:t xml:space="preserve"> Indigenous female living in urban area, interview)</w:t>
      </w:r>
    </w:p>
    <w:p w:rsidR="00535C84" w:rsidRPr="00DF38B2" w:rsidRDefault="00535C84" w:rsidP="006654AE">
      <w:pPr>
        <w:ind w:left="720"/>
      </w:pPr>
      <w:proofErr w:type="gramStart"/>
      <w:r w:rsidRPr="00DF38B2">
        <w:t>Helped to cut down my drinking because I can’t buy that grog with BasicsCard.</w:t>
      </w:r>
      <w:proofErr w:type="gramEnd"/>
      <w:r w:rsidRPr="00DF38B2">
        <w:t xml:space="preserve"> (</w:t>
      </w:r>
      <w:r w:rsidR="00C23964" w:rsidRPr="00DF38B2">
        <w:t>V</w:t>
      </w:r>
      <w:r w:rsidR="00C23964">
        <w:t>oluntary</w:t>
      </w:r>
      <w:r w:rsidRPr="00DF38B2">
        <w:t>, Indigenous male living in urban area, interview)</w:t>
      </w:r>
    </w:p>
    <w:p w:rsidR="00535C84" w:rsidRPr="00DF38B2" w:rsidRDefault="00535C84" w:rsidP="006654AE">
      <w:pPr>
        <w:ind w:left="720"/>
      </w:pPr>
      <w:r w:rsidRPr="00DF38B2">
        <w:t>I used to drink a lot and it kind of slowed me down. You know that BasicsCard has got its ups and downs. (CIM-LTW</w:t>
      </w:r>
      <w:r w:rsidR="00C23964">
        <w:t>PR</w:t>
      </w:r>
      <w:r w:rsidRPr="00DF38B2">
        <w:t>, Indigenous female living in urban area, survey response)</w:t>
      </w:r>
    </w:p>
    <w:p w:rsidR="00535C84" w:rsidRPr="00DF38B2" w:rsidRDefault="00535C84" w:rsidP="006654AE">
      <w:pPr>
        <w:ind w:left="720"/>
      </w:pPr>
      <w:r w:rsidRPr="00DF38B2">
        <w:t>Can</w:t>
      </w:r>
      <w:r w:rsidR="0053304D">
        <w:t>’</w:t>
      </w:r>
      <w:r w:rsidRPr="00DF38B2">
        <w:t>t buy grog or smokes, can</w:t>
      </w:r>
      <w:r w:rsidR="0053304D">
        <w:t>’</w:t>
      </w:r>
      <w:r w:rsidRPr="00DF38B2">
        <w:t>t gamble</w:t>
      </w:r>
      <w:proofErr w:type="gramStart"/>
      <w:r w:rsidRPr="00DF38B2">
        <w:t>,</w:t>
      </w:r>
      <w:proofErr w:type="gramEnd"/>
      <w:r w:rsidRPr="00DF38B2">
        <w:t xml:space="preserve"> it works better for me because money has got to go to food and bills, if I have too much cash I get little bit silly. (CIM-LTW</w:t>
      </w:r>
      <w:r w:rsidR="00C23964">
        <w:t>PR</w:t>
      </w:r>
      <w:r w:rsidRPr="00DF38B2">
        <w:t>, non-Indigenous female living in urban area, survey response)</w:t>
      </w:r>
    </w:p>
    <w:p w:rsidR="00535C84" w:rsidRPr="00DF38B2" w:rsidRDefault="00535C84" w:rsidP="006654AE">
      <w:pPr>
        <w:ind w:left="720"/>
      </w:pPr>
      <w:r w:rsidRPr="00DF38B2">
        <w:t xml:space="preserve">Before I was income managed I used to get full cash money and I used to spend my money on grog in one hit. Never realising I had four kids to clothe and feed but at that time. I went crazy drinking and I forgot about them. My Grandparents used to looks after them for me. Now that I have been income managed and I got a BasicsCard I have changed a lot. Now my kids come first before anything and I have really slowed down drinking. It has helped me manage my money better and I am careful of what I am spending it on. Looking after </w:t>
      </w:r>
      <w:proofErr w:type="gramStart"/>
      <w:r w:rsidRPr="00DF38B2">
        <w:t>myself</w:t>
      </w:r>
      <w:proofErr w:type="gramEnd"/>
      <w:r w:rsidRPr="00DF38B2">
        <w:t>, my kids and my parents and we are all healthy and one big happy family. (CIM-LTW</w:t>
      </w:r>
      <w:r w:rsidR="00C23964">
        <w:t>PR</w:t>
      </w:r>
      <w:r w:rsidRPr="00DF38B2">
        <w:t>, Indigenous female living in remote area, survey response)</w:t>
      </w:r>
    </w:p>
    <w:p w:rsidR="00535C84" w:rsidRPr="00DF38B2" w:rsidRDefault="00535C84" w:rsidP="006654AE">
      <w:r w:rsidRPr="00DF38B2">
        <w:t>When people spoke about changes in drug and alcohol consumption in relation to income management they tended to speak about individual changes. At a community level, several people across income management types spoke of seeing limited overall change:</w:t>
      </w:r>
    </w:p>
    <w:p w:rsidR="00535C84" w:rsidRPr="00DF38B2" w:rsidRDefault="00535C84" w:rsidP="006654AE">
      <w:pPr>
        <w:ind w:left="720"/>
      </w:pPr>
      <w:r w:rsidRPr="00DF38B2">
        <w:lastRenderedPageBreak/>
        <w:t>Nah, it’s gotten really bad here. Not better at all. Still drinking and fighting going on. (V</w:t>
      </w:r>
      <w:r w:rsidR="00C23964">
        <w:t>oluntary</w:t>
      </w:r>
      <w:r w:rsidRPr="00DF38B2">
        <w:t>, Indigenous male living in urban area, interview)</w:t>
      </w:r>
    </w:p>
    <w:p w:rsidR="00535C84" w:rsidRPr="00DF38B2" w:rsidRDefault="00535C84" w:rsidP="006654AE">
      <w:pPr>
        <w:ind w:left="720"/>
      </w:pPr>
      <w:r w:rsidRPr="00DF38B2">
        <w:t>People just don’t care about their lives, they just still drink, smoke and gamble with their extra money. (</w:t>
      </w:r>
      <w:r w:rsidR="00EA6E18" w:rsidRPr="00DF38B2">
        <w:t>V</w:t>
      </w:r>
      <w:r w:rsidR="00EA6E18">
        <w:t>ulnerable</w:t>
      </w:r>
      <w:r w:rsidRPr="00DF38B2">
        <w:t>, Indigenous male living in urban area, interview)</w:t>
      </w:r>
    </w:p>
    <w:p w:rsidR="00535C84" w:rsidRPr="00DF38B2" w:rsidRDefault="00535C84" w:rsidP="006654AE">
      <w:pPr>
        <w:ind w:left="720"/>
      </w:pPr>
      <w:r w:rsidRPr="00DF38B2">
        <w:t>People still drink a lot of grog and a big problem in our camp. (CIM-DEY, Indigenous male living in urban area, survey response)</w:t>
      </w:r>
    </w:p>
    <w:p w:rsidR="00535C84" w:rsidRPr="00DF38B2" w:rsidRDefault="00535C84" w:rsidP="006654AE">
      <w:r w:rsidRPr="00DF38B2">
        <w:t>There were mixed views as to whether children in the community were experiencing a better quality of life with the introduction of income management. This appeared to depend</w:t>
      </w:r>
      <w:r w:rsidR="0053304D">
        <w:t xml:space="preserve"> to a degree</w:t>
      </w:r>
      <w:r w:rsidRPr="00DF38B2">
        <w:t xml:space="preserve"> on where people lived. In one remote community a number of people interviewed spoke of the positive changes for children with the introduction of income management:</w:t>
      </w:r>
    </w:p>
    <w:p w:rsidR="00535C84" w:rsidRPr="00DF38B2" w:rsidRDefault="00535C84" w:rsidP="006654AE">
      <w:pPr>
        <w:ind w:left="720"/>
      </w:pPr>
      <w:r w:rsidRPr="00DF38B2">
        <w:t xml:space="preserve">Better, much better. </w:t>
      </w:r>
      <w:proofErr w:type="gramStart"/>
      <w:r w:rsidRPr="00DF38B2">
        <w:t>Everybody slowing down on drinking.</w:t>
      </w:r>
      <w:proofErr w:type="gramEnd"/>
      <w:r w:rsidRPr="00DF38B2">
        <w:t xml:space="preserve"> Now they spend more on food and their kids </w:t>
      </w:r>
      <w:r w:rsidR="0053304D">
        <w:t>….</w:t>
      </w:r>
      <w:r w:rsidR="0053304D" w:rsidRPr="00DF38B2">
        <w:t xml:space="preserve"> </w:t>
      </w:r>
      <w:r w:rsidRPr="00DF38B2">
        <w:t>Our incomes go to school and the community people are trying to give their children a chance of a better life. (V</w:t>
      </w:r>
      <w:r w:rsidR="00EA6E18">
        <w:t>oluntary</w:t>
      </w:r>
      <w:r w:rsidRPr="00DF38B2">
        <w:t>, Indigenous female living in remote area, interview)</w:t>
      </w:r>
    </w:p>
    <w:p w:rsidR="00535C84" w:rsidRPr="00DF38B2" w:rsidRDefault="00535C84" w:rsidP="006654AE">
      <w:pPr>
        <w:ind w:left="720"/>
      </w:pPr>
      <w:r w:rsidRPr="00DF38B2">
        <w:t xml:space="preserve">Income </w:t>
      </w:r>
      <w:r w:rsidR="005E4CAC">
        <w:t>m</w:t>
      </w:r>
      <w:r w:rsidRPr="00DF38B2">
        <w:t>anagement has made a difference for every parent in this community. (V</w:t>
      </w:r>
      <w:r w:rsidR="00EA6E18">
        <w:t>oluntary</w:t>
      </w:r>
      <w:r w:rsidRPr="00DF38B2">
        <w:t>, Indigenous male living in remote area, interview)</w:t>
      </w:r>
    </w:p>
    <w:p w:rsidR="00535C84" w:rsidRPr="00DF38B2" w:rsidRDefault="00535C84" w:rsidP="006654AE">
      <w:r w:rsidRPr="00DF38B2">
        <w:t>In the survey, some people living in urban areas also spoke about seeing improvements for children in their local community:</w:t>
      </w:r>
    </w:p>
    <w:p w:rsidR="00535C84" w:rsidRPr="00DF38B2" w:rsidRDefault="00535C84" w:rsidP="006654AE">
      <w:pPr>
        <w:ind w:left="720"/>
      </w:pPr>
      <w:r w:rsidRPr="00DF38B2">
        <w:t>Kids are going to school; mothers are doing big shops for food and clothing, that’s all I can say. It’s good. (V</w:t>
      </w:r>
      <w:r w:rsidR="00EA6E18">
        <w:t>oluntary</w:t>
      </w:r>
      <w:r w:rsidRPr="00DF38B2">
        <w:t>, non-Indigenous male living in urban area, survey response)</w:t>
      </w:r>
    </w:p>
    <w:p w:rsidR="00535C84" w:rsidRPr="00DF38B2" w:rsidRDefault="00535C84" w:rsidP="006654AE">
      <w:pPr>
        <w:ind w:left="720"/>
      </w:pPr>
      <w:r w:rsidRPr="00DF38B2">
        <w:t>Our camp is a family camp we encourage, support and look after all kids here. (Exited, Indigenous female living in urban area, survey response)</w:t>
      </w:r>
    </w:p>
    <w:p w:rsidR="00535C84" w:rsidRPr="00DF38B2" w:rsidRDefault="00535C84" w:rsidP="006654AE">
      <w:r w:rsidRPr="00DF38B2">
        <w:t xml:space="preserve">However, in other locations people’s views were more mixed relating to potential benefits for children. People spoke about ongoing issues with drug and alcohol use and violence within their local community, with some people feeling that income management had helped </w:t>
      </w:r>
      <w:r w:rsidR="00760D13">
        <w:t xml:space="preserve">to </w:t>
      </w:r>
      <w:r w:rsidRPr="00DF38B2">
        <w:t>mitigate some of these issues</w:t>
      </w:r>
      <w:r w:rsidR="00760D13">
        <w:t>,</w:t>
      </w:r>
      <w:r w:rsidRPr="00DF38B2">
        <w:t xml:space="preserve"> and others feeling income management had resulted in limited change for children: </w:t>
      </w:r>
    </w:p>
    <w:p w:rsidR="00535C84" w:rsidRPr="00DF38B2" w:rsidRDefault="00535C84" w:rsidP="006654AE">
      <w:pPr>
        <w:ind w:left="720"/>
      </w:pPr>
      <w:r w:rsidRPr="00DF38B2">
        <w:t xml:space="preserve">Most people look after their kids and all that other stuff. Others spend their money on kava/drugs. </w:t>
      </w:r>
      <w:proofErr w:type="gramStart"/>
      <w:r w:rsidRPr="00DF38B2">
        <w:t>They the ones who should be on income management.</w:t>
      </w:r>
      <w:proofErr w:type="gramEnd"/>
      <w:r w:rsidRPr="00DF38B2">
        <w:t xml:space="preserve"> Most of us are decent people. (Senior elder, remote area, interview)</w:t>
      </w:r>
    </w:p>
    <w:p w:rsidR="00535C84" w:rsidRPr="00DF38B2" w:rsidRDefault="00535C84" w:rsidP="006654AE">
      <w:pPr>
        <w:ind w:left="720"/>
      </w:pPr>
      <w:r w:rsidRPr="00DF38B2">
        <w:t>Some kids are healthier but most are not. It depends on the home environment if it</w:t>
      </w:r>
      <w:r w:rsidR="00760D13">
        <w:t>’</w:t>
      </w:r>
      <w:r w:rsidRPr="00DF38B2">
        <w:t>s stable or not, if the parents are alcoholics or drug addicts. (Exempt, Indigenous female living in urban area, survey response)</w:t>
      </w:r>
    </w:p>
    <w:p w:rsidR="00535C84" w:rsidRPr="00DF38B2" w:rsidRDefault="00535C84" w:rsidP="006654AE">
      <w:pPr>
        <w:ind w:left="720"/>
      </w:pPr>
      <w:r w:rsidRPr="00DF38B2">
        <w:t>Kids are getting less food because parents are drinking and smoking more, and the carbon tax has pushed up the price of food, kids are less happier because of the drugs problem which is causing more suicides and they are not happy with what we are offering with the electronic pacifications. There are less cultural activities because the parents are just permanently drunk all the time. (Exited, non-Indigenous female living in urban area, survey response)</w:t>
      </w:r>
    </w:p>
    <w:p w:rsidR="00535C84" w:rsidRPr="00DF38B2" w:rsidRDefault="00535C84" w:rsidP="006654AE">
      <w:r w:rsidRPr="00DF38B2">
        <w:t xml:space="preserve">In the survey, participants were asked to comment on what had changed for children in the community. Participants mentioned a broad range of different issues that had impacted on the wellbeing of children, </w:t>
      </w:r>
      <w:r w:rsidR="00C210E0">
        <w:t>which as discussed below largely did not</w:t>
      </w:r>
      <w:r w:rsidRPr="00DF38B2">
        <w:t xml:space="preserve"> </w:t>
      </w:r>
      <w:r w:rsidR="00C210E0">
        <w:t>relate</w:t>
      </w:r>
      <w:r w:rsidRPr="00DF38B2">
        <w:t xml:space="preserve"> directly to income management. Issues described by participants included a reduction in cultural activities, varying levels of parental involvement, the quality of food being consumed, reduced school attendance, drug use and boredom. As people noted:</w:t>
      </w:r>
    </w:p>
    <w:p w:rsidR="00535C84" w:rsidRPr="00DF38B2" w:rsidRDefault="00535C84" w:rsidP="006654AE">
      <w:pPr>
        <w:ind w:left="720"/>
      </w:pPr>
      <w:r w:rsidRPr="00DF38B2">
        <w:t xml:space="preserve">Kids are bored, </w:t>
      </w:r>
      <w:r w:rsidR="00212938" w:rsidRPr="00DF38B2">
        <w:t>‘</w:t>
      </w:r>
      <w:proofErr w:type="gramStart"/>
      <w:r w:rsidRPr="00DF38B2">
        <w:t>cause</w:t>
      </w:r>
      <w:proofErr w:type="gramEnd"/>
      <w:r w:rsidRPr="00DF38B2">
        <w:t xml:space="preserve"> they’re too into drugs. You speak to 90 per cent of the kids these days and there doing weed. And they are eating more junk food these days. (Exempt, non-Indigenous female living in urban area, survey response)</w:t>
      </w:r>
    </w:p>
    <w:p w:rsidR="00535C84" w:rsidRPr="00DF38B2" w:rsidRDefault="00535C84" w:rsidP="006654AE">
      <w:pPr>
        <w:ind w:left="720"/>
      </w:pPr>
      <w:r w:rsidRPr="00DF38B2">
        <w:lastRenderedPageBreak/>
        <w:t>They get more food but it is unhealthy and they go to school less because they think they can do what they want and they need more cultural activities. (CIM-DEY, Indigenous female living in urban area, survey response)</w:t>
      </w:r>
    </w:p>
    <w:p w:rsidR="00535C84" w:rsidRPr="00DF38B2" w:rsidRDefault="00535C84" w:rsidP="006654AE">
      <w:pPr>
        <w:ind w:left="720"/>
      </w:pPr>
      <w:r w:rsidRPr="00DF38B2">
        <w:t>Less healthy because their parents aren</w:t>
      </w:r>
      <w:r w:rsidR="00760D13">
        <w:t>’</w:t>
      </w:r>
      <w:r w:rsidRPr="00DF38B2">
        <w:t>t spending their money where they should be. Parents are spending their money on more junk food and aren</w:t>
      </w:r>
      <w:r w:rsidR="00760D13">
        <w:t>’</w:t>
      </w:r>
      <w:r w:rsidRPr="00DF38B2">
        <w:t>t feeding their kids healthy food. And you can spend money at the corner shops now</w:t>
      </w:r>
      <w:r w:rsidR="00A1421A">
        <w:t xml:space="preserve">. </w:t>
      </w:r>
      <w:r w:rsidRPr="00DF38B2">
        <w:t>Because the parents are drunks and the kids are up until all hours of the night. (Exempt, non-Indigenous female living in urban area, survey response)</w:t>
      </w:r>
    </w:p>
    <w:p w:rsidR="00C210E0" w:rsidRDefault="00C210E0" w:rsidP="006654AE">
      <w:r>
        <w:t xml:space="preserve">While most of the 500 responses to this aspect of the survey did not cite income management a considerable proportion (around 100 – some 20 per cent) either explicitly mentioned income management as a factor or made references which are likely to refer to income management. Most of these were positive although frequently they said little more than “BasicsCard had made a big change” or </w:t>
      </w:r>
      <w:proofErr w:type="gramStart"/>
      <w:r>
        <w:t>“ more</w:t>
      </w:r>
      <w:proofErr w:type="gramEnd"/>
      <w:r>
        <w:t xml:space="preserve"> food money”. Some of the more detailed comments included:</w:t>
      </w:r>
    </w:p>
    <w:p w:rsidR="00C210E0" w:rsidRDefault="00C210E0" w:rsidP="006654AE">
      <w:pPr>
        <w:pStyle w:val="Quote2"/>
      </w:pPr>
      <w:r>
        <w:t xml:space="preserve">Because of BasicsCard they are healthier and they get more food and parents take their kids to school more. </w:t>
      </w:r>
      <w:r w:rsidR="00EA6E18">
        <w:t>‘</w:t>
      </w:r>
      <w:r>
        <w:t>Cause when we didn't have basics card people would gamble and drink and smoke all their money away.</w:t>
      </w:r>
      <w:r w:rsidR="005D1CC5">
        <w:t xml:space="preserve"> </w:t>
      </w:r>
      <w:r>
        <w:t>(CIM, Indigenous woman living in remote community)</w:t>
      </w:r>
    </w:p>
    <w:p w:rsidR="00C210E0" w:rsidRDefault="00C210E0" w:rsidP="006654AE">
      <w:pPr>
        <w:pStyle w:val="Quote2"/>
      </w:pPr>
      <w:r>
        <w:t xml:space="preserve">Kids are attending school a lot </w:t>
      </w:r>
      <w:proofErr w:type="gramStart"/>
      <w:r>
        <w:t>more ,because</w:t>
      </w:r>
      <w:proofErr w:type="gramEnd"/>
      <w:r>
        <w:t xml:space="preserve"> mothers are making sure there is food ,clothing and other essentials that is needed.</w:t>
      </w:r>
      <w:r w:rsidR="000C4773">
        <w:t xml:space="preserve"> A</w:t>
      </w:r>
      <w:r>
        <w:t>ll I can say is that the basics card has helped in these areas. (CIM, Indigenous woman living in urban area)</w:t>
      </w:r>
    </w:p>
    <w:p w:rsidR="00C210E0" w:rsidRDefault="00C210E0" w:rsidP="006654AE">
      <w:pPr>
        <w:pStyle w:val="Quote2"/>
      </w:pPr>
      <w:r>
        <w:t xml:space="preserve">I think when all the parents especially young ones are all on that </w:t>
      </w:r>
      <w:r w:rsidR="005E4CAC">
        <w:t>income management</w:t>
      </w:r>
      <w:r>
        <w:t xml:space="preserve"> it stopped them and settled them right out. (VIM, Indigenous man living in remote community)</w:t>
      </w:r>
    </w:p>
    <w:p w:rsidR="00C210E0" w:rsidRDefault="00C210E0" w:rsidP="006654AE">
      <w:r>
        <w:t>Some cite both income management and other factors as being important to child outcomes in the community in which they live:</w:t>
      </w:r>
    </w:p>
    <w:p w:rsidR="00C210E0" w:rsidRDefault="00C210E0" w:rsidP="006654AE">
      <w:pPr>
        <w:pStyle w:val="Quote2"/>
      </w:pPr>
      <w:r>
        <w:t>Food wise you got basics card that and school wise you got school programs that help get the kids to school welfare has opened the eyes of parents considering the parenting of the kids in the community. (CIM, Indigenous woman living in town camp)</w:t>
      </w:r>
    </w:p>
    <w:p w:rsidR="00C210E0" w:rsidRDefault="00C210E0" w:rsidP="006654AE">
      <w:pPr>
        <w:pStyle w:val="Quote2"/>
      </w:pPr>
      <w:r>
        <w:t>Kids are going to school more and education has been a big priority. The kids have been able to learn the white fella way and their own way. Having income management makes families more responsible for looking after kids. (CIM, Indigenous woman living in remote community)</w:t>
      </w:r>
    </w:p>
    <w:p w:rsidR="00C210E0" w:rsidRDefault="00C210E0" w:rsidP="006654AE">
      <w:r>
        <w:t xml:space="preserve">Others however say </w:t>
      </w:r>
      <w:r w:rsidR="00CC7910">
        <w:t xml:space="preserve">income management </w:t>
      </w:r>
      <w:r>
        <w:t>as impacting on children in the community in a negative way:</w:t>
      </w:r>
    </w:p>
    <w:p w:rsidR="00C210E0" w:rsidRDefault="00CC7910" w:rsidP="006654AE">
      <w:pPr>
        <w:pStyle w:val="Quote2"/>
      </w:pPr>
      <w:r>
        <w:t xml:space="preserve">Income management </w:t>
      </w:r>
      <w:r w:rsidR="00C210E0">
        <w:t>is being forced on to people. This has created more of an issue where people can't give money as a family obligation and this means there is more stress in the community and can results crime, unhappiness, and less safety. (</w:t>
      </w:r>
      <w:proofErr w:type="gramStart"/>
      <w:r w:rsidR="00C210E0">
        <w:t>ex-CIM</w:t>
      </w:r>
      <w:proofErr w:type="gramEnd"/>
      <w:r w:rsidR="00C210E0">
        <w:t>, Non-Indigenous woman in urban area, survey response)</w:t>
      </w:r>
    </w:p>
    <w:p w:rsidR="00535C84" w:rsidRPr="00DF38B2" w:rsidRDefault="00C210E0" w:rsidP="006654AE">
      <w:r>
        <w:t>Elsewhere in the survey in response to direct specific questions about the impact of income management</w:t>
      </w:r>
      <w:r w:rsidR="005D1CC5">
        <w:t xml:space="preserve"> </w:t>
      </w:r>
      <w:r>
        <w:t>the issue of children was raised by a</w:t>
      </w:r>
      <w:r w:rsidR="00535C84" w:rsidRPr="00DF38B2">
        <w:t xml:space="preserve"> small number of people </w:t>
      </w:r>
      <w:r w:rsidR="002C2E8A">
        <w:t xml:space="preserve">who </w:t>
      </w:r>
      <w:r w:rsidR="00535C84" w:rsidRPr="00DF38B2">
        <w:t>mentioned that being on income management had resulted in additional difficulties as parents. A couple spoke of conflict arising within the family because the children did not understand why they were not able to receive spending money from their parents, and others spoke of not being able to afford specific items or activities, such as having a family meal out together. These difficulties related to having insufficient discretionary funds available to make these sorts of choices. As people explained:</w:t>
      </w:r>
    </w:p>
    <w:p w:rsidR="00535C84" w:rsidRPr="00DF38B2" w:rsidRDefault="00535C84" w:rsidP="006654AE">
      <w:pPr>
        <w:ind w:left="720"/>
      </w:pPr>
      <w:r w:rsidRPr="00DF38B2">
        <w:t>You can</w:t>
      </w:r>
      <w:r w:rsidR="00760D13">
        <w:t>’</w:t>
      </w:r>
      <w:r w:rsidRPr="00DF38B2">
        <w:t>t do much on BasicsCard and income management. You can</w:t>
      </w:r>
      <w:r w:rsidR="00760D13">
        <w:t>’</w:t>
      </w:r>
      <w:r w:rsidRPr="00DF38B2">
        <w:t>t take kids to the cinema and Darwin show don</w:t>
      </w:r>
      <w:r w:rsidR="00760D13">
        <w:t>’</w:t>
      </w:r>
      <w:r w:rsidRPr="00DF38B2">
        <w:t xml:space="preserve">t use it and </w:t>
      </w:r>
      <w:proofErr w:type="spellStart"/>
      <w:r w:rsidRPr="00DF38B2">
        <w:t>Mindil</w:t>
      </w:r>
      <w:proofErr w:type="spellEnd"/>
      <w:r w:rsidRPr="00DF38B2">
        <w:t xml:space="preserve"> Beach market don</w:t>
      </w:r>
      <w:r w:rsidR="00760D13">
        <w:t>’</w:t>
      </w:r>
      <w:r w:rsidRPr="00DF38B2">
        <w:t>t use it and even just to sit down and eat in the eatery you can</w:t>
      </w:r>
      <w:r w:rsidR="00760D13">
        <w:t>’</w:t>
      </w:r>
      <w:r w:rsidRPr="00DF38B2">
        <w:t>t use the BasicsCard. (CIM-LTW</w:t>
      </w:r>
      <w:r w:rsidR="00EA6E18">
        <w:t>PR</w:t>
      </w:r>
      <w:r w:rsidRPr="00DF38B2">
        <w:t>, Indigenous female living in urban area, survey response)</w:t>
      </w:r>
    </w:p>
    <w:p w:rsidR="00535C84" w:rsidRPr="00DF38B2" w:rsidRDefault="00535C84" w:rsidP="006654AE">
      <w:pPr>
        <w:ind w:left="720"/>
      </w:pPr>
      <w:r w:rsidRPr="00DF38B2">
        <w:t>Well I’m getting more frustrated and if the kids need new school uniforms and books and I can’t buy them because schools don’t take BasicsCard. (CIM-LTW</w:t>
      </w:r>
      <w:r w:rsidR="00EA6E18">
        <w:t>PR</w:t>
      </w:r>
      <w:r w:rsidRPr="00DF38B2">
        <w:t>, non-Indigenous female living in urban area, survey response)</w:t>
      </w:r>
    </w:p>
    <w:p w:rsidR="00535C84" w:rsidRPr="00DF38B2" w:rsidRDefault="00535C84" w:rsidP="006654AE">
      <w:pPr>
        <w:pStyle w:val="Heading3"/>
      </w:pPr>
      <w:bookmarkStart w:id="477" w:name="_Toc403739085"/>
      <w:r w:rsidRPr="00DF38B2">
        <w:lastRenderedPageBreak/>
        <w:t>Comparison sites</w:t>
      </w:r>
      <w:bookmarkEnd w:id="477"/>
    </w:p>
    <w:p w:rsidR="00535C84" w:rsidRPr="00DF38B2" w:rsidRDefault="00535C84" w:rsidP="006654AE">
      <w:r w:rsidRPr="00DF38B2">
        <w:t>A total of six interviews were conducted in the remote comparison sites for the Longitudinal Survey of New Income Management. Voluntary Income Management had been introduced in these communities since the First Evaluation Report. Interviews were conducted with a range of people, including two community members, two people who had commenced income management</w:t>
      </w:r>
      <w:r w:rsidR="00760D13">
        <w:t>,</w:t>
      </w:r>
      <w:r w:rsidRPr="00DF38B2">
        <w:t xml:space="preserve"> and two people who wished to commence income management. These interviews were conducted at the request of the participants. </w:t>
      </w:r>
    </w:p>
    <w:p w:rsidR="00535C84" w:rsidRPr="00DF38B2" w:rsidRDefault="00535C84" w:rsidP="006654AE">
      <w:r w:rsidRPr="00DF38B2">
        <w:t xml:space="preserve">The community members interviewed expressed some concern about how Voluntary Income Management had been explained by </w:t>
      </w:r>
      <w:r w:rsidR="00BA4E03">
        <w:t>DSS</w:t>
      </w:r>
      <w:r w:rsidR="007E5C25">
        <w:t xml:space="preserve"> </w:t>
      </w:r>
      <w:r w:rsidRPr="00DF38B2">
        <w:t xml:space="preserve">(then FaHCSIA) and </w:t>
      </w:r>
      <w:r w:rsidR="00060511">
        <w:t>DHS</w:t>
      </w:r>
      <w:r w:rsidRPr="00DF38B2">
        <w:t xml:space="preserve"> staff who had visited the community prior to the commencement of the program. Both felt that undue emphasis was placed on unrealistic long</w:t>
      </w:r>
      <w:r w:rsidR="00760D13">
        <w:t>-</w:t>
      </w:r>
      <w:r w:rsidRPr="00DF38B2">
        <w:t>term benefits of income management, such as being supported in accruing funds to purchase a car or to take a holiday, without sufficient information as to how this would be possible</w:t>
      </w:r>
      <w:r w:rsidR="00760D13">
        <w:t>:</w:t>
      </w:r>
    </w:p>
    <w:p w:rsidR="00535C84" w:rsidRPr="00DF38B2" w:rsidRDefault="00535C84" w:rsidP="006654AE">
      <w:pPr>
        <w:ind w:left="720"/>
      </w:pPr>
      <w:r w:rsidRPr="00DF38B2">
        <w:t>FaHCSIA staff visited the community and told people about the card. They explained that people would be able to buy cars and go on holidays. In my opinion the Centrelink staff didn’t place enough emphasis on the fact that the cars would be paid for via people saving some of their Centrelink payment. Some residents believed that Centrelink might buy them a car (Community member working in a remote area)</w:t>
      </w:r>
    </w:p>
    <w:p w:rsidR="00535C84" w:rsidRPr="00DF38B2" w:rsidRDefault="00535C84" w:rsidP="006654AE">
      <w:pPr>
        <w:ind w:left="720"/>
      </w:pPr>
      <w:r w:rsidRPr="00DF38B2">
        <w:t>I watched Centrelink people talking to people about the BasicsCard. They said things like ‘you will be able to get a car, have a holiday’. They said that just to get people to sign up. It was shocking</w:t>
      </w:r>
      <w:r w:rsidR="00760D13">
        <w:t>.</w:t>
      </w:r>
      <w:r w:rsidRPr="00DF38B2">
        <w:t xml:space="preserve"> (Community member working in a remote area)</w:t>
      </w:r>
    </w:p>
    <w:p w:rsidR="00535C84" w:rsidRPr="00DF38B2" w:rsidRDefault="00535C84" w:rsidP="006654AE">
      <w:r w:rsidRPr="00DF38B2">
        <w:t>One of the community members felt that the local community office should have been tasked with explaining Voluntary Income Management</w:t>
      </w:r>
      <w:r w:rsidR="00760D13">
        <w:t>,</w:t>
      </w:r>
      <w:r w:rsidRPr="00DF38B2">
        <w:t xml:space="preserve"> as the local office has an understanding of the community and the systems within the community.</w:t>
      </w:r>
    </w:p>
    <w:p w:rsidR="00535C84" w:rsidRPr="00DF38B2" w:rsidRDefault="00535C84" w:rsidP="006654AE">
      <w:r w:rsidRPr="00DF38B2">
        <w:t>The people interviewed who had recently commenced income management, or who were hoping to commence income management in the near future, spoke of the benefits of income management. These were similar to those described by people living in remote communities in the Northern Territory</w:t>
      </w:r>
      <w:r w:rsidR="00760D13">
        <w:t>,</w:t>
      </w:r>
      <w:r w:rsidRPr="00DF38B2">
        <w:t xml:space="preserve"> and included additional protection from financial exploitation</w:t>
      </w:r>
      <w:r w:rsidR="00760D13">
        <w:t>,</w:t>
      </w:r>
      <w:r w:rsidRPr="00DF38B2">
        <w:t xml:space="preserve"> and structured assistance to ensure that money was available across the pay period. </w:t>
      </w:r>
    </w:p>
    <w:p w:rsidR="00535C84" w:rsidRPr="00DF38B2" w:rsidRDefault="00535C84" w:rsidP="006654AE">
      <w:pPr>
        <w:ind w:left="720"/>
      </w:pPr>
      <w:r w:rsidRPr="00DF38B2">
        <w:t>Being on the BasicsCard has been good for managing my money. I can make it last further. I spend a little bit every few days, and then I’ve still got some left till the payday (V</w:t>
      </w:r>
      <w:r w:rsidR="00EA6E18">
        <w:t>oluntary</w:t>
      </w:r>
      <w:r w:rsidRPr="00DF38B2">
        <w:t>, Indigenous female living in remote area)</w:t>
      </w:r>
    </w:p>
    <w:p w:rsidR="00535C84" w:rsidRPr="00DF38B2" w:rsidRDefault="00535C84" w:rsidP="006654AE">
      <w:pPr>
        <w:ind w:left="720"/>
      </w:pPr>
      <w:r w:rsidRPr="00DF38B2">
        <w:t xml:space="preserve">I’m not on the BasicsCard. I’m trying to get on so that I can save some of my money. They have told me I have to wait. I want to be on it because I am really sick of the humbug I get. I used to work, but as soon as I got paid everyone wanted my money </w:t>
      </w:r>
      <w:r w:rsidR="00760D13">
        <w:t>….</w:t>
      </w:r>
      <w:r w:rsidR="00760D13" w:rsidRPr="00DF38B2">
        <w:t xml:space="preserve"> </w:t>
      </w:r>
      <w:r w:rsidRPr="00DF38B2">
        <w:t>It’s hard to manage your money. Mine goes like its water. That’s why I want to go on the BasicsCard. Everyone should go on so that they can learn to manage their money (Indigenous male living in remote area).</w:t>
      </w:r>
    </w:p>
    <w:p w:rsidR="00FE1A6A" w:rsidRDefault="00535C84" w:rsidP="006654AE">
      <w:r w:rsidRPr="00DF38B2">
        <w:t xml:space="preserve">Few people from the remote comparison sites who participated in the survey provided additional comments, except </w:t>
      </w:r>
      <w:r w:rsidR="00760D13">
        <w:t xml:space="preserve">in </w:t>
      </w:r>
      <w:r w:rsidRPr="00DF38B2">
        <w:t>relati</w:t>
      </w:r>
      <w:r w:rsidR="00760D13">
        <w:t>on</w:t>
      </w:r>
      <w:r w:rsidRPr="00DF38B2">
        <w:t xml:space="preserve"> to the question of what had contributed to change for children in the community. Most survey participants provided a comment to this question</w:t>
      </w:r>
      <w:r w:rsidR="006E4460">
        <w:t>,</w:t>
      </w:r>
      <w:r w:rsidRPr="00DF38B2">
        <w:t xml:space="preserve"> with half mentioning the opening of a youth centre, and </w:t>
      </w:r>
      <w:r w:rsidR="006E4460">
        <w:t xml:space="preserve">the </w:t>
      </w:r>
      <w:r w:rsidRPr="00DF38B2">
        <w:t>subsequent increase in youth and cultural activities. A smaller number spoke of the benefits of income management in terms of ensuring regular access to food.</w:t>
      </w:r>
    </w:p>
    <w:p w:rsidR="00963F11" w:rsidRDefault="00963F11" w:rsidP="006654AE">
      <w:pPr>
        <w:spacing w:line="276" w:lineRule="auto"/>
        <w:jc w:val="left"/>
      </w:pPr>
      <w:r>
        <w:br w:type="page"/>
      </w:r>
    </w:p>
    <w:p w:rsidR="00535C84" w:rsidRPr="00DF38B2" w:rsidRDefault="00535C84" w:rsidP="006654AE">
      <w:pPr>
        <w:sectPr w:rsidR="00535C84" w:rsidRPr="00DF38B2" w:rsidSect="00285084">
          <w:headerReference w:type="even" r:id="rId138"/>
          <w:headerReference w:type="default" r:id="rId139"/>
          <w:footerReference w:type="even" r:id="rId140"/>
          <w:footerReference w:type="default" r:id="rId141"/>
          <w:headerReference w:type="first" r:id="rId142"/>
          <w:footerReference w:type="first" r:id="rId143"/>
          <w:pgSz w:w="11906" w:h="16838" w:code="9"/>
          <w:pgMar w:top="1247" w:right="1701" w:bottom="1134" w:left="1871" w:header="567" w:footer="340" w:gutter="0"/>
          <w:cols w:space="708"/>
          <w:titlePg/>
          <w:docGrid w:linePitch="360"/>
        </w:sectPr>
      </w:pPr>
      <w:r w:rsidRPr="00DF38B2">
        <w:lastRenderedPageBreak/>
        <w:t xml:space="preserve"> </w:t>
      </w:r>
    </w:p>
    <w:p w:rsidR="00535C84" w:rsidRPr="00DF38B2" w:rsidRDefault="00535C84" w:rsidP="004F3A3D">
      <w:pPr>
        <w:pStyle w:val="Heading1"/>
      </w:pPr>
      <w:bookmarkStart w:id="478" w:name="_Toc403739086"/>
      <w:r w:rsidRPr="00DF38B2">
        <w:lastRenderedPageBreak/>
        <w:t>The broader impacts of income management</w:t>
      </w:r>
      <w:bookmarkEnd w:id="478"/>
    </w:p>
    <w:p w:rsidR="00535C84" w:rsidRPr="00DF38B2" w:rsidRDefault="00535C84" w:rsidP="00F42BEE">
      <w:pPr>
        <w:pStyle w:val="Heading2"/>
        <w:spacing w:before="1140"/>
        <w:ind w:left="855" w:hanging="855"/>
      </w:pPr>
      <w:bookmarkStart w:id="479" w:name="_Toc403739087"/>
      <w:r w:rsidRPr="00DF38B2">
        <w:t>Introduction</w:t>
      </w:r>
      <w:bookmarkEnd w:id="479"/>
    </w:p>
    <w:p w:rsidR="00535C84" w:rsidRPr="00DF38B2" w:rsidRDefault="00535C84" w:rsidP="006654AE">
      <w:r w:rsidRPr="00DF38B2">
        <w:t>Income management has always been designed as a community level as well as an individual</w:t>
      </w:r>
      <w:r w:rsidR="004F77DE">
        <w:t>-</w:t>
      </w:r>
      <w:r w:rsidRPr="00DF38B2">
        <w:t>level intervention</w:t>
      </w:r>
      <w:r w:rsidR="00A1421A">
        <w:t xml:space="preserve">. </w:t>
      </w:r>
      <w:r w:rsidRPr="00DF38B2">
        <w:t>As such it is expected to produce positive impacts upon a substantial proportion of those who are subject to the measure</w:t>
      </w:r>
      <w:r w:rsidR="004F77DE">
        <w:t>,</w:t>
      </w:r>
      <w:r w:rsidRPr="00DF38B2">
        <w:t xml:space="preserve"> as well as </w:t>
      </w:r>
      <w:r w:rsidR="006960EE">
        <w:t>the communities in which they live</w:t>
      </w:r>
      <w:r w:rsidR="00A1421A">
        <w:t xml:space="preserve">. </w:t>
      </w:r>
      <w:r w:rsidRPr="00DF38B2">
        <w:t>Thus it should contribute to improvements in a range of aggregate outcomes for the Northern Territory. As outlined in the Evaluation Framework, areas in which the program logic suggests that income management is expected to have an impact include child developmental outcomes and protection, school enrolments and attendance, alcohol and tobacco consumption, alcohol</w:t>
      </w:r>
      <w:r w:rsidR="004F77DE">
        <w:t>-</w:t>
      </w:r>
      <w:r w:rsidRPr="00DF38B2">
        <w:t>related harm, incarceration rates</w:t>
      </w:r>
      <w:r w:rsidR="004F77DE">
        <w:t>,</w:t>
      </w:r>
      <w:r w:rsidRPr="00DF38B2">
        <w:t xml:space="preserve"> and gambling.</w:t>
      </w:r>
      <w:r w:rsidRPr="00DF38B2">
        <w:rPr>
          <w:rStyle w:val="FootnoteReference"/>
        </w:rPr>
        <w:footnoteReference w:id="127"/>
      </w:r>
      <w:r w:rsidRPr="00DF38B2">
        <w:t xml:space="preserve"> </w:t>
      </w:r>
    </w:p>
    <w:p w:rsidR="00535C84" w:rsidRPr="00DF38B2" w:rsidRDefault="00535C84" w:rsidP="006654AE">
      <w:pPr>
        <w:rPr>
          <w:rFonts w:cs="Times New Roman"/>
        </w:rPr>
      </w:pPr>
      <w:r w:rsidRPr="00FE502F">
        <w:rPr>
          <w:rFonts w:cs="Times New Roman"/>
        </w:rPr>
        <w:t xml:space="preserve">The approach taken in this chapter is to examine aggregate measures of relevant indicators at the Northern Territory level and where data allow, at the regional </w:t>
      </w:r>
      <w:r w:rsidRPr="009655C3">
        <w:rPr>
          <w:rFonts w:cs="Times New Roman"/>
        </w:rPr>
        <w:t>level for a time period spanning the introduction of income management until the present. Because New Income Management replaced an earlier form of income management (</w:t>
      </w:r>
      <w:r w:rsidR="005E4CAC">
        <w:rPr>
          <w:rFonts w:cs="Times New Roman"/>
        </w:rPr>
        <w:t>NTER</w:t>
      </w:r>
      <w:r w:rsidRPr="009655C3">
        <w:rPr>
          <w:rFonts w:cs="Times New Roman"/>
        </w:rPr>
        <w:t xml:space="preserve"> Income Management), as documented in Chapter </w:t>
      </w:r>
      <w:r w:rsidRPr="00DF38B2">
        <w:rPr>
          <w:rFonts w:cs="Times New Roman"/>
        </w:rPr>
        <w:t>4</w:t>
      </w:r>
      <w:r w:rsidR="004F77DE">
        <w:rPr>
          <w:rFonts w:cs="Times New Roman"/>
        </w:rPr>
        <w:t>,</w:t>
      </w:r>
      <w:r w:rsidRPr="00DF38B2">
        <w:rPr>
          <w:rFonts w:cs="Times New Roman"/>
        </w:rPr>
        <w:t xml:space="preserve"> a substantial portion of those on New Income Management since the second half of 2010 had already been subject to income management for some time. Thus the approach taken in this analysis is to consider, wherever data </w:t>
      </w:r>
      <w:r w:rsidR="004F77DE">
        <w:rPr>
          <w:rFonts w:cs="Times New Roman"/>
        </w:rPr>
        <w:t>are</w:t>
      </w:r>
      <w:r w:rsidRPr="00DF38B2">
        <w:rPr>
          <w:rFonts w:cs="Times New Roman"/>
        </w:rPr>
        <w:t xml:space="preserve"> available, time periods before the NTER and the introduction </w:t>
      </w:r>
      <w:r w:rsidR="004F77DE">
        <w:rPr>
          <w:rFonts w:cs="Times New Roman"/>
        </w:rPr>
        <w:t xml:space="preserve">of </w:t>
      </w:r>
      <w:r w:rsidRPr="00DF38B2">
        <w:rPr>
          <w:rFonts w:cs="Times New Roman"/>
        </w:rPr>
        <w:t xml:space="preserve">NTER Income Management. Wherever possible the patterns are examined separately for Indigenous and non-Indigenous </w:t>
      </w:r>
      <w:r w:rsidR="006960EE">
        <w:rPr>
          <w:rFonts w:cs="Times New Roman"/>
        </w:rPr>
        <w:t>people</w:t>
      </w:r>
      <w:r w:rsidRPr="00DF38B2">
        <w:rPr>
          <w:rFonts w:cs="Times New Roman"/>
        </w:rPr>
        <w:t xml:space="preserve">. This is because the vast majority of those subject to income management are Indigenous (see Chapter 4) and therefore aggregate impacts of income management are more likely to be experienced by the Indigenous community. In addition, where the available data allow, the outcomes of Indigenous and non-Indigenous </w:t>
      </w:r>
      <w:r w:rsidR="006960EE">
        <w:rPr>
          <w:rFonts w:cs="Times New Roman"/>
        </w:rPr>
        <w:t>people</w:t>
      </w:r>
      <w:r w:rsidR="006960EE" w:rsidRPr="00DF38B2">
        <w:rPr>
          <w:rFonts w:cs="Times New Roman"/>
        </w:rPr>
        <w:t xml:space="preserve"> </w:t>
      </w:r>
      <w:r w:rsidRPr="00DF38B2">
        <w:rPr>
          <w:rFonts w:cs="Times New Roman"/>
        </w:rPr>
        <w:t xml:space="preserve">in the Northern Territory are compared to </w:t>
      </w:r>
      <w:r w:rsidR="006960EE">
        <w:rPr>
          <w:rFonts w:cs="Times New Roman"/>
        </w:rPr>
        <w:t>people</w:t>
      </w:r>
      <w:r w:rsidR="006960EE" w:rsidRPr="00DF38B2">
        <w:rPr>
          <w:rFonts w:cs="Times New Roman"/>
        </w:rPr>
        <w:t xml:space="preserve"> </w:t>
      </w:r>
      <w:r w:rsidRPr="00DF38B2">
        <w:rPr>
          <w:rFonts w:cs="Times New Roman"/>
        </w:rPr>
        <w:t xml:space="preserve">outside the Northern Territory in order to try and identify whether any changes in the Northern Territory are Northern Territory specific or more general. </w:t>
      </w:r>
    </w:p>
    <w:p w:rsidR="00535C84" w:rsidRPr="00DF38B2" w:rsidRDefault="00535C84" w:rsidP="006654AE">
      <w:pPr>
        <w:rPr>
          <w:rFonts w:cs="Times New Roman"/>
        </w:rPr>
      </w:pPr>
      <w:r w:rsidRPr="00DF38B2">
        <w:rPr>
          <w:rFonts w:cs="Times New Roman"/>
        </w:rPr>
        <w:t>As has been detailed in Chapter 2</w:t>
      </w:r>
      <w:r w:rsidR="001C6AD0">
        <w:rPr>
          <w:rFonts w:cs="Times New Roman"/>
        </w:rPr>
        <w:t>,</w:t>
      </w:r>
      <w:r w:rsidRPr="00DF38B2">
        <w:rPr>
          <w:rFonts w:cs="Times New Roman"/>
        </w:rPr>
        <w:t xml:space="preserve"> income management is not the only policy operating in these fields. There have also been large investments in child health and in education, and a marked expansion of law enforcement, as well as actions such as the placement of Government Business Managers in communities to ensure that programs are more effective and appropriate to local needs</w:t>
      </w:r>
      <w:r w:rsidR="00A1421A">
        <w:rPr>
          <w:rFonts w:cs="Times New Roman"/>
        </w:rPr>
        <w:t xml:space="preserve">. </w:t>
      </w:r>
      <w:r w:rsidRPr="00DF38B2">
        <w:rPr>
          <w:rFonts w:cs="Times New Roman"/>
        </w:rPr>
        <w:t xml:space="preserve">All of these should also have positive impacts on aspects of outcomes we are considering here. A consequence of this is that to the extent </w:t>
      </w:r>
      <w:r w:rsidR="001C6AD0">
        <w:rPr>
          <w:rFonts w:cs="Times New Roman"/>
        </w:rPr>
        <w:t xml:space="preserve">that </w:t>
      </w:r>
      <w:r w:rsidRPr="00DF38B2">
        <w:rPr>
          <w:rFonts w:cs="Times New Roman"/>
        </w:rPr>
        <w:t>there are changes it is not necessarily possible to attribute this to one policy or the other</w:t>
      </w:r>
      <w:r w:rsidR="00A1421A">
        <w:rPr>
          <w:rFonts w:cs="Times New Roman"/>
        </w:rPr>
        <w:t xml:space="preserve">. </w:t>
      </w:r>
      <w:r w:rsidRPr="00DF38B2">
        <w:rPr>
          <w:rFonts w:cs="Times New Roman"/>
        </w:rPr>
        <w:t>It is also noted that these outcomes may also be affected by other factors</w:t>
      </w:r>
      <w:r w:rsidR="001C6AD0">
        <w:rPr>
          <w:rFonts w:cs="Times New Roman"/>
        </w:rPr>
        <w:t>,</w:t>
      </w:r>
      <w:r w:rsidRPr="00DF38B2">
        <w:rPr>
          <w:rFonts w:cs="Times New Roman"/>
        </w:rPr>
        <w:t xml:space="preserve"> such as demographic and cultural forces</w:t>
      </w:r>
      <w:r w:rsidR="001C6AD0">
        <w:rPr>
          <w:rFonts w:cs="Times New Roman"/>
        </w:rPr>
        <w:t>, and</w:t>
      </w:r>
      <w:r w:rsidR="001C6AD0" w:rsidRPr="001C6AD0">
        <w:t xml:space="preserve"> </w:t>
      </w:r>
      <w:r w:rsidR="001C6AD0" w:rsidRPr="00DF38B2">
        <w:t>macro-economic factors</w:t>
      </w:r>
      <w:r w:rsidR="001C6AD0">
        <w:rPr>
          <w:rFonts w:cs="Times New Roman"/>
        </w:rPr>
        <w:t>. However,</w:t>
      </w:r>
      <w:r w:rsidRPr="00DF38B2">
        <w:rPr>
          <w:rFonts w:cs="Times New Roman"/>
        </w:rPr>
        <w:t xml:space="preserve"> some of these </w:t>
      </w:r>
      <w:r w:rsidR="001C6AD0">
        <w:rPr>
          <w:rFonts w:cs="Times New Roman"/>
        </w:rPr>
        <w:t xml:space="preserve">factors </w:t>
      </w:r>
      <w:r w:rsidRPr="00DF38B2">
        <w:rPr>
          <w:rFonts w:cs="Times New Roman"/>
        </w:rPr>
        <w:t>are unlikely to have a short</w:t>
      </w:r>
      <w:r w:rsidR="001C6AD0">
        <w:rPr>
          <w:rFonts w:cs="Times New Roman"/>
        </w:rPr>
        <w:t>-</w:t>
      </w:r>
      <w:r w:rsidRPr="00DF38B2">
        <w:rPr>
          <w:rFonts w:cs="Times New Roman"/>
        </w:rPr>
        <w:t>term impact on trends</w:t>
      </w:r>
      <w:r w:rsidRPr="00DF38B2">
        <w:t>.</w:t>
      </w:r>
    </w:p>
    <w:p w:rsidR="00535C84" w:rsidRPr="00DF38B2" w:rsidRDefault="00535C84" w:rsidP="006654AE">
      <w:r w:rsidRPr="00DF38B2">
        <w:t>This chapter provides an overview of a range of outcomes that income management is expected to impact upon either directly or indirectly. The first part of this chapter focuses on child health and wellbeing</w:t>
      </w:r>
      <w:r w:rsidR="001C6AD0">
        <w:t>,</w:t>
      </w:r>
      <w:r w:rsidRPr="00DF38B2">
        <w:t xml:space="preserve"> and the second part on a range of outcomes including alcohol, a measure of alcohol</w:t>
      </w:r>
      <w:r w:rsidR="001C6AD0">
        <w:t>-</w:t>
      </w:r>
      <w:r w:rsidRPr="00DF38B2">
        <w:t>related harm</w:t>
      </w:r>
      <w:r w:rsidR="001C6AD0">
        <w:t>,</w:t>
      </w:r>
      <w:r w:rsidRPr="00DF38B2">
        <w:t xml:space="preserve"> and </w:t>
      </w:r>
      <w:r w:rsidRPr="00DF38B2">
        <w:lastRenderedPageBreak/>
        <w:t xml:space="preserve">imprisonment rates. </w:t>
      </w:r>
      <w:r w:rsidR="006960EE">
        <w:t>The focus on child outcomes in this chapter reflects the intrinsic importance of these, the extent to which changes for children were a priority for income management and the conduct of a specific sub-project within the evaluation in this regard, the results of which form the basis of this chapter.</w:t>
      </w:r>
    </w:p>
    <w:p w:rsidR="00535C84" w:rsidRPr="00DF38B2" w:rsidRDefault="00535C84" w:rsidP="006654AE">
      <w:r w:rsidRPr="00DF38B2">
        <w:t>The rollout of income management in the Northern Territory provides an opportunity to examine its impact on a number of outcomes over time. If income management were to have an effect on these outcomes, it would be expected that the effect would first be identified in the 73 prescribed NTER communities, beginning around 2008 or 2009</w:t>
      </w:r>
      <w:r w:rsidR="00A1421A">
        <w:t xml:space="preserve">. </w:t>
      </w:r>
      <w:r w:rsidRPr="00DF38B2">
        <w:t xml:space="preserve">The effect should then be seen across the Northern Territory, especially for Indigenous people </w:t>
      </w:r>
      <w:r w:rsidR="005E0278">
        <w:t xml:space="preserve">– </w:t>
      </w:r>
      <w:r w:rsidRPr="00DF38B2">
        <w:t>as Indigenous people constitute the vast majority of those on income management</w:t>
      </w:r>
      <w:r w:rsidR="005E0278">
        <w:t xml:space="preserve"> –</w:t>
      </w:r>
      <w:r w:rsidRPr="00DF38B2">
        <w:t xml:space="preserve"> from 2010 onwards. In particular</w:t>
      </w:r>
      <w:r w:rsidR="005E0278">
        <w:t>,</w:t>
      </w:r>
      <w:r w:rsidRPr="00DF38B2">
        <w:t xml:space="preserve"> there should be an improvement in outcomes for Indigenous people in the Northern Territory as compared to Indigenous people in the rest of Australia, particularly from 2010 onwards. </w:t>
      </w:r>
    </w:p>
    <w:p w:rsidR="00535C84" w:rsidRPr="00DF38B2" w:rsidRDefault="00535C84" w:rsidP="006654AE">
      <w:pPr>
        <w:pStyle w:val="Heading2"/>
      </w:pPr>
      <w:bookmarkStart w:id="480" w:name="_Toc403739088"/>
      <w:r w:rsidRPr="00DF38B2">
        <w:t>Child health and wellbeing in the Northern Territory</w:t>
      </w:r>
      <w:bookmarkEnd w:id="480"/>
    </w:p>
    <w:p w:rsidR="00535C84" w:rsidRPr="00DF38B2" w:rsidRDefault="00535C84" w:rsidP="006654AE">
      <w:r w:rsidRPr="00DF38B2">
        <w:t xml:space="preserve">The initial focus in this chapter is on child health and </w:t>
      </w:r>
      <w:r w:rsidR="00593D5C">
        <w:t>wellbeing</w:t>
      </w:r>
      <w:r w:rsidR="00A1421A">
        <w:t xml:space="preserve">. </w:t>
      </w:r>
      <w:r w:rsidRPr="00DF38B2">
        <w:t>While not all of the population subject to income management have children</w:t>
      </w:r>
      <w:r w:rsidR="005E0278">
        <w:t>,</w:t>
      </w:r>
      <w:r w:rsidRPr="00DF38B2">
        <w:t xml:space="preserve"> a significant proportion do</w:t>
      </w:r>
      <w:r w:rsidR="005E0278">
        <w:t>;</w:t>
      </w:r>
      <w:r w:rsidRPr="00DF38B2">
        <w:t xml:space="preserve"> the outcomes of children are potentially at risk from adverse behaviours and outcomes at the community level</w:t>
      </w:r>
      <w:r w:rsidR="005E0278">
        <w:t>,</w:t>
      </w:r>
      <w:r w:rsidRPr="00DF38B2">
        <w:t xml:space="preserve"> and hence improvements in </w:t>
      </w:r>
      <w:r w:rsidR="00593D5C">
        <w:t>wellbeing</w:t>
      </w:r>
      <w:r w:rsidRPr="00DF38B2">
        <w:t xml:space="preserve"> by others are likely to have spill-over effects</w:t>
      </w:r>
      <w:r w:rsidR="00A1421A">
        <w:t xml:space="preserve">. </w:t>
      </w:r>
      <w:r w:rsidRPr="00DF38B2">
        <w:t>Of course</w:t>
      </w:r>
      <w:r w:rsidR="005E0278">
        <w:t>,</w:t>
      </w:r>
      <w:r w:rsidRPr="00DF38B2">
        <w:t xml:space="preserve"> for those with children</w:t>
      </w:r>
      <w:r w:rsidR="005E0278">
        <w:t>,</w:t>
      </w:r>
      <w:r w:rsidRPr="00DF38B2">
        <w:t xml:space="preserve"> the core of the objectives of income management is to ensure that income is appropriately spent on them and their needs. </w:t>
      </w:r>
    </w:p>
    <w:p w:rsidR="00535C84" w:rsidRPr="00DF38B2" w:rsidRDefault="00535C84" w:rsidP="006654AE">
      <w:pPr>
        <w:pStyle w:val="Heading3"/>
      </w:pPr>
      <w:bookmarkStart w:id="481" w:name="_Toc403739089"/>
      <w:r w:rsidRPr="00DF38B2">
        <w:t>Child health and wellbeing measures and data sources</w:t>
      </w:r>
      <w:bookmarkEnd w:id="481"/>
    </w:p>
    <w:p w:rsidR="00535C84" w:rsidRPr="00DF38B2" w:rsidRDefault="00535C84" w:rsidP="006654AE">
      <w:r w:rsidRPr="00DF38B2">
        <w:t>Child health and wellbeing is generally understood to be multi-dimensional and incorporates more than just physical health. A child’s wellbeing includes being healthy and well physically, emotionally, culturally and socially (AIHW</w:t>
      </w:r>
      <w:r w:rsidR="00E41C0E">
        <w:t>,</w:t>
      </w:r>
      <w:r w:rsidRPr="00DF38B2">
        <w:t xml:space="preserve"> 2012). The measures of child health and wellbeing, time periods examined and data sources used in this paper are summarised in </w:t>
      </w:r>
      <w:r w:rsidRPr="00FE502F">
        <w:fldChar w:fldCharType="begin"/>
      </w:r>
      <w:r w:rsidRPr="00DF38B2">
        <w:instrText xml:space="preserve"> REF _Ref391481182 \h </w:instrText>
      </w:r>
      <w:r w:rsidRPr="00FE502F">
        <w:fldChar w:fldCharType="separate"/>
      </w:r>
      <w:r w:rsidR="00906D13" w:rsidRPr="00FE502F">
        <w:t xml:space="preserve">Table </w:t>
      </w:r>
      <w:r w:rsidR="00906D13">
        <w:rPr>
          <w:noProof/>
        </w:rPr>
        <w:t>9</w:t>
      </w:r>
      <w:r w:rsidR="00906D13">
        <w:noBreakHyphen/>
      </w:r>
      <w:r w:rsidR="00906D13">
        <w:rPr>
          <w:noProof/>
        </w:rPr>
        <w:t>1</w:t>
      </w:r>
      <w:r w:rsidRPr="00FE502F">
        <w:fldChar w:fldCharType="end"/>
      </w:r>
      <w:r w:rsidRPr="00DF38B2">
        <w:t>.</w:t>
      </w:r>
    </w:p>
    <w:p w:rsidR="00535C84" w:rsidRPr="00DF38B2" w:rsidRDefault="00535C84" w:rsidP="006654AE">
      <w:pPr>
        <w:pStyle w:val="Caption"/>
      </w:pPr>
      <w:bookmarkStart w:id="482" w:name="_Ref391481182"/>
      <w:bookmarkStart w:id="483" w:name="_Toc403739475"/>
      <w:r w:rsidRPr="00FE502F">
        <w:t xml:space="preserve">Table </w:t>
      </w:r>
      <w:fldSimple w:instr=" STYLEREF 1 \s ">
        <w:r w:rsidR="00906D13">
          <w:rPr>
            <w:noProof/>
          </w:rPr>
          <w:t>9</w:t>
        </w:r>
      </w:fldSimple>
      <w:r w:rsidR="00D40B64">
        <w:noBreakHyphen/>
      </w:r>
      <w:fldSimple w:instr=" SEQ Table \* ARABIC \s 1 ">
        <w:r w:rsidR="00906D13">
          <w:rPr>
            <w:noProof/>
          </w:rPr>
          <w:t>1</w:t>
        </w:r>
      </w:fldSimple>
      <w:bookmarkEnd w:id="482"/>
      <w:r w:rsidRPr="00DF38B2">
        <w:tab/>
        <w:t>Child health and wellbeing measures and data sources</w:t>
      </w:r>
      <w:bookmarkEnd w:id="48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Description w:val="This table presents a summary of the data used in the further analysis presented in the chapter. It details the outcome measure, the time period of the data and the data source.&#10;This information is presented in more detail in the specific discussions of child outcomes in the chapter.&#10;"/>
      </w:tblPr>
      <w:tblGrid>
        <w:gridCol w:w="3574"/>
        <w:gridCol w:w="2141"/>
        <w:gridCol w:w="2835"/>
      </w:tblGrid>
      <w:tr w:rsidR="00535C84" w:rsidRPr="00C07CF6" w:rsidTr="00491292">
        <w:trPr>
          <w:tblHeader/>
          <w:jc w:val="center"/>
        </w:trPr>
        <w:tc>
          <w:tcPr>
            <w:tcW w:w="3936" w:type="dxa"/>
          </w:tcPr>
          <w:p w:rsidR="00535C84" w:rsidRPr="00C07CF6" w:rsidRDefault="00535C84" w:rsidP="006654AE">
            <w:pPr>
              <w:pStyle w:val="tabletextleft"/>
              <w:jc w:val="left"/>
              <w:rPr>
                <w:b/>
                <w:sz w:val="16"/>
              </w:rPr>
            </w:pPr>
            <w:r w:rsidRPr="00C07CF6">
              <w:rPr>
                <w:b/>
                <w:sz w:val="16"/>
              </w:rPr>
              <w:t>Outcome measure</w:t>
            </w:r>
          </w:p>
        </w:tc>
        <w:tc>
          <w:tcPr>
            <w:tcW w:w="2391" w:type="dxa"/>
          </w:tcPr>
          <w:p w:rsidR="00535C84" w:rsidRPr="00C07CF6" w:rsidRDefault="00535C84" w:rsidP="006654AE">
            <w:pPr>
              <w:pStyle w:val="tabletextright"/>
              <w:rPr>
                <w:b/>
                <w:sz w:val="16"/>
              </w:rPr>
            </w:pPr>
            <w:r w:rsidRPr="00C07CF6">
              <w:rPr>
                <w:b/>
                <w:sz w:val="16"/>
              </w:rPr>
              <w:t>Time period</w:t>
            </w:r>
          </w:p>
        </w:tc>
        <w:tc>
          <w:tcPr>
            <w:tcW w:w="3164" w:type="dxa"/>
          </w:tcPr>
          <w:p w:rsidR="00535C84" w:rsidRPr="00C07CF6" w:rsidRDefault="00535C84" w:rsidP="006654AE">
            <w:pPr>
              <w:pStyle w:val="tabletextright"/>
              <w:rPr>
                <w:b/>
                <w:sz w:val="16"/>
              </w:rPr>
            </w:pPr>
            <w:r w:rsidRPr="00C07CF6">
              <w:rPr>
                <w:b/>
                <w:sz w:val="16"/>
              </w:rPr>
              <w:t>Data source</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Developmental outcomes at age 5 (Australian Early Development Index)</w:t>
            </w:r>
          </w:p>
          <w:p w:rsidR="00535C84" w:rsidRPr="00C07CF6" w:rsidRDefault="00535C84" w:rsidP="006654AE">
            <w:pPr>
              <w:pStyle w:val="tabletextleft"/>
              <w:ind w:left="113" w:hanging="113"/>
              <w:jc w:val="left"/>
              <w:rPr>
                <w:sz w:val="16"/>
              </w:rPr>
            </w:pPr>
            <w:r w:rsidRPr="00C07CF6">
              <w:rPr>
                <w:sz w:val="16"/>
              </w:rPr>
              <w:t>Physical domain</w:t>
            </w:r>
          </w:p>
          <w:p w:rsidR="00535C84" w:rsidRPr="00C07CF6" w:rsidRDefault="00535C84" w:rsidP="006654AE">
            <w:pPr>
              <w:pStyle w:val="tabletextleft"/>
              <w:ind w:left="113" w:hanging="113"/>
              <w:jc w:val="left"/>
              <w:rPr>
                <w:sz w:val="16"/>
              </w:rPr>
            </w:pPr>
            <w:r w:rsidRPr="00C07CF6">
              <w:rPr>
                <w:sz w:val="16"/>
              </w:rPr>
              <w:t>Social domain</w:t>
            </w:r>
          </w:p>
          <w:p w:rsidR="00535C84" w:rsidRPr="00C07CF6" w:rsidRDefault="00535C84" w:rsidP="006654AE">
            <w:pPr>
              <w:pStyle w:val="tabletextleft"/>
              <w:ind w:left="113" w:hanging="113"/>
              <w:jc w:val="left"/>
              <w:rPr>
                <w:sz w:val="16"/>
              </w:rPr>
            </w:pPr>
            <w:r w:rsidRPr="00C07CF6">
              <w:rPr>
                <w:sz w:val="16"/>
              </w:rPr>
              <w:t>Emotional domain</w:t>
            </w:r>
          </w:p>
          <w:p w:rsidR="00535C84" w:rsidRPr="00C07CF6" w:rsidRDefault="00535C84" w:rsidP="006654AE">
            <w:pPr>
              <w:pStyle w:val="tabletextleft"/>
              <w:ind w:left="113" w:hanging="113"/>
              <w:jc w:val="left"/>
              <w:rPr>
                <w:sz w:val="16"/>
              </w:rPr>
            </w:pPr>
            <w:r w:rsidRPr="00C07CF6">
              <w:rPr>
                <w:sz w:val="16"/>
              </w:rPr>
              <w:t>Language / Cognitive domain</w:t>
            </w:r>
          </w:p>
          <w:p w:rsidR="00535C84" w:rsidRPr="00C07CF6" w:rsidRDefault="00535C84" w:rsidP="006654AE">
            <w:pPr>
              <w:pStyle w:val="tabletextleft"/>
              <w:ind w:left="113" w:hanging="113"/>
              <w:jc w:val="left"/>
              <w:rPr>
                <w:sz w:val="16"/>
              </w:rPr>
            </w:pPr>
            <w:r w:rsidRPr="00C07CF6">
              <w:rPr>
                <w:sz w:val="16"/>
              </w:rPr>
              <w:t>Communication domain</w:t>
            </w:r>
          </w:p>
        </w:tc>
        <w:tc>
          <w:tcPr>
            <w:tcW w:w="2391" w:type="dxa"/>
          </w:tcPr>
          <w:p w:rsidR="00535C84" w:rsidRPr="00C07CF6" w:rsidRDefault="00535C84" w:rsidP="006654AE">
            <w:pPr>
              <w:pStyle w:val="tabletextright"/>
              <w:rPr>
                <w:sz w:val="16"/>
              </w:rPr>
            </w:pPr>
            <w:r w:rsidRPr="00C07CF6">
              <w:rPr>
                <w:sz w:val="16"/>
              </w:rPr>
              <w:t>2009 &amp; 2012</w:t>
            </w:r>
          </w:p>
        </w:tc>
        <w:tc>
          <w:tcPr>
            <w:tcW w:w="3164" w:type="dxa"/>
          </w:tcPr>
          <w:p w:rsidR="00535C84" w:rsidRPr="00C07CF6" w:rsidRDefault="00535C84" w:rsidP="006654AE">
            <w:pPr>
              <w:pStyle w:val="tabletextright"/>
              <w:rPr>
                <w:sz w:val="16"/>
              </w:rPr>
            </w:pPr>
            <w:r w:rsidRPr="00C07CF6">
              <w:rPr>
                <w:sz w:val="16"/>
              </w:rPr>
              <w:t>AEDI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Learning outcomes (at school years 3, 5, 7 and 9)</w:t>
            </w:r>
          </w:p>
          <w:p w:rsidR="00535C84" w:rsidRPr="00C07CF6" w:rsidRDefault="00535C84" w:rsidP="006654AE">
            <w:pPr>
              <w:pStyle w:val="tabletextleft"/>
              <w:ind w:left="113" w:hanging="113"/>
              <w:jc w:val="left"/>
              <w:rPr>
                <w:sz w:val="16"/>
              </w:rPr>
            </w:pPr>
            <w:r w:rsidRPr="00C07CF6">
              <w:rPr>
                <w:sz w:val="16"/>
              </w:rPr>
              <w:t>Reading</w:t>
            </w:r>
          </w:p>
          <w:p w:rsidR="00535C84" w:rsidRPr="00C07CF6" w:rsidRDefault="00535C84" w:rsidP="006654AE">
            <w:pPr>
              <w:pStyle w:val="tabletextleft"/>
              <w:ind w:left="113" w:hanging="113"/>
              <w:jc w:val="left"/>
              <w:rPr>
                <w:sz w:val="16"/>
              </w:rPr>
            </w:pPr>
            <w:r w:rsidRPr="00C07CF6">
              <w:rPr>
                <w:sz w:val="16"/>
              </w:rPr>
              <w:t>Numeracy</w:t>
            </w:r>
          </w:p>
          <w:p w:rsidR="00535C84" w:rsidRPr="00C07CF6" w:rsidRDefault="00535C84" w:rsidP="006654AE">
            <w:pPr>
              <w:pStyle w:val="tabletextleft"/>
              <w:ind w:left="113" w:hanging="113"/>
              <w:jc w:val="left"/>
              <w:rPr>
                <w:sz w:val="16"/>
              </w:rPr>
            </w:pPr>
            <w:r w:rsidRPr="00C07CF6">
              <w:rPr>
                <w:sz w:val="16"/>
              </w:rPr>
              <w:t>Grammar and punctuation</w:t>
            </w:r>
          </w:p>
          <w:p w:rsidR="00535C84" w:rsidRPr="00C07CF6" w:rsidRDefault="00535C84" w:rsidP="006654AE">
            <w:pPr>
              <w:pStyle w:val="tabletextleft"/>
              <w:ind w:left="113" w:hanging="113"/>
              <w:jc w:val="left"/>
              <w:rPr>
                <w:sz w:val="16"/>
              </w:rPr>
            </w:pPr>
            <w:r w:rsidRPr="00C07CF6">
              <w:rPr>
                <w:sz w:val="16"/>
              </w:rPr>
              <w:t>Spelling</w:t>
            </w:r>
          </w:p>
          <w:p w:rsidR="00535C84" w:rsidRPr="00C07CF6" w:rsidRDefault="00535C84" w:rsidP="006654AE">
            <w:pPr>
              <w:pStyle w:val="tabletextleft"/>
              <w:ind w:left="113" w:hanging="113"/>
              <w:jc w:val="left"/>
              <w:rPr>
                <w:sz w:val="16"/>
              </w:rPr>
            </w:pPr>
            <w:r w:rsidRPr="00C07CF6">
              <w:rPr>
                <w:sz w:val="16"/>
              </w:rPr>
              <w:t>Narrative / persuasive writing</w:t>
            </w:r>
          </w:p>
        </w:tc>
        <w:tc>
          <w:tcPr>
            <w:tcW w:w="2391" w:type="dxa"/>
          </w:tcPr>
          <w:p w:rsidR="00535C84" w:rsidRPr="00C07CF6" w:rsidRDefault="00535C84" w:rsidP="00B03FF6">
            <w:pPr>
              <w:pStyle w:val="tabletextright"/>
              <w:rPr>
                <w:sz w:val="16"/>
              </w:rPr>
            </w:pPr>
            <w:r w:rsidRPr="00C07CF6">
              <w:rPr>
                <w:sz w:val="16"/>
              </w:rPr>
              <w:t>2008</w:t>
            </w:r>
            <w:r w:rsidR="00B03FF6" w:rsidRPr="00C07CF6">
              <w:rPr>
                <w:rFonts w:ascii="Courier New" w:hAnsi="Courier New" w:cs="Courier New"/>
                <w:sz w:val="16"/>
              </w:rPr>
              <w:t>-</w:t>
            </w:r>
            <w:r w:rsidRPr="00C07CF6">
              <w:rPr>
                <w:sz w:val="16"/>
              </w:rPr>
              <w:t>2013</w:t>
            </w:r>
          </w:p>
        </w:tc>
        <w:tc>
          <w:tcPr>
            <w:tcW w:w="3164" w:type="dxa"/>
          </w:tcPr>
          <w:p w:rsidR="00535C84" w:rsidRPr="00C07CF6" w:rsidRDefault="00535C84" w:rsidP="006654AE">
            <w:pPr>
              <w:pStyle w:val="tabletextright"/>
              <w:rPr>
                <w:sz w:val="16"/>
              </w:rPr>
            </w:pPr>
            <w:r w:rsidRPr="00C07CF6">
              <w:rPr>
                <w:sz w:val="16"/>
              </w:rPr>
              <w:t>NAPLAN testing</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 xml:space="preserve">School enrolment and attendance </w:t>
            </w:r>
          </w:p>
        </w:tc>
        <w:tc>
          <w:tcPr>
            <w:tcW w:w="2391" w:type="dxa"/>
          </w:tcPr>
          <w:p w:rsidR="00535C84" w:rsidRPr="00C07CF6" w:rsidRDefault="00535C84" w:rsidP="006654AE">
            <w:pPr>
              <w:pStyle w:val="tabletextright"/>
              <w:rPr>
                <w:sz w:val="16"/>
              </w:rPr>
            </w:pPr>
            <w:r w:rsidRPr="00C07CF6">
              <w:rPr>
                <w:sz w:val="16"/>
              </w:rPr>
              <w:t>2009 – 2012</w:t>
            </w:r>
          </w:p>
        </w:tc>
        <w:tc>
          <w:tcPr>
            <w:tcW w:w="3164" w:type="dxa"/>
          </w:tcPr>
          <w:p w:rsidR="00535C84" w:rsidRPr="00C07CF6" w:rsidRDefault="00535C84" w:rsidP="006654AE">
            <w:pPr>
              <w:pStyle w:val="tabletextright"/>
              <w:rPr>
                <w:sz w:val="16"/>
              </w:rPr>
            </w:pP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Infant mortality</w:t>
            </w:r>
          </w:p>
        </w:tc>
        <w:tc>
          <w:tcPr>
            <w:tcW w:w="2391" w:type="dxa"/>
          </w:tcPr>
          <w:p w:rsidR="00535C84" w:rsidRPr="00C07CF6" w:rsidRDefault="00535C84" w:rsidP="006654AE">
            <w:pPr>
              <w:pStyle w:val="tabletextright"/>
              <w:rPr>
                <w:sz w:val="16"/>
              </w:rPr>
            </w:pPr>
            <w:r w:rsidRPr="00C07CF6">
              <w:rPr>
                <w:sz w:val="16"/>
              </w:rPr>
              <w:t xml:space="preserve">2006 </w:t>
            </w:r>
            <w:r w:rsidR="005E0278" w:rsidRPr="00C07CF6">
              <w:rPr>
                <w:sz w:val="16"/>
              </w:rPr>
              <w:t xml:space="preserve">– </w:t>
            </w:r>
            <w:r w:rsidRPr="00C07CF6">
              <w:rPr>
                <w:sz w:val="16"/>
              </w:rPr>
              <w:t>201</w:t>
            </w:r>
            <w:r w:rsidR="00C210E0" w:rsidRPr="00C07CF6">
              <w:rPr>
                <w:sz w:val="16"/>
              </w:rPr>
              <w:t>2</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 xml:space="preserve">Low birth </w:t>
            </w:r>
            <w:r w:rsidR="002B30B2" w:rsidRPr="00C07CF6">
              <w:rPr>
                <w:sz w:val="16"/>
              </w:rPr>
              <w:t>weight</w:t>
            </w:r>
          </w:p>
        </w:tc>
        <w:tc>
          <w:tcPr>
            <w:tcW w:w="2391" w:type="dxa"/>
          </w:tcPr>
          <w:p w:rsidR="00535C84" w:rsidRPr="00C07CF6" w:rsidRDefault="00535C84" w:rsidP="006654AE">
            <w:pPr>
              <w:pStyle w:val="tabletextright"/>
              <w:rPr>
                <w:sz w:val="16"/>
              </w:rPr>
            </w:pPr>
            <w:r w:rsidRPr="00C07CF6">
              <w:rPr>
                <w:sz w:val="16"/>
              </w:rPr>
              <w:t>2006 – 201</w:t>
            </w:r>
            <w:r w:rsidR="00C210E0" w:rsidRPr="00C07CF6">
              <w:rPr>
                <w:sz w:val="16"/>
              </w:rPr>
              <w:t>1</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Immunisation of children</w:t>
            </w:r>
          </w:p>
        </w:tc>
        <w:tc>
          <w:tcPr>
            <w:tcW w:w="2391" w:type="dxa"/>
          </w:tcPr>
          <w:p w:rsidR="00535C84" w:rsidRPr="00C07CF6" w:rsidRDefault="00535C84" w:rsidP="006654AE">
            <w:pPr>
              <w:pStyle w:val="tabletextright"/>
              <w:rPr>
                <w:sz w:val="16"/>
              </w:rPr>
            </w:pPr>
            <w:r w:rsidRPr="00C07CF6">
              <w:rPr>
                <w:sz w:val="16"/>
              </w:rPr>
              <w:t xml:space="preserve">2008 </w:t>
            </w:r>
            <w:r w:rsidR="005E0278" w:rsidRPr="00C07CF6">
              <w:rPr>
                <w:sz w:val="16"/>
              </w:rPr>
              <w:t xml:space="preserve">– </w:t>
            </w:r>
            <w:r w:rsidRPr="00C07CF6">
              <w:rPr>
                <w:sz w:val="16"/>
              </w:rPr>
              <w:t>2012</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Deaths due to injury</w:t>
            </w:r>
          </w:p>
        </w:tc>
        <w:tc>
          <w:tcPr>
            <w:tcW w:w="2391" w:type="dxa"/>
          </w:tcPr>
          <w:p w:rsidR="00535C84" w:rsidRPr="00C07CF6" w:rsidRDefault="00535C84" w:rsidP="006654AE">
            <w:pPr>
              <w:pStyle w:val="tabletextright"/>
              <w:rPr>
                <w:sz w:val="16"/>
              </w:rPr>
            </w:pPr>
            <w:r w:rsidRPr="00C07CF6">
              <w:rPr>
                <w:sz w:val="16"/>
              </w:rPr>
              <w:t>2005</w:t>
            </w:r>
            <w:r w:rsidR="00FC23F6" w:rsidRPr="00C07CF6">
              <w:rPr>
                <w:sz w:val="16"/>
              </w:rPr>
              <w:t>-</w:t>
            </w:r>
            <w:r w:rsidRPr="00C07CF6">
              <w:rPr>
                <w:sz w:val="16"/>
              </w:rPr>
              <w:t>07 – 2009</w:t>
            </w:r>
            <w:r w:rsidR="00FC23F6" w:rsidRPr="00C07CF6">
              <w:rPr>
                <w:sz w:val="16"/>
              </w:rPr>
              <w:t>-</w:t>
            </w:r>
            <w:r w:rsidRPr="00C07CF6">
              <w:rPr>
                <w:sz w:val="16"/>
              </w:rPr>
              <w:t>11</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Disability (requires assistance with care activities)</w:t>
            </w:r>
          </w:p>
        </w:tc>
        <w:tc>
          <w:tcPr>
            <w:tcW w:w="2391" w:type="dxa"/>
          </w:tcPr>
          <w:p w:rsidR="00535C84" w:rsidRPr="00C07CF6" w:rsidRDefault="00535C84" w:rsidP="006654AE">
            <w:pPr>
              <w:pStyle w:val="tabletextright"/>
              <w:rPr>
                <w:sz w:val="16"/>
              </w:rPr>
            </w:pPr>
            <w:r w:rsidRPr="00C07CF6">
              <w:rPr>
                <w:sz w:val="16"/>
              </w:rPr>
              <w:t>2006 &amp; 2011</w:t>
            </w:r>
          </w:p>
        </w:tc>
        <w:tc>
          <w:tcPr>
            <w:tcW w:w="3164" w:type="dxa"/>
          </w:tcPr>
          <w:p w:rsidR="00535C84" w:rsidRPr="00C07CF6" w:rsidRDefault="00535C84" w:rsidP="006654AE">
            <w:pPr>
              <w:pStyle w:val="tabletextright"/>
              <w:rPr>
                <w:sz w:val="16"/>
              </w:rPr>
            </w:pPr>
            <w:r w:rsidRPr="00C07CF6">
              <w:rPr>
                <w:sz w:val="16"/>
              </w:rPr>
              <w:t>Census</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Under/overweight (15–17 years)</w:t>
            </w:r>
          </w:p>
        </w:tc>
        <w:tc>
          <w:tcPr>
            <w:tcW w:w="2391" w:type="dxa"/>
          </w:tcPr>
          <w:p w:rsidR="00535C84" w:rsidRPr="00C07CF6" w:rsidRDefault="00535C84" w:rsidP="006654AE">
            <w:pPr>
              <w:pStyle w:val="tabletextright"/>
              <w:rPr>
                <w:sz w:val="16"/>
              </w:rPr>
            </w:pPr>
            <w:r w:rsidRPr="00C07CF6">
              <w:rPr>
                <w:sz w:val="16"/>
              </w:rPr>
              <w:t>2004</w:t>
            </w:r>
            <w:r w:rsidR="00FC23F6" w:rsidRPr="00C07CF6">
              <w:rPr>
                <w:sz w:val="16"/>
              </w:rPr>
              <w:t>-</w:t>
            </w:r>
            <w:r w:rsidRPr="00C07CF6">
              <w:rPr>
                <w:sz w:val="16"/>
              </w:rPr>
              <w:t>05 &amp; 2002</w:t>
            </w:r>
            <w:r w:rsidR="00FC23F6" w:rsidRPr="00C07CF6">
              <w:rPr>
                <w:sz w:val="16"/>
              </w:rPr>
              <w:t>-</w:t>
            </w:r>
            <w:r w:rsidRPr="00C07CF6">
              <w:rPr>
                <w:sz w:val="16"/>
              </w:rPr>
              <w:t>13</w:t>
            </w:r>
          </w:p>
        </w:tc>
        <w:tc>
          <w:tcPr>
            <w:tcW w:w="3164" w:type="dxa"/>
          </w:tcPr>
          <w:p w:rsidR="00535C84" w:rsidRPr="00C07CF6" w:rsidRDefault="00535C84" w:rsidP="006654AE">
            <w:pPr>
              <w:pStyle w:val="tabletextright"/>
              <w:rPr>
                <w:sz w:val="16"/>
              </w:rPr>
            </w:pPr>
            <w:r w:rsidRPr="00C07CF6">
              <w:rPr>
                <w:sz w:val="16"/>
              </w:rPr>
              <w:t>National Aboriginal and Torres Strait Islander Health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Hospitalisation rates</w:t>
            </w:r>
          </w:p>
          <w:p w:rsidR="00535C84" w:rsidRPr="00C07CF6" w:rsidRDefault="00535C84" w:rsidP="006654AE">
            <w:pPr>
              <w:pStyle w:val="tabletextleft"/>
              <w:ind w:left="113" w:hanging="113"/>
              <w:jc w:val="left"/>
              <w:rPr>
                <w:sz w:val="16"/>
              </w:rPr>
            </w:pPr>
            <w:r w:rsidRPr="00C07CF6">
              <w:rPr>
                <w:sz w:val="16"/>
              </w:rPr>
              <w:t>Infectious and parasitic diseases</w:t>
            </w:r>
          </w:p>
          <w:p w:rsidR="00535C84" w:rsidRPr="00C07CF6" w:rsidRDefault="00535C84" w:rsidP="006654AE">
            <w:pPr>
              <w:pStyle w:val="tabletextleft"/>
              <w:ind w:left="113" w:hanging="113"/>
              <w:jc w:val="left"/>
              <w:rPr>
                <w:sz w:val="16"/>
              </w:rPr>
            </w:pPr>
            <w:r w:rsidRPr="00C07CF6">
              <w:rPr>
                <w:sz w:val="16"/>
              </w:rPr>
              <w:t>Diseases of the respiratory system</w:t>
            </w:r>
          </w:p>
          <w:p w:rsidR="00535C84" w:rsidRPr="00C07CF6" w:rsidRDefault="00535C84" w:rsidP="006654AE">
            <w:pPr>
              <w:pStyle w:val="tabletextleft"/>
              <w:ind w:left="113" w:hanging="113"/>
              <w:jc w:val="left"/>
              <w:rPr>
                <w:sz w:val="16"/>
              </w:rPr>
            </w:pPr>
            <w:r w:rsidRPr="00C07CF6">
              <w:rPr>
                <w:sz w:val="16"/>
              </w:rPr>
              <w:t>Injury and poisoning</w:t>
            </w:r>
          </w:p>
          <w:p w:rsidR="00535C84" w:rsidRPr="00C07CF6" w:rsidRDefault="00535C84" w:rsidP="006654AE">
            <w:pPr>
              <w:pStyle w:val="tabletextleft"/>
              <w:ind w:left="113" w:hanging="113"/>
              <w:jc w:val="left"/>
              <w:rPr>
                <w:sz w:val="16"/>
              </w:rPr>
            </w:pPr>
            <w:r w:rsidRPr="00C07CF6">
              <w:rPr>
                <w:sz w:val="16"/>
              </w:rPr>
              <w:t>Total hospitalisations</w:t>
            </w:r>
          </w:p>
        </w:tc>
        <w:tc>
          <w:tcPr>
            <w:tcW w:w="2391" w:type="dxa"/>
          </w:tcPr>
          <w:p w:rsidR="00535C84" w:rsidRPr="00C07CF6" w:rsidRDefault="00535C84" w:rsidP="006654AE">
            <w:pPr>
              <w:pStyle w:val="tabletextright"/>
              <w:rPr>
                <w:sz w:val="16"/>
              </w:rPr>
            </w:pPr>
            <w:r w:rsidRPr="00C07CF6">
              <w:rPr>
                <w:sz w:val="16"/>
              </w:rPr>
              <w:t>2006</w:t>
            </w:r>
            <w:r w:rsidR="00FC23F6" w:rsidRPr="00C07CF6">
              <w:rPr>
                <w:sz w:val="16"/>
              </w:rPr>
              <w:t>-</w:t>
            </w:r>
            <w:r w:rsidRPr="00C07CF6">
              <w:rPr>
                <w:sz w:val="16"/>
              </w:rPr>
              <w:t>07 – 2010</w:t>
            </w:r>
            <w:r w:rsidR="00FC23F6" w:rsidRPr="00C07CF6">
              <w:rPr>
                <w:sz w:val="16"/>
              </w:rPr>
              <w:t>-</w:t>
            </w:r>
            <w:r w:rsidRPr="00C07CF6">
              <w:rPr>
                <w:sz w:val="16"/>
              </w:rPr>
              <w:t>11</w:t>
            </w:r>
          </w:p>
        </w:tc>
        <w:tc>
          <w:tcPr>
            <w:tcW w:w="3164" w:type="dxa"/>
          </w:tcPr>
          <w:p w:rsidR="00535C84" w:rsidRPr="00C07CF6" w:rsidRDefault="00535C84" w:rsidP="006654AE">
            <w:pPr>
              <w:pStyle w:val="tabletextright"/>
              <w:rPr>
                <w:sz w:val="16"/>
              </w:rPr>
            </w:pP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Diet (fruit and vegetable intake, cow milk consumption (12–17 years)</w:t>
            </w:r>
          </w:p>
        </w:tc>
        <w:tc>
          <w:tcPr>
            <w:tcW w:w="2391" w:type="dxa"/>
          </w:tcPr>
          <w:p w:rsidR="00535C84" w:rsidRPr="00C07CF6" w:rsidRDefault="00535C84" w:rsidP="006654AE">
            <w:pPr>
              <w:pStyle w:val="tabletextright"/>
              <w:rPr>
                <w:sz w:val="16"/>
              </w:rPr>
            </w:pPr>
            <w:r w:rsidRPr="00C07CF6">
              <w:rPr>
                <w:sz w:val="16"/>
              </w:rPr>
              <w:t>2004</w:t>
            </w:r>
            <w:r w:rsidR="00FC23F6" w:rsidRPr="00C07CF6">
              <w:rPr>
                <w:sz w:val="16"/>
              </w:rPr>
              <w:t>-</w:t>
            </w:r>
            <w:r w:rsidRPr="00C07CF6">
              <w:rPr>
                <w:sz w:val="16"/>
              </w:rPr>
              <w:t>05 &amp; 2002-13</w:t>
            </w:r>
          </w:p>
        </w:tc>
        <w:tc>
          <w:tcPr>
            <w:tcW w:w="3164" w:type="dxa"/>
          </w:tcPr>
          <w:p w:rsidR="00535C84" w:rsidRPr="00C07CF6" w:rsidRDefault="00535C84" w:rsidP="006654AE">
            <w:pPr>
              <w:pStyle w:val="tabletextright"/>
              <w:rPr>
                <w:sz w:val="16"/>
              </w:rPr>
            </w:pPr>
            <w:r w:rsidRPr="00C07CF6">
              <w:rPr>
                <w:sz w:val="16"/>
              </w:rPr>
              <w:t>National Aboriginal and Torres Strait Islander Health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Child protection</w:t>
            </w:r>
          </w:p>
          <w:p w:rsidR="00535C84" w:rsidRPr="00C07CF6" w:rsidRDefault="00535C84" w:rsidP="006654AE">
            <w:pPr>
              <w:pStyle w:val="tabletextleft"/>
              <w:ind w:left="113" w:hanging="113"/>
              <w:jc w:val="left"/>
              <w:rPr>
                <w:sz w:val="16"/>
              </w:rPr>
            </w:pPr>
            <w:r w:rsidRPr="00C07CF6">
              <w:rPr>
                <w:sz w:val="16"/>
              </w:rPr>
              <w:t>Substantiations of notifications</w:t>
            </w:r>
          </w:p>
          <w:p w:rsidR="00535C84" w:rsidRPr="00C07CF6" w:rsidRDefault="00535C84" w:rsidP="006654AE">
            <w:pPr>
              <w:pStyle w:val="tabletextleft"/>
              <w:ind w:left="113" w:hanging="113"/>
              <w:jc w:val="left"/>
              <w:rPr>
                <w:sz w:val="16"/>
              </w:rPr>
            </w:pPr>
            <w:r w:rsidRPr="00C07CF6">
              <w:rPr>
                <w:sz w:val="16"/>
              </w:rPr>
              <w:t>Care and protection orders</w:t>
            </w:r>
          </w:p>
          <w:p w:rsidR="00535C84" w:rsidRPr="00C07CF6" w:rsidRDefault="00535C84" w:rsidP="006654AE">
            <w:pPr>
              <w:pStyle w:val="tabletextleft"/>
              <w:ind w:left="113" w:hanging="113"/>
              <w:jc w:val="left"/>
              <w:rPr>
                <w:sz w:val="16"/>
              </w:rPr>
            </w:pPr>
            <w:r w:rsidRPr="00C07CF6">
              <w:rPr>
                <w:sz w:val="16"/>
              </w:rPr>
              <w:t>Out-of-home care</w:t>
            </w:r>
          </w:p>
        </w:tc>
        <w:tc>
          <w:tcPr>
            <w:tcW w:w="2391" w:type="dxa"/>
          </w:tcPr>
          <w:p w:rsidR="00535C84" w:rsidRPr="00C07CF6" w:rsidRDefault="00535C84" w:rsidP="006654AE">
            <w:pPr>
              <w:pStyle w:val="tabletextright"/>
              <w:rPr>
                <w:sz w:val="16"/>
              </w:rPr>
            </w:pPr>
            <w:r w:rsidRPr="00C07CF6">
              <w:rPr>
                <w:sz w:val="16"/>
              </w:rPr>
              <w:t>2006</w:t>
            </w:r>
            <w:r w:rsidR="00FC23F6" w:rsidRPr="00C07CF6">
              <w:rPr>
                <w:sz w:val="16"/>
              </w:rPr>
              <w:t>-</w:t>
            </w:r>
            <w:r w:rsidRPr="00C07CF6">
              <w:rPr>
                <w:sz w:val="16"/>
              </w:rPr>
              <w:t>07 – 2010</w:t>
            </w:r>
            <w:r w:rsidR="00FC23F6" w:rsidRPr="00C07CF6">
              <w:rPr>
                <w:sz w:val="16"/>
              </w:rPr>
              <w:t>-</w:t>
            </w:r>
            <w:r w:rsidRPr="00C07CF6">
              <w:rPr>
                <w:sz w:val="16"/>
              </w:rPr>
              <w:t>11</w:t>
            </w:r>
          </w:p>
          <w:p w:rsidR="00C210E0" w:rsidRPr="00C07CF6" w:rsidRDefault="00C210E0" w:rsidP="006654AE">
            <w:pPr>
              <w:pStyle w:val="tabletextright"/>
              <w:rPr>
                <w:sz w:val="16"/>
              </w:rPr>
            </w:pPr>
            <w:r w:rsidRPr="00C07CF6">
              <w:rPr>
                <w:sz w:val="16"/>
              </w:rPr>
              <w:t>&amp; some 2012</w:t>
            </w:r>
          </w:p>
        </w:tc>
        <w:tc>
          <w:tcPr>
            <w:tcW w:w="3164" w:type="dxa"/>
          </w:tcPr>
          <w:p w:rsidR="00535C84" w:rsidRPr="00C07CF6" w:rsidRDefault="00535C84" w:rsidP="006654AE">
            <w:pPr>
              <w:pStyle w:val="tabletextright"/>
              <w:rPr>
                <w:sz w:val="16"/>
              </w:rPr>
            </w:pPr>
            <w:r w:rsidRPr="00C07CF6">
              <w:rPr>
                <w:sz w:val="16"/>
              </w:rPr>
              <w:t>AIHW</w:t>
            </w:r>
          </w:p>
        </w:tc>
      </w:tr>
    </w:tbl>
    <w:p w:rsidR="00535C84" w:rsidRPr="00DF38B2" w:rsidRDefault="00535C84" w:rsidP="006654AE">
      <w:r w:rsidRPr="00DF38B2">
        <w:tab/>
      </w:r>
    </w:p>
    <w:p w:rsidR="00535C84" w:rsidRPr="00DF38B2" w:rsidRDefault="00535C84" w:rsidP="006654AE">
      <w:pPr>
        <w:pStyle w:val="Heading3"/>
      </w:pPr>
      <w:bookmarkStart w:id="484" w:name="_Toc403739090"/>
      <w:r w:rsidRPr="00DF38B2">
        <w:lastRenderedPageBreak/>
        <w:t>Developmental outcomes</w:t>
      </w:r>
      <w:bookmarkEnd w:id="484"/>
    </w:p>
    <w:p w:rsidR="00535C84" w:rsidRPr="00DF38B2" w:rsidRDefault="00535C84" w:rsidP="006654AE">
      <w:pPr>
        <w:pStyle w:val="Heading4"/>
      </w:pPr>
      <w:r w:rsidRPr="00DF38B2">
        <w:t>Developmental outcomes of five</w:t>
      </w:r>
      <w:r w:rsidR="005E0278">
        <w:t>-</w:t>
      </w:r>
      <w:r w:rsidRPr="00DF38B2">
        <w:t>year</w:t>
      </w:r>
      <w:r w:rsidR="005E0278">
        <w:t xml:space="preserve"> </w:t>
      </w:r>
      <w:r w:rsidRPr="00DF38B2">
        <w:t>olds</w:t>
      </w:r>
    </w:p>
    <w:p w:rsidR="00535C84" w:rsidRPr="00DF38B2" w:rsidRDefault="00535C84" w:rsidP="006654AE">
      <w:r w:rsidRPr="00DF38B2">
        <w:t>Every three years the Australian Early Development Index (AEDI) is used to assess the developmental outcomes of Australian five-year olds. The AEDI measures how children are doing across five developmental domains (physical health and wellbeing, social competence, emotional maturity, language and cognitive skills</w:t>
      </w:r>
      <w:r w:rsidR="005E0278">
        <w:t>,</w:t>
      </w:r>
      <w:r w:rsidRPr="00DF38B2">
        <w:t xml:space="preserve"> and communication and general knowledge) using a teacher</w:t>
      </w:r>
      <w:r w:rsidR="005E0278">
        <w:t>-</w:t>
      </w:r>
      <w:r w:rsidRPr="00DF38B2">
        <w:t xml:space="preserve">completed checklist of approximately 100 questions for each student in their class. The cut-offs of whether students were developmentally vulnerable are derived from a ranking of all children’s AEDI domain scores from the lowest to highest; the bottom </w:t>
      </w:r>
      <w:r w:rsidR="005E0278">
        <w:t>tenth</w:t>
      </w:r>
      <w:r w:rsidRPr="00DF38B2">
        <w:t xml:space="preserve"> percentile </w:t>
      </w:r>
      <w:r w:rsidR="005E0278">
        <w:t>is</w:t>
      </w:r>
      <w:r w:rsidRPr="00DF38B2">
        <w:t xml:space="preserve"> classified as developmentally vulnerabl</w:t>
      </w:r>
      <w:r w:rsidR="005E0278">
        <w:t>e</w:t>
      </w:r>
      <w:r w:rsidRPr="00DF38B2">
        <w:t xml:space="preserve">. The AEDI was administered for the first time in Australia in 2009 and for a second time in 2012. </w:t>
      </w:r>
    </w:p>
    <w:p w:rsidR="00535C84" w:rsidRPr="00DF38B2" w:rsidRDefault="00535C84" w:rsidP="006654AE">
      <w:r w:rsidRPr="00DF38B2">
        <w:t>In 2009, 3,650 children in the Northern Territory were surveyed across these five developmental domains. Of these children, 47 per cent were Indigenous. In 2012, 3,470 children were surveyed</w:t>
      </w:r>
      <w:r w:rsidR="005E0278">
        <w:t>,</w:t>
      </w:r>
      <w:r w:rsidRPr="00DF38B2">
        <w:t xml:space="preserve"> with 40 per cent identifying as Indigenous children. Whilst the children were located across the different AEDI regions, the majority of the children were based in the Darwin AEDI Region. </w:t>
      </w:r>
    </w:p>
    <w:p w:rsidR="00535C84" w:rsidRPr="00DF38B2" w:rsidRDefault="00535C84" w:rsidP="006654AE">
      <w:r w:rsidRPr="00FE502F">
        <w:fldChar w:fldCharType="begin"/>
      </w:r>
      <w:r w:rsidRPr="00DF38B2">
        <w:instrText xml:space="preserve"> REF _Ref391839619  \* MERGEFORMAT </w:instrText>
      </w:r>
      <w:r w:rsidRPr="00FE502F">
        <w:fldChar w:fldCharType="separate"/>
      </w:r>
      <w:r w:rsidR="00906D13" w:rsidRPr="008E4D9D">
        <w:t xml:space="preserve">Table </w:t>
      </w:r>
      <w:r w:rsidR="00906D13">
        <w:t>9</w:t>
      </w:r>
      <w:r w:rsidR="00906D13">
        <w:noBreakHyphen/>
        <w:t>2</w:t>
      </w:r>
      <w:r w:rsidRPr="00FE502F">
        <w:fldChar w:fldCharType="end"/>
      </w:r>
      <w:r w:rsidRPr="00DF38B2">
        <w:t xml:space="preserve"> </w:t>
      </w:r>
      <w:r w:rsidRPr="00FE502F">
        <w:t>provides information on AEDI scores for children in the Northern Territory and nationally in 2009 and 2012. A much higher proportion of</w:t>
      </w:r>
      <w:r w:rsidRPr="009655C3">
        <w:t xml:space="preserve"> Northern Territory five</w:t>
      </w:r>
      <w:r w:rsidR="00BF1AF5">
        <w:t>-</w:t>
      </w:r>
      <w:r w:rsidRPr="009655C3">
        <w:t xml:space="preserve">year old children are developmentally delayed than five-year old children nationally. Between 2009 and 2012, there have been substantial improvements in the proportion of students who were developmentally vulnerable in one or more </w:t>
      </w:r>
      <w:r w:rsidRPr="00DF38B2">
        <w:t>domains for the Northern Territory as a whole. This is true for both Indigenous and non-Indigenous students. There were also improvements for children nationally</w:t>
      </w:r>
      <w:r w:rsidR="00BF1AF5">
        <w:t>,</w:t>
      </w:r>
      <w:r w:rsidRPr="00DF38B2">
        <w:t xml:space="preserve"> with the exception of physical health and wellbeing</w:t>
      </w:r>
      <w:r w:rsidR="00BF1AF5">
        <w:t>,</w:t>
      </w:r>
      <w:r w:rsidRPr="00DF38B2">
        <w:t xml:space="preserve"> which was unchanged. While the improvements nationally are smaller in absolute terms than those in the Northern Territory, the baseline national rate of children developmentally delayed is much lower than in the Northern Territory and thus the scope for improvement is less.</w:t>
      </w:r>
    </w:p>
    <w:p w:rsidR="00535C84" w:rsidRPr="00F157EE" w:rsidRDefault="00535C84" w:rsidP="006654AE">
      <w:pPr>
        <w:pStyle w:val="Caption"/>
      </w:pPr>
      <w:bookmarkStart w:id="485" w:name="_Ref391839619"/>
      <w:bookmarkStart w:id="486" w:name="_Toc403739476"/>
      <w:r w:rsidRPr="008E4D9D">
        <w:t xml:space="preserve">Table </w:t>
      </w:r>
      <w:fldSimple w:instr=" STYLEREF 1 \s ">
        <w:r w:rsidR="00906D13">
          <w:rPr>
            <w:noProof/>
          </w:rPr>
          <w:t>9</w:t>
        </w:r>
      </w:fldSimple>
      <w:r w:rsidR="00D40B64">
        <w:noBreakHyphen/>
      </w:r>
      <w:fldSimple w:instr=" SEQ Table \* ARABIC \s 1 ">
        <w:r w:rsidR="00906D13">
          <w:rPr>
            <w:noProof/>
          </w:rPr>
          <w:t>2</w:t>
        </w:r>
      </w:fldSimple>
      <w:bookmarkEnd w:id="485"/>
      <w:r w:rsidRPr="00F157EE">
        <w:tab/>
        <w:t>Proportion of children developmental</w:t>
      </w:r>
      <w:r w:rsidR="00BF1AF5">
        <w:t>ly</w:t>
      </w:r>
      <w:r w:rsidRPr="00F157EE">
        <w:t xml:space="preserve"> vulnerable by AEDI domain, Northern Territory and Australia, 2009 and 2012</w:t>
      </w:r>
      <w:bookmarkEnd w:id="486"/>
    </w:p>
    <w:tbl>
      <w:tblPr>
        <w:tblStyle w:val="TableGrid1"/>
        <w:tblW w:w="70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 four columns this table presents the proportion of children who were developmentally vulnerable in the NT in 2009 and 2012 and in Australia at the same points in time. Vulnerability is shown in five domains which form the rows of the table. These are: “Physical health &amp; wellbeing”; “Social competence”; “Emotional maturity”; “Language and cognitive skills” and “Communication &amp; general knowledge”.&#10;The main results are noted in the text.&#10;"/>
      </w:tblPr>
      <w:tblGrid>
        <w:gridCol w:w="3039"/>
        <w:gridCol w:w="1056"/>
        <w:gridCol w:w="953"/>
        <w:gridCol w:w="233"/>
        <w:gridCol w:w="864"/>
        <w:gridCol w:w="864"/>
      </w:tblGrid>
      <w:tr w:rsidR="00B03FF6" w:rsidRPr="00DF38B2" w:rsidTr="00EB5275">
        <w:trPr>
          <w:tblHeader/>
          <w:jc w:val="center"/>
        </w:trPr>
        <w:tc>
          <w:tcPr>
            <w:tcW w:w="3039" w:type="dxa"/>
            <w:tcBorders>
              <w:top w:val="single" w:sz="4" w:space="0" w:color="auto"/>
              <w:bottom w:val="single" w:sz="4" w:space="0" w:color="auto"/>
            </w:tcBorders>
          </w:tcPr>
          <w:p w:rsidR="00535C84" w:rsidRPr="00F157EE" w:rsidRDefault="00535C84" w:rsidP="006654AE">
            <w:pPr>
              <w:pStyle w:val="tabletextleft"/>
            </w:pPr>
          </w:p>
        </w:tc>
        <w:tc>
          <w:tcPr>
            <w:tcW w:w="1056" w:type="dxa"/>
            <w:tcBorders>
              <w:top w:val="single" w:sz="4" w:space="0" w:color="auto"/>
              <w:bottom w:val="single" w:sz="4" w:space="0" w:color="auto"/>
            </w:tcBorders>
          </w:tcPr>
          <w:p w:rsidR="00535C84" w:rsidRPr="00F157EE" w:rsidRDefault="00B03FF6" w:rsidP="006654AE">
            <w:pPr>
              <w:pStyle w:val="tabletextright"/>
            </w:pPr>
            <w:r>
              <w:t xml:space="preserve">NT </w:t>
            </w:r>
            <w:r>
              <w:br/>
            </w:r>
            <w:r w:rsidR="00535C84" w:rsidRPr="00F157EE">
              <w:t>2009</w:t>
            </w:r>
            <w:r>
              <w:t xml:space="preserve"> (%)</w:t>
            </w:r>
          </w:p>
        </w:tc>
        <w:tc>
          <w:tcPr>
            <w:tcW w:w="953" w:type="dxa"/>
            <w:tcBorders>
              <w:top w:val="single" w:sz="4" w:space="0" w:color="auto"/>
              <w:bottom w:val="single" w:sz="4" w:space="0" w:color="auto"/>
            </w:tcBorders>
          </w:tcPr>
          <w:p w:rsidR="00535C84" w:rsidRPr="00F157EE" w:rsidRDefault="00B03FF6" w:rsidP="006654AE">
            <w:pPr>
              <w:pStyle w:val="tabletextright"/>
            </w:pPr>
            <w:r>
              <w:t xml:space="preserve">NT </w:t>
            </w:r>
            <w:r>
              <w:br/>
            </w:r>
            <w:r w:rsidR="00535C84" w:rsidRPr="00F157EE">
              <w:t>2012</w:t>
            </w:r>
            <w:r>
              <w:t xml:space="preserve"> (%)</w:t>
            </w:r>
          </w:p>
        </w:tc>
        <w:tc>
          <w:tcPr>
            <w:tcW w:w="233" w:type="dxa"/>
            <w:tcBorders>
              <w:top w:val="single" w:sz="4" w:space="0" w:color="auto"/>
              <w:bottom w:val="single" w:sz="4" w:space="0" w:color="auto"/>
            </w:tcBorders>
          </w:tcPr>
          <w:p w:rsidR="00535C84" w:rsidRPr="00F157EE" w:rsidRDefault="00535C84" w:rsidP="006654AE">
            <w:pPr>
              <w:pStyle w:val="tabletextright"/>
            </w:pPr>
          </w:p>
        </w:tc>
        <w:tc>
          <w:tcPr>
            <w:tcW w:w="864" w:type="dxa"/>
            <w:tcBorders>
              <w:top w:val="single" w:sz="4" w:space="0" w:color="auto"/>
              <w:bottom w:val="single" w:sz="4" w:space="0" w:color="auto"/>
            </w:tcBorders>
          </w:tcPr>
          <w:p w:rsidR="00535C84" w:rsidRPr="00F157EE" w:rsidRDefault="00B03FF6" w:rsidP="006654AE">
            <w:pPr>
              <w:pStyle w:val="tabletextright"/>
            </w:pPr>
            <w:r>
              <w:t xml:space="preserve">Australia </w:t>
            </w:r>
            <w:r w:rsidR="00535C84" w:rsidRPr="00F157EE">
              <w:t>2009</w:t>
            </w:r>
            <w:r>
              <w:t xml:space="preserve"> (%)</w:t>
            </w:r>
          </w:p>
        </w:tc>
        <w:tc>
          <w:tcPr>
            <w:tcW w:w="864" w:type="dxa"/>
            <w:tcBorders>
              <w:top w:val="single" w:sz="4" w:space="0" w:color="auto"/>
              <w:bottom w:val="single" w:sz="4" w:space="0" w:color="auto"/>
            </w:tcBorders>
          </w:tcPr>
          <w:p w:rsidR="00535C84" w:rsidRPr="00F157EE" w:rsidRDefault="00B03FF6" w:rsidP="006654AE">
            <w:pPr>
              <w:pStyle w:val="tabletextright"/>
            </w:pPr>
            <w:r>
              <w:t xml:space="preserve">Australia </w:t>
            </w:r>
            <w:r w:rsidR="00535C84" w:rsidRPr="00F157EE">
              <w:t>2012</w:t>
            </w:r>
            <w:r>
              <w:t xml:space="preserve"> (%)</w:t>
            </w:r>
          </w:p>
        </w:tc>
      </w:tr>
      <w:tr w:rsidR="00B03FF6" w:rsidRPr="00DF38B2" w:rsidTr="00EB5275">
        <w:trPr>
          <w:jc w:val="center"/>
        </w:trPr>
        <w:tc>
          <w:tcPr>
            <w:tcW w:w="3039" w:type="dxa"/>
            <w:tcBorders>
              <w:top w:val="single" w:sz="4" w:space="0" w:color="auto"/>
            </w:tcBorders>
          </w:tcPr>
          <w:p w:rsidR="00535C84" w:rsidRPr="00F157EE" w:rsidRDefault="00535C84" w:rsidP="006654AE">
            <w:pPr>
              <w:pStyle w:val="tabletextleft"/>
              <w:jc w:val="left"/>
            </w:pPr>
            <w:r w:rsidRPr="00F157EE">
              <w:t>Physical health &amp; wellbeing</w:t>
            </w:r>
          </w:p>
        </w:tc>
        <w:tc>
          <w:tcPr>
            <w:tcW w:w="1056" w:type="dxa"/>
            <w:tcBorders>
              <w:top w:val="single" w:sz="4" w:space="0" w:color="auto"/>
            </w:tcBorders>
          </w:tcPr>
          <w:p w:rsidR="00535C84" w:rsidRPr="00F157EE" w:rsidRDefault="00535C84" w:rsidP="006654AE">
            <w:pPr>
              <w:pStyle w:val="tabletextright"/>
            </w:pPr>
            <w:r w:rsidRPr="00F157EE">
              <w:t>18.7</w:t>
            </w:r>
          </w:p>
        </w:tc>
        <w:tc>
          <w:tcPr>
            <w:tcW w:w="953" w:type="dxa"/>
            <w:tcBorders>
              <w:top w:val="single" w:sz="4" w:space="0" w:color="auto"/>
            </w:tcBorders>
          </w:tcPr>
          <w:p w:rsidR="00535C84" w:rsidRPr="00F157EE" w:rsidRDefault="00535C84" w:rsidP="006654AE">
            <w:pPr>
              <w:pStyle w:val="tabletextright"/>
            </w:pPr>
            <w:r w:rsidRPr="00F157EE">
              <w:t>15.0</w:t>
            </w:r>
          </w:p>
        </w:tc>
        <w:tc>
          <w:tcPr>
            <w:tcW w:w="233" w:type="dxa"/>
            <w:tcBorders>
              <w:top w:val="single" w:sz="4" w:space="0" w:color="auto"/>
            </w:tcBorders>
          </w:tcPr>
          <w:p w:rsidR="00535C84" w:rsidRPr="00F157EE" w:rsidRDefault="00535C84" w:rsidP="006654AE">
            <w:pPr>
              <w:pStyle w:val="tabletextright"/>
            </w:pPr>
          </w:p>
        </w:tc>
        <w:tc>
          <w:tcPr>
            <w:tcW w:w="864" w:type="dxa"/>
            <w:tcBorders>
              <w:top w:val="single" w:sz="4" w:space="0" w:color="auto"/>
            </w:tcBorders>
          </w:tcPr>
          <w:p w:rsidR="00535C84" w:rsidRPr="00F157EE" w:rsidRDefault="00535C84" w:rsidP="006654AE">
            <w:pPr>
              <w:pStyle w:val="tabletextright"/>
            </w:pPr>
            <w:r w:rsidRPr="00F157EE">
              <w:t>9.3</w:t>
            </w:r>
          </w:p>
        </w:tc>
        <w:tc>
          <w:tcPr>
            <w:tcW w:w="864" w:type="dxa"/>
            <w:tcBorders>
              <w:top w:val="single" w:sz="4" w:space="0" w:color="auto"/>
            </w:tcBorders>
          </w:tcPr>
          <w:p w:rsidR="00535C84" w:rsidRPr="00F157EE" w:rsidRDefault="00535C84" w:rsidP="006654AE">
            <w:pPr>
              <w:pStyle w:val="tabletextright"/>
            </w:pPr>
            <w:r w:rsidRPr="00F157EE">
              <w:t>9.3</w:t>
            </w:r>
          </w:p>
        </w:tc>
      </w:tr>
      <w:tr w:rsidR="00B03FF6" w:rsidRPr="00DF38B2" w:rsidTr="00EB5275">
        <w:trPr>
          <w:jc w:val="center"/>
        </w:trPr>
        <w:tc>
          <w:tcPr>
            <w:tcW w:w="3039" w:type="dxa"/>
          </w:tcPr>
          <w:p w:rsidR="00535C84" w:rsidRPr="00F157EE" w:rsidRDefault="00535C84" w:rsidP="006654AE">
            <w:pPr>
              <w:pStyle w:val="tabletextleft"/>
              <w:jc w:val="left"/>
            </w:pPr>
            <w:r w:rsidRPr="00F157EE">
              <w:t>Social competence</w:t>
            </w:r>
          </w:p>
        </w:tc>
        <w:tc>
          <w:tcPr>
            <w:tcW w:w="1056" w:type="dxa"/>
          </w:tcPr>
          <w:p w:rsidR="00535C84" w:rsidRPr="00F157EE" w:rsidRDefault="00535C84" w:rsidP="006654AE">
            <w:pPr>
              <w:pStyle w:val="tabletextright"/>
            </w:pPr>
            <w:r w:rsidRPr="00F157EE">
              <w:t>17.9</w:t>
            </w:r>
          </w:p>
        </w:tc>
        <w:tc>
          <w:tcPr>
            <w:tcW w:w="953" w:type="dxa"/>
          </w:tcPr>
          <w:p w:rsidR="00535C84" w:rsidRPr="00F157EE" w:rsidRDefault="00535C84" w:rsidP="006654AE">
            <w:pPr>
              <w:pStyle w:val="tabletextright"/>
            </w:pPr>
            <w:r w:rsidRPr="00F157EE">
              <w:t>14.9</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9.5</w:t>
            </w:r>
          </w:p>
        </w:tc>
        <w:tc>
          <w:tcPr>
            <w:tcW w:w="864" w:type="dxa"/>
          </w:tcPr>
          <w:p w:rsidR="00535C84" w:rsidRPr="00F157EE" w:rsidRDefault="00535C84" w:rsidP="006654AE">
            <w:pPr>
              <w:pStyle w:val="tabletextright"/>
            </w:pPr>
            <w:r w:rsidRPr="00F157EE">
              <w:t>9.3</w:t>
            </w:r>
          </w:p>
        </w:tc>
      </w:tr>
      <w:tr w:rsidR="00B03FF6" w:rsidRPr="00DF38B2" w:rsidTr="00EB5275">
        <w:trPr>
          <w:jc w:val="center"/>
        </w:trPr>
        <w:tc>
          <w:tcPr>
            <w:tcW w:w="3039" w:type="dxa"/>
          </w:tcPr>
          <w:p w:rsidR="00535C84" w:rsidRPr="00F157EE" w:rsidRDefault="00535C84" w:rsidP="006654AE">
            <w:pPr>
              <w:pStyle w:val="tabletextleft"/>
              <w:jc w:val="left"/>
            </w:pPr>
            <w:r w:rsidRPr="00F157EE">
              <w:t>Emotional maturity</w:t>
            </w:r>
          </w:p>
        </w:tc>
        <w:tc>
          <w:tcPr>
            <w:tcW w:w="1056" w:type="dxa"/>
          </w:tcPr>
          <w:p w:rsidR="00535C84" w:rsidRPr="00F157EE" w:rsidRDefault="00535C84" w:rsidP="006654AE">
            <w:pPr>
              <w:pStyle w:val="tabletextright"/>
            </w:pPr>
            <w:r w:rsidRPr="00F157EE">
              <w:t>15.4</w:t>
            </w:r>
          </w:p>
        </w:tc>
        <w:tc>
          <w:tcPr>
            <w:tcW w:w="953" w:type="dxa"/>
          </w:tcPr>
          <w:p w:rsidR="00535C84" w:rsidRPr="00F157EE" w:rsidRDefault="00535C84" w:rsidP="006654AE">
            <w:pPr>
              <w:pStyle w:val="tabletextright"/>
            </w:pPr>
            <w:r w:rsidRPr="00F157EE">
              <w:t>13.5</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8.9</w:t>
            </w:r>
          </w:p>
        </w:tc>
        <w:tc>
          <w:tcPr>
            <w:tcW w:w="864" w:type="dxa"/>
          </w:tcPr>
          <w:p w:rsidR="00535C84" w:rsidRPr="00F157EE" w:rsidRDefault="00535C84" w:rsidP="006654AE">
            <w:pPr>
              <w:pStyle w:val="tabletextright"/>
            </w:pPr>
            <w:r w:rsidRPr="00F157EE">
              <w:t>7.6</w:t>
            </w:r>
          </w:p>
        </w:tc>
      </w:tr>
      <w:tr w:rsidR="00B03FF6" w:rsidRPr="00DF38B2" w:rsidTr="00EB5275">
        <w:trPr>
          <w:jc w:val="center"/>
        </w:trPr>
        <w:tc>
          <w:tcPr>
            <w:tcW w:w="3039" w:type="dxa"/>
          </w:tcPr>
          <w:p w:rsidR="00535C84" w:rsidRPr="00F157EE" w:rsidRDefault="00535C84" w:rsidP="006654AE">
            <w:pPr>
              <w:pStyle w:val="tabletextleft"/>
              <w:jc w:val="left"/>
            </w:pPr>
            <w:r w:rsidRPr="00F157EE">
              <w:t>Language and cognitive skills</w:t>
            </w:r>
          </w:p>
        </w:tc>
        <w:tc>
          <w:tcPr>
            <w:tcW w:w="1056" w:type="dxa"/>
          </w:tcPr>
          <w:p w:rsidR="00535C84" w:rsidRPr="00F157EE" w:rsidRDefault="00535C84" w:rsidP="006654AE">
            <w:pPr>
              <w:pStyle w:val="tabletextright"/>
            </w:pPr>
            <w:r w:rsidRPr="00F157EE">
              <w:t>22.5</w:t>
            </w:r>
          </w:p>
        </w:tc>
        <w:tc>
          <w:tcPr>
            <w:tcW w:w="953" w:type="dxa"/>
          </w:tcPr>
          <w:p w:rsidR="00535C84" w:rsidRPr="00F157EE" w:rsidRDefault="00535C84" w:rsidP="006654AE">
            <w:pPr>
              <w:pStyle w:val="tabletextright"/>
            </w:pPr>
            <w:r w:rsidRPr="00F157EE">
              <w:t>20.8</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8.9</w:t>
            </w:r>
          </w:p>
        </w:tc>
        <w:tc>
          <w:tcPr>
            <w:tcW w:w="864" w:type="dxa"/>
          </w:tcPr>
          <w:p w:rsidR="00535C84" w:rsidRPr="00F157EE" w:rsidRDefault="00535C84" w:rsidP="006654AE">
            <w:pPr>
              <w:pStyle w:val="tabletextright"/>
            </w:pPr>
            <w:r w:rsidRPr="00F157EE">
              <w:t>6.8</w:t>
            </w:r>
          </w:p>
        </w:tc>
      </w:tr>
      <w:tr w:rsidR="00B03FF6" w:rsidRPr="00DF38B2" w:rsidTr="00EB5275">
        <w:trPr>
          <w:jc w:val="center"/>
        </w:trPr>
        <w:tc>
          <w:tcPr>
            <w:tcW w:w="3039" w:type="dxa"/>
            <w:tcBorders>
              <w:bottom w:val="single" w:sz="6" w:space="0" w:color="auto"/>
            </w:tcBorders>
          </w:tcPr>
          <w:p w:rsidR="00535C84" w:rsidRPr="00F157EE" w:rsidRDefault="00535C84" w:rsidP="006654AE">
            <w:pPr>
              <w:pStyle w:val="tabletextleft"/>
              <w:jc w:val="left"/>
            </w:pPr>
            <w:r w:rsidRPr="00F157EE">
              <w:t>Communication &amp; general knowledge</w:t>
            </w:r>
          </w:p>
        </w:tc>
        <w:tc>
          <w:tcPr>
            <w:tcW w:w="1056" w:type="dxa"/>
            <w:tcBorders>
              <w:bottom w:val="single" w:sz="6" w:space="0" w:color="auto"/>
            </w:tcBorders>
          </w:tcPr>
          <w:p w:rsidR="00535C84" w:rsidRPr="00F157EE" w:rsidRDefault="00535C84" w:rsidP="006654AE">
            <w:pPr>
              <w:pStyle w:val="tabletextright"/>
            </w:pPr>
            <w:r w:rsidRPr="00F157EE">
              <w:t>17.5</w:t>
            </w:r>
          </w:p>
        </w:tc>
        <w:tc>
          <w:tcPr>
            <w:tcW w:w="953" w:type="dxa"/>
            <w:tcBorders>
              <w:bottom w:val="single" w:sz="4" w:space="0" w:color="auto"/>
            </w:tcBorders>
          </w:tcPr>
          <w:p w:rsidR="00535C84" w:rsidRPr="00F157EE" w:rsidRDefault="00535C84" w:rsidP="006654AE">
            <w:pPr>
              <w:pStyle w:val="tabletextright"/>
            </w:pPr>
            <w:r w:rsidRPr="00F157EE">
              <w:t>14.4</w:t>
            </w:r>
          </w:p>
        </w:tc>
        <w:tc>
          <w:tcPr>
            <w:tcW w:w="233" w:type="dxa"/>
            <w:tcBorders>
              <w:bottom w:val="single" w:sz="4" w:space="0" w:color="auto"/>
            </w:tcBorders>
          </w:tcPr>
          <w:p w:rsidR="00535C84" w:rsidRPr="00F157EE" w:rsidRDefault="00535C84" w:rsidP="006654AE">
            <w:pPr>
              <w:pStyle w:val="tabletextright"/>
            </w:pPr>
          </w:p>
        </w:tc>
        <w:tc>
          <w:tcPr>
            <w:tcW w:w="864" w:type="dxa"/>
            <w:tcBorders>
              <w:bottom w:val="single" w:sz="4" w:space="0" w:color="auto"/>
            </w:tcBorders>
          </w:tcPr>
          <w:p w:rsidR="00535C84" w:rsidRPr="00F157EE" w:rsidRDefault="00535C84" w:rsidP="006654AE">
            <w:pPr>
              <w:pStyle w:val="tabletextright"/>
            </w:pPr>
            <w:r w:rsidRPr="00F157EE">
              <w:t>9.2</w:t>
            </w:r>
          </w:p>
        </w:tc>
        <w:tc>
          <w:tcPr>
            <w:tcW w:w="864" w:type="dxa"/>
            <w:tcBorders>
              <w:bottom w:val="single" w:sz="4" w:space="0" w:color="auto"/>
            </w:tcBorders>
          </w:tcPr>
          <w:p w:rsidR="00535C84" w:rsidRPr="00F157EE" w:rsidRDefault="00535C84" w:rsidP="006654AE">
            <w:pPr>
              <w:pStyle w:val="tabletextright"/>
            </w:pPr>
            <w:r w:rsidRPr="00F157EE">
              <w:t>9.0</w:t>
            </w:r>
          </w:p>
        </w:tc>
      </w:tr>
    </w:tbl>
    <w:p w:rsidR="00535C84" w:rsidRDefault="00535C84" w:rsidP="006654AE">
      <w:pPr>
        <w:pStyle w:val="tablenotes"/>
      </w:pPr>
      <w:r w:rsidRPr="00F157EE">
        <w:t>Source:</w:t>
      </w:r>
      <w:r w:rsidRPr="00F157EE">
        <w:tab/>
        <w:t xml:space="preserve"> Australian Government (2013</w:t>
      </w:r>
      <w:r w:rsidR="003317E4">
        <w:t>a</w:t>
      </w:r>
      <w:r w:rsidR="00BF1AF5">
        <w:t>,</w:t>
      </w:r>
      <w:r w:rsidRPr="00F157EE">
        <w:t xml:space="preserve"> Table 3.1).</w:t>
      </w:r>
    </w:p>
    <w:p w:rsidR="00FE1A6A" w:rsidRPr="00F157EE" w:rsidRDefault="00FE1A6A" w:rsidP="006654AE">
      <w:pPr>
        <w:pStyle w:val="tablefootnoteslastline"/>
      </w:pPr>
    </w:p>
    <w:p w:rsidR="00535C84" w:rsidRPr="00DF38B2" w:rsidRDefault="00535C84" w:rsidP="006654AE">
      <w:r w:rsidRPr="00FE502F">
        <w:fldChar w:fldCharType="begin"/>
      </w:r>
      <w:r w:rsidRPr="00DF38B2">
        <w:instrText xml:space="preserve"> REF _Ref391803603 \h </w:instrText>
      </w:r>
      <w:r w:rsidRPr="00FE502F">
        <w:fldChar w:fldCharType="separate"/>
      </w:r>
      <w:r w:rsidR="00906D13" w:rsidRPr="00DF38B2">
        <w:t xml:space="preserve">Figure </w:t>
      </w:r>
      <w:r w:rsidR="00906D13">
        <w:rPr>
          <w:noProof/>
        </w:rPr>
        <w:t>9</w:t>
      </w:r>
      <w:r w:rsidR="00906D13" w:rsidRPr="00DF38B2">
        <w:noBreakHyphen/>
      </w:r>
      <w:r w:rsidR="00906D13">
        <w:rPr>
          <w:noProof/>
        </w:rPr>
        <w:t>1</w:t>
      </w:r>
      <w:r w:rsidRPr="00FE502F">
        <w:fldChar w:fldCharType="end"/>
      </w:r>
      <w:r w:rsidRPr="00DF38B2">
        <w:t xml:space="preserve"> presents these above results as proportion</w:t>
      </w:r>
      <w:r w:rsidR="00BF1AF5">
        <w:t>al</w:t>
      </w:r>
      <w:r w:rsidRPr="00DF38B2">
        <w:t xml:space="preserve"> gains. In three domains</w:t>
      </w:r>
      <w:r w:rsidR="00BF1AF5">
        <w:t xml:space="preserve"> –</w:t>
      </w:r>
      <w:r w:rsidRPr="00DF38B2">
        <w:t xml:space="preserve"> “Physical health and wellbeing”, “Social competence</w:t>
      </w:r>
      <w:r w:rsidR="00BF1AF5">
        <w:t>”</w:t>
      </w:r>
      <w:r w:rsidRPr="00DF38B2">
        <w:t xml:space="preserve"> and</w:t>
      </w:r>
      <w:r w:rsidRPr="00FE502F">
        <w:t xml:space="preserve"> </w:t>
      </w:r>
      <w:r w:rsidR="00BF1AF5">
        <w:t>“</w:t>
      </w:r>
      <w:r w:rsidRPr="00FE502F">
        <w:t>Communication and general knowledge”</w:t>
      </w:r>
      <w:r w:rsidR="00BF1AF5">
        <w:t xml:space="preserve"> – </w:t>
      </w:r>
      <w:r w:rsidRPr="00FE502F">
        <w:t>the relative improvement in the</w:t>
      </w:r>
      <w:r w:rsidR="00087D72">
        <w:t xml:space="preserve"> Northern Territory </w:t>
      </w:r>
      <w:r w:rsidRPr="00FE502F">
        <w:t>outstripped th</w:t>
      </w:r>
      <w:r w:rsidRPr="009655C3">
        <w:t>e national change. In one</w:t>
      </w:r>
      <w:r w:rsidR="00BF1AF5">
        <w:t>,</w:t>
      </w:r>
      <w:r w:rsidRPr="009655C3">
        <w:t xml:space="preserve"> “Emotional Maturity”</w:t>
      </w:r>
      <w:r w:rsidR="00BF1AF5">
        <w:t>,</w:t>
      </w:r>
      <w:r w:rsidRPr="009655C3">
        <w:t xml:space="preserve"> the rate of change was similar</w:t>
      </w:r>
      <w:r w:rsidR="00BF1AF5">
        <w:t>,</w:t>
      </w:r>
      <w:r w:rsidRPr="009655C3">
        <w:t xml:space="preserve"> and </w:t>
      </w:r>
      <w:r w:rsidR="00BF1AF5" w:rsidRPr="009655C3">
        <w:t>while showing some improvement</w:t>
      </w:r>
      <w:r w:rsidR="00BF1AF5">
        <w:t>,</w:t>
      </w:r>
      <w:r w:rsidRPr="009655C3">
        <w:t xml:space="preserve"> the remaining domain, “Language and cognitive skills”</w:t>
      </w:r>
      <w:r w:rsidR="00BF1AF5">
        <w:t>, exhibited a</w:t>
      </w:r>
      <w:r w:rsidRPr="009655C3">
        <w:t xml:space="preserve"> rate </w:t>
      </w:r>
      <w:r w:rsidR="00E731B8">
        <w:t xml:space="preserve">of improvement </w:t>
      </w:r>
      <w:r w:rsidRPr="009655C3">
        <w:t xml:space="preserve">much lower than </w:t>
      </w:r>
      <w:r w:rsidR="00E731B8">
        <w:t>that recorded nationally</w:t>
      </w:r>
      <w:r w:rsidRPr="009655C3">
        <w:t>. On balance th</w:t>
      </w:r>
      <w:r w:rsidR="00E731B8">
        <w:t xml:space="preserve">ese results </w:t>
      </w:r>
      <w:r w:rsidRPr="009655C3">
        <w:t xml:space="preserve">can be </w:t>
      </w:r>
      <w:r w:rsidRPr="00DF38B2">
        <w:t>seen as a positive outcome.</w:t>
      </w:r>
    </w:p>
    <w:p w:rsidR="00535C84" w:rsidRPr="00DF38B2" w:rsidRDefault="00535C84" w:rsidP="006654AE">
      <w:pPr>
        <w:pStyle w:val="Caption"/>
        <w:ind w:left="1439" w:hanging="1155"/>
      </w:pPr>
      <w:bookmarkStart w:id="487" w:name="_Ref391803603"/>
      <w:bookmarkStart w:id="488" w:name="_Toc40373955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487"/>
      <w:r w:rsidRPr="00DF38B2">
        <w:tab/>
        <w:t>Proportional change in improvement by AEDI</w:t>
      </w:r>
      <w:r w:rsidR="00F74C63">
        <w:t xml:space="preserve"> domain</w:t>
      </w:r>
      <w:r w:rsidRPr="00DF38B2">
        <w:t>, Northern Territory and Australia</w:t>
      </w:r>
      <w:r w:rsidR="002451CB">
        <w:t xml:space="preserve"> between </w:t>
      </w:r>
      <w:r w:rsidRPr="00DF38B2">
        <w:t xml:space="preserve">2009 </w:t>
      </w:r>
      <w:r w:rsidR="002451CB">
        <w:t xml:space="preserve">and </w:t>
      </w:r>
      <w:r w:rsidRPr="00DF38B2">
        <w:t>2012</w:t>
      </w:r>
      <w:bookmarkEnd w:id="488"/>
    </w:p>
    <w:p w:rsidR="00535C84" w:rsidRPr="00DF38B2" w:rsidRDefault="00535C84" w:rsidP="006654AE">
      <w:pPr>
        <w:pStyle w:val="graphicpaste"/>
      </w:pPr>
      <w:r w:rsidRPr="008E4D9D">
        <w:rPr>
          <w:noProof/>
        </w:rPr>
        <w:drawing>
          <wp:inline distT="0" distB="0" distL="0" distR="0" wp14:anchorId="44A0EC45" wp14:editId="6C94DD05">
            <wp:extent cx="4572000" cy="2743200"/>
            <wp:effectExtent l="0" t="0" r="0" b="0"/>
            <wp:docPr id="80" name="Picture 80" descr="This bar chart shows paired data for the Northern Territory, and Australia as a whole, for proportional change in AEDI scores by domain.  The data plotted in the chart is:&#10;Physical health  &amp; wellbeing, NT 19.7, Australia 0; Social  competence, NT 16.7, Australia 2.1; Emotional  maturity, NT 12.3, Australia 14.6; Language &amp;  cognitive skills, NT 7.5, Australia 23.5; Communications &amp; General knowledge, NT 17.7, Australia 2.1. The analysis is present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Source:</w:t>
      </w:r>
      <w:r w:rsidRPr="00FE502F">
        <w:tab/>
        <w:t xml:space="preserve"> Derived from Australian Government (2013</w:t>
      </w:r>
      <w:r w:rsidR="003317E4">
        <w:t>a</w:t>
      </w:r>
      <w:r w:rsidR="00BF1AF5">
        <w:t xml:space="preserve">, </w:t>
      </w:r>
      <w:r w:rsidRPr="00FE502F">
        <w:t>Table 3.1).</w:t>
      </w:r>
    </w:p>
    <w:p w:rsidR="00FE1A6A" w:rsidRPr="00FE502F" w:rsidRDefault="00FE1A6A" w:rsidP="006654AE">
      <w:pPr>
        <w:pStyle w:val="tablefootnoteslastline"/>
      </w:pPr>
    </w:p>
    <w:p w:rsidR="00535C84" w:rsidRPr="009655C3" w:rsidRDefault="00535C84" w:rsidP="006654AE">
      <w:r w:rsidRPr="00DF38B2">
        <w:fldChar w:fldCharType="begin"/>
      </w:r>
      <w:r w:rsidRPr="00DF38B2">
        <w:instrText xml:space="preserve"> REF _Ref391503090 \h </w:instrText>
      </w:r>
      <w:r w:rsidRPr="00DF38B2">
        <w:fldChar w:fldCharType="separate"/>
      </w:r>
      <w:r w:rsidR="00906D13" w:rsidRPr="009655C3">
        <w:t xml:space="preserve">Figure </w:t>
      </w:r>
      <w:r w:rsidR="00906D13">
        <w:rPr>
          <w:noProof/>
        </w:rPr>
        <w:t>9</w:t>
      </w:r>
      <w:r w:rsidR="00906D13" w:rsidRPr="00DF38B2">
        <w:noBreakHyphen/>
      </w:r>
      <w:r w:rsidR="00906D13">
        <w:rPr>
          <w:noProof/>
        </w:rPr>
        <w:t>2</w:t>
      </w:r>
      <w:r w:rsidRPr="00DF38B2">
        <w:fldChar w:fldCharType="end"/>
      </w:r>
      <w:r w:rsidRPr="00DF38B2">
        <w:t xml:space="preserve"> shows the change in AEDI scores between 2009 and 2012 for each region for Indigenous and non-Indigenous children. The changes in scores are presented in terms of the percentage change in the</w:t>
      </w:r>
      <w:r w:rsidRPr="00FE502F">
        <w:t xml:space="preserve"> proportion of children that are developme</w:t>
      </w:r>
      <w:r w:rsidRPr="009655C3">
        <w:t xml:space="preserve">ntally vulnerable. To give an example, a change of -10 per cent means that between 2009 and 2012 the proportion of children </w:t>
      </w:r>
      <w:r w:rsidR="00EA547C">
        <w:t xml:space="preserve">who were </w:t>
      </w:r>
      <w:r w:rsidRPr="009655C3">
        <w:t xml:space="preserve">developmentally vulnerable in the particular domain fell by </w:t>
      </w:r>
      <w:r w:rsidR="004B6B41">
        <w:t>10</w:t>
      </w:r>
      <w:r w:rsidR="00BF1AF5">
        <w:t xml:space="preserve"> </w:t>
      </w:r>
      <w:r w:rsidRPr="009655C3">
        <w:t xml:space="preserve">per cent. The main point to take from </w:t>
      </w:r>
      <w:r w:rsidRPr="00DF38B2">
        <w:fldChar w:fldCharType="begin"/>
      </w:r>
      <w:r w:rsidRPr="00DF38B2">
        <w:instrText xml:space="preserve"> REF _Ref391503090 \h </w:instrText>
      </w:r>
      <w:r w:rsidRPr="00DF38B2">
        <w:fldChar w:fldCharType="separate"/>
      </w:r>
      <w:r w:rsidR="00906D13" w:rsidRPr="009655C3">
        <w:t xml:space="preserve">Figure </w:t>
      </w:r>
      <w:r w:rsidR="00906D13">
        <w:rPr>
          <w:noProof/>
        </w:rPr>
        <w:t>9</w:t>
      </w:r>
      <w:r w:rsidR="00906D13" w:rsidRPr="00DF38B2">
        <w:noBreakHyphen/>
      </w:r>
      <w:r w:rsidR="00906D13">
        <w:rPr>
          <w:noProof/>
        </w:rPr>
        <w:t>2</w:t>
      </w:r>
      <w:r w:rsidRPr="00DF38B2">
        <w:fldChar w:fldCharType="end"/>
      </w:r>
      <w:r w:rsidRPr="00DF38B2">
        <w:t xml:space="preserve"> is that there was a reduction in the proportion of</w:t>
      </w:r>
      <w:r w:rsidR="00EA547C">
        <w:t xml:space="preserve"> Indigenous</w:t>
      </w:r>
      <w:r w:rsidRPr="00DF38B2">
        <w:t xml:space="preserve"> children</w:t>
      </w:r>
      <w:r w:rsidR="00EA547C">
        <w:t xml:space="preserve"> that were</w:t>
      </w:r>
      <w:r w:rsidRPr="00DF38B2">
        <w:t xml:space="preserve"> developmentally vulnerable between 2009 and 2012 for virtually all domains in virtually all regions. For non-Indigenous</w:t>
      </w:r>
      <w:r w:rsidR="00BF1AF5">
        <w:t xml:space="preserve"> </w:t>
      </w:r>
      <w:r w:rsidR="00EA547C">
        <w:t xml:space="preserve">children </w:t>
      </w:r>
      <w:r w:rsidRPr="00DF38B2">
        <w:t>the picture i</w:t>
      </w:r>
      <w:r w:rsidRPr="00FE502F">
        <w:t>s more mixed</w:t>
      </w:r>
      <w:r w:rsidR="00BF1AF5">
        <w:t>,</w:t>
      </w:r>
      <w:r w:rsidRPr="00FE502F">
        <w:t xml:space="preserve"> with improvements for most do</w:t>
      </w:r>
      <w:r w:rsidRPr="009655C3">
        <w:t>mains for most regions, but big increases in the proportion of children</w:t>
      </w:r>
      <w:r w:rsidR="00EA547C">
        <w:t xml:space="preserve"> in Katherine that were </w:t>
      </w:r>
      <w:r w:rsidRPr="009655C3">
        <w:t>developmentally vulnerable.</w:t>
      </w:r>
    </w:p>
    <w:p w:rsidR="00535C84" w:rsidRPr="00DF38B2" w:rsidRDefault="00535C84" w:rsidP="006654AE">
      <w:pPr>
        <w:pStyle w:val="Caption"/>
        <w:ind w:left="1439" w:hanging="1155"/>
      </w:pPr>
      <w:bookmarkStart w:id="489" w:name="_Ref391503090"/>
      <w:bookmarkStart w:id="490" w:name="_Toc403739558"/>
      <w:r w:rsidRPr="009655C3">
        <w:t xml:space="preserve">Figure </w:t>
      </w:r>
      <w:fldSimple w:instr=" STYLEREF 1 \s ">
        <w:r w:rsidR="00906D13">
          <w:rPr>
            <w:noProof/>
          </w:rPr>
          <w:t>9</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489"/>
      <w:r w:rsidRPr="00DF38B2">
        <w:tab/>
        <w:t>Percentage change between 2009 and 2012 in proportion of children who are developmentally vulnerable by AEDI domain by region and Indigenous status</w:t>
      </w:r>
      <w:bookmarkEnd w:id="490"/>
    </w:p>
    <w:p w:rsidR="00535C84" w:rsidRPr="00DF38B2" w:rsidRDefault="00212938" w:rsidP="006654AE">
      <w:pPr>
        <w:pStyle w:val="graphicpaste"/>
      </w:pPr>
      <w:r w:rsidRPr="00DF38B2">
        <w:rPr>
          <w:noProof/>
        </w:rPr>
        <w:drawing>
          <wp:inline distT="0" distB="0" distL="0" distR="0" wp14:anchorId="25EFED5F" wp14:editId="00722637">
            <wp:extent cx="5219700" cy="3200400"/>
            <wp:effectExtent l="0" t="0" r="0" b="0"/>
            <wp:docPr id="23" name="Picture 23" descr="This complex bar chart shows changes in AEDI by domain, by region within the Northern Territory, and by Indigenous status.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19700" cy="3200400"/>
                    </a:xfrm>
                    <a:prstGeom prst="rect">
                      <a:avLst/>
                    </a:prstGeom>
                    <a:noFill/>
                    <a:ln>
                      <a:noFill/>
                    </a:ln>
                  </pic:spPr>
                </pic:pic>
              </a:graphicData>
            </a:graphic>
          </wp:inline>
        </w:drawing>
      </w:r>
    </w:p>
    <w:p w:rsidR="00535C84" w:rsidRPr="00FE502F" w:rsidRDefault="00535C84" w:rsidP="006654AE">
      <w:pPr>
        <w:pStyle w:val="tablenotes"/>
        <w:ind w:left="1437" w:hanging="870"/>
      </w:pPr>
      <w:r w:rsidRPr="00FE502F">
        <w:t>Notes:</w:t>
      </w:r>
      <w:r w:rsidRPr="00FE502F">
        <w:tab/>
        <w:t>Numbers in the figure are the percentage change between 2009 and 2012 in the proportion of children that are developmentally vulnerable.</w:t>
      </w:r>
    </w:p>
    <w:p w:rsidR="00535C84" w:rsidRPr="009655C3" w:rsidRDefault="00535C84" w:rsidP="006654AE">
      <w:pPr>
        <w:pStyle w:val="tablenotes"/>
        <w:keepNext w:val="0"/>
      </w:pPr>
      <w:r w:rsidRPr="009655C3">
        <w:t xml:space="preserve">Source: </w:t>
      </w:r>
      <w:r w:rsidRPr="009655C3">
        <w:tab/>
        <w:t>AEDI 2009 and 2012.</w:t>
      </w:r>
    </w:p>
    <w:p w:rsidR="00535C84" w:rsidRPr="00DF38B2" w:rsidRDefault="00535C84" w:rsidP="006654AE">
      <w:pPr>
        <w:pStyle w:val="tablefootnoteslastline"/>
      </w:pPr>
    </w:p>
    <w:p w:rsidR="00535C84" w:rsidRPr="00DF38B2" w:rsidRDefault="00535C84" w:rsidP="006654AE">
      <w:pPr>
        <w:pStyle w:val="Heading3"/>
      </w:pPr>
      <w:bookmarkStart w:id="491" w:name="_Toc403739091"/>
      <w:r w:rsidRPr="00DF38B2">
        <w:lastRenderedPageBreak/>
        <w:t>Learning outcomes</w:t>
      </w:r>
      <w:bookmarkEnd w:id="491"/>
    </w:p>
    <w:p w:rsidR="00535C84" w:rsidRPr="00DF38B2" w:rsidRDefault="00535C84" w:rsidP="006654AE">
      <w:r w:rsidRPr="00DF38B2">
        <w:t>The National Assessment Program – Literacy and Numeracy (NAPLAN) has been administered annually since 2008 and assesses the performance of students in a range of areas including numeracy, reading, grammar, spelling</w:t>
      </w:r>
      <w:r w:rsidR="00BF1AF5">
        <w:t>,</w:t>
      </w:r>
      <w:r w:rsidRPr="00DF38B2">
        <w:t xml:space="preserve"> and writing. Children are assessed when they are in school years 3, 5, 7 and 9. The measurement of writing ability changed in 2011</w:t>
      </w:r>
      <w:r w:rsidR="00BF1AF5">
        <w:t>,</w:t>
      </w:r>
      <w:r w:rsidRPr="00DF38B2">
        <w:t xml:space="preserve"> </w:t>
      </w:r>
      <w:r w:rsidR="00EA547C">
        <w:t>which means that it is not possible to estimate changes in this domain</w:t>
      </w:r>
      <w:r w:rsidRPr="00DF38B2">
        <w:t xml:space="preserve"> and it is therefore not considered in this paper. The analysis in this paper focuses on two measures for each assessment: the proportion of students at or above the national minimum standard; and the mean score.</w:t>
      </w:r>
    </w:p>
    <w:p w:rsidR="00535C84" w:rsidRPr="00DF38B2" w:rsidRDefault="00535C84" w:rsidP="006654AE">
      <w:pPr>
        <w:pStyle w:val="Heading4"/>
      </w:pPr>
      <w:r w:rsidRPr="00DF38B2">
        <w:t>Proportion of children at or above the national minimum standard of achievement</w:t>
      </w:r>
    </w:p>
    <w:p w:rsidR="00535C84" w:rsidRPr="009655C3" w:rsidRDefault="00DF38B2" w:rsidP="006654AE">
      <w:r w:rsidRPr="00DF38B2">
        <w:fldChar w:fldCharType="begin"/>
      </w:r>
      <w:r w:rsidRPr="00DF38B2">
        <w:instrText xml:space="preserve"> REF _Ref391531343 \h </w:instrText>
      </w:r>
      <w:r w:rsidRPr="00DF38B2">
        <w:fldChar w:fldCharType="separate"/>
      </w:r>
      <w:r w:rsidR="00906D13" w:rsidRPr="009655C3">
        <w:t xml:space="preserve">Figure </w:t>
      </w:r>
      <w:r w:rsidR="00906D13">
        <w:rPr>
          <w:noProof/>
        </w:rPr>
        <w:t>9</w:t>
      </w:r>
      <w:r w:rsidR="00906D13" w:rsidRPr="00DF38B2">
        <w:noBreakHyphen/>
      </w:r>
      <w:r w:rsidR="00906D13">
        <w:rPr>
          <w:noProof/>
        </w:rPr>
        <w:t>3</w:t>
      </w:r>
      <w:r w:rsidRPr="00DF38B2">
        <w:fldChar w:fldCharType="end"/>
      </w:r>
      <w:r w:rsidRPr="00DF38B2">
        <w:t xml:space="preserve">, </w:t>
      </w:r>
      <w:r w:rsidRPr="00DF38B2">
        <w:fldChar w:fldCharType="begin"/>
      </w:r>
      <w:r w:rsidRPr="00DF38B2">
        <w:instrText xml:space="preserve"> REF _Ref391531345 \h </w:instrText>
      </w:r>
      <w:r w:rsidRPr="00DF38B2">
        <w:fldChar w:fldCharType="separate"/>
      </w:r>
      <w:r w:rsidR="00906D13" w:rsidRPr="00DF38B2">
        <w:t xml:space="preserve">Figure </w:t>
      </w:r>
      <w:r w:rsidR="00906D13">
        <w:rPr>
          <w:noProof/>
        </w:rPr>
        <w:t>9</w:t>
      </w:r>
      <w:r w:rsidR="00906D13" w:rsidRPr="00DF38B2">
        <w:noBreakHyphen/>
      </w:r>
      <w:r w:rsidR="00906D13">
        <w:rPr>
          <w:noProof/>
        </w:rPr>
        <w:t>4</w:t>
      </w:r>
      <w:r w:rsidRPr="00DF38B2">
        <w:fldChar w:fldCharType="end"/>
      </w:r>
      <w:r w:rsidRPr="00DF38B2">
        <w:t xml:space="preserve">, </w:t>
      </w:r>
      <w:r w:rsidRPr="00DF38B2">
        <w:fldChar w:fldCharType="begin"/>
      </w:r>
      <w:r w:rsidRPr="00DF38B2">
        <w:instrText xml:space="preserve"> REF _Ref391531346 \h </w:instrText>
      </w:r>
      <w:r w:rsidRPr="00DF38B2">
        <w:fldChar w:fldCharType="separate"/>
      </w:r>
      <w:r w:rsidR="00906D13" w:rsidRPr="00DF38B2">
        <w:t xml:space="preserve">Figure </w:t>
      </w:r>
      <w:r w:rsidR="00906D13">
        <w:rPr>
          <w:noProof/>
        </w:rPr>
        <w:t>9</w:t>
      </w:r>
      <w:r w:rsidR="00906D13" w:rsidRPr="00DF38B2">
        <w:noBreakHyphen/>
      </w:r>
      <w:r w:rsidR="00906D13">
        <w:rPr>
          <w:noProof/>
        </w:rPr>
        <w:t>5</w:t>
      </w:r>
      <w:r w:rsidRPr="00DF38B2">
        <w:fldChar w:fldCharType="end"/>
      </w:r>
      <w:r>
        <w:t xml:space="preserve"> </w:t>
      </w:r>
      <w:r w:rsidRPr="00DF38B2">
        <w:t xml:space="preserve">and </w:t>
      </w:r>
      <w:r w:rsidRPr="00DF38B2">
        <w:fldChar w:fldCharType="begin"/>
      </w:r>
      <w:r w:rsidRPr="00DF38B2">
        <w:instrText xml:space="preserve"> REF _Ref391531348 \h </w:instrText>
      </w:r>
      <w:r w:rsidRPr="00DF38B2">
        <w:fldChar w:fldCharType="separate"/>
      </w:r>
      <w:r w:rsidR="00906D13" w:rsidRPr="00DF38B2">
        <w:t xml:space="preserve">Figure </w:t>
      </w:r>
      <w:r w:rsidR="00906D13">
        <w:rPr>
          <w:noProof/>
        </w:rPr>
        <w:t>9</w:t>
      </w:r>
      <w:r w:rsidR="00906D13" w:rsidRPr="00DF38B2">
        <w:noBreakHyphen/>
      </w:r>
      <w:r w:rsidR="00906D13">
        <w:rPr>
          <w:noProof/>
        </w:rPr>
        <w:t>6</w:t>
      </w:r>
      <w:r w:rsidRPr="00DF38B2">
        <w:fldChar w:fldCharType="end"/>
      </w:r>
      <w:r w:rsidRPr="00DF38B2">
        <w:t xml:space="preserve"> show the</w:t>
      </w:r>
      <w:r w:rsidRPr="00FE502F">
        <w:t xml:space="preserve"> proportion of students for each school year who are at or above the national minimum standard for each assessment for the period 2008 to 2013.</w:t>
      </w:r>
      <w:r w:rsidRPr="009655C3">
        <w:t xml:space="preserve"> </w:t>
      </w:r>
      <w:r w:rsidR="00535C84" w:rsidRPr="009655C3">
        <w:t>The results are presented separately for Indigenous and non-Indigenous children in the Northern Territory and nationally. For all four domains examined, Indigenous children in the Northern Territory have much poorer outcomes than non-Indigenous children and Indigenous children nationally.</w:t>
      </w:r>
    </w:p>
    <w:p w:rsidR="00535C84" w:rsidRPr="009655C3" w:rsidRDefault="00535C84" w:rsidP="006654AE">
      <w:r w:rsidRPr="00DF38B2">
        <w:t>For Northern Territory Indigenous children the numeracy results fluctuate from year</w:t>
      </w:r>
      <w:r w:rsidR="00273BCA">
        <w:t xml:space="preserve"> </w:t>
      </w:r>
      <w:r w:rsidRPr="00DF38B2">
        <w:t>to</w:t>
      </w:r>
      <w:r w:rsidR="00273BCA">
        <w:t xml:space="preserve"> </w:t>
      </w:r>
      <w:r w:rsidRPr="00DF38B2">
        <w:t xml:space="preserve">year, but no trend </w:t>
      </w:r>
      <w:r w:rsidR="00273BCA">
        <w:t xml:space="preserve">is </w:t>
      </w:r>
      <w:r w:rsidRPr="00DF38B2">
        <w:t>apparent (</w:t>
      </w:r>
      <w:r w:rsidRPr="00DF38B2">
        <w:fldChar w:fldCharType="begin"/>
      </w:r>
      <w:r w:rsidRPr="00DF38B2">
        <w:instrText xml:space="preserve"> REF _Ref391531343 \h </w:instrText>
      </w:r>
      <w:r w:rsidRPr="00DF38B2">
        <w:fldChar w:fldCharType="separate"/>
      </w:r>
      <w:r w:rsidR="00906D13" w:rsidRPr="009655C3">
        <w:t xml:space="preserve">Figure </w:t>
      </w:r>
      <w:r w:rsidR="00906D13">
        <w:rPr>
          <w:noProof/>
        </w:rPr>
        <w:t>9</w:t>
      </w:r>
      <w:r w:rsidR="00906D13" w:rsidRPr="00DF38B2">
        <w:noBreakHyphen/>
      </w:r>
      <w:r w:rsidR="00906D13">
        <w:rPr>
          <w:noProof/>
        </w:rPr>
        <w:t>3</w:t>
      </w:r>
      <w:r w:rsidRPr="00DF38B2">
        <w:fldChar w:fldCharType="end"/>
      </w:r>
      <w:r w:rsidRPr="00DF38B2">
        <w:t xml:space="preserve">). There is perhaps some evidence of an improvement in numeracy for </w:t>
      </w:r>
      <w:r w:rsidRPr="00FE502F">
        <w:t>Northern Territory Indigenous and Indigenous children Australia-wide at Years 3 and 5, no change at Year 7</w:t>
      </w:r>
      <w:r w:rsidR="00273BCA">
        <w:t>,</w:t>
      </w:r>
      <w:r w:rsidRPr="00FE502F">
        <w:t xml:space="preserve"> and a worsening at Year 9 from 2012 to 2013, but it is too early to tell whether this a trend; the fact that the same pattern is evident for </w:t>
      </w:r>
      <w:r w:rsidRPr="009655C3">
        <w:t xml:space="preserve">Indigenous children in the Northern Territory and nationally strongly suggests that it is not a factor </w:t>
      </w:r>
      <w:r w:rsidR="00273BCA" w:rsidRPr="009655C3">
        <w:t xml:space="preserve">specific </w:t>
      </w:r>
      <w:r w:rsidR="00273BCA">
        <w:t xml:space="preserve">to the </w:t>
      </w:r>
      <w:r w:rsidR="00273BCA" w:rsidRPr="009655C3">
        <w:t xml:space="preserve">Northern Territory </w:t>
      </w:r>
      <w:r w:rsidR="00273BCA">
        <w:t>that</w:t>
      </w:r>
      <w:r w:rsidRPr="009655C3">
        <w:t xml:space="preserve"> explains this increase.</w:t>
      </w:r>
    </w:p>
    <w:p w:rsidR="00535C84" w:rsidRDefault="00535C84" w:rsidP="006654AE">
      <w:pPr>
        <w:pStyle w:val="Caption"/>
        <w:ind w:left="1439" w:hanging="1155"/>
      </w:pPr>
      <w:bookmarkStart w:id="492" w:name="_Ref391531343"/>
      <w:bookmarkStart w:id="493" w:name="_Toc403739559"/>
      <w:r w:rsidRPr="009655C3">
        <w:t xml:space="preserve">Figure </w:t>
      </w:r>
      <w:fldSimple w:instr=" STYLEREF 1 \s ">
        <w:r w:rsidR="00906D13">
          <w:rPr>
            <w:noProof/>
          </w:rPr>
          <w:t>9</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492"/>
      <w:r w:rsidRPr="00DF38B2">
        <w:tab/>
        <w:t>Proportion of children with numeracy at or above the national standard, by Indigenous status,</w:t>
      </w:r>
      <w:r w:rsidR="002451CB" w:rsidRPr="002451CB">
        <w:t xml:space="preserve"> NAPLAN</w:t>
      </w:r>
      <w:r w:rsidR="002451CB">
        <w:t xml:space="preserve">, </w:t>
      </w:r>
      <w:r w:rsidRPr="00DF38B2">
        <w:t>2008</w:t>
      </w:r>
      <w:r w:rsidR="00273BCA">
        <w:t>–</w:t>
      </w:r>
      <w:r w:rsidRPr="00DF38B2">
        <w:t>2013</w:t>
      </w:r>
      <w:bookmarkEnd w:id="493"/>
    </w:p>
    <w:p w:rsidR="00AB39EF" w:rsidRPr="00AB39EF" w:rsidRDefault="00AB39EF" w:rsidP="00AB39EF">
      <w:r>
        <w:rPr>
          <w:noProof/>
        </w:rPr>
        <w:drawing>
          <wp:inline distT="0" distB="0" distL="0" distR="0">
            <wp:extent cx="4622800" cy="3303024"/>
            <wp:effectExtent l="0" t="0" r="6350" b="0"/>
            <wp:docPr id="52" name="Picture 52" descr="Trend in proportion of children with numeracy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28457" cy="3307066"/>
                    </a:xfrm>
                    <a:prstGeom prst="rect">
                      <a:avLst/>
                    </a:prstGeom>
                    <a:noFill/>
                    <a:ln>
                      <a:noFill/>
                    </a:ln>
                  </pic:spPr>
                </pic:pic>
              </a:graphicData>
            </a:graphic>
          </wp:inline>
        </w:drawing>
      </w:r>
    </w:p>
    <w:p w:rsidR="00535C84" w:rsidRPr="00DF38B2"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535C84" w:rsidRPr="00F157EE" w:rsidRDefault="00535C84" w:rsidP="006654AE">
      <w:pPr>
        <w:pStyle w:val="tablefootnoteslastline"/>
      </w:pPr>
    </w:p>
    <w:p w:rsidR="00535C84" w:rsidRPr="00DF38B2" w:rsidRDefault="00535C84" w:rsidP="006654AE">
      <w:r w:rsidRPr="00DF38B2">
        <w:t>Over the period 2008 to 2013 there is no evidence of an increase in the proportion of Indigenous children at or above the national minimum standard for reading (</w:t>
      </w:r>
      <w:r w:rsidRPr="00DF38B2">
        <w:fldChar w:fldCharType="begin"/>
      </w:r>
      <w:r w:rsidRPr="00DF38B2">
        <w:instrText xml:space="preserve"> REF _Ref391531345 \h </w:instrText>
      </w:r>
      <w:r w:rsidRPr="00DF38B2">
        <w:fldChar w:fldCharType="separate"/>
      </w:r>
      <w:r w:rsidR="00906D13" w:rsidRPr="00DF38B2">
        <w:t xml:space="preserve">Figure </w:t>
      </w:r>
      <w:r w:rsidR="00906D13">
        <w:rPr>
          <w:noProof/>
        </w:rPr>
        <w:t>9</w:t>
      </w:r>
      <w:r w:rsidR="00906D13" w:rsidRPr="00DF38B2">
        <w:noBreakHyphen/>
      </w:r>
      <w:r w:rsidR="00906D13">
        <w:rPr>
          <w:noProof/>
        </w:rPr>
        <w:t>4</w:t>
      </w:r>
      <w:r w:rsidRPr="00DF38B2">
        <w:fldChar w:fldCharType="end"/>
      </w:r>
      <w:r w:rsidRPr="00DF38B2">
        <w:t xml:space="preserve">). The only exception is for Year 3 Indigenous children </w:t>
      </w:r>
      <w:r w:rsidR="00273BCA">
        <w:t xml:space="preserve">– </w:t>
      </w:r>
      <w:r w:rsidRPr="00FE502F">
        <w:t>Northern Territory and Australia</w:t>
      </w:r>
      <w:r w:rsidR="00273BCA">
        <w:t>-</w:t>
      </w:r>
      <w:r w:rsidRPr="00FE502F">
        <w:t>wide</w:t>
      </w:r>
      <w:r w:rsidR="00273BCA">
        <w:t xml:space="preserve"> –</w:t>
      </w:r>
      <w:r w:rsidRPr="00FE502F">
        <w:t xml:space="preserve"> for whom there has been an increase in the proportion of children at or ab</w:t>
      </w:r>
      <w:r w:rsidRPr="009655C3">
        <w:t xml:space="preserve">ove the national minimum standard. Between 2012 and 2013 there was a very substantial increase in the proportion of Northern Territory Indigenous children in Year 3 and Year 5 at or above the national minimum standard for reading. The very similar pattern </w:t>
      </w:r>
      <w:r w:rsidRPr="00DF38B2">
        <w:t xml:space="preserve">for Indigenous children </w:t>
      </w:r>
      <w:r w:rsidRPr="00DF38B2">
        <w:lastRenderedPageBreak/>
        <w:t xml:space="preserve">nationally strongly suggests that it is not Northern Territory specific factors </w:t>
      </w:r>
      <w:r w:rsidR="00273BCA">
        <w:t>that</w:t>
      </w:r>
      <w:r w:rsidRPr="00DF38B2">
        <w:t xml:space="preserve"> explain the 2012 to 2013 improvements or the improvements for Year 3 children.</w:t>
      </w:r>
    </w:p>
    <w:p w:rsidR="00535C84" w:rsidRDefault="00535C84" w:rsidP="006654AE">
      <w:pPr>
        <w:pStyle w:val="Caption"/>
        <w:ind w:left="1439" w:hanging="1155"/>
      </w:pPr>
      <w:bookmarkStart w:id="494" w:name="_Ref391531345"/>
      <w:bookmarkStart w:id="495" w:name="_Toc403739560"/>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494"/>
      <w:r w:rsidRPr="00DF38B2">
        <w:tab/>
        <w:t xml:space="preserve">Proportion of children with reading at or above the national standard, by Indigenous status, </w:t>
      </w:r>
      <w:r w:rsidR="002451CB">
        <w:t xml:space="preserve">NAPLAN, </w:t>
      </w:r>
      <w:r w:rsidRPr="00DF38B2">
        <w:t>2008</w:t>
      </w:r>
      <w:r w:rsidR="00273BCA">
        <w:t>–</w:t>
      </w:r>
      <w:r w:rsidRPr="00DF38B2">
        <w:t>2013</w:t>
      </w:r>
      <w:bookmarkEnd w:id="495"/>
    </w:p>
    <w:p w:rsidR="00AB39EF" w:rsidRPr="00AB39EF" w:rsidRDefault="00AB39EF" w:rsidP="00AB39EF">
      <w:r>
        <w:rPr>
          <w:noProof/>
        </w:rPr>
        <w:drawing>
          <wp:inline distT="0" distB="0" distL="0" distR="0">
            <wp:extent cx="4644668" cy="3371850"/>
            <wp:effectExtent l="0" t="0" r="3810" b="0"/>
            <wp:docPr id="56" name="Picture 56" descr="Trend in proportion of children with reading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47626" cy="3373997"/>
                    </a:xfrm>
                    <a:prstGeom prst="rect">
                      <a:avLst/>
                    </a:prstGeom>
                    <a:noFill/>
                    <a:ln>
                      <a:noFill/>
                    </a:ln>
                  </pic:spPr>
                </pic:pic>
              </a:graphicData>
            </a:graphic>
          </wp:inline>
        </w:drawing>
      </w:r>
    </w:p>
    <w:p w:rsidR="00535C84"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9655C3" w:rsidRDefault="00535C84" w:rsidP="006654AE">
      <w:r w:rsidRPr="00DF38B2">
        <w:t xml:space="preserve">Inspection of the data on the proportion of children at or above the national minimum standard for grammar and punctuation results leads to the conclusion that at Year 3 and Year 5 there has been little change between 2008 and 2012, but a </w:t>
      </w:r>
      <w:r w:rsidR="00273BCA">
        <w:t>substantial</w:t>
      </w:r>
      <w:r w:rsidRPr="00DF38B2">
        <w:t xml:space="preserve"> improvement between 2012 and 2013 for Indigenous children in the Northern Territory and Australia</w:t>
      </w:r>
      <w:r w:rsidR="00273BCA">
        <w:t>-</w:t>
      </w:r>
      <w:r w:rsidRPr="00DF38B2">
        <w:t>wide (</w:t>
      </w:r>
      <w:r w:rsidRPr="00FE502F">
        <w:fldChar w:fldCharType="begin"/>
      </w:r>
      <w:r w:rsidRPr="00DF38B2">
        <w:instrText xml:space="preserve"> REF _Ref391531346 \h </w:instrText>
      </w:r>
      <w:r w:rsidRPr="00FE502F">
        <w:fldChar w:fldCharType="separate"/>
      </w:r>
      <w:r w:rsidR="00906D13" w:rsidRPr="00DF38B2">
        <w:t xml:space="preserve">Figure </w:t>
      </w:r>
      <w:r w:rsidR="00906D13">
        <w:rPr>
          <w:noProof/>
        </w:rPr>
        <w:t>9</w:t>
      </w:r>
      <w:r w:rsidR="00906D13" w:rsidRPr="00DF38B2">
        <w:noBreakHyphen/>
      </w:r>
      <w:r w:rsidR="00906D13">
        <w:rPr>
          <w:noProof/>
        </w:rPr>
        <w:t>5</w:t>
      </w:r>
      <w:r w:rsidRPr="00FE502F">
        <w:fldChar w:fldCharType="end"/>
      </w:r>
      <w:r w:rsidRPr="00DF38B2">
        <w:t xml:space="preserve">). For Indigenous children </w:t>
      </w:r>
      <w:r w:rsidR="00273BCA">
        <w:t xml:space="preserve">– </w:t>
      </w:r>
      <w:r w:rsidRPr="00FE502F">
        <w:t>Northern Territory and nationally</w:t>
      </w:r>
      <w:r w:rsidR="00273BCA">
        <w:t xml:space="preserve"> –</w:t>
      </w:r>
      <w:r w:rsidRPr="00FE502F">
        <w:t xml:space="preserve"> at </w:t>
      </w:r>
      <w:r w:rsidR="00273BCA">
        <w:t xml:space="preserve">the </w:t>
      </w:r>
      <w:r w:rsidRPr="00FE502F">
        <w:t>Year 7 and 9 level</w:t>
      </w:r>
      <w:r w:rsidR="00273BCA">
        <w:t>s</w:t>
      </w:r>
      <w:r w:rsidRPr="00FE502F">
        <w:t xml:space="preserve">, there is evidence of some increase between 2011 and 2012, but then a </w:t>
      </w:r>
      <w:r w:rsidR="00273BCA">
        <w:t>greater</w:t>
      </w:r>
      <w:r w:rsidRPr="00FE502F">
        <w:t xml:space="preserve"> decrease between 2012 and 2013 in the proportion at </w:t>
      </w:r>
      <w:r w:rsidRPr="009655C3">
        <w:t>or above the national minimum standard. Without further years of data it is difficult to interpret what this pattern means.</w:t>
      </w:r>
    </w:p>
    <w:p w:rsidR="00535C84" w:rsidRPr="00DF38B2" w:rsidRDefault="00535C84" w:rsidP="006654AE">
      <w:r w:rsidRPr="00DF38B2">
        <w:t>While the proportion of Northern Territory Indigenous children at or above the national minimum standard for spelling varies from year to year, there is no clear pattern of change.</w:t>
      </w:r>
    </w:p>
    <w:p w:rsidR="00535C84" w:rsidRPr="00DF38B2" w:rsidRDefault="00535C84" w:rsidP="006654AE">
      <w:pPr>
        <w:pStyle w:val="Caption"/>
        <w:ind w:left="1439" w:hanging="1155"/>
      </w:pPr>
      <w:bookmarkStart w:id="496" w:name="_Ref391531346"/>
      <w:bookmarkStart w:id="497" w:name="_Toc403739561"/>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496"/>
      <w:r w:rsidRPr="00DF38B2">
        <w:tab/>
        <w:t>Proportion of children with grammar at or above the national standard, by Indigenous status,</w:t>
      </w:r>
      <w:r w:rsidR="002451CB" w:rsidRPr="002451CB">
        <w:t xml:space="preserve"> NAPLAN, </w:t>
      </w:r>
      <w:r w:rsidRPr="00DF38B2">
        <w:t>2008</w:t>
      </w:r>
      <w:r w:rsidR="00273BCA">
        <w:t>–</w:t>
      </w:r>
      <w:r w:rsidRPr="00DF38B2">
        <w:t>2013</w:t>
      </w:r>
      <w:bookmarkEnd w:id="497"/>
    </w:p>
    <w:p w:rsidR="00C07CF6" w:rsidRDefault="00C07CF6" w:rsidP="006654AE">
      <w:pPr>
        <w:pStyle w:val="tablenotes"/>
        <w:keepNext w:val="0"/>
        <w:ind w:left="1437" w:hanging="870"/>
      </w:pPr>
      <w:r>
        <w:rPr>
          <w:noProof/>
        </w:rPr>
        <w:drawing>
          <wp:inline distT="0" distB="0" distL="0" distR="0">
            <wp:extent cx="4731418" cy="3457575"/>
            <wp:effectExtent l="0" t="0" r="0" b="0"/>
            <wp:docPr id="57" name="Picture 57" descr="Trend in proportion of children with grammar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33135" cy="3458830"/>
                    </a:xfrm>
                    <a:prstGeom prst="rect">
                      <a:avLst/>
                    </a:prstGeom>
                    <a:noFill/>
                    <a:ln>
                      <a:noFill/>
                    </a:ln>
                  </pic:spPr>
                </pic:pic>
              </a:graphicData>
            </a:graphic>
          </wp:inline>
        </w:drawing>
      </w:r>
    </w:p>
    <w:p w:rsidR="00535C84" w:rsidRDefault="00535C84" w:rsidP="006654AE">
      <w:pPr>
        <w:pStyle w:val="tablenotes"/>
        <w:keepNext w:val="0"/>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DF38B2" w:rsidRDefault="00535C84" w:rsidP="006654AE">
      <w:pPr>
        <w:pStyle w:val="Caption"/>
        <w:ind w:left="1439" w:hanging="1155"/>
      </w:pPr>
      <w:bookmarkStart w:id="498" w:name="_Ref391531348"/>
      <w:bookmarkStart w:id="499" w:name="_Toc40373956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498"/>
      <w:r w:rsidRPr="00DF38B2">
        <w:tab/>
        <w:t xml:space="preserve">Proportion of children with spelling at or above the national standard, by Indigenous status, </w:t>
      </w:r>
      <w:r w:rsidR="002451CB" w:rsidRPr="002451CB">
        <w:t>NAPLAN,</w:t>
      </w:r>
      <w:r w:rsidR="002451CB">
        <w:t xml:space="preserve"> </w:t>
      </w:r>
      <w:r w:rsidRPr="00DF38B2">
        <w:t>2008</w:t>
      </w:r>
      <w:r w:rsidR="00273BCA">
        <w:t>–</w:t>
      </w:r>
      <w:r w:rsidRPr="00DF38B2">
        <w:t>2013</w:t>
      </w:r>
      <w:bookmarkEnd w:id="499"/>
    </w:p>
    <w:p w:rsidR="00387EB5" w:rsidRDefault="00387EB5" w:rsidP="006654AE">
      <w:pPr>
        <w:pStyle w:val="tablenotes"/>
        <w:ind w:left="1437" w:hanging="870"/>
      </w:pPr>
      <w:r>
        <w:rPr>
          <w:noProof/>
        </w:rPr>
        <w:drawing>
          <wp:inline distT="0" distB="0" distL="0" distR="0">
            <wp:extent cx="4857293" cy="3829149"/>
            <wp:effectExtent l="0" t="0" r="635" b="0"/>
            <wp:docPr id="61" name="Picture 61" descr="Trend in proportion of children with spelling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57316" cy="3829167"/>
                    </a:xfrm>
                    <a:prstGeom prst="rect">
                      <a:avLst/>
                    </a:prstGeom>
                    <a:noFill/>
                    <a:ln>
                      <a:noFill/>
                    </a:ln>
                  </pic:spPr>
                </pic:pic>
              </a:graphicData>
            </a:graphic>
          </wp:inline>
        </w:drawing>
      </w:r>
    </w:p>
    <w:p w:rsidR="00535C84"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DF38B2" w:rsidRDefault="00535C84" w:rsidP="006654AE">
      <w:pPr>
        <w:pStyle w:val="Heading4"/>
      </w:pPr>
      <w:r w:rsidRPr="00DF38B2">
        <w:lastRenderedPageBreak/>
        <w:t>Average achievement for each domain of assessment</w:t>
      </w:r>
    </w:p>
    <w:p w:rsidR="00535C84" w:rsidRPr="00DF38B2" w:rsidRDefault="00535C84" w:rsidP="006654AE">
      <w:r w:rsidRPr="00DF38B2">
        <w:t>This section presents information on the mean score for each assessment of Indigenous students in the Northern Territory and nationally.</w:t>
      </w:r>
    </w:p>
    <w:p w:rsidR="00535C84" w:rsidRPr="00DF38B2" w:rsidRDefault="00535C84" w:rsidP="006654AE">
      <w:r w:rsidRPr="00DF38B2">
        <w:fldChar w:fldCharType="begin"/>
      </w:r>
      <w:r w:rsidRPr="00DF38B2">
        <w:instrText xml:space="preserve"> REF _Ref391532752 \h </w:instrText>
      </w:r>
      <w:r w:rsidRPr="00DF38B2">
        <w:fldChar w:fldCharType="separate"/>
      </w:r>
      <w:r w:rsidR="00906D13" w:rsidRPr="00DF38B2">
        <w:t xml:space="preserve">Table </w:t>
      </w:r>
      <w:r w:rsidR="00906D13">
        <w:rPr>
          <w:noProof/>
        </w:rPr>
        <w:t>9</w:t>
      </w:r>
      <w:r w:rsidR="00906D13">
        <w:noBreakHyphen/>
      </w:r>
      <w:r w:rsidR="00906D13">
        <w:rPr>
          <w:noProof/>
        </w:rPr>
        <w:t>3</w:t>
      </w:r>
      <w:r w:rsidRPr="00DF38B2">
        <w:fldChar w:fldCharType="end"/>
      </w:r>
      <w:r w:rsidRPr="00DF38B2">
        <w:t xml:space="preserve"> shows the mean score </w:t>
      </w:r>
      <w:r w:rsidRPr="00FE502F">
        <w:t xml:space="preserve">for Northern Territory children in 2008, 2010 and 2013 and the results of statistical tests of whether the 2008 and 2013 scores differ and whether the 2010 and 2013 scores differ. </w:t>
      </w:r>
      <w:r w:rsidRPr="00DF38B2">
        <w:fldChar w:fldCharType="begin"/>
      </w:r>
      <w:r w:rsidRPr="00DF38B2">
        <w:instrText xml:space="preserve"> REF _Ref392856197 \h </w:instrText>
      </w:r>
      <w:r w:rsidRPr="00DF38B2">
        <w:fldChar w:fldCharType="separate"/>
      </w:r>
      <w:r w:rsidR="00906D13" w:rsidRPr="00DF38B2">
        <w:t xml:space="preserve">Table </w:t>
      </w:r>
      <w:r w:rsidR="00906D13">
        <w:rPr>
          <w:noProof/>
        </w:rPr>
        <w:t>9</w:t>
      </w:r>
      <w:r w:rsidR="00906D13">
        <w:noBreakHyphen/>
      </w:r>
      <w:r w:rsidR="00906D13">
        <w:rPr>
          <w:noProof/>
        </w:rPr>
        <w:t>4</w:t>
      </w:r>
      <w:r w:rsidRPr="00DF38B2">
        <w:fldChar w:fldCharType="end"/>
      </w:r>
      <w:r w:rsidRPr="00DF38B2">
        <w:t xml:space="preserve"> provides this information nationally.</w:t>
      </w:r>
    </w:p>
    <w:p w:rsidR="00535C84" w:rsidRPr="00DF38B2" w:rsidRDefault="00535C84" w:rsidP="006654AE">
      <w:r w:rsidRPr="00FE502F">
        <w:t>A</w:t>
      </w:r>
      <w:r w:rsidRPr="009655C3">
        <w:t>t Year 3 level there were statistically significant improvements in reading, grammar and punctuation and spelling between 2008 and 2013 and between 2010 and 2013 in the Northern Territory. At Year 5 level there have been statistically significant improv</w:t>
      </w:r>
      <w:r w:rsidRPr="00DF38B2">
        <w:t>ements across most domains between 2008 and 2013 and between 2010 and 2013 in the Northern Territory. At Year 7 and 9 levels the picture is much more mixed</w:t>
      </w:r>
      <w:r w:rsidR="00273BCA">
        <w:t>,</w:t>
      </w:r>
      <w:r w:rsidRPr="00DF38B2">
        <w:t xml:space="preserve"> with some improvements, some worsening</w:t>
      </w:r>
      <w:r w:rsidR="00273BCA">
        <w:t>,</w:t>
      </w:r>
      <w:r w:rsidRPr="00DF38B2">
        <w:t xml:space="preserve"> and a number for which there is no significant change in the Northern Territory. The pattern of changes is very similar for Indigenous children in the Northern Territory and nationally</w:t>
      </w:r>
      <w:r w:rsidR="00273BCA">
        <w:t>,</w:t>
      </w:r>
      <w:r w:rsidRPr="00DF38B2">
        <w:t xml:space="preserve"> suggesting that much of the change is not being driven by Northern Territory specific factors.</w:t>
      </w:r>
    </w:p>
    <w:p w:rsidR="00535C84" w:rsidRPr="00DF38B2" w:rsidRDefault="00535C84" w:rsidP="006654AE">
      <w:pPr>
        <w:pStyle w:val="Caption"/>
      </w:pPr>
      <w:bookmarkStart w:id="500" w:name="_Ref391532752"/>
      <w:bookmarkStart w:id="501" w:name="_Toc403739477"/>
      <w:r w:rsidRPr="00DF38B2">
        <w:t xml:space="preserve">Table </w:t>
      </w:r>
      <w:fldSimple w:instr=" STYLEREF 1 \s ">
        <w:r w:rsidR="00906D13">
          <w:rPr>
            <w:noProof/>
          </w:rPr>
          <w:t>9</w:t>
        </w:r>
      </w:fldSimple>
      <w:r w:rsidR="00D40B64">
        <w:noBreakHyphen/>
      </w:r>
      <w:fldSimple w:instr=" SEQ Table \* ARABIC \s 1 ">
        <w:r w:rsidR="00906D13">
          <w:rPr>
            <w:noProof/>
          </w:rPr>
          <w:t>3</w:t>
        </w:r>
      </w:fldSimple>
      <w:bookmarkEnd w:id="500"/>
      <w:r w:rsidRPr="00DF38B2">
        <w:tab/>
        <w:t>Achievement of Year</w:t>
      </w:r>
      <w:r w:rsidR="009D7C6E">
        <w:t>s</w:t>
      </w:r>
      <w:r w:rsidRPr="00DF38B2">
        <w:t xml:space="preserve"> 3, 5, 7 and 9</w:t>
      </w:r>
      <w:r w:rsidR="002451CB">
        <w:t xml:space="preserve"> </w:t>
      </w:r>
      <w:r w:rsidRPr="00DF38B2">
        <w:t>Indigenous</w:t>
      </w:r>
      <w:r w:rsidR="002451CB">
        <w:t xml:space="preserve"> students in the</w:t>
      </w:r>
      <w:r w:rsidRPr="00DF38B2">
        <w:t xml:space="preserve"> Northern Territory, </w:t>
      </w:r>
      <w:r w:rsidR="002451CB" w:rsidRPr="002451CB">
        <w:t xml:space="preserve">NAPLAN, </w:t>
      </w:r>
      <w:r w:rsidRPr="00DF38B2">
        <w:t>2008–2013</w:t>
      </w:r>
      <w:bookmarkEnd w:id="501"/>
    </w:p>
    <w:tbl>
      <w:tblPr>
        <w:tblStyle w:val="TableGrid"/>
        <w:tblpPr w:leftFromText="181" w:rightFromText="181" w:vertAnchor="text" w:horzAnchor="margin" w:tblpY="216"/>
        <w:tblW w:w="9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Description w:val="This is a complex table. It presents data on four outcome domains (Numeracy, Reading, Grammar and Punctuation and Spelling” for four different years of students (years 3,5,7 and 9) these years form horizontal panels in the table with each panel containing the four domains. &#10;The first six columns present grouped for each of the three years for which data is presented (2008, 2010 and 2013) the mean and standard deviation of the score.  The final two columns of the data show graphically – by means up an upward or downward arrow, and the presence or absence of an asterisk – a summary of the direction and statistical significance of change, firstly between 2008 amd 2013 and secondly between 2010 and 2013.&#10;The main results are reported in the text.&#10;"/>
      </w:tblPr>
      <w:tblGrid>
        <w:gridCol w:w="624"/>
        <w:gridCol w:w="2098"/>
        <w:gridCol w:w="850"/>
        <w:gridCol w:w="658"/>
        <w:gridCol w:w="232"/>
        <w:gridCol w:w="709"/>
        <w:gridCol w:w="760"/>
        <w:gridCol w:w="134"/>
        <w:gridCol w:w="709"/>
        <w:gridCol w:w="716"/>
        <w:gridCol w:w="134"/>
        <w:gridCol w:w="708"/>
        <w:gridCol w:w="709"/>
      </w:tblGrid>
      <w:tr w:rsidR="00B03FF6" w:rsidRPr="00DF38B2" w:rsidTr="00B03FF6">
        <w:trPr>
          <w:tblHeader/>
        </w:trPr>
        <w:tc>
          <w:tcPr>
            <w:tcW w:w="624" w:type="dxa"/>
            <w:tcBorders>
              <w:top w:val="single" w:sz="4" w:space="0" w:color="auto"/>
              <w:bottom w:val="single" w:sz="4" w:space="0" w:color="auto"/>
            </w:tcBorders>
          </w:tcPr>
          <w:p w:rsidR="00B03FF6" w:rsidRPr="00DF38B2" w:rsidRDefault="00B03FF6" w:rsidP="006654AE">
            <w:pPr>
              <w:pStyle w:val="tabletextleft"/>
            </w:pPr>
            <w:r>
              <w:t>Year</w:t>
            </w:r>
          </w:p>
        </w:tc>
        <w:tc>
          <w:tcPr>
            <w:tcW w:w="2098" w:type="dxa"/>
            <w:tcBorders>
              <w:top w:val="single" w:sz="4" w:space="0" w:color="auto"/>
              <w:bottom w:val="single" w:sz="4" w:space="0" w:color="auto"/>
            </w:tcBorders>
          </w:tcPr>
          <w:p w:rsidR="00B03FF6" w:rsidRPr="00DF38B2" w:rsidRDefault="00B03FF6" w:rsidP="00B03FF6">
            <w:pPr>
              <w:pStyle w:val="tabletextleft"/>
            </w:pPr>
            <w:r>
              <w:t>Achievement (NAPLAN)</w:t>
            </w:r>
          </w:p>
        </w:tc>
        <w:tc>
          <w:tcPr>
            <w:tcW w:w="1508"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2008</w:t>
            </w:r>
          </w:p>
        </w:tc>
        <w:tc>
          <w:tcPr>
            <w:tcW w:w="232" w:type="dxa"/>
            <w:tcBorders>
              <w:top w:val="single" w:sz="4" w:space="0" w:color="auto"/>
              <w:bottom w:val="single" w:sz="4" w:space="0" w:color="auto"/>
            </w:tcBorders>
          </w:tcPr>
          <w:p w:rsidR="00B03FF6" w:rsidRPr="00DF38B2" w:rsidRDefault="00B03FF6" w:rsidP="006654AE">
            <w:pPr>
              <w:pStyle w:val="tabletextright"/>
            </w:pPr>
          </w:p>
        </w:tc>
        <w:tc>
          <w:tcPr>
            <w:tcW w:w="1469"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2010</w:t>
            </w:r>
          </w:p>
        </w:tc>
        <w:tc>
          <w:tcPr>
            <w:tcW w:w="134" w:type="dxa"/>
            <w:tcBorders>
              <w:top w:val="single" w:sz="4" w:space="0" w:color="auto"/>
              <w:bottom w:val="single" w:sz="4" w:space="0" w:color="auto"/>
            </w:tcBorders>
          </w:tcPr>
          <w:p w:rsidR="00B03FF6" w:rsidRPr="00DF38B2" w:rsidRDefault="00B03FF6" w:rsidP="006654AE">
            <w:pPr>
              <w:pStyle w:val="tabletextright"/>
            </w:pPr>
          </w:p>
        </w:tc>
        <w:tc>
          <w:tcPr>
            <w:tcW w:w="1425"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2013</w:t>
            </w:r>
          </w:p>
        </w:tc>
        <w:tc>
          <w:tcPr>
            <w:tcW w:w="134" w:type="dxa"/>
            <w:tcBorders>
              <w:top w:val="single" w:sz="4" w:space="0" w:color="auto"/>
              <w:bottom w:val="single" w:sz="4" w:space="0" w:color="auto"/>
            </w:tcBorders>
          </w:tcPr>
          <w:p w:rsidR="00B03FF6" w:rsidRPr="00DF38B2" w:rsidRDefault="00B03FF6" w:rsidP="006654AE">
            <w:pPr>
              <w:pStyle w:val="tabletextright"/>
            </w:pPr>
          </w:p>
        </w:tc>
        <w:tc>
          <w:tcPr>
            <w:tcW w:w="708" w:type="dxa"/>
            <w:tcBorders>
              <w:top w:val="single" w:sz="4" w:space="0" w:color="auto"/>
              <w:bottom w:val="single" w:sz="4" w:space="0" w:color="auto"/>
            </w:tcBorders>
          </w:tcPr>
          <w:p w:rsidR="00B03FF6" w:rsidRPr="00DF38B2" w:rsidRDefault="00B03FF6" w:rsidP="006654AE">
            <w:pPr>
              <w:pStyle w:val="tabletextright"/>
              <w:jc w:val="left"/>
            </w:pPr>
            <w:r>
              <w:t xml:space="preserve">Difference </w:t>
            </w:r>
            <w:r w:rsidRPr="00DF38B2">
              <w:t>2008–2013</w:t>
            </w:r>
          </w:p>
        </w:tc>
        <w:tc>
          <w:tcPr>
            <w:tcW w:w="709" w:type="dxa"/>
            <w:tcBorders>
              <w:top w:val="single" w:sz="4" w:space="0" w:color="auto"/>
              <w:bottom w:val="single" w:sz="4" w:space="0" w:color="auto"/>
            </w:tcBorders>
          </w:tcPr>
          <w:p w:rsidR="00B03FF6" w:rsidRPr="00DF38B2" w:rsidRDefault="00B03FF6" w:rsidP="006654AE">
            <w:pPr>
              <w:pStyle w:val="tabletextright"/>
              <w:jc w:val="left"/>
            </w:pPr>
            <w:r>
              <w:t xml:space="preserve">Difference </w:t>
            </w:r>
            <w:r w:rsidRPr="00DF38B2">
              <w:t>2010–2013</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3</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275.0</w:t>
            </w:r>
          </w:p>
        </w:tc>
        <w:tc>
          <w:tcPr>
            <w:tcW w:w="658" w:type="dxa"/>
            <w:tcBorders>
              <w:top w:val="single" w:sz="4" w:space="0" w:color="auto"/>
            </w:tcBorders>
          </w:tcPr>
          <w:p w:rsidR="00EB5275" w:rsidRPr="00DF38B2" w:rsidRDefault="00EB5275" w:rsidP="006654AE">
            <w:pPr>
              <w:pStyle w:val="tabletextright"/>
            </w:pPr>
            <w:r w:rsidRPr="00DF38B2">
              <w:t>(72.0)</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266.0</w:t>
            </w:r>
          </w:p>
        </w:tc>
        <w:tc>
          <w:tcPr>
            <w:tcW w:w="760" w:type="dxa"/>
            <w:tcBorders>
              <w:top w:val="single" w:sz="4" w:space="0" w:color="auto"/>
            </w:tcBorders>
          </w:tcPr>
          <w:p w:rsidR="00EB5275" w:rsidRPr="00DF38B2" w:rsidRDefault="00EB5275" w:rsidP="006654AE">
            <w:pPr>
              <w:pStyle w:val="tabletextright"/>
            </w:pPr>
            <w:r w:rsidRPr="00DF38B2">
              <w:t>(77.2)</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271.1</w:t>
            </w:r>
          </w:p>
        </w:tc>
        <w:tc>
          <w:tcPr>
            <w:tcW w:w="716" w:type="dxa"/>
            <w:tcBorders>
              <w:top w:val="single" w:sz="4" w:space="0" w:color="auto"/>
            </w:tcBorders>
          </w:tcPr>
          <w:p w:rsidR="00EB5275" w:rsidRPr="00DF38B2" w:rsidRDefault="00EB5275" w:rsidP="006654AE">
            <w:pPr>
              <w:pStyle w:val="tabletextright"/>
            </w:pPr>
            <w:r w:rsidRPr="00DF38B2">
              <w:t>(68.8)</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208.1</w:t>
            </w:r>
          </w:p>
        </w:tc>
        <w:tc>
          <w:tcPr>
            <w:tcW w:w="658" w:type="dxa"/>
          </w:tcPr>
          <w:p w:rsidR="00EB5275" w:rsidRPr="00DF38B2" w:rsidRDefault="00EB5275" w:rsidP="006654AE">
            <w:pPr>
              <w:pStyle w:val="tabletextright"/>
            </w:pPr>
            <w:r w:rsidRPr="00DF38B2">
              <w:t>(117.7)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246.3</w:t>
            </w:r>
          </w:p>
        </w:tc>
        <w:tc>
          <w:tcPr>
            <w:tcW w:w="760" w:type="dxa"/>
          </w:tcPr>
          <w:p w:rsidR="00EB5275" w:rsidRPr="00DF38B2" w:rsidRDefault="00EB5275" w:rsidP="006654AE">
            <w:pPr>
              <w:pStyle w:val="tabletextright"/>
            </w:pPr>
            <w:r w:rsidRPr="00DF38B2">
              <w:t>(108.3)</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265.8</w:t>
            </w:r>
          </w:p>
        </w:tc>
        <w:tc>
          <w:tcPr>
            <w:tcW w:w="716" w:type="dxa"/>
          </w:tcPr>
          <w:p w:rsidR="00EB5275" w:rsidRPr="00DF38B2" w:rsidRDefault="00EB5275" w:rsidP="006654AE">
            <w:pPr>
              <w:pStyle w:val="tabletextright"/>
            </w:pPr>
            <w:r w:rsidRPr="00DF38B2">
              <w:t>(96.8)</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176.7</w:t>
            </w:r>
          </w:p>
        </w:tc>
        <w:tc>
          <w:tcPr>
            <w:tcW w:w="658" w:type="dxa"/>
          </w:tcPr>
          <w:p w:rsidR="00EB5275" w:rsidRPr="00DF38B2" w:rsidRDefault="00EB5275" w:rsidP="006654AE">
            <w:pPr>
              <w:pStyle w:val="tabletextright"/>
            </w:pPr>
            <w:r w:rsidRPr="00DF38B2">
              <w:t>(133.3)</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218.0</w:t>
            </w:r>
          </w:p>
        </w:tc>
        <w:tc>
          <w:tcPr>
            <w:tcW w:w="760" w:type="dxa"/>
          </w:tcPr>
          <w:p w:rsidR="00EB5275" w:rsidRPr="00DF38B2" w:rsidRDefault="00EB5275" w:rsidP="006654AE">
            <w:pPr>
              <w:pStyle w:val="tabletextright"/>
            </w:pPr>
            <w:r w:rsidRPr="00DF38B2">
              <w:t>(116.0)</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254.7</w:t>
            </w:r>
          </w:p>
        </w:tc>
        <w:tc>
          <w:tcPr>
            <w:tcW w:w="716" w:type="dxa"/>
          </w:tcPr>
          <w:p w:rsidR="00EB5275" w:rsidRPr="00DF38B2" w:rsidRDefault="00EB5275" w:rsidP="006654AE">
            <w:pPr>
              <w:pStyle w:val="tabletextright"/>
            </w:pPr>
            <w:r w:rsidRPr="00DF38B2">
              <w:t>(107.5)</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208.4</w:t>
            </w:r>
          </w:p>
        </w:tc>
        <w:tc>
          <w:tcPr>
            <w:tcW w:w="658" w:type="dxa"/>
            <w:tcBorders>
              <w:bottom w:val="single" w:sz="4" w:space="0" w:color="auto"/>
            </w:tcBorders>
          </w:tcPr>
          <w:p w:rsidR="00EB5275" w:rsidRPr="00DF38B2" w:rsidRDefault="00EB5275" w:rsidP="006654AE">
            <w:pPr>
              <w:pStyle w:val="tabletextright"/>
            </w:pPr>
            <w:r w:rsidRPr="00DF38B2">
              <w:t>(113.1)</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213.5</w:t>
            </w:r>
          </w:p>
        </w:tc>
        <w:tc>
          <w:tcPr>
            <w:tcW w:w="760" w:type="dxa"/>
            <w:tcBorders>
              <w:bottom w:val="single" w:sz="4" w:space="0" w:color="auto"/>
            </w:tcBorders>
          </w:tcPr>
          <w:p w:rsidR="00EB5275" w:rsidRPr="00DF38B2" w:rsidRDefault="00EB5275" w:rsidP="006654AE">
            <w:pPr>
              <w:pStyle w:val="tabletextright"/>
            </w:pPr>
            <w:r w:rsidRPr="00DF38B2">
              <w:t>(120.2)</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253.3</w:t>
            </w:r>
          </w:p>
        </w:tc>
        <w:tc>
          <w:tcPr>
            <w:tcW w:w="716" w:type="dxa"/>
            <w:tcBorders>
              <w:bottom w:val="single" w:sz="4" w:space="0" w:color="auto"/>
            </w:tcBorders>
          </w:tcPr>
          <w:p w:rsidR="00EB5275" w:rsidRPr="00DF38B2" w:rsidRDefault="00EB5275" w:rsidP="006654AE">
            <w:pPr>
              <w:pStyle w:val="tabletextright"/>
            </w:pPr>
            <w:r w:rsidRPr="00DF38B2">
              <w:t>(94.6)</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5</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355.9</w:t>
            </w:r>
          </w:p>
        </w:tc>
        <w:tc>
          <w:tcPr>
            <w:tcW w:w="658" w:type="dxa"/>
            <w:tcBorders>
              <w:top w:val="single" w:sz="4" w:space="0" w:color="auto"/>
            </w:tcBorders>
          </w:tcPr>
          <w:p w:rsidR="00EB5275" w:rsidRPr="00DF38B2" w:rsidRDefault="00EB5275" w:rsidP="006654AE">
            <w:pPr>
              <w:pStyle w:val="tabletextright"/>
            </w:pPr>
            <w:r w:rsidRPr="00DF38B2">
              <w:t>(67.0)</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351.6</w:t>
            </w:r>
          </w:p>
        </w:tc>
        <w:tc>
          <w:tcPr>
            <w:tcW w:w="760" w:type="dxa"/>
            <w:tcBorders>
              <w:top w:val="single" w:sz="4" w:space="0" w:color="auto"/>
            </w:tcBorders>
          </w:tcPr>
          <w:p w:rsidR="00EB5275" w:rsidRPr="00DF38B2" w:rsidRDefault="00EB5275" w:rsidP="006654AE">
            <w:pPr>
              <w:pStyle w:val="tabletextright"/>
            </w:pPr>
            <w:r w:rsidRPr="00DF38B2">
              <w:t>(77.2)</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360.8</w:t>
            </w:r>
          </w:p>
        </w:tc>
        <w:tc>
          <w:tcPr>
            <w:tcW w:w="716" w:type="dxa"/>
            <w:tcBorders>
              <w:top w:val="single" w:sz="4" w:space="0" w:color="auto"/>
            </w:tcBorders>
          </w:tcPr>
          <w:p w:rsidR="00EB5275" w:rsidRPr="00DF38B2" w:rsidRDefault="00EB5275" w:rsidP="006654AE">
            <w:pPr>
              <w:pStyle w:val="tabletextright"/>
            </w:pPr>
            <w:r w:rsidRPr="00DF38B2">
              <w:t>(64.7)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top w:val="single" w:sz="4" w:space="0" w:color="auto"/>
            </w:tcBorders>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307.3</w:t>
            </w:r>
          </w:p>
        </w:tc>
        <w:tc>
          <w:tcPr>
            <w:tcW w:w="658" w:type="dxa"/>
          </w:tcPr>
          <w:p w:rsidR="00EB5275" w:rsidRPr="00DF38B2" w:rsidRDefault="00EB5275" w:rsidP="006654AE">
            <w:pPr>
              <w:pStyle w:val="tabletextright"/>
            </w:pPr>
            <w:r w:rsidRPr="00DF38B2">
              <w:t>(107.8)</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326.7</w:t>
            </w:r>
          </w:p>
        </w:tc>
        <w:tc>
          <w:tcPr>
            <w:tcW w:w="760" w:type="dxa"/>
          </w:tcPr>
          <w:p w:rsidR="00EB5275" w:rsidRPr="00DF38B2" w:rsidRDefault="00EB5275" w:rsidP="006654AE">
            <w:pPr>
              <w:pStyle w:val="tabletextright"/>
            </w:pPr>
            <w:r w:rsidRPr="00DF38B2">
              <w:t>(102.5)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370.0</w:t>
            </w:r>
          </w:p>
        </w:tc>
        <w:tc>
          <w:tcPr>
            <w:tcW w:w="716" w:type="dxa"/>
          </w:tcPr>
          <w:p w:rsidR="00EB5275" w:rsidRPr="00DF38B2" w:rsidRDefault="00EB5275" w:rsidP="006654AE">
            <w:pPr>
              <w:pStyle w:val="tabletextright"/>
            </w:pPr>
            <w:r w:rsidRPr="00DF38B2">
              <w:t>(77.4)</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286.4</w:t>
            </w:r>
          </w:p>
        </w:tc>
        <w:tc>
          <w:tcPr>
            <w:tcW w:w="658" w:type="dxa"/>
          </w:tcPr>
          <w:p w:rsidR="00EB5275" w:rsidRPr="00DF38B2" w:rsidRDefault="00EB5275" w:rsidP="006654AE">
            <w:pPr>
              <w:pStyle w:val="tabletextright"/>
            </w:pPr>
            <w:r w:rsidRPr="00DF38B2">
              <w:t>(125.7)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295.6</w:t>
            </w:r>
          </w:p>
        </w:tc>
        <w:tc>
          <w:tcPr>
            <w:tcW w:w="760" w:type="dxa"/>
          </w:tcPr>
          <w:p w:rsidR="00EB5275" w:rsidRPr="00DF38B2" w:rsidRDefault="00EB5275" w:rsidP="006654AE">
            <w:pPr>
              <w:pStyle w:val="tabletextright"/>
            </w:pPr>
            <w:r w:rsidRPr="00DF38B2">
              <w:t>(121.0)</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343.2</w:t>
            </w:r>
          </w:p>
        </w:tc>
        <w:tc>
          <w:tcPr>
            <w:tcW w:w="716" w:type="dxa"/>
          </w:tcPr>
          <w:p w:rsidR="00EB5275" w:rsidRPr="00DF38B2" w:rsidRDefault="00EB5275" w:rsidP="006654AE">
            <w:pPr>
              <w:pStyle w:val="tabletextright"/>
            </w:pPr>
            <w:r w:rsidRPr="00DF38B2">
              <w:t>(87.5)</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313.5</w:t>
            </w:r>
          </w:p>
        </w:tc>
        <w:tc>
          <w:tcPr>
            <w:tcW w:w="658" w:type="dxa"/>
            <w:tcBorders>
              <w:bottom w:val="single" w:sz="4" w:space="0" w:color="auto"/>
            </w:tcBorders>
          </w:tcPr>
          <w:p w:rsidR="00EB5275" w:rsidRPr="00DF38B2" w:rsidRDefault="00EB5275" w:rsidP="006654AE">
            <w:pPr>
              <w:pStyle w:val="tabletextright"/>
            </w:pPr>
            <w:r w:rsidRPr="00DF38B2">
              <w:t>(107.7)</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333.8</w:t>
            </w:r>
          </w:p>
        </w:tc>
        <w:tc>
          <w:tcPr>
            <w:tcW w:w="760" w:type="dxa"/>
            <w:tcBorders>
              <w:bottom w:val="single" w:sz="4" w:space="0" w:color="auto"/>
            </w:tcBorders>
          </w:tcPr>
          <w:p w:rsidR="00EB5275" w:rsidRPr="00DF38B2" w:rsidRDefault="00EB5275" w:rsidP="006654AE">
            <w:pPr>
              <w:pStyle w:val="tabletextright"/>
            </w:pPr>
            <w:r w:rsidRPr="00DF38B2">
              <w:t>(103.9)</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331.6</w:t>
            </w:r>
          </w:p>
        </w:tc>
        <w:tc>
          <w:tcPr>
            <w:tcW w:w="716" w:type="dxa"/>
            <w:tcBorders>
              <w:bottom w:val="single" w:sz="4" w:space="0" w:color="auto"/>
            </w:tcBorders>
          </w:tcPr>
          <w:p w:rsidR="00EB5275" w:rsidRPr="00DF38B2" w:rsidRDefault="00EB5275" w:rsidP="006654AE">
            <w:pPr>
              <w:pStyle w:val="tabletextright"/>
            </w:pPr>
            <w:r w:rsidRPr="00DF38B2">
              <w:t>(101.7)</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7</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428.3</w:t>
            </w:r>
          </w:p>
        </w:tc>
        <w:tc>
          <w:tcPr>
            <w:tcW w:w="658" w:type="dxa"/>
            <w:tcBorders>
              <w:top w:val="single" w:sz="4" w:space="0" w:color="auto"/>
            </w:tcBorders>
          </w:tcPr>
          <w:p w:rsidR="00EB5275" w:rsidRPr="00DF38B2" w:rsidRDefault="00EB5275" w:rsidP="006654AE">
            <w:pPr>
              <w:pStyle w:val="tabletextright"/>
            </w:pPr>
            <w:r w:rsidRPr="00DF38B2">
              <w:t>(67.8)</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416.5</w:t>
            </w:r>
          </w:p>
        </w:tc>
        <w:tc>
          <w:tcPr>
            <w:tcW w:w="760" w:type="dxa"/>
            <w:tcBorders>
              <w:top w:val="single" w:sz="4" w:space="0" w:color="auto"/>
            </w:tcBorders>
          </w:tcPr>
          <w:p w:rsidR="00EB5275" w:rsidRPr="00DF38B2" w:rsidRDefault="00EB5275" w:rsidP="006654AE">
            <w:pPr>
              <w:pStyle w:val="tabletextright"/>
            </w:pPr>
            <w:r w:rsidRPr="00DF38B2">
              <w:t>(73.0)</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417.4</w:t>
            </w:r>
          </w:p>
        </w:tc>
        <w:tc>
          <w:tcPr>
            <w:tcW w:w="716" w:type="dxa"/>
            <w:tcBorders>
              <w:top w:val="single" w:sz="4" w:space="0" w:color="auto"/>
            </w:tcBorders>
          </w:tcPr>
          <w:p w:rsidR="00EB5275" w:rsidRPr="00DF38B2" w:rsidRDefault="00EB5275" w:rsidP="006654AE">
            <w:pPr>
              <w:pStyle w:val="tabletextright"/>
            </w:pPr>
            <w:r w:rsidRPr="00DF38B2">
              <w:t>(66.7)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386.1</w:t>
            </w:r>
          </w:p>
        </w:tc>
        <w:tc>
          <w:tcPr>
            <w:tcW w:w="658" w:type="dxa"/>
          </w:tcPr>
          <w:p w:rsidR="00EB5275" w:rsidRPr="00DF38B2" w:rsidRDefault="00EB5275" w:rsidP="006654AE">
            <w:pPr>
              <w:pStyle w:val="tabletextright"/>
            </w:pPr>
            <w:r w:rsidRPr="00DF38B2">
              <w:t>(93.0)</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412.4</w:t>
            </w:r>
          </w:p>
        </w:tc>
        <w:tc>
          <w:tcPr>
            <w:tcW w:w="760" w:type="dxa"/>
          </w:tcPr>
          <w:p w:rsidR="00EB5275" w:rsidRPr="00DF38B2" w:rsidRDefault="00EB5275" w:rsidP="006654AE">
            <w:pPr>
              <w:pStyle w:val="tabletextright"/>
            </w:pPr>
            <w:r w:rsidRPr="00DF38B2">
              <w:t>(79.9)</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391.2</w:t>
            </w:r>
          </w:p>
        </w:tc>
        <w:tc>
          <w:tcPr>
            <w:tcW w:w="716" w:type="dxa"/>
          </w:tcPr>
          <w:p w:rsidR="00EB5275" w:rsidRPr="00DF38B2" w:rsidRDefault="00EB5275" w:rsidP="006654AE">
            <w:pPr>
              <w:pStyle w:val="tabletextright"/>
            </w:pPr>
            <w:r w:rsidRPr="00DF38B2">
              <w:t>(90.7)</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r>
              <w:t xml:space="preserve"> </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346.8</w:t>
            </w:r>
          </w:p>
        </w:tc>
        <w:tc>
          <w:tcPr>
            <w:tcW w:w="658" w:type="dxa"/>
          </w:tcPr>
          <w:p w:rsidR="00EB5275" w:rsidRPr="00DF38B2" w:rsidRDefault="00EB5275" w:rsidP="006654AE">
            <w:pPr>
              <w:pStyle w:val="tabletextright"/>
            </w:pPr>
            <w:r w:rsidRPr="00DF38B2">
              <w:t>(109.7)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364.5</w:t>
            </w:r>
          </w:p>
        </w:tc>
        <w:tc>
          <w:tcPr>
            <w:tcW w:w="760" w:type="dxa"/>
          </w:tcPr>
          <w:p w:rsidR="00EB5275" w:rsidRPr="00DF38B2" w:rsidRDefault="00EB5275" w:rsidP="006654AE">
            <w:pPr>
              <w:pStyle w:val="tabletextright"/>
            </w:pPr>
            <w:r w:rsidRPr="00DF38B2">
              <w:t>(99.5)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344.0</w:t>
            </w:r>
          </w:p>
        </w:tc>
        <w:tc>
          <w:tcPr>
            <w:tcW w:w="716" w:type="dxa"/>
          </w:tcPr>
          <w:p w:rsidR="00EB5275" w:rsidRPr="00DF38B2" w:rsidRDefault="00EB5275" w:rsidP="006654AE">
            <w:pPr>
              <w:pStyle w:val="tabletextright"/>
            </w:pPr>
            <w:r w:rsidRPr="00DF38B2">
              <w:t>(113.4)</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r>
              <w:t xml:space="preserve"> </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375.9</w:t>
            </w:r>
          </w:p>
        </w:tc>
        <w:tc>
          <w:tcPr>
            <w:tcW w:w="658" w:type="dxa"/>
            <w:tcBorders>
              <w:bottom w:val="single" w:sz="4" w:space="0" w:color="auto"/>
            </w:tcBorders>
          </w:tcPr>
          <w:p w:rsidR="00EB5275" w:rsidRPr="00DF38B2" w:rsidRDefault="00EB5275" w:rsidP="006654AE">
            <w:pPr>
              <w:pStyle w:val="tabletextright"/>
            </w:pPr>
            <w:r w:rsidRPr="00DF38B2">
              <w:t>(104.8)</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389.4</w:t>
            </w:r>
          </w:p>
        </w:tc>
        <w:tc>
          <w:tcPr>
            <w:tcW w:w="760" w:type="dxa"/>
            <w:tcBorders>
              <w:bottom w:val="single" w:sz="4" w:space="0" w:color="auto"/>
            </w:tcBorders>
          </w:tcPr>
          <w:p w:rsidR="00EB5275" w:rsidRPr="00DF38B2" w:rsidRDefault="00EB5275" w:rsidP="006654AE">
            <w:pPr>
              <w:pStyle w:val="tabletextright"/>
            </w:pPr>
            <w:r w:rsidRPr="00DF38B2">
              <w:t>(98.4)</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382.9</w:t>
            </w:r>
          </w:p>
        </w:tc>
        <w:tc>
          <w:tcPr>
            <w:tcW w:w="716" w:type="dxa"/>
            <w:tcBorders>
              <w:bottom w:val="single" w:sz="4" w:space="0" w:color="auto"/>
            </w:tcBorders>
          </w:tcPr>
          <w:p w:rsidR="00EB5275" w:rsidRPr="00DF38B2" w:rsidRDefault="00EB5275" w:rsidP="006654AE">
            <w:pPr>
              <w:pStyle w:val="tabletextright"/>
            </w:pPr>
            <w:r w:rsidRPr="00DF38B2">
              <w:t>(110.1)</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bottom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9</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470.5</w:t>
            </w:r>
          </w:p>
        </w:tc>
        <w:tc>
          <w:tcPr>
            <w:tcW w:w="658" w:type="dxa"/>
            <w:tcBorders>
              <w:top w:val="single" w:sz="4" w:space="0" w:color="auto"/>
            </w:tcBorders>
          </w:tcPr>
          <w:p w:rsidR="00EB5275" w:rsidRPr="00DF38B2" w:rsidRDefault="00EB5275" w:rsidP="006654AE">
            <w:pPr>
              <w:pStyle w:val="tabletextright"/>
            </w:pPr>
            <w:r w:rsidRPr="00DF38B2">
              <w:t>(70.8)</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456.9</w:t>
            </w:r>
          </w:p>
        </w:tc>
        <w:tc>
          <w:tcPr>
            <w:tcW w:w="760" w:type="dxa"/>
            <w:tcBorders>
              <w:top w:val="single" w:sz="4" w:space="0" w:color="auto"/>
            </w:tcBorders>
          </w:tcPr>
          <w:p w:rsidR="00EB5275" w:rsidRPr="00DF38B2" w:rsidRDefault="00EB5275" w:rsidP="006654AE">
            <w:pPr>
              <w:pStyle w:val="tabletextright"/>
            </w:pPr>
            <w:r w:rsidRPr="00DF38B2">
              <w:t>(72.6)</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451.6</w:t>
            </w:r>
          </w:p>
        </w:tc>
        <w:tc>
          <w:tcPr>
            <w:tcW w:w="716" w:type="dxa"/>
            <w:tcBorders>
              <w:top w:val="single" w:sz="4" w:space="0" w:color="auto"/>
            </w:tcBorders>
          </w:tcPr>
          <w:p w:rsidR="00EB5275" w:rsidRPr="00DF38B2" w:rsidRDefault="00EB5275" w:rsidP="006654AE">
            <w:pPr>
              <w:pStyle w:val="tabletextright"/>
            </w:pPr>
            <w:r w:rsidRPr="00DF38B2">
              <w:t>(80.7)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446.5</w:t>
            </w:r>
          </w:p>
        </w:tc>
        <w:tc>
          <w:tcPr>
            <w:tcW w:w="658" w:type="dxa"/>
          </w:tcPr>
          <w:p w:rsidR="00EB5275" w:rsidRPr="00DF38B2" w:rsidRDefault="00EB5275" w:rsidP="006654AE">
            <w:pPr>
              <w:pStyle w:val="tabletextright"/>
            </w:pPr>
            <w:r w:rsidRPr="00DF38B2">
              <w:t>(94.8)</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445.1</w:t>
            </w:r>
          </w:p>
        </w:tc>
        <w:tc>
          <w:tcPr>
            <w:tcW w:w="760" w:type="dxa"/>
          </w:tcPr>
          <w:p w:rsidR="00EB5275" w:rsidRPr="00DF38B2" w:rsidRDefault="00EB5275" w:rsidP="006654AE">
            <w:pPr>
              <w:pStyle w:val="tabletextright"/>
            </w:pPr>
            <w:r w:rsidRPr="00DF38B2">
              <w:t>(81.5)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456.2</w:t>
            </w:r>
          </w:p>
        </w:tc>
        <w:tc>
          <w:tcPr>
            <w:tcW w:w="716" w:type="dxa"/>
          </w:tcPr>
          <w:p w:rsidR="00EB5275" w:rsidRPr="00DF38B2" w:rsidRDefault="00EB5275" w:rsidP="006654AE">
            <w:pPr>
              <w:pStyle w:val="tabletextright"/>
            </w:pPr>
            <w:r w:rsidRPr="00DF38B2">
              <w:t>(82.6)</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411.5</w:t>
            </w:r>
          </w:p>
        </w:tc>
        <w:tc>
          <w:tcPr>
            <w:tcW w:w="658" w:type="dxa"/>
          </w:tcPr>
          <w:p w:rsidR="00EB5275" w:rsidRPr="00DF38B2" w:rsidRDefault="00EB5275" w:rsidP="006654AE">
            <w:pPr>
              <w:pStyle w:val="tabletextright"/>
            </w:pPr>
            <w:r w:rsidRPr="00DF38B2">
              <w:t>(107.3)</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413.5</w:t>
            </w:r>
          </w:p>
        </w:tc>
        <w:tc>
          <w:tcPr>
            <w:tcW w:w="760" w:type="dxa"/>
          </w:tcPr>
          <w:p w:rsidR="00EB5275" w:rsidRPr="00DF38B2" w:rsidRDefault="00EB5275" w:rsidP="006654AE">
            <w:pPr>
              <w:pStyle w:val="tabletextright"/>
            </w:pPr>
            <w:r w:rsidRPr="00DF38B2">
              <w:t>(104.5)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397.3</w:t>
            </w:r>
          </w:p>
        </w:tc>
        <w:tc>
          <w:tcPr>
            <w:tcW w:w="716" w:type="dxa"/>
          </w:tcPr>
          <w:p w:rsidR="00EB5275" w:rsidRPr="00DF38B2" w:rsidRDefault="00EB5275" w:rsidP="006654AE">
            <w:pPr>
              <w:pStyle w:val="tabletextright"/>
            </w:pPr>
            <w:r w:rsidRPr="00DF38B2">
              <w:t>(111.3)</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428.5</w:t>
            </w:r>
          </w:p>
        </w:tc>
        <w:tc>
          <w:tcPr>
            <w:tcW w:w="658" w:type="dxa"/>
            <w:tcBorders>
              <w:bottom w:val="single" w:sz="4" w:space="0" w:color="auto"/>
            </w:tcBorders>
          </w:tcPr>
          <w:p w:rsidR="00EB5275" w:rsidRPr="00DF38B2" w:rsidRDefault="00EB5275" w:rsidP="006654AE">
            <w:pPr>
              <w:pStyle w:val="tabletextright"/>
            </w:pPr>
            <w:r w:rsidRPr="00DF38B2">
              <w:t>(109.2)</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431.9</w:t>
            </w:r>
          </w:p>
        </w:tc>
        <w:tc>
          <w:tcPr>
            <w:tcW w:w="760" w:type="dxa"/>
            <w:tcBorders>
              <w:bottom w:val="single" w:sz="4" w:space="0" w:color="auto"/>
            </w:tcBorders>
          </w:tcPr>
          <w:p w:rsidR="00EB5275" w:rsidRPr="00DF38B2" w:rsidRDefault="00EB5275" w:rsidP="006654AE">
            <w:pPr>
              <w:pStyle w:val="tabletextright"/>
            </w:pPr>
            <w:r w:rsidRPr="00DF38B2">
              <w:t>(101.3)</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443.0</w:t>
            </w:r>
          </w:p>
        </w:tc>
        <w:tc>
          <w:tcPr>
            <w:tcW w:w="716" w:type="dxa"/>
            <w:tcBorders>
              <w:bottom w:val="single" w:sz="4" w:space="0" w:color="auto"/>
            </w:tcBorders>
          </w:tcPr>
          <w:p w:rsidR="00EB5275" w:rsidRPr="00DF38B2" w:rsidRDefault="00EB5275" w:rsidP="006654AE">
            <w:pPr>
              <w:pStyle w:val="tabletextright"/>
            </w:pPr>
            <w:r w:rsidRPr="00DF38B2">
              <w:t>(103.3)</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p>
        </w:tc>
      </w:tr>
    </w:tbl>
    <w:p w:rsidR="000F06BF" w:rsidRDefault="000F06BF" w:rsidP="006654AE">
      <w:pPr>
        <w:pStyle w:val="tablenotes"/>
        <w:ind w:left="1304" w:hanging="737"/>
      </w:pPr>
    </w:p>
    <w:p w:rsidR="00535C84" w:rsidRPr="00DF38B2" w:rsidRDefault="00535C84" w:rsidP="006654AE">
      <w:pPr>
        <w:pStyle w:val="tablenotes"/>
        <w:ind w:left="1304" w:hanging="737"/>
      </w:pPr>
      <w:r w:rsidRPr="00DF38B2">
        <w:t xml:space="preserve">Notes: </w:t>
      </w:r>
      <w:r w:rsidRPr="00DF38B2">
        <w:tab/>
        <w:t xml:space="preserve">Statistical significance of changes on NAPLAN scores </w:t>
      </w:r>
      <w:proofErr w:type="gramStart"/>
      <w:r w:rsidRPr="00DF38B2">
        <w:t>are</w:t>
      </w:r>
      <w:proofErr w:type="gramEnd"/>
      <w:r w:rsidRPr="00DF38B2">
        <w:t xml:space="preserve"> undertaken using </w:t>
      </w:r>
      <w:r w:rsidR="00273BCA">
        <w:t xml:space="preserve">a </w:t>
      </w:r>
      <w:r w:rsidRPr="00DF38B2">
        <w:t>two-sample mean-comparison test with both equal and unequal variance. * indicates that the scores are significantly different at the 95</w:t>
      </w:r>
      <w:r w:rsidR="00273BCA">
        <w:t xml:space="preserve"> per cent</w:t>
      </w:r>
      <w:r w:rsidRPr="00DF38B2">
        <w:t xml:space="preserve"> confidence level.</w:t>
      </w:r>
    </w:p>
    <w:p w:rsidR="00535C84" w:rsidRPr="00DF38B2" w:rsidRDefault="00535C84" w:rsidP="006654AE">
      <w:pPr>
        <w:pStyle w:val="tablenotes"/>
        <w:ind w:left="1305" w:hanging="738"/>
      </w:pPr>
      <w:r w:rsidRPr="00DF38B2">
        <w:t>Source:</w:t>
      </w:r>
      <w:r w:rsidRPr="00DF38B2">
        <w:tab/>
        <w:t>Authors’ calculation using NAPLAN Reports 2008–2013</w:t>
      </w:r>
      <w:r w:rsidR="00B84AFE">
        <w:t xml:space="preserve"> </w:t>
      </w:r>
      <w:r w:rsidR="00593F5B">
        <w:t>(Australian Curriculum, Assessment and Reporting Authority 2008, 2009, 2010, 2011, 2012, 2013)</w:t>
      </w:r>
      <w:r w:rsidR="00B01EB2">
        <w:t>.</w:t>
      </w:r>
    </w:p>
    <w:p w:rsidR="00535C84" w:rsidRPr="00DF38B2" w:rsidRDefault="00535C84" w:rsidP="006654AE">
      <w:pPr>
        <w:pStyle w:val="tablefootnoteslastline"/>
      </w:pPr>
      <w:bookmarkStart w:id="502" w:name="_Ref391532785"/>
    </w:p>
    <w:p w:rsidR="00535C84" w:rsidRPr="00DF38B2" w:rsidRDefault="00535C84" w:rsidP="006654AE">
      <w:pPr>
        <w:spacing w:line="276" w:lineRule="auto"/>
        <w:jc w:val="left"/>
        <w:rPr>
          <w:rFonts w:asciiTheme="minorHAnsi" w:hAnsiTheme="minorHAnsi"/>
          <w:b/>
          <w:bCs/>
          <w:color w:val="891919"/>
          <w:szCs w:val="18"/>
        </w:rPr>
      </w:pPr>
      <w:r w:rsidRPr="00DF38B2">
        <w:rPr>
          <w:rFonts w:asciiTheme="minorHAnsi" w:hAnsiTheme="minorHAnsi"/>
          <w:b/>
          <w:bCs/>
          <w:color w:val="891919"/>
          <w:szCs w:val="18"/>
        </w:rPr>
        <w:br w:type="page"/>
      </w:r>
    </w:p>
    <w:p w:rsidR="00535C84" w:rsidRPr="00DF38B2" w:rsidRDefault="00535C84" w:rsidP="006654AE">
      <w:pPr>
        <w:keepNext/>
        <w:keepLines/>
        <w:spacing w:line="276" w:lineRule="auto"/>
        <w:jc w:val="left"/>
        <w:rPr>
          <w:rFonts w:asciiTheme="minorHAnsi" w:hAnsiTheme="minorHAnsi"/>
          <w:b/>
          <w:bCs/>
          <w:color w:val="891919"/>
          <w:szCs w:val="18"/>
        </w:rPr>
      </w:pPr>
    </w:p>
    <w:p w:rsidR="00535C84" w:rsidRPr="00DF38B2" w:rsidRDefault="00535C84" w:rsidP="006654AE">
      <w:pPr>
        <w:pStyle w:val="Caption"/>
        <w:keepLines/>
      </w:pPr>
      <w:bookmarkStart w:id="503" w:name="_Ref392856197"/>
      <w:bookmarkStart w:id="504" w:name="_Toc403739478"/>
      <w:r w:rsidRPr="00DF38B2">
        <w:t xml:space="preserve">Table </w:t>
      </w:r>
      <w:fldSimple w:instr=" STYLEREF 1 \s ">
        <w:r w:rsidR="00906D13">
          <w:rPr>
            <w:noProof/>
          </w:rPr>
          <w:t>9</w:t>
        </w:r>
      </w:fldSimple>
      <w:r w:rsidR="00D40B64">
        <w:noBreakHyphen/>
      </w:r>
      <w:fldSimple w:instr=" SEQ Table \* ARABIC \s 1 ">
        <w:r w:rsidR="00906D13">
          <w:rPr>
            <w:noProof/>
          </w:rPr>
          <w:t>4</w:t>
        </w:r>
      </w:fldSimple>
      <w:bookmarkEnd w:id="502"/>
      <w:bookmarkEnd w:id="503"/>
      <w:r w:rsidRPr="00DF38B2">
        <w:tab/>
      </w:r>
      <w:r w:rsidR="002451CB" w:rsidRPr="002451CB">
        <w:t xml:space="preserve">Achievement of Years 3, 5, 7 and 9 Indigenous students </w:t>
      </w:r>
      <w:r w:rsidR="002451CB">
        <w:t>Australia</w:t>
      </w:r>
      <w:r w:rsidR="002451CB" w:rsidRPr="002451CB">
        <w:t>, NAPLAN</w:t>
      </w:r>
      <w:r w:rsidRPr="00DF38B2">
        <w:t>, 2008</w:t>
      </w:r>
      <w:r w:rsidR="00273BCA">
        <w:t>–</w:t>
      </w:r>
      <w:r w:rsidRPr="00DF38B2">
        <w:t>2013</w:t>
      </w:r>
      <w:bookmarkEnd w:id="504"/>
    </w:p>
    <w:tbl>
      <w:tblPr>
        <w:tblStyle w:val="TableGrid"/>
        <w:tblpPr w:leftFromText="180" w:rightFromText="180" w:vertAnchor="text" w:horzAnchor="margin" w:tblpX="-318" w:tblpY="214"/>
        <w:tblW w:w="9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replicates table 9-3 for Indigenous students across Australia. As such it is again a complex table. It presents data on four outcome domains (Numeracy, Reading, Grammar and Punctuation and Spelling” for four different years of students (years 3,5,7 and 9) these years form horizontal panels in the table with each panel containing the four domains. &#10;The first six columns present grouped for each of the three years for which data is presented (2008, 2010 and 2013) the mean and standard deviation of the score.  The final two columns of the data show graphically – by means up an upward or downward arrow, and the presence or absence of an asterisk – a summary of the direction and statistical significance of change, firstly between 2008 amd 2013 and secondly between 2010 and 2013.&#10;The main results are reported in the text.&#10;"/>
      </w:tblPr>
      <w:tblGrid>
        <w:gridCol w:w="766"/>
        <w:gridCol w:w="2098"/>
        <w:gridCol w:w="709"/>
        <w:gridCol w:w="709"/>
        <w:gridCol w:w="709"/>
        <w:gridCol w:w="708"/>
        <w:gridCol w:w="851"/>
        <w:gridCol w:w="567"/>
        <w:gridCol w:w="236"/>
        <w:gridCol w:w="1068"/>
        <w:gridCol w:w="992"/>
      </w:tblGrid>
      <w:tr w:rsidR="00B03FF6" w:rsidRPr="00DF38B2" w:rsidTr="00256FDF">
        <w:trPr>
          <w:cantSplit/>
          <w:tblHeader/>
        </w:trPr>
        <w:tc>
          <w:tcPr>
            <w:tcW w:w="766" w:type="dxa"/>
            <w:tcBorders>
              <w:top w:val="single" w:sz="4" w:space="0" w:color="auto"/>
              <w:bottom w:val="single" w:sz="4" w:space="0" w:color="auto"/>
            </w:tcBorders>
          </w:tcPr>
          <w:p w:rsidR="00B03FF6" w:rsidRPr="00DF38B2" w:rsidRDefault="00B03FF6" w:rsidP="00256FDF">
            <w:pPr>
              <w:pStyle w:val="tabletextleft"/>
            </w:pPr>
            <w:r>
              <w:t>Year</w:t>
            </w:r>
          </w:p>
        </w:tc>
        <w:tc>
          <w:tcPr>
            <w:tcW w:w="2098" w:type="dxa"/>
            <w:tcBorders>
              <w:top w:val="single" w:sz="4" w:space="0" w:color="auto"/>
              <w:bottom w:val="single" w:sz="4" w:space="0" w:color="auto"/>
            </w:tcBorders>
            <w:tcMar>
              <w:left w:w="57" w:type="dxa"/>
              <w:right w:w="57" w:type="dxa"/>
            </w:tcMar>
          </w:tcPr>
          <w:p w:rsidR="00B03FF6" w:rsidRPr="00DF38B2" w:rsidRDefault="00B03FF6" w:rsidP="00256FDF">
            <w:pPr>
              <w:pStyle w:val="tabletextleft"/>
            </w:pPr>
            <w:r>
              <w:t>Achievement (NAPLAN)</w:t>
            </w:r>
          </w:p>
        </w:tc>
        <w:tc>
          <w:tcPr>
            <w:tcW w:w="1418"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2008</w:t>
            </w:r>
          </w:p>
        </w:tc>
        <w:tc>
          <w:tcPr>
            <w:tcW w:w="1417"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2010</w:t>
            </w:r>
          </w:p>
        </w:tc>
        <w:tc>
          <w:tcPr>
            <w:tcW w:w="1418"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2013</w:t>
            </w:r>
          </w:p>
        </w:tc>
        <w:tc>
          <w:tcPr>
            <w:tcW w:w="236"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pPr>
          </w:p>
        </w:tc>
        <w:tc>
          <w:tcPr>
            <w:tcW w:w="1068"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jc w:val="left"/>
            </w:pPr>
            <w:r>
              <w:t xml:space="preserve">Difference </w:t>
            </w:r>
            <w:r w:rsidRPr="00DF38B2">
              <w:t>2008</w:t>
            </w:r>
            <w:r>
              <w:t>–</w:t>
            </w:r>
            <w:r w:rsidRPr="00DF38B2">
              <w:t>2013</w:t>
            </w:r>
          </w:p>
        </w:tc>
        <w:tc>
          <w:tcPr>
            <w:tcW w:w="992"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jc w:val="left"/>
            </w:pPr>
            <w:r>
              <w:t xml:space="preserve">Difference </w:t>
            </w:r>
            <w:r w:rsidRPr="00DF38B2">
              <w:t>2010</w:t>
            </w:r>
            <w:r>
              <w:t>–</w:t>
            </w:r>
            <w:r w:rsidRPr="00DF38B2">
              <w:t>2013</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3</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327.6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(70.6)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325.3</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(71.2)</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332.3</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(65.5)</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313.7</w:t>
            </w:r>
          </w:p>
        </w:tc>
        <w:tc>
          <w:tcPr>
            <w:tcW w:w="709" w:type="dxa"/>
            <w:tcMar>
              <w:left w:w="57" w:type="dxa"/>
              <w:right w:w="57" w:type="dxa"/>
            </w:tcMar>
          </w:tcPr>
          <w:p w:rsidR="00EB5275" w:rsidRPr="00DF38B2" w:rsidRDefault="00EB5275" w:rsidP="00256FDF">
            <w:pPr>
              <w:pStyle w:val="tabletextright"/>
            </w:pPr>
            <w:r w:rsidRPr="00DF38B2">
              <w:t>(96.3)</w:t>
            </w:r>
          </w:p>
        </w:tc>
        <w:tc>
          <w:tcPr>
            <w:tcW w:w="709" w:type="dxa"/>
            <w:tcMar>
              <w:left w:w="57" w:type="dxa"/>
              <w:right w:w="57" w:type="dxa"/>
            </w:tcMar>
          </w:tcPr>
          <w:p w:rsidR="00EB5275" w:rsidRPr="00DF38B2" w:rsidRDefault="00EB5275" w:rsidP="00256FDF">
            <w:pPr>
              <w:pStyle w:val="tabletextright"/>
            </w:pPr>
            <w:r w:rsidRPr="00DF38B2">
              <w:t>330.8</w:t>
            </w:r>
          </w:p>
        </w:tc>
        <w:tc>
          <w:tcPr>
            <w:tcW w:w="708" w:type="dxa"/>
            <w:tcMar>
              <w:left w:w="57" w:type="dxa"/>
              <w:right w:w="57" w:type="dxa"/>
            </w:tcMar>
          </w:tcPr>
          <w:p w:rsidR="00EB5275" w:rsidRPr="00DF38B2" w:rsidRDefault="00EB5275" w:rsidP="00256FDF">
            <w:pPr>
              <w:pStyle w:val="tabletextright"/>
            </w:pPr>
            <w:r w:rsidRPr="00DF38B2">
              <w:t>(89.6)</w:t>
            </w:r>
          </w:p>
        </w:tc>
        <w:tc>
          <w:tcPr>
            <w:tcW w:w="851" w:type="dxa"/>
            <w:tcMar>
              <w:left w:w="57" w:type="dxa"/>
              <w:right w:w="57" w:type="dxa"/>
            </w:tcMar>
          </w:tcPr>
          <w:p w:rsidR="00EB5275" w:rsidRPr="00DF38B2" w:rsidRDefault="00EB5275" w:rsidP="00256FDF">
            <w:pPr>
              <w:pStyle w:val="tabletextright"/>
            </w:pPr>
            <w:r w:rsidRPr="00DF38B2">
              <w:t>343.7</w:t>
            </w:r>
          </w:p>
        </w:tc>
        <w:tc>
          <w:tcPr>
            <w:tcW w:w="567" w:type="dxa"/>
            <w:tcMar>
              <w:left w:w="57" w:type="dxa"/>
              <w:right w:w="57" w:type="dxa"/>
            </w:tcMar>
          </w:tcPr>
          <w:p w:rsidR="00EB5275" w:rsidRPr="00DF38B2" w:rsidRDefault="00EB5275" w:rsidP="00256FDF">
            <w:pPr>
              <w:pStyle w:val="tabletextright"/>
            </w:pPr>
            <w:r w:rsidRPr="00DF38B2">
              <w:t>(82.9)</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305.5</w:t>
            </w:r>
          </w:p>
        </w:tc>
        <w:tc>
          <w:tcPr>
            <w:tcW w:w="709" w:type="dxa"/>
            <w:tcMar>
              <w:left w:w="57" w:type="dxa"/>
              <w:right w:w="57" w:type="dxa"/>
            </w:tcMar>
          </w:tcPr>
          <w:p w:rsidR="00EB5275" w:rsidRPr="00DF38B2" w:rsidRDefault="00EB5275" w:rsidP="00256FDF">
            <w:pPr>
              <w:pStyle w:val="tabletextright"/>
            </w:pPr>
            <w:r w:rsidRPr="00DF38B2">
              <w:t>(106.3)</w:t>
            </w:r>
          </w:p>
        </w:tc>
        <w:tc>
          <w:tcPr>
            <w:tcW w:w="709" w:type="dxa"/>
            <w:tcMar>
              <w:left w:w="57" w:type="dxa"/>
              <w:right w:w="57" w:type="dxa"/>
            </w:tcMar>
          </w:tcPr>
          <w:p w:rsidR="00EB5275" w:rsidRPr="00DF38B2" w:rsidRDefault="00EB5275" w:rsidP="00256FDF">
            <w:pPr>
              <w:pStyle w:val="tabletextright"/>
            </w:pPr>
            <w:r w:rsidRPr="00DF38B2">
              <w:t>317.6</w:t>
            </w:r>
          </w:p>
        </w:tc>
        <w:tc>
          <w:tcPr>
            <w:tcW w:w="708" w:type="dxa"/>
            <w:tcMar>
              <w:left w:w="57" w:type="dxa"/>
              <w:right w:w="57" w:type="dxa"/>
            </w:tcMar>
          </w:tcPr>
          <w:p w:rsidR="00EB5275" w:rsidRPr="00DF38B2" w:rsidRDefault="00EB5275" w:rsidP="00256FDF">
            <w:pPr>
              <w:pStyle w:val="tabletextright"/>
            </w:pPr>
            <w:r w:rsidRPr="00DF38B2">
              <w:t>(100.9)</w:t>
            </w:r>
          </w:p>
        </w:tc>
        <w:tc>
          <w:tcPr>
            <w:tcW w:w="851" w:type="dxa"/>
            <w:tcMar>
              <w:left w:w="57" w:type="dxa"/>
              <w:right w:w="57" w:type="dxa"/>
            </w:tcMar>
          </w:tcPr>
          <w:p w:rsidR="00EB5275" w:rsidRPr="00DF38B2" w:rsidRDefault="00EB5275" w:rsidP="00256FDF">
            <w:pPr>
              <w:pStyle w:val="tabletextright"/>
            </w:pPr>
            <w:r w:rsidRPr="00DF38B2">
              <w:t>345.0</w:t>
            </w:r>
          </w:p>
        </w:tc>
        <w:tc>
          <w:tcPr>
            <w:tcW w:w="567" w:type="dxa"/>
            <w:tcMar>
              <w:left w:w="57" w:type="dxa"/>
              <w:right w:w="57" w:type="dxa"/>
            </w:tcMar>
          </w:tcPr>
          <w:p w:rsidR="00EB5275" w:rsidRPr="00DF38B2" w:rsidRDefault="00EB5275" w:rsidP="00256FDF">
            <w:pPr>
              <w:pStyle w:val="tabletextright"/>
            </w:pPr>
            <w:r w:rsidRPr="00DF38B2">
              <w:t>(89.3)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319.6</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(96.8)</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317.7</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(99.6)</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341.1</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(87.9)</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5</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408.0</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(65.8)</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416.9</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(70.5)</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417.4</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(66.0)</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403.4</w:t>
            </w:r>
          </w:p>
        </w:tc>
        <w:tc>
          <w:tcPr>
            <w:tcW w:w="709" w:type="dxa"/>
            <w:tcMar>
              <w:left w:w="57" w:type="dxa"/>
              <w:right w:w="57" w:type="dxa"/>
            </w:tcMar>
          </w:tcPr>
          <w:p w:rsidR="00EB5275" w:rsidRPr="00DF38B2" w:rsidRDefault="00EB5275" w:rsidP="00256FDF">
            <w:pPr>
              <w:pStyle w:val="tabletextright"/>
            </w:pPr>
            <w:r w:rsidRPr="00DF38B2">
              <w:t>(88.9)</w:t>
            </w:r>
          </w:p>
        </w:tc>
        <w:tc>
          <w:tcPr>
            <w:tcW w:w="709" w:type="dxa"/>
            <w:tcMar>
              <w:left w:w="57" w:type="dxa"/>
              <w:right w:w="57" w:type="dxa"/>
            </w:tcMar>
          </w:tcPr>
          <w:p w:rsidR="00EB5275" w:rsidRPr="00DF38B2" w:rsidRDefault="00EB5275" w:rsidP="00256FDF">
            <w:pPr>
              <w:pStyle w:val="tabletextright"/>
            </w:pPr>
            <w:r w:rsidRPr="00DF38B2">
              <w:t>409.6</w:t>
            </w:r>
          </w:p>
        </w:tc>
        <w:tc>
          <w:tcPr>
            <w:tcW w:w="708" w:type="dxa"/>
            <w:tcMar>
              <w:left w:w="57" w:type="dxa"/>
              <w:right w:w="57" w:type="dxa"/>
            </w:tcMar>
          </w:tcPr>
          <w:p w:rsidR="00EB5275" w:rsidRPr="00DF38B2" w:rsidRDefault="00EB5275" w:rsidP="00256FDF">
            <w:pPr>
              <w:pStyle w:val="tabletextright"/>
            </w:pPr>
            <w:r w:rsidRPr="00DF38B2">
              <w:t>(81.7)</w:t>
            </w:r>
          </w:p>
        </w:tc>
        <w:tc>
          <w:tcPr>
            <w:tcW w:w="851" w:type="dxa"/>
            <w:tcMar>
              <w:left w:w="57" w:type="dxa"/>
              <w:right w:w="57" w:type="dxa"/>
            </w:tcMar>
          </w:tcPr>
          <w:p w:rsidR="00EB5275" w:rsidRPr="00DF38B2" w:rsidRDefault="00EB5275" w:rsidP="00256FDF">
            <w:pPr>
              <w:pStyle w:val="tabletextright"/>
            </w:pPr>
            <w:r w:rsidRPr="00DF38B2">
              <w:t>439.4</w:t>
            </w:r>
          </w:p>
        </w:tc>
        <w:tc>
          <w:tcPr>
            <w:tcW w:w="567" w:type="dxa"/>
            <w:tcMar>
              <w:left w:w="57" w:type="dxa"/>
              <w:right w:w="57" w:type="dxa"/>
            </w:tcMar>
          </w:tcPr>
          <w:p w:rsidR="00EB5275" w:rsidRPr="00DF38B2" w:rsidRDefault="00EB5275" w:rsidP="00256FDF">
            <w:pPr>
              <w:pStyle w:val="tabletextright"/>
            </w:pPr>
            <w:r w:rsidRPr="00DF38B2">
              <w:t>(67.4)</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402.4</w:t>
            </w:r>
          </w:p>
        </w:tc>
        <w:tc>
          <w:tcPr>
            <w:tcW w:w="709" w:type="dxa"/>
            <w:tcMar>
              <w:left w:w="57" w:type="dxa"/>
              <w:right w:w="57" w:type="dxa"/>
            </w:tcMar>
          </w:tcPr>
          <w:p w:rsidR="00EB5275" w:rsidRPr="00DF38B2" w:rsidRDefault="00EB5275" w:rsidP="00256FDF">
            <w:pPr>
              <w:pStyle w:val="tabletextright"/>
            </w:pPr>
            <w:r w:rsidRPr="00DF38B2">
              <w:t>(99.2)</w:t>
            </w:r>
          </w:p>
        </w:tc>
        <w:tc>
          <w:tcPr>
            <w:tcW w:w="709" w:type="dxa"/>
            <w:tcMar>
              <w:left w:w="57" w:type="dxa"/>
              <w:right w:w="57" w:type="dxa"/>
            </w:tcMar>
          </w:tcPr>
          <w:p w:rsidR="00EB5275" w:rsidRPr="00DF38B2" w:rsidRDefault="00EB5275" w:rsidP="00256FDF">
            <w:pPr>
              <w:pStyle w:val="tabletextright"/>
            </w:pPr>
            <w:r w:rsidRPr="00DF38B2">
              <w:t>409.4</w:t>
            </w:r>
          </w:p>
        </w:tc>
        <w:tc>
          <w:tcPr>
            <w:tcW w:w="708" w:type="dxa"/>
            <w:tcMar>
              <w:left w:w="57" w:type="dxa"/>
              <w:right w:w="57" w:type="dxa"/>
            </w:tcMar>
          </w:tcPr>
          <w:p w:rsidR="00EB5275" w:rsidRPr="00DF38B2" w:rsidRDefault="00EB5275" w:rsidP="00256FDF">
            <w:pPr>
              <w:pStyle w:val="tabletextright"/>
            </w:pPr>
            <w:r w:rsidRPr="00DF38B2">
              <w:t>(92.9)</w:t>
            </w:r>
          </w:p>
        </w:tc>
        <w:tc>
          <w:tcPr>
            <w:tcW w:w="851" w:type="dxa"/>
            <w:tcMar>
              <w:left w:w="57" w:type="dxa"/>
              <w:right w:w="57" w:type="dxa"/>
            </w:tcMar>
          </w:tcPr>
          <w:p w:rsidR="00EB5275" w:rsidRPr="00DF38B2" w:rsidRDefault="00EB5275" w:rsidP="00256FDF">
            <w:pPr>
              <w:pStyle w:val="tabletextright"/>
            </w:pPr>
            <w:r w:rsidRPr="00DF38B2">
              <w:t>424.2</w:t>
            </w:r>
          </w:p>
        </w:tc>
        <w:tc>
          <w:tcPr>
            <w:tcW w:w="567" w:type="dxa"/>
            <w:tcMar>
              <w:left w:w="57" w:type="dxa"/>
              <w:right w:w="57" w:type="dxa"/>
            </w:tcMar>
          </w:tcPr>
          <w:p w:rsidR="00EB5275" w:rsidRPr="00DF38B2" w:rsidRDefault="00EB5275" w:rsidP="00256FDF">
            <w:pPr>
              <w:pStyle w:val="tabletextright"/>
            </w:pPr>
            <w:r w:rsidRPr="00DF38B2">
              <w:t>(74.3)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417.1</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(89.5)</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423.4</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(84.1)</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427.7</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(83,7)</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7</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476.2</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(67.2)</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477,5</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(66.6)</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475.7</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(63.6)</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466.5</w:t>
            </w:r>
          </w:p>
        </w:tc>
        <w:tc>
          <w:tcPr>
            <w:tcW w:w="709" w:type="dxa"/>
            <w:tcMar>
              <w:left w:w="57" w:type="dxa"/>
              <w:right w:w="57" w:type="dxa"/>
            </w:tcMar>
          </w:tcPr>
          <w:p w:rsidR="00EB5275" w:rsidRPr="00DF38B2" w:rsidRDefault="00EB5275" w:rsidP="00256FDF">
            <w:pPr>
              <w:pStyle w:val="tabletextright"/>
            </w:pPr>
            <w:r w:rsidRPr="00DF38B2">
              <w:t>(76.3)</w:t>
            </w:r>
          </w:p>
        </w:tc>
        <w:tc>
          <w:tcPr>
            <w:tcW w:w="709" w:type="dxa"/>
            <w:tcMar>
              <w:left w:w="57" w:type="dxa"/>
              <w:right w:w="57" w:type="dxa"/>
            </w:tcMar>
          </w:tcPr>
          <w:p w:rsidR="00EB5275" w:rsidRPr="00DF38B2" w:rsidRDefault="00EB5275" w:rsidP="00256FDF">
            <w:pPr>
              <w:pStyle w:val="tabletextright"/>
            </w:pPr>
            <w:r w:rsidRPr="00DF38B2">
              <w:t>477.0</w:t>
            </w:r>
          </w:p>
        </w:tc>
        <w:tc>
          <w:tcPr>
            <w:tcW w:w="708" w:type="dxa"/>
            <w:tcMar>
              <w:left w:w="57" w:type="dxa"/>
              <w:right w:w="57" w:type="dxa"/>
            </w:tcMar>
          </w:tcPr>
          <w:p w:rsidR="00EB5275" w:rsidRPr="00DF38B2" w:rsidRDefault="00EB5275" w:rsidP="00256FDF">
            <w:pPr>
              <w:pStyle w:val="tabletextright"/>
            </w:pPr>
            <w:r w:rsidRPr="00DF38B2">
              <w:t>(67.7)</w:t>
            </w:r>
          </w:p>
        </w:tc>
        <w:tc>
          <w:tcPr>
            <w:tcW w:w="851" w:type="dxa"/>
            <w:tcMar>
              <w:left w:w="57" w:type="dxa"/>
              <w:right w:w="57" w:type="dxa"/>
            </w:tcMar>
          </w:tcPr>
          <w:p w:rsidR="00EB5275" w:rsidRPr="00DF38B2" w:rsidRDefault="00EB5275" w:rsidP="00256FDF">
            <w:pPr>
              <w:pStyle w:val="tabletextright"/>
            </w:pPr>
            <w:r w:rsidRPr="00DF38B2">
              <w:t>472.4</w:t>
            </w:r>
          </w:p>
        </w:tc>
        <w:tc>
          <w:tcPr>
            <w:tcW w:w="567" w:type="dxa"/>
            <w:tcMar>
              <w:left w:w="57" w:type="dxa"/>
              <w:right w:w="57" w:type="dxa"/>
            </w:tcMar>
          </w:tcPr>
          <w:p w:rsidR="00EB5275" w:rsidRPr="00DF38B2" w:rsidRDefault="00EB5275" w:rsidP="00256FDF">
            <w:pPr>
              <w:pStyle w:val="tabletextright"/>
            </w:pPr>
            <w:r w:rsidRPr="00DF38B2">
              <w:t>(72.3)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446.3</w:t>
            </w:r>
          </w:p>
        </w:tc>
        <w:tc>
          <w:tcPr>
            <w:tcW w:w="709" w:type="dxa"/>
            <w:tcMar>
              <w:left w:w="57" w:type="dxa"/>
              <w:right w:w="57" w:type="dxa"/>
            </w:tcMar>
          </w:tcPr>
          <w:p w:rsidR="00EB5275" w:rsidRPr="00DF38B2" w:rsidRDefault="00EB5275" w:rsidP="00256FDF">
            <w:pPr>
              <w:pStyle w:val="tabletextright"/>
            </w:pPr>
            <w:r w:rsidRPr="00DF38B2">
              <w:t>(86.5)</w:t>
            </w:r>
          </w:p>
        </w:tc>
        <w:tc>
          <w:tcPr>
            <w:tcW w:w="709" w:type="dxa"/>
            <w:tcMar>
              <w:left w:w="57" w:type="dxa"/>
              <w:right w:w="57" w:type="dxa"/>
            </w:tcMar>
          </w:tcPr>
          <w:p w:rsidR="00EB5275" w:rsidRPr="00DF38B2" w:rsidRDefault="00EB5275" w:rsidP="00256FDF">
            <w:pPr>
              <w:pStyle w:val="tabletextright"/>
            </w:pPr>
            <w:r w:rsidRPr="00DF38B2">
              <w:t>455.2</w:t>
            </w:r>
          </w:p>
        </w:tc>
        <w:tc>
          <w:tcPr>
            <w:tcW w:w="708" w:type="dxa"/>
            <w:tcMar>
              <w:left w:w="57" w:type="dxa"/>
              <w:right w:w="57" w:type="dxa"/>
            </w:tcMar>
          </w:tcPr>
          <w:p w:rsidR="00EB5275" w:rsidRPr="00DF38B2" w:rsidRDefault="00EB5275" w:rsidP="00256FDF">
            <w:pPr>
              <w:pStyle w:val="tabletextright"/>
            </w:pPr>
            <w:r w:rsidRPr="00DF38B2">
              <w:t>(79.5)</w:t>
            </w:r>
          </w:p>
        </w:tc>
        <w:tc>
          <w:tcPr>
            <w:tcW w:w="851" w:type="dxa"/>
            <w:tcMar>
              <w:left w:w="57" w:type="dxa"/>
              <w:right w:w="57" w:type="dxa"/>
            </w:tcMar>
          </w:tcPr>
          <w:p w:rsidR="00EB5275" w:rsidRPr="00DF38B2" w:rsidRDefault="00EB5275" w:rsidP="00256FDF">
            <w:pPr>
              <w:pStyle w:val="tabletextright"/>
            </w:pPr>
            <w:r w:rsidRPr="00DF38B2">
              <w:t>451.7</w:t>
            </w:r>
          </w:p>
        </w:tc>
        <w:tc>
          <w:tcPr>
            <w:tcW w:w="567" w:type="dxa"/>
            <w:tcMar>
              <w:left w:w="57" w:type="dxa"/>
              <w:right w:w="57" w:type="dxa"/>
            </w:tcMar>
          </w:tcPr>
          <w:p w:rsidR="00EB5275" w:rsidRPr="00DF38B2" w:rsidRDefault="00EB5275" w:rsidP="00256FDF">
            <w:pPr>
              <w:pStyle w:val="tabletextright"/>
            </w:pPr>
            <w:r w:rsidRPr="00DF38B2">
              <w:t>(87,4)</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474.0</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(86.8)</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483.5</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(82.0)</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485.1</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(84.6)</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9</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515.1</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(65.6)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515.2</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(64.7)</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507.9</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(72.2)</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513.8</w:t>
            </w:r>
          </w:p>
        </w:tc>
        <w:tc>
          <w:tcPr>
            <w:tcW w:w="709" w:type="dxa"/>
            <w:tcMar>
              <w:left w:w="57" w:type="dxa"/>
              <w:right w:w="57" w:type="dxa"/>
            </w:tcMar>
          </w:tcPr>
          <w:p w:rsidR="00EB5275" w:rsidRPr="00DF38B2" w:rsidRDefault="00EB5275" w:rsidP="00256FDF">
            <w:pPr>
              <w:pStyle w:val="tabletextright"/>
            </w:pPr>
            <w:r w:rsidRPr="00DF38B2">
              <w:t>(73.2)</w:t>
            </w:r>
          </w:p>
        </w:tc>
        <w:tc>
          <w:tcPr>
            <w:tcW w:w="709" w:type="dxa"/>
            <w:tcMar>
              <w:left w:w="57" w:type="dxa"/>
              <w:right w:w="57" w:type="dxa"/>
            </w:tcMar>
          </w:tcPr>
          <w:p w:rsidR="00EB5275" w:rsidRPr="00DF38B2" w:rsidRDefault="00EB5275" w:rsidP="00256FDF">
            <w:pPr>
              <w:pStyle w:val="tabletextright"/>
            </w:pPr>
            <w:r w:rsidRPr="00DF38B2">
              <w:t>505.6</w:t>
            </w:r>
          </w:p>
        </w:tc>
        <w:tc>
          <w:tcPr>
            <w:tcW w:w="708" w:type="dxa"/>
            <w:tcMar>
              <w:left w:w="57" w:type="dxa"/>
              <w:right w:w="57" w:type="dxa"/>
            </w:tcMar>
          </w:tcPr>
          <w:p w:rsidR="00EB5275" w:rsidRPr="00DF38B2" w:rsidRDefault="00EB5275" w:rsidP="00256FDF">
            <w:pPr>
              <w:pStyle w:val="tabletextright"/>
            </w:pPr>
            <w:r w:rsidRPr="00DF38B2">
              <w:t>(67.1)</w:t>
            </w:r>
          </w:p>
        </w:tc>
        <w:tc>
          <w:tcPr>
            <w:tcW w:w="851" w:type="dxa"/>
            <w:tcMar>
              <w:left w:w="57" w:type="dxa"/>
              <w:right w:w="57" w:type="dxa"/>
            </w:tcMar>
          </w:tcPr>
          <w:p w:rsidR="00EB5275" w:rsidRPr="00DF38B2" w:rsidRDefault="00EB5275" w:rsidP="00256FDF">
            <w:pPr>
              <w:pStyle w:val="tabletextright"/>
            </w:pPr>
            <w:r w:rsidRPr="00DF38B2">
              <w:t>520.1</w:t>
            </w:r>
          </w:p>
        </w:tc>
        <w:tc>
          <w:tcPr>
            <w:tcW w:w="567" w:type="dxa"/>
            <w:tcMar>
              <w:left w:w="57" w:type="dxa"/>
              <w:right w:w="57" w:type="dxa"/>
            </w:tcMar>
          </w:tcPr>
          <w:p w:rsidR="00EB5275" w:rsidRPr="00DF38B2" w:rsidRDefault="00EB5275" w:rsidP="00256FDF">
            <w:pPr>
              <w:pStyle w:val="tabletextright"/>
            </w:pPr>
            <w:r w:rsidRPr="00DF38B2">
              <w:t>(65.0)</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494.7</w:t>
            </w:r>
          </w:p>
        </w:tc>
        <w:tc>
          <w:tcPr>
            <w:tcW w:w="709" w:type="dxa"/>
            <w:tcMar>
              <w:left w:w="57" w:type="dxa"/>
              <w:right w:w="57" w:type="dxa"/>
            </w:tcMar>
          </w:tcPr>
          <w:p w:rsidR="00EB5275" w:rsidRPr="00DF38B2" w:rsidRDefault="00EB5275" w:rsidP="00256FDF">
            <w:pPr>
              <w:pStyle w:val="tabletextright"/>
            </w:pPr>
            <w:r w:rsidRPr="00DF38B2">
              <w:t>(79.4)</w:t>
            </w:r>
          </w:p>
        </w:tc>
        <w:tc>
          <w:tcPr>
            <w:tcW w:w="709" w:type="dxa"/>
            <w:tcMar>
              <w:left w:w="57" w:type="dxa"/>
              <w:right w:w="57" w:type="dxa"/>
            </w:tcMar>
          </w:tcPr>
          <w:p w:rsidR="00EB5275" w:rsidRPr="00DF38B2" w:rsidRDefault="00EB5275" w:rsidP="00256FDF">
            <w:pPr>
              <w:pStyle w:val="tabletextright"/>
            </w:pPr>
            <w:r w:rsidRPr="00DF38B2">
              <w:t>501.5</w:t>
            </w:r>
          </w:p>
        </w:tc>
        <w:tc>
          <w:tcPr>
            <w:tcW w:w="708" w:type="dxa"/>
            <w:tcMar>
              <w:left w:w="57" w:type="dxa"/>
              <w:right w:w="57" w:type="dxa"/>
            </w:tcMar>
          </w:tcPr>
          <w:p w:rsidR="00EB5275" w:rsidRPr="00DF38B2" w:rsidRDefault="00EB5275" w:rsidP="00256FDF">
            <w:pPr>
              <w:pStyle w:val="tabletextright"/>
            </w:pPr>
            <w:r w:rsidRPr="00DF38B2">
              <w:t>(76.5)</w:t>
            </w:r>
          </w:p>
        </w:tc>
        <w:tc>
          <w:tcPr>
            <w:tcW w:w="851" w:type="dxa"/>
            <w:tcMar>
              <w:left w:w="57" w:type="dxa"/>
              <w:right w:w="57" w:type="dxa"/>
            </w:tcMar>
          </w:tcPr>
          <w:p w:rsidR="00EB5275" w:rsidRPr="00DF38B2" w:rsidRDefault="00EB5275" w:rsidP="00256FDF">
            <w:pPr>
              <w:pStyle w:val="tabletextright"/>
            </w:pPr>
            <w:r w:rsidRPr="00DF38B2">
              <w:t>492.5</w:t>
            </w:r>
          </w:p>
        </w:tc>
        <w:tc>
          <w:tcPr>
            <w:tcW w:w="567" w:type="dxa"/>
            <w:tcMar>
              <w:left w:w="57" w:type="dxa"/>
              <w:right w:w="57" w:type="dxa"/>
            </w:tcMar>
          </w:tcPr>
          <w:p w:rsidR="00EB5275" w:rsidRPr="00DF38B2" w:rsidRDefault="00EB5275" w:rsidP="00256FDF">
            <w:pPr>
              <w:pStyle w:val="tabletextright"/>
            </w:pPr>
            <w:r w:rsidRPr="00DF38B2">
              <w:t>(82.6)</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r>
              <w:t xml:space="preserve"> </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514.6</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(85.0)</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515.4</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(80.6)</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528.7</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(75.5)</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bl>
    <w:p w:rsidR="000F06BF" w:rsidRDefault="000F06BF" w:rsidP="006654AE">
      <w:pPr>
        <w:pStyle w:val="tablenotes"/>
        <w:ind w:left="1437" w:hanging="870"/>
      </w:pPr>
    </w:p>
    <w:p w:rsidR="00535C84" w:rsidRPr="00DF38B2" w:rsidRDefault="00535C84" w:rsidP="006654AE">
      <w:pPr>
        <w:pStyle w:val="tablenotes"/>
        <w:ind w:left="1437" w:hanging="870"/>
      </w:pPr>
      <w:r w:rsidRPr="00DF38B2">
        <w:t xml:space="preserve">Notes: </w:t>
      </w:r>
      <w:r w:rsidRPr="00DF38B2">
        <w:tab/>
        <w:t xml:space="preserve">Statistical significance of changes on NAPLAN scores </w:t>
      </w:r>
      <w:proofErr w:type="gramStart"/>
      <w:r w:rsidRPr="00DF38B2">
        <w:t>are</w:t>
      </w:r>
      <w:proofErr w:type="gramEnd"/>
      <w:r w:rsidRPr="00DF38B2">
        <w:t xml:space="preserve"> undertaken using </w:t>
      </w:r>
      <w:r w:rsidR="009D7C6E">
        <w:t xml:space="preserve">a </w:t>
      </w:r>
      <w:r w:rsidRPr="00DF38B2">
        <w:t>two-sample mean-comparison test with both equal and unequal variance. * indicates that the scores are significantly different at the 95</w:t>
      </w:r>
      <w:r w:rsidR="009D7C6E">
        <w:t xml:space="preserve"> per cent</w:t>
      </w:r>
      <w:r w:rsidRPr="00DF38B2">
        <w:t xml:space="preserve"> confidence level.</w:t>
      </w:r>
    </w:p>
    <w:p w:rsidR="00535C84" w:rsidRDefault="00535C84" w:rsidP="006654AE">
      <w:pPr>
        <w:pStyle w:val="tablenotes"/>
        <w:ind w:left="1437" w:hanging="870"/>
      </w:pPr>
      <w:r w:rsidRPr="00DF38B2">
        <w:t>Source:</w:t>
      </w:r>
      <w:r w:rsidRPr="00DF38B2">
        <w:tab/>
        <w:t>Authors’ calculation using NAPLAN Reports 2008–2013</w:t>
      </w:r>
      <w:r w:rsidR="00B84AFE">
        <w:t xml:space="preserve"> </w:t>
      </w:r>
      <w:r w:rsidR="00593F5B">
        <w:t>(Australian Curriculum, Assessment and Reporting Authority 2008, 2009, 2010, 2011, 2012, 2013)</w:t>
      </w:r>
      <w:r w:rsidR="00B01EB2">
        <w:t>.</w:t>
      </w:r>
    </w:p>
    <w:p w:rsidR="00FE1A6A" w:rsidRPr="00DF38B2" w:rsidRDefault="00FE1A6A" w:rsidP="006654AE">
      <w:pPr>
        <w:pStyle w:val="tablefootnoteslastline"/>
      </w:pPr>
    </w:p>
    <w:p w:rsidR="00535C84" w:rsidRDefault="00535C84" w:rsidP="006654AE">
      <w:r w:rsidRPr="00DF38B2">
        <w:t>Overall</w:t>
      </w:r>
      <w:r w:rsidR="009D7C6E">
        <w:t>,</w:t>
      </w:r>
      <w:r w:rsidRPr="00DF38B2">
        <w:t xml:space="preserve"> the results suggest that improvements are occurring at the early years at school across the different assessments</w:t>
      </w:r>
      <w:r w:rsidR="009D7C6E">
        <w:t>,</w:t>
      </w:r>
      <w:r w:rsidRPr="00DF38B2">
        <w:t xml:space="preserve"> but </w:t>
      </w:r>
      <w:r w:rsidR="009D7C6E">
        <w:t xml:space="preserve">that the outcomes for </w:t>
      </w:r>
      <w:r w:rsidRPr="00DF38B2">
        <w:t>Year</w:t>
      </w:r>
      <w:r w:rsidR="009D7C6E">
        <w:t>s</w:t>
      </w:r>
      <w:r w:rsidRPr="00DF38B2">
        <w:t xml:space="preserve"> 7 and 9</w:t>
      </w:r>
      <w:r w:rsidR="009D7C6E">
        <w:t xml:space="preserve"> are mixed</w:t>
      </w:r>
      <w:r w:rsidRPr="00DF38B2">
        <w:t xml:space="preserve">. </w:t>
      </w:r>
    </w:p>
    <w:p w:rsidR="00963F11" w:rsidRPr="00DF38B2" w:rsidRDefault="00963F11" w:rsidP="006654AE"/>
    <w:p w:rsidR="00535C84" w:rsidRPr="00F157EE" w:rsidRDefault="00535C84" w:rsidP="006654AE">
      <w:pPr>
        <w:pStyle w:val="Heading3"/>
      </w:pPr>
      <w:bookmarkStart w:id="505" w:name="_Toc403739092"/>
      <w:r w:rsidRPr="00F157EE">
        <w:t>School enrolment and attendance</w:t>
      </w:r>
      <w:bookmarkEnd w:id="505"/>
    </w:p>
    <w:p w:rsidR="00535C84" w:rsidRPr="00F157EE" w:rsidRDefault="00535C84" w:rsidP="006654AE">
      <w:r w:rsidRPr="00F157EE">
        <w:t>This section focuses on the number of enrolments and the attendance rate of Indigenous and non-Indigenous children living in urban (</w:t>
      </w:r>
      <w:r w:rsidR="009D7C6E">
        <w:t>for example</w:t>
      </w:r>
      <w:r w:rsidR="00B5343C">
        <w:t xml:space="preserve">, </w:t>
      </w:r>
      <w:r w:rsidRPr="00F157EE">
        <w:t>Darwin), remote and very remote areas in the Northern Territory.</w:t>
      </w:r>
      <w:r w:rsidRPr="00F157EE">
        <w:rPr>
          <w:rStyle w:val="FootnoteReference"/>
          <w:rFonts w:cs="Times New Roman"/>
          <w:sz w:val="24"/>
          <w:szCs w:val="24"/>
        </w:rPr>
        <w:footnoteReference w:id="128"/>
      </w:r>
      <w:r w:rsidRPr="00F157EE">
        <w:t xml:space="preserve"> Enrolment refers to the average number of enrolments over a four</w:t>
      </w:r>
      <w:r w:rsidR="009D7C6E">
        <w:t>-</w:t>
      </w:r>
      <w:r w:rsidRPr="00F157EE">
        <w:t>week period and covers all preschools, primary and secondary schools in the Northern Territory. While we would ideally like to be able to report data on enrolment rates</w:t>
      </w:r>
      <w:r w:rsidR="008767DE">
        <w:t xml:space="preserve">, </w:t>
      </w:r>
      <w:r w:rsidRPr="00F157EE">
        <w:t xml:space="preserve">rather than just </w:t>
      </w:r>
      <w:r w:rsidR="008767DE">
        <w:t xml:space="preserve">on </w:t>
      </w:r>
      <w:r w:rsidRPr="00F157EE">
        <w:t xml:space="preserve">enrolment </w:t>
      </w:r>
      <w:r w:rsidR="00DF38B2" w:rsidRPr="00DF38B2">
        <w:t>numbers</w:t>
      </w:r>
      <w:r w:rsidRPr="00F157EE">
        <w:t>, estimates of the enrolment rate</w:t>
      </w:r>
      <w:r w:rsidR="008767DE">
        <w:t>s</w:t>
      </w:r>
      <w:r w:rsidRPr="00F157EE">
        <w:t xml:space="preserve"> do not appear to be available for the Northern Territory. The attendance rate refers to the proportion of time students attend out of all possible </w:t>
      </w:r>
      <w:r w:rsidR="008767DE">
        <w:t xml:space="preserve">periods </w:t>
      </w:r>
      <w:r w:rsidRPr="00F157EE">
        <w:t>of time they are expected to be at school.</w:t>
      </w:r>
    </w:p>
    <w:p w:rsidR="000F06BF" w:rsidRDefault="00535C84" w:rsidP="006654AE">
      <w:r w:rsidRPr="00F157EE">
        <w:t>For the Northern Territory as a whole the school attendance rate of Indigenous children has fallen slightly from 69.7 per cent in 2009 to 67.8 per cent in 2012 (</w:t>
      </w:r>
      <w:r w:rsidRPr="00F157EE">
        <w:fldChar w:fldCharType="begin"/>
      </w:r>
      <w:r w:rsidRPr="00F157EE">
        <w:instrText xml:space="preserve"> REF _Ref391532976 \h </w:instrText>
      </w:r>
      <w:r w:rsidRPr="00F157EE">
        <w:fldChar w:fldCharType="separate"/>
      </w:r>
      <w:r w:rsidR="00906D13" w:rsidRPr="00DF38B2">
        <w:t xml:space="preserve">Figure </w:t>
      </w:r>
      <w:r w:rsidR="00906D13">
        <w:rPr>
          <w:noProof/>
        </w:rPr>
        <w:t>9</w:t>
      </w:r>
      <w:r w:rsidR="00906D13" w:rsidRPr="00DF38B2">
        <w:noBreakHyphen/>
      </w:r>
      <w:r w:rsidR="00906D13">
        <w:rPr>
          <w:noProof/>
        </w:rPr>
        <w:t>7</w:t>
      </w:r>
      <w:r w:rsidRPr="00F157EE">
        <w:fldChar w:fldCharType="end"/>
      </w:r>
      <w:r w:rsidRPr="00F157EE">
        <w:t>). There has been no change in the attendance rate of non-</w:t>
      </w:r>
      <w:r w:rsidR="00DF38B2" w:rsidRPr="00DF38B2">
        <w:t>Indigenous</w:t>
      </w:r>
      <w:r w:rsidRPr="00F157EE">
        <w:t xml:space="preserve"> children in the Northern Territory. The attendance rate for Indigenous students is around 20 percentage points lower than that of non-Indigenous students</w:t>
      </w:r>
      <w:r w:rsidR="00420C35">
        <w:t>,</w:t>
      </w:r>
      <w:r w:rsidRPr="00F157EE">
        <w:t xml:space="preserve"> and is particularly low in very remote areas</w:t>
      </w:r>
      <w:r w:rsidR="00420C35">
        <w:t>,</w:t>
      </w:r>
      <w:r w:rsidRPr="00F157EE">
        <w:t xml:space="preserve"> at 58.1 per cent in 2012 (</w:t>
      </w:r>
      <w:r w:rsidRPr="00F157EE">
        <w:fldChar w:fldCharType="begin"/>
      </w:r>
      <w:r w:rsidRPr="00F157EE">
        <w:instrText xml:space="preserve"> REF _Ref391533127 \h </w:instrText>
      </w:r>
      <w:r w:rsidRPr="00F157EE">
        <w:fldChar w:fldCharType="separate"/>
      </w:r>
      <w:r w:rsidR="00906D13" w:rsidRPr="00DF38B2">
        <w:t xml:space="preserve">Figure </w:t>
      </w:r>
      <w:r w:rsidR="00906D13">
        <w:rPr>
          <w:noProof/>
        </w:rPr>
        <w:t>9</w:t>
      </w:r>
      <w:r w:rsidR="00906D13" w:rsidRPr="00DF38B2">
        <w:noBreakHyphen/>
      </w:r>
      <w:r w:rsidR="00906D13">
        <w:rPr>
          <w:noProof/>
        </w:rPr>
        <w:t>10</w:t>
      </w:r>
      <w:r w:rsidRPr="00F157EE">
        <w:fldChar w:fldCharType="end"/>
      </w:r>
      <w:r w:rsidRPr="00F157EE">
        <w:t>).</w:t>
      </w:r>
      <w:r w:rsidR="00F663EF">
        <w:t xml:space="preserve"> </w:t>
      </w:r>
    </w:p>
    <w:p w:rsidR="00F157EE" w:rsidRDefault="00F157EE" w:rsidP="006654AE">
      <w:pPr>
        <w:pageBreakBefore/>
      </w:pPr>
      <w:r>
        <w:lastRenderedPageBreak/>
        <w:t>While the N</w:t>
      </w:r>
      <w:r w:rsidR="007E5C25">
        <w:t xml:space="preserve">orthern </w:t>
      </w:r>
      <w:r>
        <w:t>T</w:t>
      </w:r>
      <w:r w:rsidR="007E5C25">
        <w:t xml:space="preserve">erritory </w:t>
      </w:r>
      <w:r>
        <w:t>has released dat</w:t>
      </w:r>
      <w:r w:rsidR="00420C35">
        <w:t>a</w:t>
      </w:r>
      <w:r>
        <w:t xml:space="preserve"> for 2013</w:t>
      </w:r>
      <w:r w:rsidR="00420C35">
        <w:t>, it</w:t>
      </w:r>
      <w:r>
        <w:t xml:space="preserve"> report</w:t>
      </w:r>
      <w:r w:rsidR="00420C35">
        <w:t>s that</w:t>
      </w:r>
      <w:r>
        <w:t xml:space="preserve"> “</w:t>
      </w:r>
      <w:r w:rsidR="00420C35">
        <w:t>[i]</w:t>
      </w:r>
      <w:r w:rsidRPr="003A13E5">
        <w:t xml:space="preserve">n 2013 new processes were introduced in the collection and processing of Enrolment and attendance (E&amp;A) </w:t>
      </w:r>
      <w:proofErr w:type="gramStart"/>
      <w:r w:rsidRPr="003A13E5">
        <w:t>data,</w:t>
      </w:r>
      <w:proofErr w:type="gramEnd"/>
      <w:r w:rsidRPr="003A13E5">
        <w:t xml:space="preserve"> due to these changes 2013 E&amp;A data cannot be compared to previous years.</w:t>
      </w:r>
      <w:r>
        <w:t xml:space="preserve">” </w:t>
      </w:r>
      <w:proofErr w:type="gramStart"/>
      <w:r>
        <w:t>(</w:t>
      </w:r>
      <w:r w:rsidRPr="00F157EE">
        <w:t>Northern Territory Gove</w:t>
      </w:r>
      <w:r>
        <w:t>rnment Department of Education</w:t>
      </w:r>
      <w:r w:rsidR="007E5C25">
        <w:t>,</w:t>
      </w:r>
      <w:r>
        <w:t xml:space="preserve"> </w:t>
      </w:r>
      <w:r w:rsidRPr="00F157EE">
        <w:t>2014)</w:t>
      </w:r>
      <w:r w:rsidR="007E5C25">
        <w:t>.</w:t>
      </w:r>
      <w:proofErr w:type="gramEnd"/>
    </w:p>
    <w:p w:rsidR="00F157EE" w:rsidRDefault="00F157EE" w:rsidP="006654AE">
      <w:r>
        <w:t>The data released by the Department show that as of Term 2 2013 the attendance rate by Indigenous students in provincial schools was 81.5 per cent, for those in remote schools 71.9 per cent</w:t>
      </w:r>
      <w:r w:rsidR="00420C35">
        <w:t>,</w:t>
      </w:r>
      <w:r>
        <w:t xml:space="preserve"> and in very remote schools 54.8 per cent. The equivalent rates for non-Indigenous students were 88.5 per cent, 81.1 per cent and 60.0 per cent</w:t>
      </w:r>
      <w:r w:rsidR="00420C35">
        <w:t>.</w:t>
      </w:r>
      <w:r>
        <w:t xml:space="preserve"> </w:t>
      </w:r>
    </w:p>
    <w:p w:rsidR="00535C84" w:rsidRDefault="00535C84" w:rsidP="006654AE">
      <w:pPr>
        <w:pStyle w:val="Caption"/>
      </w:pPr>
      <w:bookmarkStart w:id="506" w:name="_Ref391532976"/>
      <w:bookmarkStart w:id="507" w:name="_Toc40373956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506"/>
      <w:r w:rsidRPr="00DF38B2">
        <w:t xml:space="preserve"> </w:t>
      </w:r>
      <w:r w:rsidRPr="00DF38B2">
        <w:tab/>
        <w:t>Enrolment and attendance rate</w:t>
      </w:r>
      <w:r w:rsidR="002451CB">
        <w:t xml:space="preserve"> by Indigenous status </w:t>
      </w:r>
      <w:r w:rsidR="00492329">
        <w:t>of children</w:t>
      </w:r>
      <w:r w:rsidRPr="00DF38B2">
        <w:t>, Northern Territory Total, 2009</w:t>
      </w:r>
      <w:r w:rsidR="00420C35">
        <w:t>–</w:t>
      </w:r>
      <w:r w:rsidRPr="00DF38B2">
        <w:t>2012</w:t>
      </w:r>
      <w:bookmarkEnd w:id="507"/>
    </w:p>
    <w:p w:rsidR="00387EB5" w:rsidRPr="00387EB5" w:rsidRDefault="00387EB5" w:rsidP="00387EB5">
      <w:r>
        <w:rPr>
          <w:noProof/>
        </w:rPr>
        <w:drawing>
          <wp:inline distT="0" distB="0" distL="0" distR="0">
            <wp:extent cx="5164532" cy="3143116"/>
            <wp:effectExtent l="0" t="0" r="0" b="635"/>
            <wp:docPr id="62" name="Picture 62" descr="This shows two bar charts - Indigenous Children and Non-Indigenous Children in the NT. Both show enrolments and attendance rates. The attendance rates are substancially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64736" cy="3143240"/>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 xml:space="preserve">Northern Territory Department of Education </w:t>
      </w:r>
      <w:r w:rsidR="00D304D0">
        <w:t>(2013)</w:t>
      </w:r>
      <w:r w:rsidR="00B01EB2">
        <w:t>.</w:t>
      </w:r>
    </w:p>
    <w:p w:rsidR="00FE1A6A" w:rsidRDefault="00FE1A6A" w:rsidP="006654AE">
      <w:pPr>
        <w:pStyle w:val="tablefootnoteslastline"/>
      </w:pPr>
    </w:p>
    <w:p w:rsidR="00963F11" w:rsidRPr="00DF38B2" w:rsidRDefault="00963F11" w:rsidP="006654AE">
      <w:pPr>
        <w:pStyle w:val="tablefootnoteslastline"/>
      </w:pPr>
    </w:p>
    <w:p w:rsidR="00535C84" w:rsidRPr="00F157EE" w:rsidRDefault="00535C84" w:rsidP="006654AE">
      <w:r w:rsidRPr="00F157EE">
        <w:fldChar w:fldCharType="begin"/>
      </w:r>
      <w:r w:rsidRPr="00F157EE">
        <w:instrText xml:space="preserve"> REF _Ref391533122 \h </w:instrText>
      </w:r>
      <w:r w:rsidRPr="00F157EE">
        <w:fldChar w:fldCharType="separate"/>
      </w:r>
      <w:r w:rsidR="00906D13" w:rsidRPr="00DF38B2">
        <w:t xml:space="preserve">Figure </w:t>
      </w:r>
      <w:r w:rsidR="00906D13">
        <w:rPr>
          <w:noProof/>
        </w:rPr>
        <w:t>9</w:t>
      </w:r>
      <w:r w:rsidR="00906D13" w:rsidRPr="00DF38B2">
        <w:noBreakHyphen/>
      </w:r>
      <w:r w:rsidR="00906D13">
        <w:rPr>
          <w:noProof/>
        </w:rPr>
        <w:t>8</w:t>
      </w:r>
      <w:r w:rsidRPr="00F157EE">
        <w:fldChar w:fldCharType="end"/>
      </w:r>
      <w:r w:rsidRPr="00F157EE">
        <w:t xml:space="preserve">, </w:t>
      </w:r>
      <w:r w:rsidRPr="00F157EE">
        <w:fldChar w:fldCharType="begin"/>
      </w:r>
      <w:r w:rsidRPr="00F157EE">
        <w:instrText xml:space="preserve"> REF _Ref391533124 \h </w:instrText>
      </w:r>
      <w:r w:rsidRPr="00F157EE">
        <w:fldChar w:fldCharType="separate"/>
      </w:r>
      <w:r w:rsidR="00906D13" w:rsidRPr="00DF38B2">
        <w:t xml:space="preserve">Figure </w:t>
      </w:r>
      <w:r w:rsidR="00906D13">
        <w:rPr>
          <w:noProof/>
        </w:rPr>
        <w:t>9</w:t>
      </w:r>
      <w:r w:rsidR="00906D13" w:rsidRPr="00DF38B2">
        <w:noBreakHyphen/>
      </w:r>
      <w:r w:rsidR="00906D13">
        <w:rPr>
          <w:noProof/>
        </w:rPr>
        <w:t>9</w:t>
      </w:r>
      <w:r w:rsidRPr="00F157EE">
        <w:fldChar w:fldCharType="end"/>
      </w:r>
      <w:r w:rsidRPr="00F157EE">
        <w:t>,</w:t>
      </w:r>
      <w:r w:rsidR="00420C35">
        <w:t xml:space="preserve"> and</w:t>
      </w:r>
      <w:r w:rsidRPr="00F157EE">
        <w:t xml:space="preserve"> </w:t>
      </w:r>
      <w:r w:rsidRPr="00F157EE">
        <w:fldChar w:fldCharType="begin"/>
      </w:r>
      <w:r w:rsidRPr="00F157EE">
        <w:instrText xml:space="preserve"> REF _Ref391533127 \h </w:instrText>
      </w:r>
      <w:r w:rsidRPr="00F157EE">
        <w:fldChar w:fldCharType="separate"/>
      </w:r>
      <w:r w:rsidR="00906D13" w:rsidRPr="00DF38B2">
        <w:t xml:space="preserve">Figure </w:t>
      </w:r>
      <w:r w:rsidR="00906D13">
        <w:rPr>
          <w:noProof/>
        </w:rPr>
        <w:t>9</w:t>
      </w:r>
      <w:r w:rsidR="00906D13" w:rsidRPr="00DF38B2">
        <w:noBreakHyphen/>
      </w:r>
      <w:r w:rsidR="00906D13">
        <w:rPr>
          <w:noProof/>
        </w:rPr>
        <w:t>10</w:t>
      </w:r>
      <w:r w:rsidRPr="00F157EE">
        <w:fldChar w:fldCharType="end"/>
      </w:r>
      <w:r w:rsidRPr="00F157EE">
        <w:t xml:space="preserve"> provide information on enrolment numbers and school attendance rates for Indigenous and non-Indigenous students in provincial, remote and very remote areas</w:t>
      </w:r>
      <w:r w:rsidR="00F157EE">
        <w:t xml:space="preserve"> for the years 2009 to 2012</w:t>
      </w:r>
      <w:r w:rsidRPr="00F157EE">
        <w:t>. The attendance rates for Indigenous students in the Northern Territory ranged between 60 per cent and 90 per cent across the different regional areas</w:t>
      </w:r>
      <w:r w:rsidR="00420C35">
        <w:t>,</w:t>
      </w:r>
      <w:r w:rsidRPr="00F157EE">
        <w:t xml:space="preserve"> with the highest attendance rate being accorded to the students in the Northern Territory provincial </w:t>
      </w:r>
      <w:r w:rsidR="00DF38B2" w:rsidRPr="00DF38B2">
        <w:t>areas. Whilst</w:t>
      </w:r>
      <w:r w:rsidRPr="00F157EE">
        <w:t xml:space="preserve"> the attendance rate has increased over time for students based in the provincial areas of the Northern Territory, attendance rates have remained constant or </w:t>
      </w:r>
      <w:r w:rsidR="00420C35">
        <w:t xml:space="preserve">have </w:t>
      </w:r>
      <w:r w:rsidRPr="00F157EE">
        <w:t>marginally declined between 2009 and 2012 for students located in Northern Territory remote and Northern Territory non-remote areas.</w:t>
      </w:r>
    </w:p>
    <w:p w:rsidR="00535C84" w:rsidRDefault="00535C84" w:rsidP="006654AE">
      <w:pPr>
        <w:pStyle w:val="Caption"/>
        <w:keepLines/>
        <w:ind w:left="1439" w:hanging="1155"/>
      </w:pPr>
      <w:bookmarkStart w:id="508" w:name="_Ref391533122"/>
      <w:bookmarkStart w:id="509" w:name="_Toc40373956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508"/>
      <w:r w:rsidRPr="00DF38B2">
        <w:tab/>
        <w:t>Enrolment levels and attendance rates</w:t>
      </w:r>
      <w:r w:rsidR="002451CB">
        <w:t xml:space="preserve"> in provincial schools in the</w:t>
      </w:r>
      <w:r w:rsidRPr="00DF38B2">
        <w:t xml:space="preserve"> Northern Territory</w:t>
      </w:r>
      <w:r w:rsidR="002451CB">
        <w:t xml:space="preserve"> by Indigenous status of children</w:t>
      </w:r>
      <w:r w:rsidRPr="00DF38B2">
        <w:t>, 2009</w:t>
      </w:r>
      <w:r w:rsidR="00420C35">
        <w:t>–</w:t>
      </w:r>
      <w:r w:rsidRPr="00DF38B2">
        <w:t>2012</w:t>
      </w:r>
      <w:bookmarkEnd w:id="509"/>
    </w:p>
    <w:p w:rsidR="00387EB5" w:rsidRPr="00387EB5" w:rsidRDefault="00387EB5" w:rsidP="00387EB5">
      <w:r>
        <w:rPr>
          <w:noProof/>
        </w:rPr>
        <w:drawing>
          <wp:inline distT="0" distB="0" distL="0" distR="0">
            <wp:extent cx="5142586" cy="3200764"/>
            <wp:effectExtent l="0" t="0" r="1270" b="0"/>
            <wp:docPr id="63" name="Picture 63" descr="This shows two bar charts - Indigenous Children and Non-Indigenous Children in the NT attending provincial schools. Both show enrolments and attendance rates. The attendance rates are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2610" cy="3200779"/>
                    </a:xfrm>
                    <a:prstGeom prst="rect">
                      <a:avLst/>
                    </a:prstGeom>
                    <a:noFill/>
                    <a:ln>
                      <a:noFill/>
                    </a:ln>
                  </pic:spPr>
                </pic:pic>
              </a:graphicData>
            </a:graphic>
          </wp:inline>
        </w:drawing>
      </w:r>
    </w:p>
    <w:p w:rsidR="00535C84" w:rsidRPr="00DF38B2" w:rsidRDefault="00535C84" w:rsidP="006654AE">
      <w:pPr>
        <w:pStyle w:val="tablenotes"/>
      </w:pPr>
      <w:r w:rsidRPr="00DF38B2">
        <w:t xml:space="preserve">Source: </w:t>
      </w:r>
      <w:r w:rsidRPr="00DF38B2">
        <w:tab/>
      </w:r>
      <w:r w:rsidR="00D304D0">
        <w:t xml:space="preserve"> </w:t>
      </w:r>
      <w:r w:rsidR="00087BE9">
        <w:t>Northern Te</w:t>
      </w:r>
      <w:r w:rsidR="00D304D0">
        <w:t>rritory Department of Education</w:t>
      </w:r>
      <w:r w:rsidR="00087BE9">
        <w:t xml:space="preserve"> </w:t>
      </w:r>
      <w:r w:rsidR="00D304D0">
        <w:t>(</w:t>
      </w:r>
      <w:r w:rsidR="00087BE9">
        <w:t>2013)</w:t>
      </w:r>
      <w:r w:rsidR="00B01EB2">
        <w:t>.</w:t>
      </w:r>
    </w:p>
    <w:p w:rsidR="00535C84" w:rsidRPr="00DF38B2" w:rsidRDefault="00535C84" w:rsidP="006654AE">
      <w:pPr>
        <w:pStyle w:val="tablefootnoteslastline"/>
      </w:pPr>
    </w:p>
    <w:p w:rsidR="00535C84" w:rsidRDefault="00535C84" w:rsidP="006654AE">
      <w:pPr>
        <w:pStyle w:val="Caption"/>
        <w:ind w:left="1439" w:hanging="1155"/>
      </w:pPr>
      <w:bookmarkStart w:id="510" w:name="_Ref391533124"/>
      <w:bookmarkStart w:id="511" w:name="_Toc40373956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510"/>
      <w:r w:rsidRPr="00DF38B2">
        <w:tab/>
      </w:r>
      <w:r w:rsidR="00492329" w:rsidRPr="00492329">
        <w:t xml:space="preserve">Enrolment levels and attendance rates in </w:t>
      </w:r>
      <w:r w:rsidR="00492329">
        <w:t xml:space="preserve">remote </w:t>
      </w:r>
      <w:r w:rsidR="00492329" w:rsidRPr="00492329">
        <w:t xml:space="preserve">schools in the Northern Territory by Indigenous status of children, </w:t>
      </w:r>
      <w:r w:rsidRPr="00DF38B2">
        <w:t>2009</w:t>
      </w:r>
      <w:r w:rsidR="00420C35">
        <w:t>–</w:t>
      </w:r>
      <w:r w:rsidRPr="00DF38B2">
        <w:t>2012</w:t>
      </w:r>
      <w:bookmarkEnd w:id="511"/>
    </w:p>
    <w:p w:rsidR="00EE4E32" w:rsidRPr="00EE4E32" w:rsidRDefault="00EE4E32" w:rsidP="00EE4E32">
      <w:r>
        <w:rPr>
          <w:noProof/>
        </w:rPr>
        <w:drawing>
          <wp:inline distT="0" distB="0" distL="0" distR="0">
            <wp:extent cx="5091380" cy="3154834"/>
            <wp:effectExtent l="0" t="0" r="0" b="7620"/>
            <wp:docPr id="67" name="Picture 67" descr="This shows two bar charts - Indigenous Children and Non-Indigenous Children in the NT attending Remote schools. Both show enrolments and attendance rates. The attendance rates are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91419" cy="3154858"/>
                    </a:xfrm>
                    <a:prstGeom prst="rect">
                      <a:avLst/>
                    </a:prstGeom>
                    <a:noFill/>
                    <a:ln>
                      <a:noFill/>
                    </a:ln>
                  </pic:spPr>
                </pic:pic>
              </a:graphicData>
            </a:graphic>
          </wp:inline>
        </w:drawing>
      </w:r>
    </w:p>
    <w:p w:rsidR="00535C84" w:rsidRPr="00DF38B2" w:rsidRDefault="00535C84" w:rsidP="006654AE">
      <w:pPr>
        <w:pStyle w:val="tablenotes"/>
      </w:pPr>
      <w:r w:rsidRPr="00DF38B2">
        <w:t xml:space="preserve">Source: </w:t>
      </w:r>
      <w:r w:rsidRPr="00DF38B2">
        <w:tab/>
      </w:r>
      <w:r w:rsidR="00D304D0">
        <w:t xml:space="preserve"> </w:t>
      </w:r>
      <w:r w:rsidR="00087BE9">
        <w:t>Northern Te</w:t>
      </w:r>
      <w:r w:rsidR="00D304D0">
        <w:t>rritory Department of Education</w:t>
      </w:r>
      <w:r w:rsidR="00087BE9">
        <w:t xml:space="preserve"> </w:t>
      </w:r>
      <w:r w:rsidR="00D304D0">
        <w:t>(</w:t>
      </w:r>
      <w:r w:rsidR="00087BE9">
        <w:t>2013)</w:t>
      </w:r>
      <w:r w:rsidR="00B01EB2">
        <w:t>.</w:t>
      </w:r>
    </w:p>
    <w:p w:rsidR="00535C84" w:rsidRPr="00F157EE" w:rsidRDefault="00535C84" w:rsidP="006654AE">
      <w:pPr>
        <w:pStyle w:val="tablefootnoteslastline"/>
      </w:pPr>
    </w:p>
    <w:p w:rsidR="00535C84" w:rsidRDefault="00535C84" w:rsidP="006654AE">
      <w:pPr>
        <w:pStyle w:val="Caption"/>
      </w:pPr>
      <w:bookmarkStart w:id="512" w:name="_Ref391533127"/>
      <w:bookmarkStart w:id="513" w:name="_Toc403739566"/>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512"/>
      <w:r w:rsidRPr="00DF38B2">
        <w:tab/>
      </w:r>
      <w:r w:rsidR="00492329" w:rsidRPr="00492329">
        <w:t xml:space="preserve">Enrolment levels and attendance rates in </w:t>
      </w:r>
      <w:r w:rsidR="00492329">
        <w:t xml:space="preserve">very remote </w:t>
      </w:r>
      <w:r w:rsidR="00492329" w:rsidRPr="00492329">
        <w:t>schools in the Northern Territory by Indigenous status of children,</w:t>
      </w:r>
      <w:r w:rsidRPr="00DF38B2">
        <w:t xml:space="preserve"> 2009</w:t>
      </w:r>
      <w:r w:rsidR="00420C35">
        <w:t>–</w:t>
      </w:r>
      <w:r w:rsidRPr="00DF38B2">
        <w:t>2012</w:t>
      </w:r>
      <w:bookmarkEnd w:id="513"/>
    </w:p>
    <w:p w:rsidR="00EE4E32" w:rsidRPr="00EE4E32" w:rsidRDefault="00EE4E32" w:rsidP="00EE4E32">
      <w:r>
        <w:rPr>
          <w:noProof/>
        </w:rPr>
        <w:drawing>
          <wp:inline distT="0" distB="0" distL="0" distR="0">
            <wp:extent cx="5157762" cy="3167481"/>
            <wp:effectExtent l="0" t="0" r="5080" b="0"/>
            <wp:docPr id="68" name="Picture 68" descr="This shows two bar charts - Indigenous Children and Non-Indigenous Children in the NT attending Very Remote schools. Both show enrolments and attendance rates. The attendance rates are substantially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57884" cy="3167556"/>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Department of Education Northern Territory Enrolment and Attendance Statistics 2009–2012</w:t>
      </w:r>
      <w:r w:rsidR="00C61A58">
        <w:t>.</w:t>
      </w:r>
    </w:p>
    <w:p w:rsidR="00FE1A6A" w:rsidRPr="00DF38B2" w:rsidRDefault="00FE1A6A" w:rsidP="006654AE">
      <w:pPr>
        <w:pStyle w:val="tablefootnoteslastline"/>
      </w:pPr>
    </w:p>
    <w:p w:rsidR="00535C84" w:rsidRPr="00F157EE" w:rsidRDefault="00535C84" w:rsidP="006654AE">
      <w:r w:rsidRPr="00F157EE">
        <w:t xml:space="preserve">The </w:t>
      </w:r>
      <w:r w:rsidR="00DF38B2" w:rsidRPr="00DF38B2">
        <w:t>preceding</w:t>
      </w:r>
      <w:r w:rsidRPr="00F157EE">
        <w:t xml:space="preserve"> figures provide data on the </w:t>
      </w:r>
      <w:r w:rsidR="00DF38B2" w:rsidRPr="00DF38B2">
        <w:t>number</w:t>
      </w:r>
      <w:r w:rsidRPr="00F157EE">
        <w:t xml:space="preserve"> of children enrolled at school. </w:t>
      </w:r>
      <w:r w:rsidR="00D52EA5">
        <w:t xml:space="preserve">The </w:t>
      </w:r>
      <w:r w:rsidRPr="00F157EE">
        <w:t xml:space="preserve">number of enrolments can change either because of the number of children of school age or because the enrolment rate changes. </w:t>
      </w:r>
      <w:r w:rsidRPr="00F157EE">
        <w:fldChar w:fldCharType="begin"/>
      </w:r>
      <w:r w:rsidRPr="00F157EE">
        <w:instrText xml:space="preserve"> REF _Ref391825317 \h </w:instrText>
      </w:r>
      <w:r w:rsidRPr="00F157EE">
        <w:fldChar w:fldCharType="separate"/>
      </w:r>
      <w:r w:rsidR="00906D13" w:rsidRPr="00DF38B2">
        <w:t xml:space="preserve">Figure </w:t>
      </w:r>
      <w:r w:rsidR="00906D13">
        <w:rPr>
          <w:noProof/>
        </w:rPr>
        <w:t>9</w:t>
      </w:r>
      <w:r w:rsidR="00906D13" w:rsidRPr="00DF38B2">
        <w:noBreakHyphen/>
      </w:r>
      <w:r w:rsidR="00906D13">
        <w:rPr>
          <w:noProof/>
        </w:rPr>
        <w:t>11</w:t>
      </w:r>
      <w:r w:rsidRPr="00F157EE">
        <w:fldChar w:fldCharType="end"/>
      </w:r>
      <w:r w:rsidRPr="00F157EE">
        <w:t xml:space="preserve"> shows the school participation rates for children of compulsory school attendance age for the Northern Territory and Australia over the period 2006 to 2013. The school participation rate is derived from data on </w:t>
      </w:r>
      <w:r w:rsidR="00DB7D1C">
        <w:t xml:space="preserve">the </w:t>
      </w:r>
      <w:r w:rsidRPr="00F157EE">
        <w:t>number of students as of 1 July each year</w:t>
      </w:r>
      <w:r w:rsidR="00DB7D1C">
        <w:t>,</w:t>
      </w:r>
      <w:r w:rsidRPr="00F157EE">
        <w:t xml:space="preserve"> and the number of school</w:t>
      </w:r>
      <w:r w:rsidR="00DB7D1C">
        <w:t>-</w:t>
      </w:r>
      <w:r w:rsidRPr="00F157EE">
        <w:t>aged children is the estimated resident population of school</w:t>
      </w:r>
      <w:r w:rsidR="00DB7D1C">
        <w:t>-</w:t>
      </w:r>
      <w:r w:rsidRPr="00F157EE">
        <w:t>aged children as of 30 June each year.</w:t>
      </w:r>
    </w:p>
    <w:p w:rsidR="00535C84" w:rsidRPr="00F157EE" w:rsidRDefault="00535C84" w:rsidP="006654AE">
      <w:pPr>
        <w:pStyle w:val="Caption"/>
        <w:ind w:left="1439" w:hanging="1155"/>
      </w:pPr>
      <w:bookmarkStart w:id="514" w:name="_Ref391825317"/>
      <w:bookmarkStart w:id="515" w:name="_Toc403739567"/>
      <w:r w:rsidRPr="00DF38B2">
        <w:t xml:space="preserve">Figure </w:t>
      </w:r>
      <w:fldSimple w:instr=" STYLEREF 1 \s ">
        <w:r w:rsidR="00906D13">
          <w:rPr>
            <w:noProof/>
          </w:rPr>
          <w:t>9</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514"/>
      <w:r w:rsidRPr="00DF38B2">
        <w:tab/>
        <w:t xml:space="preserve">School participation rates children 15-years </w:t>
      </w:r>
      <w:r w:rsidR="00DB7D1C">
        <w:t xml:space="preserve">of age </w:t>
      </w:r>
      <w:r w:rsidRPr="00DF38B2">
        <w:t>or younger, Northern Territory and Australia, 2006</w:t>
      </w:r>
      <w:r w:rsidR="00DB7D1C">
        <w:t>–</w:t>
      </w:r>
      <w:r w:rsidRPr="00DF38B2">
        <w:t>2013</w:t>
      </w:r>
      <w:bookmarkEnd w:id="515"/>
    </w:p>
    <w:p w:rsidR="00535C84" w:rsidRPr="00F157EE" w:rsidRDefault="00535C84" w:rsidP="006654AE">
      <w:pPr>
        <w:pStyle w:val="graphicpaste"/>
      </w:pPr>
      <w:r w:rsidRPr="008E4D9D">
        <w:rPr>
          <w:noProof/>
        </w:rPr>
        <w:drawing>
          <wp:inline distT="0" distB="0" distL="0" distR="0" wp14:anchorId="37650C5B" wp14:editId="3A97CDCF">
            <wp:extent cx="4572000" cy="2546350"/>
            <wp:effectExtent l="0" t="0" r="0" b="6350"/>
            <wp:docPr id="109" name="Picture 109" descr="This chart shows school participation rates (%) in the NT and for Australia as a whole  for 2006 to 2013. The data in the chart is:&#10;2006, Northern Territory 87.9, Australia 95.7&#10;2007, Northern Territory 88.4, Australia 95.8&#10;2008, Northern Territory 88.3, Australia 95.9&#10;2009, Northern Territory 87.1, Australia 96.2&#10;2010, Northern Territory 88.5, Australia 96.5&#10;2011, Northern Territory 89, Australia 96.6&#10;2012, Northern Territory 89.6, Australia 96.7&#10;2013, Northern Territory 90.1, Australia 97.2&#10;There is discussion of these trends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2000" cy="2546350"/>
                    </a:xfrm>
                    <a:prstGeom prst="rect">
                      <a:avLst/>
                    </a:prstGeom>
                    <a:noFill/>
                    <a:ln>
                      <a:noFill/>
                    </a:ln>
                  </pic:spPr>
                </pic:pic>
              </a:graphicData>
            </a:graphic>
          </wp:inline>
        </w:drawing>
      </w:r>
    </w:p>
    <w:p w:rsidR="00535C84" w:rsidRPr="00F157EE" w:rsidRDefault="00535C84" w:rsidP="006654AE">
      <w:pPr>
        <w:pStyle w:val="tablenotes"/>
        <w:ind w:left="1437" w:hanging="870"/>
      </w:pPr>
      <w:r w:rsidRPr="00F157EE">
        <w:t xml:space="preserve">Notes: </w:t>
      </w:r>
      <w:r w:rsidRPr="00F157EE">
        <w:tab/>
        <w:t>The School Participation Rates measure the proportion of Australian residents of a specified age who are enrolled in school on a specified reference date.</w:t>
      </w:r>
    </w:p>
    <w:p w:rsidR="00535C84" w:rsidRDefault="00535C84" w:rsidP="006654AE">
      <w:pPr>
        <w:pStyle w:val="tablenotes"/>
        <w:keepNext w:val="0"/>
        <w:keepLines w:val="0"/>
      </w:pPr>
      <w:r w:rsidRPr="00F157EE">
        <w:t xml:space="preserve">Source: </w:t>
      </w:r>
      <w:r w:rsidRPr="00F157EE">
        <w:tab/>
      </w:r>
      <w:r w:rsidR="00BE5FEA">
        <w:t>ABS</w:t>
      </w:r>
      <w:r w:rsidRPr="00F157EE">
        <w:t xml:space="preserve"> (2014</w:t>
      </w:r>
      <w:r w:rsidR="00EB570A">
        <w:t>b</w:t>
      </w:r>
      <w:r w:rsidRPr="00F157EE">
        <w:t>)</w:t>
      </w:r>
      <w:r w:rsidR="00DB7D1C">
        <w:t>.</w:t>
      </w:r>
    </w:p>
    <w:p w:rsidR="00FE1A6A" w:rsidRPr="00F157EE" w:rsidRDefault="00FE1A6A" w:rsidP="006654AE">
      <w:pPr>
        <w:pStyle w:val="tablefootnoteslastline"/>
      </w:pPr>
    </w:p>
    <w:p w:rsidR="00963F11" w:rsidRPr="00F157EE" w:rsidRDefault="00963F11" w:rsidP="006654AE">
      <w:r w:rsidRPr="00F157EE">
        <w:t xml:space="preserve">The school participation rate has increased for children in the Northern </w:t>
      </w:r>
      <w:proofErr w:type="gramStart"/>
      <w:r w:rsidRPr="00F157EE">
        <w:t>Territory</w:t>
      </w:r>
      <w:r>
        <w:t>,</w:t>
      </w:r>
      <w:proofErr w:type="gramEnd"/>
      <w:r w:rsidRPr="00F157EE">
        <w:t xml:space="preserve"> and for Australia as a whole over the period 2006 to 2013. For Australian children as a whole it has increased from 95.8 per cent to 97.2 per cent</w:t>
      </w:r>
      <w:r>
        <w:t>,</w:t>
      </w:r>
      <w:r w:rsidRPr="00F157EE">
        <w:t xml:space="preserve"> and for children in the Northern Territory the school participation rate is estimated to </w:t>
      </w:r>
      <w:r w:rsidRPr="00F157EE">
        <w:lastRenderedPageBreak/>
        <w:t>have increased from 87.9 per cent to 90.2 per cent between 2006 and 2013. Thus the increase in the school participation rate is similar for children in the Northern Territory as it is for Australia as a whole.</w:t>
      </w:r>
    </w:p>
    <w:p w:rsidR="00963F11" w:rsidRDefault="00963F11" w:rsidP="006654AE">
      <w:pPr>
        <w:pStyle w:val="Heading2"/>
      </w:pPr>
      <w:bookmarkStart w:id="516" w:name="_Toc403739093"/>
      <w:r>
        <w:t>Child health</w:t>
      </w:r>
      <w:r w:rsidR="002B02A7">
        <w:t xml:space="preserve"> and wellbeing</w:t>
      </w:r>
      <w:bookmarkEnd w:id="516"/>
    </w:p>
    <w:p w:rsidR="00535C84" w:rsidRDefault="00535C84" w:rsidP="006654AE">
      <w:r w:rsidRPr="00F157EE">
        <w:t xml:space="preserve">This section explores whether there is any evidence of changes in the health status of children in the Northern Territory before and after the introduction of New Income Management. For some of the outcome measures data </w:t>
      </w:r>
      <w:r w:rsidR="00DB7D1C">
        <w:t>are</w:t>
      </w:r>
      <w:r w:rsidRPr="00F157EE">
        <w:t xml:space="preserve"> only available before NTER Income Management (2007) and post</w:t>
      </w:r>
      <w:r w:rsidR="00A419CE">
        <w:t>-</w:t>
      </w:r>
      <w:r w:rsidRPr="00F157EE">
        <w:t xml:space="preserve">New Income Management. For other outcome measures the most recent data </w:t>
      </w:r>
      <w:r w:rsidR="00DF38B2" w:rsidRPr="00DF38B2">
        <w:t>available</w:t>
      </w:r>
      <w:r w:rsidRPr="00F157EE">
        <w:t xml:space="preserve"> </w:t>
      </w:r>
      <w:r w:rsidR="00A419CE">
        <w:t>are</w:t>
      </w:r>
      <w:r w:rsidRPr="00F157EE">
        <w:t xml:space="preserve"> for 201</w:t>
      </w:r>
      <w:r w:rsidR="000F06BF">
        <w:t>1</w:t>
      </w:r>
      <w:r w:rsidRPr="00F157EE">
        <w:t>.</w:t>
      </w:r>
    </w:p>
    <w:p w:rsidR="00B476AE" w:rsidRPr="00DF38B2" w:rsidRDefault="00B476AE" w:rsidP="006654AE">
      <w:pPr>
        <w:pStyle w:val="Heading3"/>
      </w:pPr>
      <w:bookmarkStart w:id="517" w:name="_Toc403739094"/>
      <w:r w:rsidRPr="00DF38B2">
        <w:t>Low birth weight</w:t>
      </w:r>
      <w:bookmarkEnd w:id="517"/>
    </w:p>
    <w:p w:rsidR="00B476AE" w:rsidRPr="00DF38B2" w:rsidRDefault="00B476AE" w:rsidP="006654AE">
      <w:r w:rsidRPr="00DF38B2">
        <w:t>The proportion of infants born with low birth weight is an important indicator for child health and wellbeing because low birth weight is associated with increased risk of complications and development of other health conditions in childhood and adulthood (</w:t>
      </w:r>
      <w:proofErr w:type="spellStart"/>
      <w:r w:rsidRPr="00DF38B2">
        <w:t>Mathers</w:t>
      </w:r>
      <w:proofErr w:type="spellEnd"/>
      <w:r w:rsidRPr="00DF38B2">
        <w:t xml:space="preserve"> et al.</w:t>
      </w:r>
      <w:r w:rsidR="00461D2F">
        <w:t>,</w:t>
      </w:r>
      <w:r w:rsidRPr="00DF38B2">
        <w:t xml:space="preserve"> 1999). There are many factors associated with low birth weight, some of which include the age of the mother, care during pregnancy, inadequate nutrition, and consumption of alcohol and tobacco during pregnancy </w:t>
      </w:r>
      <w:r w:rsidRPr="00DF38B2">
        <w:rPr>
          <w:rFonts w:eastAsia="Times New Roman"/>
          <w:sz w:val="18"/>
          <w:szCs w:val="18"/>
        </w:rPr>
        <w:t>(</w:t>
      </w:r>
      <w:r w:rsidRPr="00DF38B2">
        <w:t>Campbell</w:t>
      </w:r>
      <w:r>
        <w:t>,</w:t>
      </w:r>
      <w:r w:rsidRPr="00DF38B2">
        <w:t xml:space="preserve"> 2004).</w:t>
      </w:r>
    </w:p>
    <w:p w:rsidR="00B476AE" w:rsidRPr="009655C3" w:rsidRDefault="00A8053C" w:rsidP="006654AE">
      <w:r>
        <w:fldChar w:fldCharType="begin"/>
      </w:r>
      <w:r>
        <w:instrText xml:space="preserve"> REF _Ref399686539 \h </w:instrText>
      </w:r>
      <w:r>
        <w:fldChar w:fldCharType="separate"/>
      </w:r>
      <w:r w:rsidR="00906D13" w:rsidRPr="00DF38B2">
        <w:t xml:space="preserve">Figure </w:t>
      </w:r>
      <w:r w:rsidR="00906D13">
        <w:rPr>
          <w:noProof/>
        </w:rPr>
        <w:t>9</w:t>
      </w:r>
      <w:r w:rsidR="00906D13" w:rsidRPr="00DF38B2">
        <w:noBreakHyphen/>
      </w:r>
      <w:r w:rsidR="00906D13">
        <w:rPr>
          <w:noProof/>
        </w:rPr>
        <w:t>12</w:t>
      </w:r>
      <w:r>
        <w:fldChar w:fldCharType="end"/>
      </w:r>
      <w:r w:rsidR="00B476AE" w:rsidRPr="00DF38B2">
        <w:t xml:space="preserve"> shows the proportion of low birth weight infants </w:t>
      </w:r>
      <w:r w:rsidR="00B476AE">
        <w:t xml:space="preserve">– </w:t>
      </w:r>
      <w:r w:rsidR="00B476AE" w:rsidRPr="00DF38B2">
        <w:t>defined as having a birth weight</w:t>
      </w:r>
      <w:r w:rsidR="00B476AE" w:rsidRPr="00FE502F">
        <w:t xml:space="preserve"> of less than 2,500 grams</w:t>
      </w:r>
      <w:r w:rsidR="00B476AE">
        <w:t xml:space="preserve"> –</w:t>
      </w:r>
      <w:r w:rsidR="00B476AE" w:rsidRPr="00FE502F">
        <w:t xml:space="preserve"> born to mothers by Indigenous status between 2006 and 201</w:t>
      </w:r>
      <w:r w:rsidR="000F06BF">
        <w:t>1</w:t>
      </w:r>
      <w:r w:rsidR="00B476AE" w:rsidRPr="00FE502F">
        <w:t xml:space="preserve"> in the Northern Territory and Australia</w:t>
      </w:r>
      <w:r w:rsidR="00B476AE">
        <w:t>-wide</w:t>
      </w:r>
      <w:r w:rsidR="00B476AE" w:rsidRPr="00FE502F">
        <w:t>. Indigenous mothers have a higher probability of having a low birth w</w:t>
      </w:r>
      <w:r w:rsidR="00B476AE" w:rsidRPr="009655C3">
        <w:t xml:space="preserve">eight infant in comparison to non-Indigenous mothers </w:t>
      </w:r>
      <w:r w:rsidR="00B476AE">
        <w:t xml:space="preserve">– </w:t>
      </w:r>
      <w:r w:rsidR="00B476AE" w:rsidRPr="009655C3">
        <w:t xml:space="preserve">about twice as likely. There is no evidence of any </w:t>
      </w:r>
      <w:r w:rsidR="00B476AE">
        <w:t>improvement</w:t>
      </w:r>
      <w:r w:rsidR="000F06BF">
        <w:t xml:space="preserve"> in the proportion of</w:t>
      </w:r>
      <w:r w:rsidR="00B476AE" w:rsidRPr="009655C3">
        <w:t xml:space="preserve"> babies </w:t>
      </w:r>
      <w:r w:rsidR="000F06BF">
        <w:t xml:space="preserve">born to Indigenous mothers </w:t>
      </w:r>
      <w:r w:rsidR="00B476AE" w:rsidRPr="009655C3">
        <w:t xml:space="preserve">that are low birth </w:t>
      </w:r>
      <w:r w:rsidR="00B476AE">
        <w:t>weight</w:t>
      </w:r>
      <w:r w:rsidR="00B476AE" w:rsidRPr="009655C3">
        <w:t xml:space="preserve"> in the Northern Territory or Australia</w:t>
      </w:r>
      <w:r w:rsidR="00B476AE">
        <w:t>-</w:t>
      </w:r>
      <w:r w:rsidR="00B476AE" w:rsidRPr="009655C3">
        <w:t xml:space="preserve">wide over this period. </w:t>
      </w:r>
      <w:r w:rsidR="00B476AE">
        <w:t xml:space="preserve">Indeed the data indicates an increase in the proportion of babies </w:t>
      </w:r>
      <w:r w:rsidR="000F06BF">
        <w:t xml:space="preserve">with a low birth weight </w:t>
      </w:r>
      <w:r w:rsidR="00B476AE">
        <w:t>born to Indigenous mothers in the Northern Territory</w:t>
      </w:r>
      <w:r w:rsidR="000F06BF">
        <w:t xml:space="preserve"> between 2007 and 2011</w:t>
      </w:r>
      <w:r w:rsidR="00B476AE">
        <w:t xml:space="preserve"> with this being particularly marked between 2010 and 2011.</w:t>
      </w:r>
    </w:p>
    <w:p w:rsidR="00B476AE" w:rsidRPr="00DF38B2" w:rsidRDefault="00B476AE" w:rsidP="006654AE">
      <w:pPr>
        <w:pStyle w:val="Caption"/>
        <w:ind w:left="1439" w:hanging="1155"/>
      </w:pPr>
      <w:bookmarkStart w:id="518" w:name="_Ref399686539"/>
      <w:bookmarkStart w:id="519" w:name="_Toc403739568"/>
      <w:r w:rsidRPr="00DF38B2">
        <w:t xml:space="preserve">Figure </w:t>
      </w:r>
      <w:r w:rsidRPr="00F157EE">
        <w:fldChar w:fldCharType="begin"/>
      </w:r>
      <w:r w:rsidRPr="00DF38B2">
        <w:instrText xml:space="preserve"> STYLEREF 1 \s </w:instrText>
      </w:r>
      <w:r w:rsidRPr="00F157EE">
        <w:fldChar w:fldCharType="separate"/>
      </w:r>
      <w:r w:rsidR="00906D13">
        <w:rPr>
          <w:noProof/>
        </w:rPr>
        <w:t>9</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12</w:t>
      </w:r>
      <w:r w:rsidRPr="00F157EE">
        <w:fldChar w:fldCharType="end"/>
      </w:r>
      <w:bookmarkEnd w:id="518"/>
      <w:r w:rsidRPr="00DF38B2">
        <w:tab/>
        <w:t>Low birth weight infants as a proportion of births, Indigenous status of mothers, Northern Territory and Australia, 2006</w:t>
      </w:r>
      <w:r>
        <w:t>–</w:t>
      </w:r>
      <w:r w:rsidRPr="00DF38B2">
        <w:t>201</w:t>
      </w:r>
      <w:r>
        <w:t>1</w:t>
      </w:r>
      <w:bookmarkEnd w:id="519"/>
    </w:p>
    <w:p w:rsidR="00B476AE" w:rsidRPr="00DF38B2" w:rsidRDefault="00B476AE" w:rsidP="006654AE">
      <w:pPr>
        <w:pStyle w:val="graphicpaste"/>
        <w:rPr>
          <w:rFonts w:cs="Times New Roman"/>
          <w:sz w:val="24"/>
          <w:szCs w:val="24"/>
        </w:rPr>
      </w:pPr>
      <w:r w:rsidRPr="00DF38B2">
        <w:rPr>
          <w:rFonts w:cs="Times New Roman"/>
          <w:sz w:val="24"/>
          <w:szCs w:val="24"/>
        </w:rPr>
        <w:t xml:space="preserve"> </w:t>
      </w:r>
      <w:r w:rsidRPr="00B476AE">
        <w:rPr>
          <w:noProof/>
        </w:rPr>
        <w:drawing>
          <wp:inline distT="0" distB="0" distL="0" distR="0" wp14:anchorId="6CBF545D" wp14:editId="03146FA5">
            <wp:extent cx="4572000" cy="2743200"/>
            <wp:effectExtent l="0" t="0" r="0" b="0"/>
            <wp:docPr id="20" name="Picture 20" descr="This graph shows proportion of births showing low birth weights by Indigenous status, for NT and Australia, across 2006 to 2011 with the data being plotted annually.  The data is as follows:&#10;NT Indigenous, 14/ 12.8/ 14.4/ 14/ 14.4/ 16.5&#10;Aust. Indigenous, 12.4/ 12.5/ 12.4/ 12/ 12/ 12.6&#10;NT non-Indigenous, 7.1/ 5.1/ 5/ 6.3/ 5.9/ 6.4&#10;Aust. non-Indigenous, 6.2/ 5.9/ 5.9/ 5.9/ 6/ 6&#10;There is some brief discussion of these data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B476AE" w:rsidDel="00B476AE">
        <w:t xml:space="preserve"> </w:t>
      </w:r>
    </w:p>
    <w:p w:rsidR="00B476AE" w:rsidRDefault="00B476AE" w:rsidP="006654AE">
      <w:pPr>
        <w:pStyle w:val="tablenotes"/>
        <w:keepNext w:val="0"/>
      </w:pPr>
      <w:r w:rsidRPr="00FE502F">
        <w:t xml:space="preserve">Source: </w:t>
      </w:r>
      <w:r w:rsidRPr="00FE502F">
        <w:tab/>
        <w:t>AIHW Interactive Child Indicators Database.</w:t>
      </w:r>
    </w:p>
    <w:p w:rsidR="00B476AE" w:rsidRPr="00F157EE" w:rsidRDefault="00B476AE" w:rsidP="006654AE"/>
    <w:p w:rsidR="00535C84" w:rsidRPr="00F157EE" w:rsidRDefault="00535C84" w:rsidP="006654AE">
      <w:pPr>
        <w:pStyle w:val="Heading3"/>
      </w:pPr>
      <w:bookmarkStart w:id="520" w:name="_Toc403739095"/>
      <w:r w:rsidRPr="00F157EE">
        <w:t>Infant mortality</w:t>
      </w:r>
      <w:bookmarkEnd w:id="520"/>
    </w:p>
    <w:p w:rsidR="00B476AE" w:rsidRDefault="00535C84" w:rsidP="006654AE">
      <w:r w:rsidRPr="00DF38B2">
        <w:fldChar w:fldCharType="begin"/>
      </w:r>
      <w:r w:rsidRPr="00DF38B2">
        <w:instrText xml:space="preserve"> REF _Ref391529604 \h </w:instrText>
      </w:r>
      <w:r w:rsidRPr="00DF38B2">
        <w:fldChar w:fldCharType="separate"/>
      </w:r>
      <w:r w:rsidR="00906D13" w:rsidRPr="00DF38B2">
        <w:t xml:space="preserve">Figure </w:t>
      </w:r>
      <w:r w:rsidR="00906D13">
        <w:rPr>
          <w:noProof/>
        </w:rPr>
        <w:t>9</w:t>
      </w:r>
      <w:r w:rsidR="00906D13" w:rsidRPr="00DF38B2">
        <w:noBreakHyphen/>
      </w:r>
      <w:r w:rsidR="00906D13">
        <w:rPr>
          <w:noProof/>
        </w:rPr>
        <w:t>13</w:t>
      </w:r>
      <w:r w:rsidRPr="00DF38B2">
        <w:fldChar w:fldCharType="end"/>
      </w:r>
      <w:r w:rsidRPr="00DF38B2">
        <w:t xml:space="preserve"> shows the infant mortality rates over the period 2006 to </w:t>
      </w:r>
      <w:r w:rsidR="005C68C3" w:rsidRPr="00DF38B2">
        <w:t>201</w:t>
      </w:r>
      <w:r w:rsidR="005C68C3">
        <w:t>2</w:t>
      </w:r>
      <w:r w:rsidR="005C68C3" w:rsidRPr="00DF38B2">
        <w:t xml:space="preserve"> </w:t>
      </w:r>
      <w:r w:rsidRPr="00DF38B2">
        <w:t>for Indigenous and non-Indigenous infants in the Northern Territo</w:t>
      </w:r>
      <w:r w:rsidRPr="00FE502F">
        <w:t xml:space="preserve">ry and nationally. </w:t>
      </w:r>
      <w:r w:rsidR="00B476AE" w:rsidRPr="00B476AE">
        <w:t>The infant mortality rate is based on the number of children under the age of one who die relative to the number of live births. The NT Government notes that “The neonatal death rate (up to age 28 days) is generally regarded as an indicator of the quality of pregnancy related services, while the post-neonatal death rate (from 28 days to one year) is commonly related to living conditions” (Northern Territory Government 2011). It is a rate which is also clearly linked to low birth weight and the factors which contribute to this.</w:t>
      </w:r>
    </w:p>
    <w:p w:rsidR="00535C84" w:rsidRPr="00DF38B2" w:rsidRDefault="00535C84" w:rsidP="006654AE">
      <w:r w:rsidRPr="00FE502F">
        <w:lastRenderedPageBreak/>
        <w:t>The infant mortality rate for Indigenous children is much higher than that of non-Indigenous children, and is higher for Indigenous children in the Northern Territory than for Indigen</w:t>
      </w:r>
      <w:r w:rsidRPr="009655C3">
        <w:t xml:space="preserve">ous children nationally. Both the Indigenous and non-Indigenous infant mortality rates </w:t>
      </w:r>
      <w:r w:rsidR="00B476AE">
        <w:t>in the Northern Territory fell</w:t>
      </w:r>
      <w:r w:rsidRPr="009655C3">
        <w:t xml:space="preserve"> over the </w:t>
      </w:r>
      <w:r w:rsidR="00437BA7">
        <w:t>initial period from</w:t>
      </w:r>
      <w:r w:rsidRPr="009655C3">
        <w:t xml:space="preserve"> 2006 to </w:t>
      </w:r>
      <w:r w:rsidR="00B476AE" w:rsidRPr="009655C3">
        <w:t>201</w:t>
      </w:r>
      <w:r w:rsidR="00B476AE">
        <w:t>0</w:t>
      </w:r>
      <w:r w:rsidRPr="009655C3">
        <w:t xml:space="preserve">. The biggest decrease </w:t>
      </w:r>
      <w:r w:rsidR="00437BA7">
        <w:t xml:space="preserve">over this period </w:t>
      </w:r>
      <w:r w:rsidRPr="009655C3">
        <w:t>in the infant mortality rate was for Indigenous babies in the Northern Territory</w:t>
      </w:r>
      <w:r w:rsidR="00437BA7">
        <w:t xml:space="preserve"> where the rate fell from 16.7 per cent to 11.4 per cent</w:t>
      </w:r>
      <w:r w:rsidRPr="009655C3">
        <w:t xml:space="preserve">. </w:t>
      </w:r>
      <w:r w:rsidR="00437BA7">
        <w:t>Since</w:t>
      </w:r>
      <w:r w:rsidR="00437BA7" w:rsidRPr="009655C3">
        <w:t xml:space="preserve"> </w:t>
      </w:r>
      <w:r w:rsidRPr="009655C3">
        <w:t xml:space="preserve">2010 </w:t>
      </w:r>
      <w:r w:rsidR="00437BA7">
        <w:t>the two series have moved quite differently and while the rate for non-Indigenous children in the Northern Territory has declined the</w:t>
      </w:r>
      <w:r w:rsidRPr="00DF38B2">
        <w:t xml:space="preserve"> infant mortality rate for Northern Territory Indigenous babies increased quite substantially</w:t>
      </w:r>
      <w:r w:rsidR="00437BA7">
        <w:t xml:space="preserve"> to 13.7 per cent in 2012</w:t>
      </w:r>
      <w:r w:rsidRPr="00DF38B2">
        <w:t xml:space="preserve">. </w:t>
      </w:r>
    </w:p>
    <w:p w:rsidR="00535C84" w:rsidRPr="00DF38B2" w:rsidRDefault="00535C84" w:rsidP="006654AE">
      <w:pPr>
        <w:pStyle w:val="Caption"/>
        <w:ind w:left="1439" w:hanging="1155"/>
      </w:pPr>
      <w:bookmarkStart w:id="521" w:name="_Ref391529604"/>
      <w:bookmarkStart w:id="522" w:name="_Toc40373956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13</w:t>
      </w:r>
      <w:r w:rsidR="00040708" w:rsidRPr="00F157EE">
        <w:fldChar w:fldCharType="end"/>
      </w:r>
      <w:bookmarkEnd w:id="521"/>
      <w:r w:rsidRPr="00DF38B2">
        <w:tab/>
        <w:t>Infant mortality rate (deaths per 100,000 live births) by Indigenous status, Northern Territory and Australia, 2006–201</w:t>
      </w:r>
      <w:r w:rsidR="00B476AE">
        <w:t>2</w:t>
      </w:r>
      <w:bookmarkEnd w:id="522"/>
    </w:p>
    <w:p w:rsidR="00535C84" w:rsidRPr="00DF38B2" w:rsidRDefault="00B476AE" w:rsidP="006654AE">
      <w:pPr>
        <w:pStyle w:val="graphicpaste"/>
      </w:pPr>
      <w:r w:rsidRPr="00B476AE">
        <w:rPr>
          <w:noProof/>
        </w:rPr>
        <w:drawing>
          <wp:inline distT="0" distB="0" distL="0" distR="0" wp14:anchorId="420BCA28" wp14:editId="595749BB">
            <wp:extent cx="4572000" cy="2636520"/>
            <wp:effectExtent l="0" t="0" r="0" b="0"/>
            <wp:docPr id="111" name="Picture 111" descr="This chart plots the rate of infant mortality for four groups: Indigenous persons in the Northern Territory, non-Indigenous people in the Northern Territory, Indigenous people in Australia and non-Indigenous people in Australia.&#10;All of the data series show some decline between 2006 and 2010, with the rate for Indigenous people in the NT falling from 16.7 to 11.4. However since 2010 while the rates for both Indigenous and non-Indigenous persons have fallen nationally the rate for non-Indigenous people in the NT has remained flat at 3.7 while that of Indigenous persons has risen to 13.7 in 2012.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0" cy="2636520"/>
                    </a:xfrm>
                    <a:prstGeom prst="rect">
                      <a:avLst/>
                    </a:prstGeom>
                    <a:noFill/>
                    <a:ln>
                      <a:noFill/>
                    </a:ln>
                  </pic:spPr>
                </pic:pic>
              </a:graphicData>
            </a:graphic>
          </wp:inline>
        </w:drawing>
      </w:r>
      <w:r w:rsidR="00797E6F" w:rsidRPr="00DF38B2">
        <w:rPr>
          <w:b/>
          <w:bCs/>
        </w:rPr>
        <w:t xml:space="preserve"> </w:t>
      </w:r>
    </w:p>
    <w:p w:rsidR="00535C84" w:rsidRDefault="00535C84" w:rsidP="006654AE">
      <w:pPr>
        <w:pStyle w:val="tablenotes"/>
        <w:keepNext w:val="0"/>
        <w:keepLines w:val="0"/>
      </w:pPr>
      <w:r w:rsidRPr="00DF38B2">
        <w:t xml:space="preserve">Source: </w:t>
      </w:r>
      <w:r w:rsidRPr="00DF38B2">
        <w:tab/>
        <w:t>AIHW Interactive Child Indicators Database.</w:t>
      </w:r>
    </w:p>
    <w:p w:rsidR="00FE1A6A" w:rsidRPr="00DF38B2" w:rsidRDefault="00FE1A6A" w:rsidP="006654AE">
      <w:pPr>
        <w:pStyle w:val="tablefootnoteslastline"/>
      </w:pPr>
    </w:p>
    <w:p w:rsidR="00FE1A6A" w:rsidRPr="00FE502F" w:rsidRDefault="00FE1A6A" w:rsidP="006654AE">
      <w:pPr>
        <w:pStyle w:val="tablefootnoteslastline"/>
      </w:pPr>
    </w:p>
    <w:p w:rsidR="00535C84" w:rsidRPr="00FE502F" w:rsidRDefault="00535C84" w:rsidP="006654AE">
      <w:pPr>
        <w:pStyle w:val="Heading3"/>
      </w:pPr>
      <w:bookmarkStart w:id="523" w:name="_Toc403739096"/>
      <w:r w:rsidRPr="00FE502F">
        <w:t>Immunisation rates</w:t>
      </w:r>
      <w:bookmarkEnd w:id="523"/>
    </w:p>
    <w:p w:rsidR="00535C84" w:rsidRPr="00DF38B2" w:rsidRDefault="00535C84" w:rsidP="006654AE">
      <w:pPr>
        <w:rPr>
          <w:rFonts w:cs="Times New Roman"/>
        </w:rPr>
      </w:pPr>
      <w:r w:rsidRPr="00FE502F">
        <w:rPr>
          <w:rFonts w:cs="Times New Roman"/>
        </w:rPr>
        <w:fldChar w:fldCharType="begin"/>
      </w:r>
      <w:r w:rsidRPr="00DF38B2">
        <w:rPr>
          <w:rFonts w:cs="Times New Roman"/>
        </w:rPr>
        <w:instrText xml:space="preserve"> REF _Ref391529734 \h </w:instrText>
      </w:r>
      <w:r w:rsidRPr="00FE502F">
        <w:rPr>
          <w:rFonts w:cs="Times New Roman"/>
        </w:rPr>
      </w:r>
      <w:r w:rsidRPr="00FE502F">
        <w:rPr>
          <w:rFonts w:cs="Times New Roman"/>
        </w:rPr>
        <w:fldChar w:fldCharType="separate"/>
      </w:r>
      <w:r w:rsidR="00906D13" w:rsidRPr="00DF38B2">
        <w:t xml:space="preserve">Figure </w:t>
      </w:r>
      <w:r w:rsidR="00906D13">
        <w:rPr>
          <w:noProof/>
        </w:rPr>
        <w:t>9</w:t>
      </w:r>
      <w:r w:rsidR="00906D13" w:rsidRPr="00DF38B2">
        <w:noBreakHyphen/>
      </w:r>
      <w:r w:rsidR="00906D13">
        <w:rPr>
          <w:noProof/>
        </w:rPr>
        <w:t>14</w:t>
      </w:r>
      <w:r w:rsidRPr="00FE502F">
        <w:rPr>
          <w:rFonts w:cs="Times New Roman"/>
        </w:rPr>
        <w:fldChar w:fldCharType="end"/>
      </w:r>
      <w:r w:rsidRPr="00DF38B2">
        <w:rPr>
          <w:rFonts w:cs="Times New Roman"/>
        </w:rPr>
        <w:t xml:space="preserve"> shows the proportion of chi</w:t>
      </w:r>
      <w:r w:rsidRPr="00FE502F">
        <w:rPr>
          <w:rFonts w:cs="Times New Roman"/>
        </w:rPr>
        <w:t xml:space="preserve">ldren on the Australian Childhood Immunisation Register who are fully immunised at </w:t>
      </w:r>
      <w:r w:rsidR="00D5404D">
        <w:rPr>
          <w:rFonts w:cs="Times New Roman"/>
        </w:rPr>
        <w:t>two</w:t>
      </w:r>
      <w:r w:rsidRPr="00FE502F">
        <w:rPr>
          <w:rFonts w:cs="Times New Roman"/>
        </w:rPr>
        <w:t xml:space="preserve"> years of age over the period 2008 to 2012. Northern Territory Indigenous children have higher rates of immunisation </w:t>
      </w:r>
      <w:r w:rsidRPr="009655C3">
        <w:rPr>
          <w:rFonts w:cs="Times New Roman"/>
        </w:rPr>
        <w:t>that non-Indigenous children in the Northern Territory, and compared with Indigenous and non-Indigenous children nationally. The rate of immunisation of Northern Territory Indigenous children increased from just over 95 per cent in 2008 to around 98 per ce</w:t>
      </w:r>
      <w:r w:rsidRPr="00DF38B2">
        <w:rPr>
          <w:rFonts w:cs="Times New Roman"/>
        </w:rPr>
        <w:t xml:space="preserve">nt in 2010, and since then has remained at about this level. There was little change in the immunisation rates for other groups of children over the period 2008 to 2012. </w:t>
      </w:r>
    </w:p>
    <w:p w:rsidR="00535C84" w:rsidRPr="00DF38B2" w:rsidRDefault="00535C84" w:rsidP="006654AE">
      <w:pPr>
        <w:pStyle w:val="Caption"/>
      </w:pPr>
      <w:bookmarkStart w:id="524" w:name="_Ref391529734"/>
      <w:bookmarkStart w:id="525" w:name="_Toc40373957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14</w:t>
      </w:r>
      <w:r w:rsidR="00040708" w:rsidRPr="00F157EE">
        <w:fldChar w:fldCharType="end"/>
      </w:r>
      <w:bookmarkEnd w:id="524"/>
      <w:r w:rsidRPr="00DF38B2">
        <w:tab/>
        <w:t>Child immunisation rates by Indigenous status, Northern Territory and Australia, 2008–2012</w:t>
      </w:r>
      <w:bookmarkEnd w:id="525"/>
    </w:p>
    <w:p w:rsidR="00535C84" w:rsidRPr="00DF38B2" w:rsidRDefault="008D52CC" w:rsidP="006654AE">
      <w:pPr>
        <w:pStyle w:val="graphicpaste"/>
        <w:rPr>
          <w:sz w:val="24"/>
          <w:szCs w:val="24"/>
        </w:rPr>
      </w:pPr>
      <w:r w:rsidRPr="008D52CC">
        <w:rPr>
          <w:noProof/>
        </w:rPr>
        <w:drawing>
          <wp:inline distT="0" distB="0" distL="0" distR="0" wp14:anchorId="04B47CAE" wp14:editId="1B1FC859">
            <wp:extent cx="4572000" cy="2743200"/>
            <wp:effectExtent l="0" t="0" r="0" b="0"/>
            <wp:docPr id="70" name="Picture 70" descr="This chart plots the rate of child immunisation for four groups: Indigenous persons in the Northern Territory, non-Indigenous people in the Northern Territory, Indigenous people in Australia and non-Indigenous people in Australia.&#10;The chart shows that over the period since 2008 Indigenous children in the NT have had the highest rate of immunisation with this having risen steeply between 2009 and 2010 from 93.9 per cent to 97.2 per cent – and has largely remained stable since this time.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8D52CC" w:rsidDel="008D52CC">
        <w:t xml:space="preserve"> </w:t>
      </w:r>
    </w:p>
    <w:p w:rsidR="00535C84" w:rsidRDefault="00535C84" w:rsidP="006654AE">
      <w:pPr>
        <w:pStyle w:val="tablenotes"/>
      </w:pPr>
      <w:r w:rsidRPr="00FE502F">
        <w:t xml:space="preserve">Source: </w:t>
      </w:r>
      <w:r w:rsidRPr="00FE502F">
        <w:tab/>
        <w:t>AIHW Interactive Child Indicators Database</w:t>
      </w:r>
      <w:r w:rsidR="00B01EB2">
        <w:t>.</w:t>
      </w:r>
    </w:p>
    <w:p w:rsidR="00FE1A6A" w:rsidRPr="00FE502F" w:rsidRDefault="00FE1A6A" w:rsidP="006654AE">
      <w:pPr>
        <w:pStyle w:val="tablefootnoteslastline"/>
      </w:pPr>
    </w:p>
    <w:p w:rsidR="00535C84" w:rsidRPr="00F157EE" w:rsidRDefault="00535C84" w:rsidP="006654AE">
      <w:pPr>
        <w:pStyle w:val="Heading3"/>
      </w:pPr>
      <w:bookmarkStart w:id="526" w:name="_Toc403739097"/>
      <w:r w:rsidRPr="00F157EE">
        <w:t>Injury related deaths</w:t>
      </w:r>
      <w:bookmarkEnd w:id="526"/>
    </w:p>
    <w:p w:rsidR="00535C84" w:rsidRPr="00DF38B2" w:rsidRDefault="00535C84" w:rsidP="006654AE">
      <w:r w:rsidRPr="00FE502F">
        <w:fldChar w:fldCharType="begin"/>
      </w:r>
      <w:r w:rsidRPr="00DF38B2">
        <w:instrText xml:space="preserve"> REF _Ref391529779 \h </w:instrText>
      </w:r>
      <w:r w:rsidRPr="00FE502F">
        <w:fldChar w:fldCharType="separate"/>
      </w:r>
      <w:r w:rsidR="00906D13" w:rsidRPr="00DF38B2">
        <w:t xml:space="preserve">Figure </w:t>
      </w:r>
      <w:r w:rsidR="00906D13">
        <w:rPr>
          <w:noProof/>
        </w:rPr>
        <w:t>9</w:t>
      </w:r>
      <w:r w:rsidR="00906D13" w:rsidRPr="00DF38B2">
        <w:noBreakHyphen/>
      </w:r>
      <w:r w:rsidR="00906D13">
        <w:rPr>
          <w:noProof/>
        </w:rPr>
        <w:t>15</w:t>
      </w:r>
      <w:r w:rsidRPr="00FE502F">
        <w:fldChar w:fldCharType="end"/>
      </w:r>
      <w:r w:rsidRPr="00DF38B2">
        <w:t xml:space="preserve"> reports the injury related deaths amongst Indigenous and non-Indigenous children between 2005</w:t>
      </w:r>
      <w:r w:rsidR="00FC23F6" w:rsidRPr="009655C3">
        <w:t>-</w:t>
      </w:r>
      <w:r w:rsidRPr="009655C3">
        <w:t>07 and 2009</w:t>
      </w:r>
      <w:r w:rsidR="00FC23F6" w:rsidRPr="00DF38B2">
        <w:t>-</w:t>
      </w:r>
      <w:r w:rsidRPr="00DF38B2">
        <w:t>11 in the Northern Territory and for Australia as a whole. The rate of death due to injury is highest in the Northern Territory compared to the other jurisdictions. This is true for both Indigenous and non-Indigenous children. There was an increase in reported deaths due to injury of Northern Territory Indigenous children between 2005</w:t>
      </w:r>
      <w:r w:rsidR="00FC23F6" w:rsidRPr="00DF38B2">
        <w:t>-</w:t>
      </w:r>
      <w:r w:rsidRPr="00DF38B2">
        <w:t>07 and 2007</w:t>
      </w:r>
      <w:r w:rsidR="00FC23F6" w:rsidRPr="00DF38B2">
        <w:t>-</w:t>
      </w:r>
      <w:r w:rsidRPr="00DF38B2">
        <w:t>09. However, for the period between 2007</w:t>
      </w:r>
      <w:r w:rsidR="00FC23F6" w:rsidRPr="00DF38B2">
        <w:t>-</w:t>
      </w:r>
      <w:r w:rsidRPr="00DF38B2">
        <w:t>09 and 2009</w:t>
      </w:r>
      <w:r w:rsidR="00FC23F6" w:rsidRPr="00DF38B2">
        <w:t>-</w:t>
      </w:r>
      <w:r w:rsidRPr="00DF38B2">
        <w:t>11, the injury related death rates for Northern Territory Indigenous children fell slightly.</w:t>
      </w:r>
    </w:p>
    <w:p w:rsidR="00535C84" w:rsidRPr="00DF38B2" w:rsidRDefault="00535C84" w:rsidP="006654AE">
      <w:pPr>
        <w:pStyle w:val="Caption"/>
        <w:ind w:left="1439" w:hanging="1155"/>
      </w:pPr>
      <w:bookmarkStart w:id="527" w:name="_Ref391529779"/>
      <w:bookmarkStart w:id="528" w:name="_Toc40373957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15</w:t>
      </w:r>
      <w:r w:rsidR="00040708" w:rsidRPr="00F157EE">
        <w:fldChar w:fldCharType="end"/>
      </w:r>
      <w:bookmarkEnd w:id="527"/>
      <w:r w:rsidRPr="00DF38B2">
        <w:tab/>
        <w:t>Child deaths due to injury, per 100,000 children, by Indigenous status, Northern Territory and Australia, 200</w:t>
      </w:r>
      <w:r w:rsidR="00395990">
        <w:t>4</w:t>
      </w:r>
      <w:r w:rsidR="00FC23F6" w:rsidRPr="00DF38B2">
        <w:t>-</w:t>
      </w:r>
      <w:r w:rsidR="00395990">
        <w:t>06</w:t>
      </w:r>
      <w:r w:rsidRPr="00DF38B2">
        <w:t>–2009</w:t>
      </w:r>
      <w:r w:rsidR="00FC23F6" w:rsidRPr="00DF38B2">
        <w:t>-</w:t>
      </w:r>
      <w:r w:rsidRPr="00DF38B2">
        <w:t>11</w:t>
      </w:r>
      <w:bookmarkEnd w:id="528"/>
    </w:p>
    <w:p w:rsidR="00535C84" w:rsidRDefault="00437BA7" w:rsidP="006654AE">
      <w:pPr>
        <w:pStyle w:val="tablenotes"/>
      </w:pPr>
      <w:r w:rsidRPr="00437BA7">
        <w:rPr>
          <w:noProof/>
        </w:rPr>
        <w:drawing>
          <wp:inline distT="0" distB="0" distL="0" distR="0" wp14:anchorId="2D55CD75" wp14:editId="4FB7D426">
            <wp:extent cx="4701540" cy="2628900"/>
            <wp:effectExtent l="0" t="0" r="3810" b="0"/>
            <wp:docPr id="136" name="Picture 136" descr="This chart plots the rate of child deaths due to injury for four groups: Indigenous persons in the Northern Territory, non-Indigenous people in the Northern Territory, Indigenous people in Australia and non-Indigenous people in Australia.  The format of this data is that of overlapping rolling two year averages hence the timing referred to in the title 2004-06 to 2009-11.&#10;National data is only available on this split since 2007-09.&#10;Northern Territory data shows that the rate for non-Indigenous children fell from 15.3 per 100,000 in 2004-06 to around 8 in 2006-08 and has fluctuated around this rate since.  In contrast the rate for Indigenous children rose from 25.9 in 2004-05 to 33.8 in 2006-08 then fell to 30.0 in 2008-10 and has since moved up to 31.5 in 2009-11.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01540" cy="2628900"/>
                    </a:xfrm>
                    <a:prstGeom prst="rect">
                      <a:avLst/>
                    </a:prstGeom>
                    <a:noFill/>
                    <a:ln>
                      <a:noFill/>
                    </a:ln>
                  </pic:spPr>
                </pic:pic>
              </a:graphicData>
            </a:graphic>
          </wp:inline>
        </w:drawing>
      </w:r>
      <w:r w:rsidR="00535C84" w:rsidRPr="00DF38B2">
        <w:br w:type="textWrapping" w:clear="all"/>
        <w:t xml:space="preserve">Source: </w:t>
      </w:r>
      <w:r w:rsidR="00535C84" w:rsidRPr="00DF38B2">
        <w:tab/>
        <w:t>AIHW Interactive Child Indicators Database.</w:t>
      </w:r>
    </w:p>
    <w:p w:rsidR="00FE1A6A" w:rsidRPr="00DF38B2" w:rsidRDefault="00FE1A6A" w:rsidP="006654AE">
      <w:pPr>
        <w:pStyle w:val="tablefootnoteslastline"/>
      </w:pPr>
    </w:p>
    <w:p w:rsidR="00535C84" w:rsidRPr="00F157EE" w:rsidRDefault="00535C84" w:rsidP="006654AE">
      <w:pPr>
        <w:pStyle w:val="Heading3"/>
      </w:pPr>
      <w:bookmarkStart w:id="529" w:name="_Toc403739098"/>
      <w:r w:rsidRPr="00F157EE">
        <w:t>Disability</w:t>
      </w:r>
      <w:bookmarkEnd w:id="529"/>
    </w:p>
    <w:p w:rsidR="00535C84" w:rsidRPr="00F157EE" w:rsidRDefault="00535C84" w:rsidP="006654AE">
      <w:r w:rsidRPr="00F157EE">
        <w:t>The main source data on the incidence of disability of Indigenous and non-Indigenous children in the Northern Territory is the Population Census</w:t>
      </w:r>
      <w:r w:rsidR="00D5404D">
        <w:t>,</w:t>
      </w:r>
      <w:r w:rsidRPr="00F157EE">
        <w:t xml:space="preserve"> which has collected information on disability since 2006. </w:t>
      </w:r>
      <w:r w:rsidR="00D5404D">
        <w:t>The</w:t>
      </w:r>
      <w:r w:rsidRPr="00F157EE">
        <w:t xml:space="preserve"> </w:t>
      </w:r>
      <w:r w:rsidRPr="00F157EE">
        <w:lastRenderedPageBreak/>
        <w:t>census measure</w:t>
      </w:r>
      <w:r w:rsidR="00D5404D">
        <w:t>s</w:t>
      </w:r>
      <w:r w:rsidRPr="00F157EE">
        <w:t xml:space="preserve"> </w:t>
      </w:r>
      <w:r w:rsidR="00D5404D" w:rsidRPr="00F157EE">
        <w:t xml:space="preserve">disability </w:t>
      </w:r>
      <w:r w:rsidRPr="00F157EE">
        <w:t xml:space="preserve">according to an </w:t>
      </w:r>
      <w:r w:rsidR="00DF38B2" w:rsidRPr="00DF38B2">
        <w:t>individual’s</w:t>
      </w:r>
      <w:r w:rsidRPr="00F157EE">
        <w:t xml:space="preserve"> need for assistance in the core activities of self</w:t>
      </w:r>
      <w:r w:rsidR="005B1324">
        <w:t>-</w:t>
      </w:r>
      <w:r w:rsidRPr="00F157EE">
        <w:t xml:space="preserve">care, communication and mobility due to a disability, long-term health condition or effects of old age. </w:t>
      </w:r>
    </w:p>
    <w:p w:rsidR="00535C84" w:rsidRPr="00F157EE" w:rsidRDefault="00535C84" w:rsidP="006654AE">
      <w:r w:rsidRPr="00F157EE">
        <w:fldChar w:fldCharType="begin"/>
      </w:r>
      <w:r w:rsidRPr="00F157EE">
        <w:instrText xml:space="preserve"> REF _Ref391529839 \h </w:instrText>
      </w:r>
      <w:r w:rsidRPr="00F157EE">
        <w:fldChar w:fldCharType="separate"/>
      </w:r>
      <w:r w:rsidR="00906D13" w:rsidRPr="00DF38B2">
        <w:t xml:space="preserve">Table </w:t>
      </w:r>
      <w:r w:rsidR="00906D13">
        <w:rPr>
          <w:noProof/>
        </w:rPr>
        <w:t>9</w:t>
      </w:r>
      <w:r w:rsidR="00906D13">
        <w:noBreakHyphen/>
      </w:r>
      <w:r w:rsidR="00906D13">
        <w:rPr>
          <w:noProof/>
        </w:rPr>
        <w:t>5</w:t>
      </w:r>
      <w:r w:rsidRPr="00F157EE">
        <w:fldChar w:fldCharType="end"/>
      </w:r>
      <w:r w:rsidRPr="00F157EE">
        <w:t xml:space="preserve"> shows the proportion of children (0</w:t>
      </w:r>
      <w:r w:rsidR="00FC23F6" w:rsidRPr="00F157EE">
        <w:t xml:space="preserve"> to </w:t>
      </w:r>
      <w:r w:rsidRPr="00F157EE">
        <w:t>4 years, 5</w:t>
      </w:r>
      <w:r w:rsidR="00FC23F6" w:rsidRPr="00F157EE">
        <w:t xml:space="preserve"> to </w:t>
      </w:r>
      <w:r w:rsidRPr="00F157EE">
        <w:t>9 years and 10</w:t>
      </w:r>
      <w:r w:rsidR="00FC23F6" w:rsidRPr="00F157EE">
        <w:t xml:space="preserve"> to </w:t>
      </w:r>
      <w:r w:rsidRPr="00F157EE">
        <w:t xml:space="preserve">14 years) that have a disability (as </w:t>
      </w:r>
      <w:r w:rsidR="00DF38B2" w:rsidRPr="00DF38B2">
        <w:t>measured</w:t>
      </w:r>
      <w:r w:rsidRPr="00F157EE">
        <w:t xml:space="preserve"> by requiring assistance with core activities). In the Northern Territory, the proportion of </w:t>
      </w:r>
      <w:r w:rsidR="00DF38B2" w:rsidRPr="00DF38B2">
        <w:t>Indigenous</w:t>
      </w:r>
      <w:r w:rsidRPr="00F157EE">
        <w:t xml:space="preserve"> children with a disability increased between 2006 and 2011 for all age groups for both boys and girls, with the exception of boys aged under five</w:t>
      </w:r>
      <w:r w:rsidR="00D5404D">
        <w:t xml:space="preserve"> </w:t>
      </w:r>
      <w:r w:rsidRPr="00F157EE">
        <w:t>years of age</w:t>
      </w:r>
      <w:r w:rsidR="00D5404D">
        <w:t>,</w:t>
      </w:r>
      <w:r w:rsidRPr="00F157EE">
        <w:t xml:space="preserve"> for whom there was a slight decrease in the proportion with a disability. The non-Indigenous population showed slight increases in the proportion of children with a disability for boys for all age groups, and a slight decline </w:t>
      </w:r>
      <w:r w:rsidR="00DF38B2" w:rsidRPr="00DF38B2">
        <w:t>for girls</w:t>
      </w:r>
      <w:r w:rsidRPr="00F157EE">
        <w:t xml:space="preserve"> aged 5</w:t>
      </w:r>
      <w:r w:rsidR="00FC23F6" w:rsidRPr="00F157EE">
        <w:t xml:space="preserve"> to </w:t>
      </w:r>
      <w:r w:rsidRPr="00F157EE">
        <w:t>9 years and girls aged 10</w:t>
      </w:r>
      <w:r w:rsidR="00FC23F6" w:rsidRPr="00F157EE">
        <w:t xml:space="preserve"> to </w:t>
      </w:r>
      <w:r w:rsidRPr="00F157EE">
        <w:t>14 years.</w:t>
      </w:r>
    </w:p>
    <w:p w:rsidR="00535C84" w:rsidRPr="00F157EE" w:rsidRDefault="00535C84" w:rsidP="006654AE">
      <w:r w:rsidRPr="00F157EE">
        <w:t xml:space="preserve">While the proportion of children in the Northern Territory being reported on the Census as having a disability is lower than for Australia as a whole for both </w:t>
      </w:r>
      <w:r w:rsidR="00DF38B2" w:rsidRPr="00DF38B2">
        <w:t>Indigenous</w:t>
      </w:r>
      <w:r w:rsidRPr="00F157EE">
        <w:t xml:space="preserve"> and non-Indigenous</w:t>
      </w:r>
      <w:r w:rsidR="00D5404D">
        <w:t xml:space="preserve"> people</w:t>
      </w:r>
      <w:r w:rsidRPr="00F157EE">
        <w:t xml:space="preserve">, in Australia as a whole there were increases between 2006 and 2011 in the </w:t>
      </w:r>
      <w:r w:rsidR="00DF38B2" w:rsidRPr="00DF38B2">
        <w:t>proportion</w:t>
      </w:r>
      <w:r w:rsidRPr="00F157EE">
        <w:t xml:space="preserve"> of children being reported as having a disability. The Northern Territory experience mirrors that of the experience for </w:t>
      </w:r>
      <w:r w:rsidR="00DF38B2" w:rsidRPr="00DF38B2">
        <w:t>Australia</w:t>
      </w:r>
      <w:r w:rsidRPr="00F157EE">
        <w:t xml:space="preserve"> as a whole.</w:t>
      </w:r>
      <w:r w:rsidRPr="00F157EE">
        <w:rPr>
          <w:rStyle w:val="FootnoteReference"/>
          <w:rFonts w:cs="Times New Roman"/>
          <w:sz w:val="24"/>
          <w:szCs w:val="24"/>
        </w:rPr>
        <w:footnoteReference w:id="129"/>
      </w:r>
    </w:p>
    <w:p w:rsidR="00535C84" w:rsidRPr="00F157EE" w:rsidRDefault="00535C84" w:rsidP="006654AE">
      <w:pPr>
        <w:pStyle w:val="Caption"/>
        <w:ind w:left="1439" w:hanging="1155"/>
      </w:pPr>
      <w:bookmarkStart w:id="530" w:name="_Ref391529839"/>
      <w:bookmarkStart w:id="531" w:name="_Toc403739479"/>
      <w:r w:rsidRPr="00DF38B2">
        <w:t xml:space="preserve">Table </w:t>
      </w:r>
      <w:fldSimple w:instr=" STYLEREF 1 \s ">
        <w:r w:rsidR="00906D13">
          <w:rPr>
            <w:noProof/>
          </w:rPr>
          <w:t>9</w:t>
        </w:r>
      </w:fldSimple>
      <w:r w:rsidR="00D40B64">
        <w:noBreakHyphen/>
      </w:r>
      <w:fldSimple w:instr=" SEQ Table \* ARABIC \s 1 ">
        <w:r w:rsidR="00906D13">
          <w:rPr>
            <w:noProof/>
          </w:rPr>
          <w:t>5</w:t>
        </w:r>
      </w:fldSimple>
      <w:bookmarkEnd w:id="530"/>
      <w:r w:rsidRPr="00DF38B2">
        <w:tab/>
        <w:t xml:space="preserve">Proportion of children </w:t>
      </w:r>
      <w:r w:rsidR="000F06BF">
        <w:t>having</w:t>
      </w:r>
      <w:r w:rsidRPr="00DF38B2">
        <w:t xml:space="preserve"> a disability by gender and Indigenous status, Northern Territory and Australia, </w:t>
      </w:r>
      <w:r w:rsidR="00395990" w:rsidRPr="00395990">
        <w:t>Census,</w:t>
      </w:r>
      <w:r w:rsidR="00395990">
        <w:t xml:space="preserve"> </w:t>
      </w:r>
      <w:r w:rsidRPr="00DF38B2">
        <w:t>2006 and 2011</w:t>
      </w:r>
      <w:bookmarkEnd w:id="531"/>
    </w:p>
    <w:tbl>
      <w:tblPr>
        <w:tblStyle w:val="TableGrid"/>
        <w:tblW w:w="8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has 8 columns of data the first four are for Indigenous children, two for boys (for data for 2006 and 2011) and two for girls for the same two years, this is then repeated for non-Indigenous children. The table then has two horizontal panels with three rows of data for children by age in the Northern Territory with this then being repeated for Australia. The age groups are 0 to 4 years, 5 to 9 years and 10 to 14 years.&#10;The key findings are discussed in the text.&#10;"/>
      </w:tblPr>
      <w:tblGrid>
        <w:gridCol w:w="983"/>
        <w:gridCol w:w="1242"/>
        <w:gridCol w:w="709"/>
        <w:gridCol w:w="741"/>
        <w:gridCol w:w="236"/>
        <w:gridCol w:w="678"/>
        <w:gridCol w:w="709"/>
        <w:gridCol w:w="268"/>
        <w:gridCol w:w="724"/>
        <w:gridCol w:w="709"/>
        <w:gridCol w:w="252"/>
        <w:gridCol w:w="740"/>
        <w:gridCol w:w="709"/>
      </w:tblGrid>
      <w:tr w:rsidR="00B03FF6" w:rsidRPr="00DF38B2" w:rsidTr="009C059F">
        <w:trPr>
          <w:trHeight w:val="281"/>
          <w:tblHeader/>
          <w:jc w:val="center"/>
        </w:trPr>
        <w:tc>
          <w:tcPr>
            <w:tcW w:w="983" w:type="dxa"/>
            <w:tcBorders>
              <w:top w:val="single" w:sz="4" w:space="0" w:color="auto"/>
            </w:tcBorders>
            <w:vAlign w:val="bottom"/>
          </w:tcPr>
          <w:p w:rsidR="00B03FF6" w:rsidRPr="00DF38B2" w:rsidRDefault="009C059F" w:rsidP="009C059F">
            <w:pPr>
              <w:pStyle w:val="tabletextleft"/>
              <w:jc w:val="left"/>
            </w:pPr>
            <w:r>
              <w:t>Region</w:t>
            </w:r>
          </w:p>
        </w:tc>
        <w:tc>
          <w:tcPr>
            <w:tcW w:w="1242" w:type="dxa"/>
            <w:tcBorders>
              <w:top w:val="single" w:sz="4" w:space="0" w:color="auto"/>
            </w:tcBorders>
            <w:vAlign w:val="bottom"/>
          </w:tcPr>
          <w:p w:rsidR="00B03FF6" w:rsidRPr="00DF38B2" w:rsidRDefault="009C059F" w:rsidP="009C059F">
            <w:pPr>
              <w:pStyle w:val="tabletextleft"/>
              <w:jc w:val="left"/>
            </w:pPr>
            <w:r>
              <w:t>Age group</w:t>
            </w:r>
          </w:p>
        </w:tc>
        <w:tc>
          <w:tcPr>
            <w:tcW w:w="709"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w:t>
            </w:r>
            <w:r w:rsidR="009C059F">
              <w:t>B</w:t>
            </w:r>
            <w:r>
              <w:t xml:space="preserve">oys </w:t>
            </w:r>
            <w:r w:rsidRPr="00F157EE">
              <w:t>2006</w:t>
            </w:r>
            <w:r>
              <w:t xml:space="preserve"> (%)</w:t>
            </w:r>
          </w:p>
        </w:tc>
        <w:tc>
          <w:tcPr>
            <w:tcW w:w="741"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w:t>
            </w:r>
            <w:r w:rsidR="009C059F">
              <w:t>B</w:t>
            </w:r>
            <w:r>
              <w:t>oys</w:t>
            </w:r>
            <w:r w:rsidRPr="00F157EE">
              <w:t xml:space="preserve"> 2011</w:t>
            </w:r>
            <w:r>
              <w:t xml:space="preserve"> (%)</w:t>
            </w:r>
          </w:p>
        </w:tc>
        <w:tc>
          <w:tcPr>
            <w:tcW w:w="236" w:type="dxa"/>
            <w:tcBorders>
              <w:top w:val="single" w:sz="4" w:space="0" w:color="auto"/>
            </w:tcBorders>
            <w:vAlign w:val="bottom"/>
          </w:tcPr>
          <w:p w:rsidR="00B03FF6" w:rsidRPr="00F157EE" w:rsidRDefault="00B03FF6" w:rsidP="009C059F">
            <w:pPr>
              <w:pStyle w:val="tabletextright"/>
            </w:pPr>
          </w:p>
        </w:tc>
        <w:tc>
          <w:tcPr>
            <w:tcW w:w="678"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Girls </w:t>
            </w:r>
            <w:r w:rsidRPr="00F157EE">
              <w:t>2006</w:t>
            </w:r>
            <w:r>
              <w:t xml:space="preserve"> (%)</w:t>
            </w:r>
          </w:p>
        </w:tc>
        <w:tc>
          <w:tcPr>
            <w:tcW w:w="709"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Girls </w:t>
            </w:r>
            <w:r w:rsidRPr="00F157EE">
              <w:t>2011</w:t>
            </w:r>
            <w:r w:rsidR="009C059F">
              <w:t xml:space="preserve"> (%)</w:t>
            </w:r>
          </w:p>
        </w:tc>
        <w:tc>
          <w:tcPr>
            <w:tcW w:w="268" w:type="dxa"/>
            <w:tcBorders>
              <w:top w:val="single" w:sz="4" w:space="0" w:color="auto"/>
            </w:tcBorders>
            <w:vAlign w:val="bottom"/>
          </w:tcPr>
          <w:p w:rsidR="00B03FF6" w:rsidRPr="00F157EE" w:rsidRDefault="00B03FF6" w:rsidP="009C059F">
            <w:pPr>
              <w:pStyle w:val="tabletextright"/>
            </w:pPr>
          </w:p>
        </w:tc>
        <w:tc>
          <w:tcPr>
            <w:tcW w:w="724"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Boys </w:t>
            </w:r>
            <w:r w:rsidR="00B03FF6" w:rsidRPr="00F157EE">
              <w:t>2006</w:t>
            </w:r>
            <w:r>
              <w:t xml:space="preserve"> (%)</w:t>
            </w:r>
          </w:p>
        </w:tc>
        <w:tc>
          <w:tcPr>
            <w:tcW w:w="709"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Boys </w:t>
            </w:r>
            <w:r w:rsidR="00B03FF6" w:rsidRPr="00F157EE">
              <w:t>2011</w:t>
            </w:r>
            <w:r>
              <w:t xml:space="preserve"> (%)</w:t>
            </w:r>
          </w:p>
        </w:tc>
        <w:tc>
          <w:tcPr>
            <w:tcW w:w="252" w:type="dxa"/>
            <w:tcBorders>
              <w:top w:val="single" w:sz="4" w:space="0" w:color="auto"/>
            </w:tcBorders>
            <w:vAlign w:val="bottom"/>
          </w:tcPr>
          <w:p w:rsidR="00B03FF6" w:rsidRPr="00F157EE" w:rsidRDefault="00B03FF6" w:rsidP="009C059F">
            <w:pPr>
              <w:pStyle w:val="tabletextright"/>
            </w:pPr>
          </w:p>
        </w:tc>
        <w:tc>
          <w:tcPr>
            <w:tcW w:w="740"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Girls </w:t>
            </w:r>
            <w:r w:rsidR="00B03FF6" w:rsidRPr="00F157EE">
              <w:t>2006</w:t>
            </w:r>
            <w:r>
              <w:t xml:space="preserve"> (%)</w:t>
            </w:r>
          </w:p>
        </w:tc>
        <w:tc>
          <w:tcPr>
            <w:tcW w:w="709" w:type="dxa"/>
            <w:tcBorders>
              <w:top w:val="single" w:sz="4" w:space="0" w:color="auto"/>
            </w:tcBorders>
            <w:vAlign w:val="bottom"/>
          </w:tcPr>
          <w:p w:rsidR="00B03FF6" w:rsidRPr="00F157EE" w:rsidRDefault="009C059F" w:rsidP="009C059F">
            <w:pPr>
              <w:pStyle w:val="tabletextright"/>
            </w:pPr>
            <w:r>
              <w:t xml:space="preserve">Non </w:t>
            </w:r>
            <w:proofErr w:type="spellStart"/>
            <w:r>
              <w:t>Indig</w:t>
            </w:r>
            <w:proofErr w:type="spellEnd"/>
            <w:r>
              <w:t xml:space="preserve">. Girls </w:t>
            </w:r>
            <w:r w:rsidR="00B03FF6" w:rsidRPr="00F157EE">
              <w:t>2011</w:t>
            </w:r>
            <w:r>
              <w:t xml:space="preserve"> (%)</w:t>
            </w:r>
          </w:p>
        </w:tc>
      </w:tr>
      <w:tr w:rsidR="009C059F" w:rsidRPr="00DF38B2" w:rsidTr="009C059F">
        <w:trPr>
          <w:trHeight w:val="384"/>
          <w:jc w:val="center"/>
        </w:trPr>
        <w:tc>
          <w:tcPr>
            <w:tcW w:w="983" w:type="dxa"/>
            <w:vMerge w:val="restart"/>
            <w:tcBorders>
              <w:top w:val="single" w:sz="4" w:space="0" w:color="auto"/>
            </w:tcBorders>
          </w:tcPr>
          <w:p w:rsidR="009C059F" w:rsidRPr="00DF38B2" w:rsidRDefault="009C059F" w:rsidP="006654AE">
            <w:pPr>
              <w:pStyle w:val="tabletextleft"/>
              <w:jc w:val="left"/>
            </w:pPr>
            <w:r>
              <w:t>Northern Territory</w:t>
            </w:r>
          </w:p>
        </w:tc>
        <w:tc>
          <w:tcPr>
            <w:tcW w:w="1242" w:type="dxa"/>
            <w:tcBorders>
              <w:top w:val="single" w:sz="4" w:space="0" w:color="auto"/>
            </w:tcBorders>
          </w:tcPr>
          <w:p w:rsidR="009C059F" w:rsidRPr="00DF38B2" w:rsidRDefault="009C059F" w:rsidP="009C059F">
            <w:pPr>
              <w:pStyle w:val="tabletextleft"/>
              <w:jc w:val="left"/>
            </w:pPr>
            <w:r w:rsidRPr="00DF38B2">
              <w:t>0–4 Years</w:t>
            </w:r>
          </w:p>
        </w:tc>
        <w:tc>
          <w:tcPr>
            <w:tcW w:w="709" w:type="dxa"/>
            <w:tcBorders>
              <w:top w:val="single" w:sz="4" w:space="0" w:color="auto"/>
            </w:tcBorders>
          </w:tcPr>
          <w:p w:rsidR="009C059F" w:rsidRPr="00F157EE" w:rsidRDefault="009C059F" w:rsidP="009C059F">
            <w:pPr>
              <w:pStyle w:val="tabletextright"/>
            </w:pPr>
            <w:r w:rsidRPr="00F157EE">
              <w:t>1.17</w:t>
            </w:r>
          </w:p>
        </w:tc>
        <w:tc>
          <w:tcPr>
            <w:tcW w:w="741" w:type="dxa"/>
            <w:tcBorders>
              <w:top w:val="single" w:sz="4" w:space="0" w:color="auto"/>
            </w:tcBorders>
          </w:tcPr>
          <w:p w:rsidR="009C059F" w:rsidRPr="00F157EE" w:rsidRDefault="009C059F" w:rsidP="009C059F">
            <w:pPr>
              <w:pStyle w:val="tabletextright"/>
            </w:pPr>
            <w:r w:rsidRPr="00F157EE">
              <w:t>0.94</w:t>
            </w:r>
          </w:p>
        </w:tc>
        <w:tc>
          <w:tcPr>
            <w:tcW w:w="236" w:type="dxa"/>
            <w:tcBorders>
              <w:top w:val="single" w:sz="4" w:space="0" w:color="auto"/>
            </w:tcBorders>
          </w:tcPr>
          <w:p w:rsidR="009C059F" w:rsidRPr="00F157EE" w:rsidRDefault="009C059F" w:rsidP="009C059F">
            <w:pPr>
              <w:pStyle w:val="tabletextright"/>
            </w:pPr>
          </w:p>
        </w:tc>
        <w:tc>
          <w:tcPr>
            <w:tcW w:w="678" w:type="dxa"/>
            <w:tcBorders>
              <w:top w:val="single" w:sz="4" w:space="0" w:color="auto"/>
            </w:tcBorders>
          </w:tcPr>
          <w:p w:rsidR="009C059F" w:rsidRPr="00F157EE" w:rsidRDefault="009C059F" w:rsidP="009C059F">
            <w:pPr>
              <w:pStyle w:val="tabletextright"/>
            </w:pPr>
            <w:r w:rsidRPr="00F157EE">
              <w:t>0.45</w:t>
            </w:r>
          </w:p>
        </w:tc>
        <w:tc>
          <w:tcPr>
            <w:tcW w:w="709" w:type="dxa"/>
            <w:tcBorders>
              <w:top w:val="single" w:sz="4" w:space="0" w:color="auto"/>
            </w:tcBorders>
          </w:tcPr>
          <w:p w:rsidR="009C059F" w:rsidRPr="00F157EE" w:rsidRDefault="009C059F" w:rsidP="009C059F">
            <w:pPr>
              <w:pStyle w:val="tabletextright"/>
            </w:pPr>
            <w:r w:rsidRPr="00F157EE">
              <w:t>0.70</w:t>
            </w:r>
          </w:p>
        </w:tc>
        <w:tc>
          <w:tcPr>
            <w:tcW w:w="268" w:type="dxa"/>
            <w:tcBorders>
              <w:top w:val="single" w:sz="4" w:space="0" w:color="auto"/>
            </w:tcBorders>
          </w:tcPr>
          <w:p w:rsidR="009C059F" w:rsidRPr="00F157EE" w:rsidRDefault="009C059F" w:rsidP="009C059F">
            <w:pPr>
              <w:pStyle w:val="tabletextright"/>
            </w:pPr>
          </w:p>
        </w:tc>
        <w:tc>
          <w:tcPr>
            <w:tcW w:w="724" w:type="dxa"/>
            <w:tcBorders>
              <w:top w:val="single" w:sz="4" w:space="0" w:color="auto"/>
            </w:tcBorders>
          </w:tcPr>
          <w:p w:rsidR="009C059F" w:rsidRPr="00F157EE" w:rsidRDefault="009C059F" w:rsidP="009C059F">
            <w:pPr>
              <w:pStyle w:val="tabletextright"/>
            </w:pPr>
            <w:r w:rsidRPr="00F157EE">
              <w:t>0.80</w:t>
            </w:r>
          </w:p>
        </w:tc>
        <w:tc>
          <w:tcPr>
            <w:tcW w:w="709" w:type="dxa"/>
            <w:tcBorders>
              <w:top w:val="single" w:sz="4" w:space="0" w:color="auto"/>
            </w:tcBorders>
          </w:tcPr>
          <w:p w:rsidR="009C059F" w:rsidRPr="00F157EE" w:rsidRDefault="009C059F" w:rsidP="009C059F">
            <w:pPr>
              <w:pStyle w:val="tabletextright"/>
            </w:pPr>
            <w:r w:rsidRPr="00F157EE">
              <w:t>1.03</w:t>
            </w:r>
          </w:p>
        </w:tc>
        <w:tc>
          <w:tcPr>
            <w:tcW w:w="252" w:type="dxa"/>
            <w:tcBorders>
              <w:top w:val="single" w:sz="4" w:space="0" w:color="auto"/>
            </w:tcBorders>
          </w:tcPr>
          <w:p w:rsidR="009C059F" w:rsidRPr="00F157EE" w:rsidRDefault="009C059F" w:rsidP="009C059F">
            <w:pPr>
              <w:pStyle w:val="tabletextright"/>
            </w:pPr>
          </w:p>
        </w:tc>
        <w:tc>
          <w:tcPr>
            <w:tcW w:w="740" w:type="dxa"/>
            <w:tcBorders>
              <w:top w:val="single" w:sz="4" w:space="0" w:color="auto"/>
            </w:tcBorders>
          </w:tcPr>
          <w:p w:rsidR="009C059F" w:rsidRPr="00F157EE" w:rsidRDefault="009C059F" w:rsidP="009C059F">
            <w:pPr>
              <w:pStyle w:val="tabletextright"/>
            </w:pPr>
            <w:r w:rsidRPr="00F157EE">
              <w:t>0.57</w:t>
            </w:r>
          </w:p>
        </w:tc>
        <w:tc>
          <w:tcPr>
            <w:tcW w:w="709" w:type="dxa"/>
            <w:tcBorders>
              <w:top w:val="single" w:sz="4" w:space="0" w:color="auto"/>
            </w:tcBorders>
          </w:tcPr>
          <w:p w:rsidR="009C059F" w:rsidRPr="00F157EE" w:rsidRDefault="009C059F" w:rsidP="009C059F">
            <w:pPr>
              <w:pStyle w:val="tabletextright"/>
            </w:pPr>
            <w:r w:rsidRPr="00F157EE">
              <w:t>0.48</w:t>
            </w:r>
          </w:p>
        </w:tc>
      </w:tr>
      <w:tr w:rsidR="009C059F" w:rsidRPr="00DF38B2" w:rsidTr="009C059F">
        <w:trPr>
          <w:trHeight w:val="362"/>
          <w:jc w:val="center"/>
        </w:trPr>
        <w:tc>
          <w:tcPr>
            <w:tcW w:w="983" w:type="dxa"/>
            <w:vMerge/>
          </w:tcPr>
          <w:p w:rsidR="009C059F" w:rsidRPr="00DF38B2" w:rsidRDefault="009C059F" w:rsidP="006654AE">
            <w:pPr>
              <w:pStyle w:val="tabletextleft"/>
              <w:jc w:val="left"/>
            </w:pPr>
          </w:p>
        </w:tc>
        <w:tc>
          <w:tcPr>
            <w:tcW w:w="1242" w:type="dxa"/>
          </w:tcPr>
          <w:p w:rsidR="009C059F" w:rsidRPr="00DF38B2" w:rsidRDefault="009C059F" w:rsidP="009C059F">
            <w:pPr>
              <w:pStyle w:val="tabletextleft"/>
              <w:jc w:val="left"/>
            </w:pPr>
            <w:r w:rsidRPr="00DF38B2">
              <w:t>5–9 Years</w:t>
            </w:r>
          </w:p>
        </w:tc>
        <w:tc>
          <w:tcPr>
            <w:tcW w:w="709" w:type="dxa"/>
          </w:tcPr>
          <w:p w:rsidR="009C059F" w:rsidRPr="00F157EE" w:rsidRDefault="009C059F" w:rsidP="009C059F">
            <w:pPr>
              <w:pStyle w:val="tabletextright"/>
            </w:pPr>
            <w:r w:rsidRPr="00F157EE">
              <w:t>1.08</w:t>
            </w:r>
          </w:p>
        </w:tc>
        <w:tc>
          <w:tcPr>
            <w:tcW w:w="741" w:type="dxa"/>
          </w:tcPr>
          <w:p w:rsidR="009C059F" w:rsidRPr="00F157EE" w:rsidRDefault="009C059F" w:rsidP="009C059F">
            <w:pPr>
              <w:pStyle w:val="tabletextright"/>
            </w:pPr>
            <w:r w:rsidRPr="00F157EE">
              <w:t>1.71</w:t>
            </w:r>
          </w:p>
        </w:tc>
        <w:tc>
          <w:tcPr>
            <w:tcW w:w="236" w:type="dxa"/>
          </w:tcPr>
          <w:p w:rsidR="009C059F" w:rsidRPr="00F157EE" w:rsidRDefault="009C059F" w:rsidP="009C059F">
            <w:pPr>
              <w:pStyle w:val="tabletextright"/>
            </w:pPr>
          </w:p>
        </w:tc>
        <w:tc>
          <w:tcPr>
            <w:tcW w:w="678" w:type="dxa"/>
          </w:tcPr>
          <w:p w:rsidR="009C059F" w:rsidRPr="00F157EE" w:rsidRDefault="009C059F" w:rsidP="009C059F">
            <w:pPr>
              <w:pStyle w:val="tabletextright"/>
            </w:pPr>
            <w:r w:rsidRPr="00F157EE">
              <w:t>0.44</w:t>
            </w:r>
          </w:p>
        </w:tc>
        <w:tc>
          <w:tcPr>
            <w:tcW w:w="709" w:type="dxa"/>
          </w:tcPr>
          <w:p w:rsidR="009C059F" w:rsidRPr="00F157EE" w:rsidRDefault="009C059F" w:rsidP="009C059F">
            <w:pPr>
              <w:pStyle w:val="tabletextright"/>
            </w:pPr>
            <w:r w:rsidRPr="00F157EE">
              <w:t>1.05</w:t>
            </w:r>
          </w:p>
        </w:tc>
        <w:tc>
          <w:tcPr>
            <w:tcW w:w="268" w:type="dxa"/>
          </w:tcPr>
          <w:p w:rsidR="009C059F" w:rsidRPr="00F157EE" w:rsidRDefault="009C059F" w:rsidP="009C059F">
            <w:pPr>
              <w:pStyle w:val="tabletextright"/>
            </w:pPr>
          </w:p>
        </w:tc>
        <w:tc>
          <w:tcPr>
            <w:tcW w:w="724" w:type="dxa"/>
          </w:tcPr>
          <w:p w:rsidR="009C059F" w:rsidRPr="00F157EE" w:rsidRDefault="009C059F" w:rsidP="009C059F">
            <w:pPr>
              <w:pStyle w:val="tabletextright"/>
            </w:pPr>
            <w:r w:rsidRPr="00F157EE">
              <w:t>2.13</w:t>
            </w:r>
          </w:p>
        </w:tc>
        <w:tc>
          <w:tcPr>
            <w:tcW w:w="709" w:type="dxa"/>
          </w:tcPr>
          <w:p w:rsidR="009C059F" w:rsidRPr="00F157EE" w:rsidRDefault="009C059F" w:rsidP="009C059F">
            <w:pPr>
              <w:pStyle w:val="tabletextright"/>
            </w:pPr>
            <w:r w:rsidRPr="00F157EE">
              <w:t>2.60</w:t>
            </w:r>
          </w:p>
        </w:tc>
        <w:tc>
          <w:tcPr>
            <w:tcW w:w="252" w:type="dxa"/>
          </w:tcPr>
          <w:p w:rsidR="009C059F" w:rsidRPr="00F157EE" w:rsidRDefault="009C059F" w:rsidP="009C059F">
            <w:pPr>
              <w:pStyle w:val="tabletextright"/>
            </w:pPr>
          </w:p>
        </w:tc>
        <w:tc>
          <w:tcPr>
            <w:tcW w:w="740" w:type="dxa"/>
          </w:tcPr>
          <w:p w:rsidR="009C059F" w:rsidRPr="00F157EE" w:rsidRDefault="009C059F" w:rsidP="009C059F">
            <w:pPr>
              <w:pStyle w:val="tabletextright"/>
            </w:pPr>
            <w:r w:rsidRPr="00F157EE">
              <w:t>1.42</w:t>
            </w:r>
          </w:p>
        </w:tc>
        <w:tc>
          <w:tcPr>
            <w:tcW w:w="709" w:type="dxa"/>
          </w:tcPr>
          <w:p w:rsidR="009C059F" w:rsidRPr="00F157EE" w:rsidRDefault="009C059F" w:rsidP="009C059F">
            <w:pPr>
              <w:pStyle w:val="tabletextright"/>
            </w:pPr>
            <w:r w:rsidRPr="00F157EE">
              <w:t>1.37</w:t>
            </w:r>
          </w:p>
        </w:tc>
      </w:tr>
      <w:tr w:rsidR="009C059F" w:rsidRPr="00DF38B2" w:rsidTr="009C059F">
        <w:trPr>
          <w:trHeight w:val="370"/>
          <w:jc w:val="center"/>
        </w:trPr>
        <w:tc>
          <w:tcPr>
            <w:tcW w:w="983" w:type="dxa"/>
            <w:vMerge/>
            <w:tcBorders>
              <w:bottom w:val="single" w:sz="4" w:space="0" w:color="auto"/>
            </w:tcBorders>
          </w:tcPr>
          <w:p w:rsidR="009C059F" w:rsidRPr="00DF38B2" w:rsidRDefault="009C059F" w:rsidP="006654AE">
            <w:pPr>
              <w:pStyle w:val="tabletextleft"/>
              <w:jc w:val="left"/>
            </w:pPr>
          </w:p>
        </w:tc>
        <w:tc>
          <w:tcPr>
            <w:tcW w:w="1242" w:type="dxa"/>
            <w:tcBorders>
              <w:bottom w:val="single" w:sz="4" w:space="0" w:color="auto"/>
            </w:tcBorders>
          </w:tcPr>
          <w:p w:rsidR="009C059F" w:rsidRPr="00DF38B2" w:rsidRDefault="009C059F" w:rsidP="009C059F">
            <w:pPr>
              <w:pStyle w:val="tabletextleft"/>
              <w:jc w:val="left"/>
            </w:pPr>
            <w:r w:rsidRPr="00DF38B2">
              <w:t>10–14 Years</w:t>
            </w:r>
          </w:p>
        </w:tc>
        <w:tc>
          <w:tcPr>
            <w:tcW w:w="709" w:type="dxa"/>
            <w:tcBorders>
              <w:bottom w:val="single" w:sz="4" w:space="0" w:color="auto"/>
            </w:tcBorders>
          </w:tcPr>
          <w:p w:rsidR="009C059F" w:rsidRPr="00F157EE" w:rsidRDefault="009C059F" w:rsidP="009C059F">
            <w:pPr>
              <w:pStyle w:val="tabletextright"/>
            </w:pPr>
            <w:r w:rsidRPr="00F157EE">
              <w:t>1.38</w:t>
            </w:r>
          </w:p>
        </w:tc>
        <w:tc>
          <w:tcPr>
            <w:tcW w:w="741" w:type="dxa"/>
            <w:tcBorders>
              <w:bottom w:val="single" w:sz="4" w:space="0" w:color="auto"/>
            </w:tcBorders>
          </w:tcPr>
          <w:p w:rsidR="009C059F" w:rsidRPr="00F157EE" w:rsidRDefault="009C059F" w:rsidP="009C059F">
            <w:pPr>
              <w:pStyle w:val="tabletextright"/>
            </w:pPr>
            <w:r w:rsidRPr="00F157EE">
              <w:t>2.25</w:t>
            </w:r>
          </w:p>
        </w:tc>
        <w:tc>
          <w:tcPr>
            <w:tcW w:w="236" w:type="dxa"/>
            <w:tcBorders>
              <w:bottom w:val="single" w:sz="4" w:space="0" w:color="auto"/>
            </w:tcBorders>
          </w:tcPr>
          <w:p w:rsidR="009C059F" w:rsidRPr="00F157EE" w:rsidRDefault="009C059F" w:rsidP="009C059F">
            <w:pPr>
              <w:pStyle w:val="tabletextright"/>
            </w:pPr>
          </w:p>
        </w:tc>
        <w:tc>
          <w:tcPr>
            <w:tcW w:w="678" w:type="dxa"/>
            <w:tcBorders>
              <w:bottom w:val="single" w:sz="4" w:space="0" w:color="auto"/>
            </w:tcBorders>
          </w:tcPr>
          <w:p w:rsidR="009C059F" w:rsidRPr="00F157EE" w:rsidRDefault="009C059F" w:rsidP="009C059F">
            <w:pPr>
              <w:pStyle w:val="tabletextright"/>
            </w:pPr>
            <w:r w:rsidRPr="00F157EE">
              <w:t>0.82</w:t>
            </w:r>
          </w:p>
        </w:tc>
        <w:tc>
          <w:tcPr>
            <w:tcW w:w="709" w:type="dxa"/>
            <w:tcBorders>
              <w:bottom w:val="single" w:sz="4" w:space="0" w:color="auto"/>
            </w:tcBorders>
          </w:tcPr>
          <w:p w:rsidR="009C059F" w:rsidRPr="00F157EE" w:rsidRDefault="009C059F" w:rsidP="009C059F">
            <w:pPr>
              <w:pStyle w:val="tabletextright"/>
            </w:pPr>
            <w:r w:rsidRPr="00F157EE">
              <w:t>1.04</w:t>
            </w:r>
          </w:p>
        </w:tc>
        <w:tc>
          <w:tcPr>
            <w:tcW w:w="268" w:type="dxa"/>
            <w:tcBorders>
              <w:bottom w:val="single" w:sz="4" w:space="0" w:color="auto"/>
            </w:tcBorders>
          </w:tcPr>
          <w:p w:rsidR="009C059F" w:rsidRPr="00F157EE" w:rsidRDefault="009C059F" w:rsidP="009C059F">
            <w:pPr>
              <w:pStyle w:val="tabletextright"/>
            </w:pPr>
          </w:p>
        </w:tc>
        <w:tc>
          <w:tcPr>
            <w:tcW w:w="724" w:type="dxa"/>
            <w:tcBorders>
              <w:bottom w:val="single" w:sz="4" w:space="0" w:color="auto"/>
            </w:tcBorders>
          </w:tcPr>
          <w:p w:rsidR="009C059F" w:rsidRPr="00F157EE" w:rsidRDefault="009C059F" w:rsidP="009C059F">
            <w:pPr>
              <w:pStyle w:val="tabletextright"/>
            </w:pPr>
            <w:r w:rsidRPr="00F157EE">
              <w:t>1.68</w:t>
            </w:r>
          </w:p>
        </w:tc>
        <w:tc>
          <w:tcPr>
            <w:tcW w:w="709" w:type="dxa"/>
            <w:tcBorders>
              <w:bottom w:val="single" w:sz="4" w:space="0" w:color="auto"/>
            </w:tcBorders>
          </w:tcPr>
          <w:p w:rsidR="009C059F" w:rsidRPr="00F157EE" w:rsidRDefault="009C059F" w:rsidP="009C059F">
            <w:pPr>
              <w:pStyle w:val="tabletextright"/>
            </w:pPr>
            <w:r w:rsidRPr="00F157EE">
              <w:t>2.79</w:t>
            </w:r>
          </w:p>
        </w:tc>
        <w:tc>
          <w:tcPr>
            <w:tcW w:w="252" w:type="dxa"/>
            <w:tcBorders>
              <w:bottom w:val="single" w:sz="4" w:space="0" w:color="auto"/>
            </w:tcBorders>
          </w:tcPr>
          <w:p w:rsidR="009C059F" w:rsidRPr="00F157EE" w:rsidRDefault="009C059F" w:rsidP="009C059F">
            <w:pPr>
              <w:pStyle w:val="tabletextright"/>
            </w:pPr>
          </w:p>
        </w:tc>
        <w:tc>
          <w:tcPr>
            <w:tcW w:w="740" w:type="dxa"/>
            <w:tcBorders>
              <w:bottom w:val="single" w:sz="4" w:space="0" w:color="auto"/>
            </w:tcBorders>
          </w:tcPr>
          <w:p w:rsidR="009C059F" w:rsidRPr="00F157EE" w:rsidRDefault="009C059F" w:rsidP="009C059F">
            <w:pPr>
              <w:pStyle w:val="tabletextright"/>
            </w:pPr>
            <w:r w:rsidRPr="00F157EE">
              <w:t>1.10</w:t>
            </w:r>
          </w:p>
        </w:tc>
        <w:tc>
          <w:tcPr>
            <w:tcW w:w="709" w:type="dxa"/>
            <w:tcBorders>
              <w:bottom w:val="single" w:sz="4" w:space="0" w:color="auto"/>
            </w:tcBorders>
          </w:tcPr>
          <w:p w:rsidR="009C059F" w:rsidRPr="00F157EE" w:rsidRDefault="009C059F" w:rsidP="009C059F">
            <w:pPr>
              <w:pStyle w:val="tabletextright"/>
            </w:pPr>
            <w:r w:rsidRPr="00F157EE">
              <w:t>1.17</w:t>
            </w:r>
          </w:p>
        </w:tc>
      </w:tr>
      <w:tr w:rsidR="009C059F" w:rsidRPr="00DF38B2" w:rsidTr="009C059F">
        <w:trPr>
          <w:trHeight w:val="384"/>
          <w:jc w:val="center"/>
        </w:trPr>
        <w:tc>
          <w:tcPr>
            <w:tcW w:w="983" w:type="dxa"/>
            <w:vMerge w:val="restart"/>
            <w:tcBorders>
              <w:top w:val="single" w:sz="4" w:space="0" w:color="auto"/>
            </w:tcBorders>
          </w:tcPr>
          <w:p w:rsidR="009C059F" w:rsidRPr="00DF38B2" w:rsidRDefault="009C059F" w:rsidP="006654AE">
            <w:pPr>
              <w:pStyle w:val="tabletextleft"/>
              <w:jc w:val="left"/>
            </w:pPr>
            <w:r>
              <w:t>Australia</w:t>
            </w:r>
          </w:p>
        </w:tc>
        <w:tc>
          <w:tcPr>
            <w:tcW w:w="1242" w:type="dxa"/>
            <w:tcBorders>
              <w:top w:val="single" w:sz="4" w:space="0" w:color="auto"/>
            </w:tcBorders>
          </w:tcPr>
          <w:p w:rsidR="009C059F" w:rsidRPr="00DF38B2" w:rsidRDefault="009C059F" w:rsidP="009C059F">
            <w:pPr>
              <w:pStyle w:val="tabletextleft"/>
              <w:jc w:val="left"/>
            </w:pPr>
            <w:r w:rsidRPr="00DF38B2">
              <w:t>0–4 Years</w:t>
            </w:r>
          </w:p>
        </w:tc>
        <w:tc>
          <w:tcPr>
            <w:tcW w:w="709" w:type="dxa"/>
            <w:tcBorders>
              <w:top w:val="single" w:sz="4" w:space="0" w:color="auto"/>
            </w:tcBorders>
          </w:tcPr>
          <w:p w:rsidR="009C059F" w:rsidRPr="00F157EE" w:rsidRDefault="009C059F" w:rsidP="009C059F">
            <w:pPr>
              <w:pStyle w:val="tabletextright"/>
            </w:pPr>
            <w:r w:rsidRPr="00F157EE">
              <w:t>1.51</w:t>
            </w:r>
          </w:p>
        </w:tc>
        <w:tc>
          <w:tcPr>
            <w:tcW w:w="741" w:type="dxa"/>
            <w:tcBorders>
              <w:top w:val="single" w:sz="4" w:space="0" w:color="auto"/>
            </w:tcBorders>
          </w:tcPr>
          <w:p w:rsidR="009C059F" w:rsidRPr="00F157EE" w:rsidRDefault="009C059F" w:rsidP="009C059F">
            <w:pPr>
              <w:pStyle w:val="tabletextright"/>
            </w:pPr>
            <w:r w:rsidRPr="00F157EE">
              <w:t>1.88</w:t>
            </w:r>
          </w:p>
        </w:tc>
        <w:tc>
          <w:tcPr>
            <w:tcW w:w="236" w:type="dxa"/>
            <w:tcBorders>
              <w:top w:val="single" w:sz="4" w:space="0" w:color="auto"/>
            </w:tcBorders>
          </w:tcPr>
          <w:p w:rsidR="009C059F" w:rsidRPr="00F157EE" w:rsidRDefault="009C059F" w:rsidP="009C059F">
            <w:pPr>
              <w:pStyle w:val="tabletextright"/>
            </w:pPr>
          </w:p>
        </w:tc>
        <w:tc>
          <w:tcPr>
            <w:tcW w:w="678" w:type="dxa"/>
            <w:tcBorders>
              <w:top w:val="single" w:sz="4" w:space="0" w:color="auto"/>
            </w:tcBorders>
          </w:tcPr>
          <w:p w:rsidR="009C059F" w:rsidRPr="00F157EE" w:rsidRDefault="009C059F" w:rsidP="009C059F">
            <w:pPr>
              <w:pStyle w:val="tabletextright"/>
            </w:pPr>
            <w:r w:rsidRPr="00F157EE">
              <w:t>0.96</w:t>
            </w:r>
          </w:p>
        </w:tc>
        <w:tc>
          <w:tcPr>
            <w:tcW w:w="709" w:type="dxa"/>
            <w:tcBorders>
              <w:top w:val="single" w:sz="4" w:space="0" w:color="auto"/>
            </w:tcBorders>
          </w:tcPr>
          <w:p w:rsidR="009C059F" w:rsidRPr="00F157EE" w:rsidRDefault="009C059F" w:rsidP="009C059F">
            <w:pPr>
              <w:pStyle w:val="tabletextright"/>
            </w:pPr>
            <w:r w:rsidRPr="00F157EE">
              <w:t>1.16</w:t>
            </w:r>
          </w:p>
        </w:tc>
        <w:tc>
          <w:tcPr>
            <w:tcW w:w="268" w:type="dxa"/>
            <w:tcBorders>
              <w:top w:val="single" w:sz="4" w:space="0" w:color="auto"/>
            </w:tcBorders>
          </w:tcPr>
          <w:p w:rsidR="009C059F" w:rsidRPr="00F157EE" w:rsidRDefault="009C059F" w:rsidP="009C059F">
            <w:pPr>
              <w:pStyle w:val="tabletextright"/>
            </w:pPr>
          </w:p>
        </w:tc>
        <w:tc>
          <w:tcPr>
            <w:tcW w:w="724" w:type="dxa"/>
            <w:tcBorders>
              <w:top w:val="single" w:sz="4" w:space="0" w:color="auto"/>
            </w:tcBorders>
          </w:tcPr>
          <w:p w:rsidR="009C059F" w:rsidRPr="00F157EE" w:rsidRDefault="009C059F" w:rsidP="009C059F">
            <w:pPr>
              <w:pStyle w:val="tabletextright"/>
            </w:pPr>
            <w:r w:rsidRPr="00F157EE">
              <w:t>1.15</w:t>
            </w:r>
          </w:p>
        </w:tc>
        <w:tc>
          <w:tcPr>
            <w:tcW w:w="709" w:type="dxa"/>
            <w:tcBorders>
              <w:top w:val="single" w:sz="4" w:space="0" w:color="auto"/>
            </w:tcBorders>
          </w:tcPr>
          <w:p w:rsidR="009C059F" w:rsidRPr="00F157EE" w:rsidRDefault="009C059F" w:rsidP="009C059F">
            <w:pPr>
              <w:pStyle w:val="tabletextright"/>
            </w:pPr>
            <w:r w:rsidRPr="00F157EE">
              <w:t>1.30</w:t>
            </w:r>
          </w:p>
        </w:tc>
        <w:tc>
          <w:tcPr>
            <w:tcW w:w="252" w:type="dxa"/>
            <w:tcBorders>
              <w:top w:val="single" w:sz="4" w:space="0" w:color="auto"/>
            </w:tcBorders>
          </w:tcPr>
          <w:p w:rsidR="009C059F" w:rsidRPr="00F157EE" w:rsidRDefault="009C059F" w:rsidP="009C059F">
            <w:pPr>
              <w:pStyle w:val="tabletextright"/>
            </w:pPr>
          </w:p>
        </w:tc>
        <w:tc>
          <w:tcPr>
            <w:tcW w:w="740" w:type="dxa"/>
            <w:tcBorders>
              <w:top w:val="single" w:sz="4" w:space="0" w:color="auto"/>
            </w:tcBorders>
          </w:tcPr>
          <w:p w:rsidR="009C059F" w:rsidRPr="00F157EE" w:rsidRDefault="009C059F" w:rsidP="009C059F">
            <w:pPr>
              <w:pStyle w:val="tabletextright"/>
            </w:pPr>
            <w:r w:rsidRPr="00F157EE">
              <w:t>0.73</w:t>
            </w:r>
          </w:p>
        </w:tc>
        <w:tc>
          <w:tcPr>
            <w:tcW w:w="709" w:type="dxa"/>
            <w:tcBorders>
              <w:top w:val="single" w:sz="4" w:space="0" w:color="auto"/>
            </w:tcBorders>
          </w:tcPr>
          <w:p w:rsidR="009C059F" w:rsidRPr="00F157EE" w:rsidRDefault="009C059F" w:rsidP="009C059F">
            <w:pPr>
              <w:pStyle w:val="tabletextright"/>
            </w:pPr>
            <w:r w:rsidRPr="00F157EE">
              <w:t>0.79</w:t>
            </w:r>
          </w:p>
        </w:tc>
      </w:tr>
      <w:tr w:rsidR="009C059F" w:rsidRPr="00DF38B2" w:rsidTr="009C059F">
        <w:trPr>
          <w:trHeight w:val="393"/>
          <w:jc w:val="center"/>
        </w:trPr>
        <w:tc>
          <w:tcPr>
            <w:tcW w:w="983" w:type="dxa"/>
            <w:vMerge/>
          </w:tcPr>
          <w:p w:rsidR="009C059F" w:rsidRPr="00DF38B2" w:rsidRDefault="009C059F" w:rsidP="006654AE">
            <w:pPr>
              <w:pStyle w:val="tabletextleft"/>
              <w:jc w:val="left"/>
            </w:pPr>
          </w:p>
        </w:tc>
        <w:tc>
          <w:tcPr>
            <w:tcW w:w="1242" w:type="dxa"/>
          </w:tcPr>
          <w:p w:rsidR="009C059F" w:rsidRPr="00DF38B2" w:rsidRDefault="009C059F" w:rsidP="009C059F">
            <w:pPr>
              <w:pStyle w:val="tabletextleft"/>
              <w:jc w:val="left"/>
            </w:pPr>
            <w:r w:rsidRPr="00DF38B2">
              <w:t>5–9 Years</w:t>
            </w:r>
          </w:p>
        </w:tc>
        <w:tc>
          <w:tcPr>
            <w:tcW w:w="709" w:type="dxa"/>
          </w:tcPr>
          <w:p w:rsidR="009C059F" w:rsidRPr="00F157EE" w:rsidRDefault="009C059F" w:rsidP="009C059F">
            <w:pPr>
              <w:pStyle w:val="tabletextright"/>
            </w:pPr>
            <w:r w:rsidRPr="00F157EE">
              <w:t>3.46</w:t>
            </w:r>
          </w:p>
        </w:tc>
        <w:tc>
          <w:tcPr>
            <w:tcW w:w="741" w:type="dxa"/>
          </w:tcPr>
          <w:p w:rsidR="009C059F" w:rsidRPr="00F157EE" w:rsidRDefault="009C059F" w:rsidP="009C059F">
            <w:pPr>
              <w:pStyle w:val="tabletextright"/>
            </w:pPr>
            <w:r w:rsidRPr="00F157EE">
              <w:t>5.18</w:t>
            </w:r>
          </w:p>
        </w:tc>
        <w:tc>
          <w:tcPr>
            <w:tcW w:w="236" w:type="dxa"/>
          </w:tcPr>
          <w:p w:rsidR="009C059F" w:rsidRPr="00F157EE" w:rsidRDefault="009C059F" w:rsidP="009C059F">
            <w:pPr>
              <w:pStyle w:val="tabletextright"/>
            </w:pPr>
          </w:p>
        </w:tc>
        <w:tc>
          <w:tcPr>
            <w:tcW w:w="678" w:type="dxa"/>
          </w:tcPr>
          <w:p w:rsidR="009C059F" w:rsidRPr="00F157EE" w:rsidRDefault="009C059F" w:rsidP="009C059F">
            <w:pPr>
              <w:pStyle w:val="tabletextright"/>
            </w:pPr>
            <w:r w:rsidRPr="00F157EE">
              <w:t>1.97</w:t>
            </w:r>
          </w:p>
        </w:tc>
        <w:tc>
          <w:tcPr>
            <w:tcW w:w="709" w:type="dxa"/>
          </w:tcPr>
          <w:p w:rsidR="009C059F" w:rsidRPr="00F157EE" w:rsidRDefault="009C059F" w:rsidP="009C059F">
            <w:pPr>
              <w:pStyle w:val="tabletextright"/>
            </w:pPr>
            <w:r w:rsidRPr="00F157EE">
              <w:t>2.66</w:t>
            </w:r>
          </w:p>
        </w:tc>
        <w:tc>
          <w:tcPr>
            <w:tcW w:w="268" w:type="dxa"/>
          </w:tcPr>
          <w:p w:rsidR="009C059F" w:rsidRPr="00F157EE" w:rsidRDefault="009C059F" w:rsidP="009C059F">
            <w:pPr>
              <w:pStyle w:val="tabletextright"/>
            </w:pPr>
          </w:p>
        </w:tc>
        <w:tc>
          <w:tcPr>
            <w:tcW w:w="724" w:type="dxa"/>
          </w:tcPr>
          <w:p w:rsidR="009C059F" w:rsidRPr="00F157EE" w:rsidRDefault="009C059F" w:rsidP="009C059F">
            <w:pPr>
              <w:pStyle w:val="tabletextright"/>
            </w:pPr>
            <w:r w:rsidRPr="00F157EE">
              <w:t>2.79</w:t>
            </w:r>
          </w:p>
        </w:tc>
        <w:tc>
          <w:tcPr>
            <w:tcW w:w="709" w:type="dxa"/>
          </w:tcPr>
          <w:p w:rsidR="009C059F" w:rsidRPr="00F157EE" w:rsidRDefault="009C059F" w:rsidP="009C059F">
            <w:pPr>
              <w:pStyle w:val="tabletextright"/>
            </w:pPr>
            <w:r w:rsidRPr="00F157EE">
              <w:t>3.57</w:t>
            </w:r>
          </w:p>
        </w:tc>
        <w:tc>
          <w:tcPr>
            <w:tcW w:w="252" w:type="dxa"/>
          </w:tcPr>
          <w:p w:rsidR="009C059F" w:rsidRPr="00F157EE" w:rsidRDefault="009C059F" w:rsidP="009C059F">
            <w:pPr>
              <w:pStyle w:val="tabletextright"/>
            </w:pPr>
          </w:p>
        </w:tc>
        <w:tc>
          <w:tcPr>
            <w:tcW w:w="740" w:type="dxa"/>
          </w:tcPr>
          <w:p w:rsidR="009C059F" w:rsidRPr="00F157EE" w:rsidRDefault="009C059F" w:rsidP="009C059F">
            <w:pPr>
              <w:pStyle w:val="tabletextright"/>
            </w:pPr>
            <w:r w:rsidRPr="00F157EE">
              <w:t>1.43</w:t>
            </w:r>
          </w:p>
        </w:tc>
        <w:tc>
          <w:tcPr>
            <w:tcW w:w="709" w:type="dxa"/>
          </w:tcPr>
          <w:p w:rsidR="009C059F" w:rsidRPr="00F157EE" w:rsidRDefault="009C059F" w:rsidP="009C059F">
            <w:pPr>
              <w:pStyle w:val="tabletextright"/>
            </w:pPr>
            <w:r w:rsidRPr="00F157EE">
              <w:t>1.69</w:t>
            </w:r>
          </w:p>
        </w:tc>
      </w:tr>
      <w:tr w:rsidR="009C059F" w:rsidRPr="00DF38B2" w:rsidTr="009C059F">
        <w:trPr>
          <w:trHeight w:val="328"/>
          <w:jc w:val="center"/>
        </w:trPr>
        <w:tc>
          <w:tcPr>
            <w:tcW w:w="983" w:type="dxa"/>
            <w:vMerge/>
            <w:tcBorders>
              <w:bottom w:val="single" w:sz="6" w:space="0" w:color="auto"/>
            </w:tcBorders>
          </w:tcPr>
          <w:p w:rsidR="009C059F" w:rsidRPr="00DF38B2" w:rsidRDefault="009C059F" w:rsidP="006654AE">
            <w:pPr>
              <w:pStyle w:val="tabletextleft"/>
              <w:jc w:val="left"/>
            </w:pPr>
          </w:p>
        </w:tc>
        <w:tc>
          <w:tcPr>
            <w:tcW w:w="1242" w:type="dxa"/>
            <w:tcBorders>
              <w:bottom w:val="single" w:sz="6" w:space="0" w:color="auto"/>
            </w:tcBorders>
          </w:tcPr>
          <w:p w:rsidR="009C059F" w:rsidRPr="00DF38B2" w:rsidRDefault="009C059F" w:rsidP="009C059F">
            <w:pPr>
              <w:pStyle w:val="tabletextleft"/>
              <w:jc w:val="left"/>
            </w:pPr>
            <w:r w:rsidRPr="00DF38B2">
              <w:t xml:space="preserve">10–14 Years </w:t>
            </w:r>
          </w:p>
        </w:tc>
        <w:tc>
          <w:tcPr>
            <w:tcW w:w="709" w:type="dxa"/>
            <w:tcBorders>
              <w:bottom w:val="single" w:sz="6" w:space="0" w:color="auto"/>
            </w:tcBorders>
          </w:tcPr>
          <w:p w:rsidR="009C059F" w:rsidRPr="00F157EE" w:rsidRDefault="009C059F" w:rsidP="009C059F">
            <w:pPr>
              <w:pStyle w:val="tabletextright"/>
            </w:pPr>
            <w:r w:rsidRPr="00F157EE">
              <w:t>3.47</w:t>
            </w:r>
          </w:p>
        </w:tc>
        <w:tc>
          <w:tcPr>
            <w:tcW w:w="741" w:type="dxa"/>
            <w:tcBorders>
              <w:bottom w:val="single" w:sz="6" w:space="0" w:color="auto"/>
            </w:tcBorders>
          </w:tcPr>
          <w:p w:rsidR="009C059F" w:rsidRPr="00F157EE" w:rsidRDefault="009C059F" w:rsidP="009C059F">
            <w:pPr>
              <w:pStyle w:val="tabletextright"/>
            </w:pPr>
            <w:r w:rsidRPr="00F157EE">
              <w:t>4.95</w:t>
            </w:r>
          </w:p>
        </w:tc>
        <w:tc>
          <w:tcPr>
            <w:tcW w:w="236" w:type="dxa"/>
            <w:tcBorders>
              <w:bottom w:val="single" w:sz="6" w:space="0" w:color="auto"/>
            </w:tcBorders>
          </w:tcPr>
          <w:p w:rsidR="009C059F" w:rsidRPr="00F157EE" w:rsidRDefault="009C059F" w:rsidP="009C059F">
            <w:pPr>
              <w:pStyle w:val="tabletextright"/>
            </w:pPr>
          </w:p>
        </w:tc>
        <w:tc>
          <w:tcPr>
            <w:tcW w:w="678" w:type="dxa"/>
            <w:tcBorders>
              <w:bottom w:val="single" w:sz="6" w:space="0" w:color="auto"/>
            </w:tcBorders>
          </w:tcPr>
          <w:p w:rsidR="009C059F" w:rsidRPr="00F157EE" w:rsidRDefault="009C059F" w:rsidP="009C059F">
            <w:pPr>
              <w:pStyle w:val="tabletextright"/>
            </w:pPr>
            <w:r w:rsidRPr="00F157EE">
              <w:t>2.09</w:t>
            </w:r>
          </w:p>
        </w:tc>
        <w:tc>
          <w:tcPr>
            <w:tcW w:w="709" w:type="dxa"/>
            <w:tcBorders>
              <w:bottom w:val="single" w:sz="6" w:space="0" w:color="auto"/>
            </w:tcBorders>
          </w:tcPr>
          <w:p w:rsidR="009C059F" w:rsidRPr="00F157EE" w:rsidRDefault="009C059F" w:rsidP="009C059F">
            <w:pPr>
              <w:pStyle w:val="tabletextright"/>
            </w:pPr>
            <w:r w:rsidRPr="00F157EE">
              <w:t>2.68</w:t>
            </w:r>
          </w:p>
        </w:tc>
        <w:tc>
          <w:tcPr>
            <w:tcW w:w="268" w:type="dxa"/>
            <w:tcBorders>
              <w:bottom w:val="single" w:sz="6" w:space="0" w:color="auto"/>
            </w:tcBorders>
          </w:tcPr>
          <w:p w:rsidR="009C059F" w:rsidRPr="00F157EE" w:rsidRDefault="009C059F" w:rsidP="009C059F">
            <w:pPr>
              <w:pStyle w:val="tabletextright"/>
            </w:pPr>
          </w:p>
        </w:tc>
        <w:tc>
          <w:tcPr>
            <w:tcW w:w="724" w:type="dxa"/>
            <w:tcBorders>
              <w:bottom w:val="single" w:sz="6" w:space="0" w:color="auto"/>
            </w:tcBorders>
          </w:tcPr>
          <w:p w:rsidR="009C059F" w:rsidRPr="00F157EE" w:rsidRDefault="009C059F" w:rsidP="009C059F">
            <w:pPr>
              <w:pStyle w:val="tabletextright"/>
            </w:pPr>
            <w:r w:rsidRPr="00F157EE">
              <w:t>2.54</w:t>
            </w:r>
          </w:p>
        </w:tc>
        <w:tc>
          <w:tcPr>
            <w:tcW w:w="709" w:type="dxa"/>
            <w:tcBorders>
              <w:bottom w:val="single" w:sz="6" w:space="0" w:color="auto"/>
            </w:tcBorders>
          </w:tcPr>
          <w:p w:rsidR="009C059F" w:rsidRPr="00F157EE" w:rsidRDefault="009C059F" w:rsidP="009C059F">
            <w:pPr>
              <w:pStyle w:val="tabletextright"/>
            </w:pPr>
            <w:r w:rsidRPr="00F157EE">
              <w:t>3.44</w:t>
            </w:r>
          </w:p>
        </w:tc>
        <w:tc>
          <w:tcPr>
            <w:tcW w:w="252" w:type="dxa"/>
            <w:tcBorders>
              <w:bottom w:val="single" w:sz="6" w:space="0" w:color="auto"/>
            </w:tcBorders>
          </w:tcPr>
          <w:p w:rsidR="009C059F" w:rsidRPr="00F157EE" w:rsidRDefault="009C059F" w:rsidP="009C059F">
            <w:pPr>
              <w:pStyle w:val="tabletextright"/>
            </w:pPr>
          </w:p>
        </w:tc>
        <w:tc>
          <w:tcPr>
            <w:tcW w:w="740" w:type="dxa"/>
            <w:tcBorders>
              <w:bottom w:val="single" w:sz="6" w:space="0" w:color="auto"/>
            </w:tcBorders>
          </w:tcPr>
          <w:p w:rsidR="009C059F" w:rsidRPr="00F157EE" w:rsidRDefault="009C059F" w:rsidP="009C059F">
            <w:pPr>
              <w:pStyle w:val="tabletextright"/>
            </w:pPr>
            <w:r w:rsidRPr="00F157EE">
              <w:t>1.39</w:t>
            </w:r>
          </w:p>
        </w:tc>
        <w:tc>
          <w:tcPr>
            <w:tcW w:w="709" w:type="dxa"/>
            <w:tcBorders>
              <w:bottom w:val="single" w:sz="6" w:space="0" w:color="auto"/>
            </w:tcBorders>
          </w:tcPr>
          <w:p w:rsidR="009C059F" w:rsidRPr="00F157EE" w:rsidRDefault="009C059F" w:rsidP="009C059F">
            <w:pPr>
              <w:pStyle w:val="tabletextright"/>
            </w:pPr>
            <w:r w:rsidRPr="00F157EE">
              <w:t>1.73</w:t>
            </w:r>
          </w:p>
        </w:tc>
      </w:tr>
    </w:tbl>
    <w:p w:rsidR="000F06BF" w:rsidRDefault="000F06BF" w:rsidP="006654AE">
      <w:pPr>
        <w:pStyle w:val="tablenotes"/>
      </w:pPr>
    </w:p>
    <w:p w:rsidR="00535C84" w:rsidRDefault="00535C84" w:rsidP="006654AE">
      <w:pPr>
        <w:pStyle w:val="tablenotes"/>
      </w:pPr>
      <w:r w:rsidRPr="00DF38B2">
        <w:t xml:space="preserve">Source: </w:t>
      </w:r>
      <w:r w:rsidRPr="00DF38B2">
        <w:tab/>
        <w:t>ABS Census Table Builder 2006, 2011.</w:t>
      </w:r>
    </w:p>
    <w:p w:rsidR="00FE1A6A" w:rsidRPr="00DF38B2" w:rsidRDefault="00FE1A6A" w:rsidP="006654AE">
      <w:pPr>
        <w:pStyle w:val="tablefootnoteslastline"/>
      </w:pPr>
    </w:p>
    <w:p w:rsidR="00535C84" w:rsidRPr="00DF38B2" w:rsidRDefault="00535C84" w:rsidP="006654AE">
      <w:pPr>
        <w:pStyle w:val="Heading3"/>
      </w:pPr>
      <w:bookmarkStart w:id="532" w:name="_Toc403739099"/>
      <w:r w:rsidRPr="00DF38B2">
        <w:t>Diet</w:t>
      </w:r>
      <w:bookmarkEnd w:id="532"/>
    </w:p>
    <w:p w:rsidR="00535C84" w:rsidRPr="00DF38B2" w:rsidRDefault="00535C84" w:rsidP="006654AE">
      <w:r w:rsidRPr="00DF38B2">
        <w:t xml:space="preserve">The National Aboriginal and Torres Strait Islander Health Survey (NATSIHS) </w:t>
      </w:r>
      <w:proofErr w:type="gramStart"/>
      <w:r w:rsidRPr="00DF38B2">
        <w:t>was</w:t>
      </w:r>
      <w:proofErr w:type="gramEnd"/>
      <w:r w:rsidRPr="00DF38B2">
        <w:t xml:space="preserve"> conducted in 2004</w:t>
      </w:r>
      <w:r w:rsidR="00FC23F6" w:rsidRPr="00DF38B2">
        <w:t>-</w:t>
      </w:r>
      <w:r w:rsidRPr="00DF38B2">
        <w:t>05 and 2012</w:t>
      </w:r>
      <w:r w:rsidR="00FC23F6" w:rsidRPr="00DF38B2">
        <w:t>-</w:t>
      </w:r>
      <w:r w:rsidRPr="00DF38B2">
        <w:t>13. This allows comparison of data collected before the NTER and after the transition to New Income Management</w:t>
      </w:r>
      <w:r w:rsidR="00A1421A">
        <w:t xml:space="preserve">. </w:t>
      </w:r>
      <w:r w:rsidR="00FC23F6" w:rsidRPr="00DF38B2">
        <w:t>As has been discussed previously in considering these data</w:t>
      </w:r>
      <w:r w:rsidR="00D5404D">
        <w:t>,</w:t>
      </w:r>
      <w:r w:rsidR="00FC23F6" w:rsidRPr="00DF38B2">
        <w:t xml:space="preserve"> attention needs to be given to other interventions, in particular the School Nutrition Program introduced as part of the NTER</w:t>
      </w:r>
      <w:r w:rsidR="0006585A">
        <w:t>,</w:t>
      </w:r>
      <w:r w:rsidR="00FC23F6" w:rsidRPr="00DF38B2">
        <w:t xml:space="preserve"> which was concerned directly </w:t>
      </w:r>
      <w:r w:rsidR="0006585A">
        <w:t>with</w:t>
      </w:r>
      <w:r w:rsidR="00FC23F6" w:rsidRPr="00DF38B2">
        <w:t xml:space="preserve"> changing the nutrition received by school</w:t>
      </w:r>
      <w:r w:rsidR="0006585A">
        <w:t>-</w:t>
      </w:r>
      <w:r w:rsidR="00FC23F6" w:rsidRPr="00DF38B2">
        <w:t>aged Indigenous children in the Northern Territory.</w:t>
      </w:r>
    </w:p>
    <w:p w:rsidR="00535C84" w:rsidRPr="009655C3" w:rsidRDefault="00535C84" w:rsidP="006654AE">
      <w:r w:rsidRPr="00DF38B2">
        <w:t>According to the 2012</w:t>
      </w:r>
      <w:r w:rsidR="00FC23F6" w:rsidRPr="00DF38B2">
        <w:t>-</w:t>
      </w:r>
      <w:r w:rsidRPr="00DF38B2">
        <w:t>13 NATSIHS</w:t>
      </w:r>
      <w:r w:rsidR="0006585A">
        <w:t>,</w:t>
      </w:r>
      <w:r w:rsidRPr="00DF38B2">
        <w:t xml:space="preserve"> around 75 per cent of Indigenous children nationally aged 12 to 17 years have </w:t>
      </w:r>
      <w:r w:rsidR="006960EE">
        <w:t xml:space="preserve">an </w:t>
      </w:r>
      <w:r w:rsidRPr="00DF38B2">
        <w:t>adequate daily fruit intake.</w:t>
      </w:r>
      <w:r w:rsidRPr="00DF38B2">
        <w:rPr>
          <w:rStyle w:val="FootnoteReference"/>
        </w:rPr>
        <w:footnoteReference w:id="130"/>
      </w:r>
      <w:r w:rsidRPr="00DF38B2">
        <w:t xml:space="preserve"> The proportion with adequate daily fruit intake differs </w:t>
      </w:r>
      <w:r w:rsidRPr="00FE502F">
        <w:t xml:space="preserve">between remote and non-remote areas. Aboriginal and Torres Strait Islander children living in remote areas are more likely to have reported </w:t>
      </w:r>
      <w:r w:rsidR="006960EE">
        <w:t xml:space="preserve">an </w:t>
      </w:r>
      <w:r w:rsidRPr="00FE502F">
        <w:t>adequate daily fruit intake compared to children living i</w:t>
      </w:r>
      <w:r w:rsidRPr="009655C3">
        <w:t xml:space="preserve">n non-remote areas (75.6 per cent compared to 72.1 per cent). When the analysis is focused on vegetable intake, the picture of children’s health is less positive. Only 13 per cent of children living in remote areas reported having </w:t>
      </w:r>
      <w:r w:rsidR="006960EE">
        <w:t xml:space="preserve">an </w:t>
      </w:r>
      <w:r w:rsidRPr="009655C3">
        <w:t>adequate vegetable intake</w:t>
      </w:r>
      <w:r w:rsidR="00B56568">
        <w:t>,</w:t>
      </w:r>
      <w:r w:rsidRPr="009655C3">
        <w:t xml:space="preserve"> </w:t>
      </w:r>
      <w:r w:rsidR="006960EE">
        <w:t>with the rate of</w:t>
      </w:r>
      <w:r w:rsidRPr="009655C3">
        <w:t xml:space="preserve"> 15 per cent f</w:t>
      </w:r>
      <w:r w:rsidR="006960EE">
        <w:t>or</w:t>
      </w:r>
      <w:r w:rsidRPr="009655C3">
        <w:t xml:space="preserve"> children living in non-remote areas</w:t>
      </w:r>
      <w:r w:rsidR="006960EE">
        <w:t xml:space="preserve"> being only a little better</w:t>
      </w:r>
      <w:r w:rsidRPr="009655C3">
        <w:t xml:space="preserve">. </w:t>
      </w:r>
    </w:p>
    <w:p w:rsidR="00535C84" w:rsidRPr="00DF38B2" w:rsidRDefault="00535C84" w:rsidP="006654AE">
      <w:r w:rsidRPr="00DF38B2">
        <w:lastRenderedPageBreak/>
        <w:t xml:space="preserve">Using customised tables from the ABS, </w:t>
      </w:r>
      <w:r w:rsidRPr="00DF38B2">
        <w:fldChar w:fldCharType="begin"/>
      </w:r>
      <w:r w:rsidRPr="00DF38B2">
        <w:instrText xml:space="preserve"> REF _Ref391529972 \h </w:instrText>
      </w:r>
      <w:r w:rsidRPr="00DF38B2">
        <w:fldChar w:fldCharType="separate"/>
      </w:r>
      <w:r w:rsidR="00906D13" w:rsidRPr="00DF38B2">
        <w:t xml:space="preserve">Table </w:t>
      </w:r>
      <w:r w:rsidR="00906D13">
        <w:rPr>
          <w:noProof/>
        </w:rPr>
        <w:t>9</w:t>
      </w:r>
      <w:r w:rsidR="00906D13">
        <w:noBreakHyphen/>
      </w:r>
      <w:r w:rsidR="00906D13">
        <w:rPr>
          <w:noProof/>
        </w:rPr>
        <w:t>6</w:t>
      </w:r>
      <w:r w:rsidRPr="00DF38B2">
        <w:fldChar w:fldCharType="end"/>
      </w:r>
      <w:r w:rsidRPr="00DF38B2">
        <w:t xml:space="preserve"> reports the dietary indicators for children aged</w:t>
      </w:r>
      <w:r w:rsidRPr="00FE502F">
        <w:t xml:space="preserve"> between 12</w:t>
      </w:r>
      <w:r w:rsidR="00D37FBC" w:rsidRPr="009655C3">
        <w:t xml:space="preserve"> </w:t>
      </w:r>
      <w:r w:rsidR="00B56568">
        <w:t>and</w:t>
      </w:r>
      <w:r w:rsidR="00D37FBC" w:rsidRPr="009655C3">
        <w:t xml:space="preserve"> </w:t>
      </w:r>
      <w:r w:rsidRPr="009655C3">
        <w:t>17 years in Northern Territory by remote and non-rem</w:t>
      </w:r>
      <w:r w:rsidRPr="00DF38B2">
        <w:t>ote locations. Table 8 suggests that in non-remote areas of the Northern Territory, about 64 per cent of children reported having adequate daily fruit intake in 2012</w:t>
      </w:r>
      <w:r w:rsidR="00FC23F6" w:rsidRPr="00DF38B2">
        <w:t>-</w:t>
      </w:r>
      <w:r w:rsidRPr="00DF38B2">
        <w:t>13. This was a substantial increase from 2004</w:t>
      </w:r>
      <w:r w:rsidR="00FC23F6" w:rsidRPr="00DF38B2">
        <w:t>-</w:t>
      </w:r>
      <w:r w:rsidRPr="00DF38B2">
        <w:t xml:space="preserve">05 where 45.1 per cent of children reported having </w:t>
      </w:r>
      <w:r w:rsidR="00B56568">
        <w:t xml:space="preserve">an </w:t>
      </w:r>
      <w:r w:rsidRPr="00DF38B2">
        <w:t>adequate daily fruit intake. There is only a marginal difference between the remote and non-remote consumption of adequate fruit amongst children in the Northern Territory (64 per cent compared to 66 per cent).</w:t>
      </w:r>
    </w:p>
    <w:p w:rsidR="00535C84" w:rsidRPr="00DF38B2" w:rsidRDefault="00535C84" w:rsidP="006654AE">
      <w:r w:rsidRPr="00DF38B2">
        <w:t xml:space="preserve">Whilst a large share of children had </w:t>
      </w:r>
      <w:r w:rsidR="006960EE">
        <w:t xml:space="preserve">an </w:t>
      </w:r>
      <w:r w:rsidRPr="00DF38B2">
        <w:t xml:space="preserve">adequate daily fruit intake, only </w:t>
      </w:r>
      <w:r w:rsidR="00B56568">
        <w:t>six</w:t>
      </w:r>
      <w:r w:rsidR="00B56568" w:rsidRPr="00DF38B2">
        <w:t> </w:t>
      </w:r>
      <w:r w:rsidRPr="00DF38B2">
        <w:t xml:space="preserve">per cent of children reported having </w:t>
      </w:r>
      <w:r w:rsidR="006960EE">
        <w:t xml:space="preserve">an </w:t>
      </w:r>
      <w:r w:rsidRPr="00DF38B2">
        <w:t xml:space="preserve">adequate daily vegetable intake in non-remote Northern Territory in 2012–13. Since 2004–05, the proportion of children who reported having adequate daily vegetable intake in non-remote Northern Territory halved from 12.3 per cent of children to </w:t>
      </w:r>
      <w:r w:rsidR="00B56568">
        <w:t>six</w:t>
      </w:r>
      <w:r w:rsidRPr="00DF38B2">
        <w:t xml:space="preserve"> per cent. The share in the non-remote areas is also three times that of the remote areas of </w:t>
      </w:r>
      <w:r w:rsidR="00B56568">
        <w:t xml:space="preserve">the </w:t>
      </w:r>
      <w:r w:rsidRPr="00DF38B2">
        <w:t xml:space="preserve">Northern Territory, where only </w:t>
      </w:r>
      <w:r w:rsidR="00B56568">
        <w:t>two</w:t>
      </w:r>
      <w:r w:rsidRPr="00DF38B2">
        <w:t> per cent of children aged 12 to 17 years reported having consumed sufficient vegetables according to the NHMRC guidelines.</w:t>
      </w:r>
      <w:r w:rsidRPr="00DF38B2">
        <w:rPr>
          <w:rStyle w:val="FootnoteReference"/>
          <w:rFonts w:cs="Times New Roman"/>
          <w:sz w:val="24"/>
          <w:szCs w:val="24"/>
        </w:rPr>
        <w:footnoteReference w:id="131"/>
      </w:r>
      <w:r w:rsidRPr="00DF38B2">
        <w:t xml:space="preserve"> </w:t>
      </w:r>
    </w:p>
    <w:p w:rsidR="00535C84" w:rsidRPr="00DF38B2" w:rsidRDefault="00535C84" w:rsidP="006654AE">
      <w:r w:rsidRPr="00FE502F">
        <w:t>In terms of milk consumption, on the whole more than 90 per cent of Indigenous children in the remote and non-remote areas of the Northern Territory reported having consumed milk. The milk consump</w:t>
      </w:r>
      <w:r w:rsidRPr="009655C3">
        <w:t xml:space="preserve">tion of children in the non-remote areas is higher than </w:t>
      </w:r>
      <w:r w:rsidR="00B56568">
        <w:t xml:space="preserve">in </w:t>
      </w:r>
      <w:r w:rsidRPr="009655C3">
        <w:t>remote areas. Furthermore, between 2004</w:t>
      </w:r>
      <w:r w:rsidR="00FC23F6" w:rsidRPr="009655C3">
        <w:t>-</w:t>
      </w:r>
      <w:r w:rsidRPr="00DF38B2">
        <w:t>05 and 2012</w:t>
      </w:r>
      <w:r w:rsidR="00FC23F6" w:rsidRPr="00DF38B2">
        <w:t>-</w:t>
      </w:r>
      <w:r w:rsidRPr="00DF38B2">
        <w:t>13 surveys, the share of the child population aged 12</w:t>
      </w:r>
      <w:r w:rsidR="00D37FBC" w:rsidRPr="00DF38B2">
        <w:t xml:space="preserve"> to </w:t>
      </w:r>
      <w:r w:rsidRPr="00DF38B2">
        <w:t xml:space="preserve">17 years who consumed milk has increased regardless of whether they are located in remote or non-remote Northern Territory. </w:t>
      </w:r>
    </w:p>
    <w:p w:rsidR="00535C84" w:rsidRPr="00DF38B2" w:rsidRDefault="00535C84" w:rsidP="006654AE">
      <w:pPr>
        <w:pStyle w:val="Caption"/>
        <w:ind w:left="1439" w:hanging="1155"/>
      </w:pPr>
      <w:bookmarkStart w:id="533" w:name="_Ref391529972"/>
      <w:bookmarkStart w:id="534" w:name="_Toc403739480"/>
      <w:r w:rsidRPr="00DF38B2">
        <w:t xml:space="preserve">Table </w:t>
      </w:r>
      <w:fldSimple w:instr=" STYLEREF 1 \s ">
        <w:r w:rsidR="00906D13">
          <w:rPr>
            <w:noProof/>
          </w:rPr>
          <w:t>9</w:t>
        </w:r>
      </w:fldSimple>
      <w:r w:rsidR="00D40B64">
        <w:noBreakHyphen/>
      </w:r>
      <w:fldSimple w:instr=" SEQ Table \* ARABIC \s 1 ">
        <w:r w:rsidR="00906D13">
          <w:rPr>
            <w:noProof/>
          </w:rPr>
          <w:t>6</w:t>
        </w:r>
      </w:fldSimple>
      <w:bookmarkEnd w:id="533"/>
      <w:r w:rsidRPr="00DF38B2">
        <w:tab/>
        <w:t xml:space="preserve">Diet of children aged 12 </w:t>
      </w:r>
      <w:r w:rsidR="00D37FBC" w:rsidRPr="00DF38B2">
        <w:t xml:space="preserve">to </w:t>
      </w:r>
      <w:r w:rsidRPr="00DF38B2">
        <w:t>17 years, Indigenous by remoteness, Northern Territory, 2004</w:t>
      </w:r>
      <w:r w:rsidR="00FC23F6" w:rsidRPr="00DF38B2">
        <w:t>-</w:t>
      </w:r>
      <w:r w:rsidRPr="00DF38B2">
        <w:t>05 and 2012</w:t>
      </w:r>
      <w:r w:rsidR="00FC23F6" w:rsidRPr="00DF38B2">
        <w:t>-</w:t>
      </w:r>
      <w:r w:rsidRPr="00DF38B2">
        <w:t>13</w:t>
      </w:r>
      <w:bookmarkEnd w:id="534"/>
    </w:p>
    <w:tbl>
      <w:tblPr>
        <w:tblStyle w:val="MediumList1"/>
        <w:tblW w:w="8130" w:type="dxa"/>
        <w:jc w:val="center"/>
        <w:tblInd w:w="-222" w:type="dxa"/>
        <w:shd w:val="clear" w:color="auto" w:fill="FFFFFF" w:themeFill="background1"/>
        <w:tblLayout w:type="fixed"/>
        <w:tblLook w:val="04A0" w:firstRow="1" w:lastRow="0" w:firstColumn="1" w:lastColumn="0" w:noHBand="0" w:noVBand="1"/>
        <w:tblDescription w:val="This table presents information of 3 dietary measures – adequate daily fruit intake; adequate daily vegetable intake and cow milk consumption in the rows. The columns comprise the results of the survey in 2004-05 and 2012-13, firstly for non-remote locations and then for remote locations.&#10;A large number of cells have qualifiers on them about data quality and results are not available for the fruit and vegetable intake in remote areas in 2004-05.&#10;The text reports on some of the significant results.&#10;"/>
      </w:tblPr>
      <w:tblGrid>
        <w:gridCol w:w="2724"/>
        <w:gridCol w:w="702"/>
        <w:gridCol w:w="602"/>
        <w:gridCol w:w="774"/>
        <w:gridCol w:w="519"/>
        <w:gridCol w:w="373"/>
        <w:gridCol w:w="1220"/>
        <w:gridCol w:w="236"/>
        <w:gridCol w:w="735"/>
        <w:gridCol w:w="245"/>
      </w:tblGrid>
      <w:tr w:rsidR="006D5A0C" w:rsidRPr="00DF38B2" w:rsidTr="009C059F">
        <w:trPr>
          <w:cnfStyle w:val="100000000000" w:firstRow="1" w:lastRow="0" w:firstColumn="0" w:lastColumn="0" w:oddVBand="0" w:evenVBand="0" w:oddHBand="0" w:evenHBand="0" w:firstRowFirstColumn="0" w:firstRowLastColumn="0" w:lastRowFirstColumn="0" w:lastRowLastColumn="0"/>
          <w:trHeight w:val="296"/>
          <w:tblHeader/>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auto"/>
              <w:bottom w:val="single" w:sz="4" w:space="0" w:color="auto"/>
              <w:right w:val="nil"/>
            </w:tcBorders>
            <w:shd w:val="clear" w:color="auto" w:fill="FFFFFF" w:themeFill="background1"/>
          </w:tcPr>
          <w:p w:rsidR="006D5A0C" w:rsidRPr="00F74C63" w:rsidRDefault="009C059F" w:rsidP="006654AE">
            <w:pPr>
              <w:pStyle w:val="tabletextleft"/>
              <w:rPr>
                <w:b w:val="0"/>
              </w:rPr>
            </w:pPr>
            <w:r w:rsidRPr="00F74C63">
              <w:rPr>
                <w:b w:val="0"/>
              </w:rPr>
              <w:t>Proportion reporting achieving</w:t>
            </w:r>
          </w:p>
        </w:tc>
        <w:tc>
          <w:tcPr>
            <w:tcW w:w="1304" w:type="dxa"/>
            <w:gridSpan w:val="2"/>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Non-remote </w:t>
            </w:r>
            <w:r w:rsidR="006D5A0C" w:rsidRPr="00DF38B2">
              <w:t>2004-05</w:t>
            </w:r>
            <w:r>
              <w:t xml:space="preserve"> (%)</w:t>
            </w:r>
          </w:p>
        </w:tc>
        <w:tc>
          <w:tcPr>
            <w:tcW w:w="1293" w:type="dxa"/>
            <w:gridSpan w:val="2"/>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Non-remote </w:t>
            </w:r>
            <w:r w:rsidR="006D5A0C" w:rsidRPr="00DF38B2">
              <w:t>2012-13</w:t>
            </w:r>
            <w:r>
              <w:t xml:space="preserve"> (%)</w:t>
            </w:r>
          </w:p>
        </w:tc>
        <w:tc>
          <w:tcPr>
            <w:tcW w:w="373" w:type="dxa"/>
            <w:tcBorders>
              <w:top w:val="single" w:sz="4" w:space="0" w:color="auto"/>
              <w:left w:val="nil"/>
              <w:bottom w:val="single" w:sz="4" w:space="0" w:color="auto"/>
              <w:right w:val="nil"/>
            </w:tcBorders>
            <w:shd w:val="clear" w:color="auto" w:fill="FFFFFF" w:themeFill="background1"/>
          </w:tcPr>
          <w:p w:rsidR="006D5A0C" w:rsidRPr="00DF38B2" w:rsidRDefault="006D5A0C" w:rsidP="006654AE">
            <w:pPr>
              <w:pStyle w:val="tabletextleft"/>
              <w:jc w:val="right"/>
              <w:cnfStyle w:val="100000000000" w:firstRow="1" w:lastRow="0" w:firstColumn="0" w:lastColumn="0" w:oddVBand="0" w:evenVBand="0" w:oddHBand="0" w:evenHBand="0" w:firstRowFirstColumn="0" w:firstRowLastColumn="0" w:lastRowFirstColumn="0" w:lastRowLastColumn="0"/>
            </w:pPr>
          </w:p>
        </w:tc>
        <w:tc>
          <w:tcPr>
            <w:tcW w:w="1220" w:type="dxa"/>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Remote </w:t>
            </w:r>
            <w:r w:rsidR="006D5A0C" w:rsidRPr="00DF38B2">
              <w:t>2004-05</w:t>
            </w:r>
            <w:r>
              <w:t xml:space="preserve"> (%)</w:t>
            </w:r>
          </w:p>
        </w:tc>
        <w:tc>
          <w:tcPr>
            <w:tcW w:w="1216" w:type="dxa"/>
            <w:gridSpan w:val="3"/>
            <w:tcBorders>
              <w:top w:val="single" w:sz="4" w:space="0" w:color="auto"/>
              <w:left w:val="nil"/>
              <w:bottom w:val="single" w:sz="4" w:space="0" w:color="auto"/>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Remote </w:t>
            </w:r>
            <w:r w:rsidR="006D5A0C" w:rsidRPr="00DF38B2">
              <w:t>2012-13</w:t>
            </w:r>
            <w:r>
              <w:t xml:space="preserve"> (%)</w:t>
            </w:r>
          </w:p>
        </w:tc>
      </w:tr>
      <w:tr w:rsidR="006D5A0C" w:rsidRPr="00DF38B2" w:rsidTr="009C059F">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nil"/>
              <w:right w:val="nil"/>
            </w:tcBorders>
            <w:shd w:val="clear" w:color="auto" w:fill="FFFFFF" w:themeFill="background1"/>
          </w:tcPr>
          <w:p w:rsidR="006D5A0C" w:rsidRPr="00F74C63" w:rsidRDefault="006D5A0C" w:rsidP="009C059F">
            <w:pPr>
              <w:pStyle w:val="tabletextleft"/>
              <w:jc w:val="left"/>
              <w:rPr>
                <w:b w:val="0"/>
              </w:rPr>
            </w:pPr>
            <w:r w:rsidRPr="00F74C63">
              <w:rPr>
                <w:b w:val="0"/>
              </w:rPr>
              <w:t xml:space="preserve">Adequate daily fruit intake </w:t>
            </w:r>
          </w:p>
        </w:tc>
        <w:tc>
          <w:tcPr>
            <w:tcW w:w="702"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100000" w:firstRow="0" w:lastRow="0" w:firstColumn="0" w:lastColumn="0" w:oddVBand="0" w:evenVBand="0" w:oddHBand="1" w:evenHBand="0" w:firstRowFirstColumn="0" w:firstRowLastColumn="0" w:lastRowFirstColumn="0" w:lastRowLastColumn="0"/>
            </w:pPr>
            <w:r w:rsidRPr="00DF38B2">
              <w:t>45.1</w:t>
            </w:r>
          </w:p>
        </w:tc>
        <w:tc>
          <w:tcPr>
            <w:tcW w:w="602" w:type="dxa"/>
            <w:tcBorders>
              <w:top w:val="nil"/>
              <w:left w:val="nil"/>
              <w:bottom w:val="nil"/>
              <w:right w:val="nil"/>
            </w:tcBorders>
            <w:shd w:val="clear" w:color="auto" w:fill="FFFFFF" w:themeFill="background1"/>
            <w:tcMar>
              <w:left w:w="0" w:type="dxa"/>
              <w:right w:w="0" w:type="dxa"/>
            </w:tcMar>
          </w:tcPr>
          <w:p w:rsidR="006D5A0C"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6D5A0C">
              <w:t>(a)</w:t>
            </w:r>
          </w:p>
        </w:tc>
        <w:tc>
          <w:tcPr>
            <w:tcW w:w="774"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t>64.0</w:t>
            </w:r>
          </w:p>
        </w:tc>
        <w:tc>
          <w:tcPr>
            <w:tcW w:w="519"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373"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1220"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roofErr w:type="spellStart"/>
            <w:r w:rsidRPr="00DF38B2">
              <w:t>na</w:t>
            </w:r>
            <w:proofErr w:type="spellEnd"/>
          </w:p>
        </w:tc>
        <w:tc>
          <w:tcPr>
            <w:tcW w:w="236"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35" w:type="dxa"/>
            <w:tcBorders>
              <w:top w:val="nil"/>
              <w:left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66.1</w:t>
            </w:r>
          </w:p>
        </w:tc>
        <w:tc>
          <w:tcPr>
            <w:tcW w:w="245" w:type="dxa"/>
            <w:tcBorders>
              <w:top w:val="nil"/>
              <w:left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r>
      <w:tr w:rsidR="006D5A0C" w:rsidRPr="00DF38B2" w:rsidTr="009C059F">
        <w:trPr>
          <w:trHeight w:val="296"/>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nil"/>
            </w:tcBorders>
            <w:shd w:val="clear" w:color="auto" w:fill="FFFFFF" w:themeFill="background1"/>
          </w:tcPr>
          <w:p w:rsidR="006D5A0C" w:rsidRPr="00F74C63" w:rsidRDefault="006D5A0C" w:rsidP="009C059F">
            <w:pPr>
              <w:pStyle w:val="tabletextleft"/>
              <w:jc w:val="left"/>
              <w:rPr>
                <w:b w:val="0"/>
              </w:rPr>
            </w:pPr>
            <w:r w:rsidRPr="00F74C63">
              <w:rPr>
                <w:b w:val="0"/>
              </w:rPr>
              <w:t>Adequate daily vegetable intake</w:t>
            </w:r>
          </w:p>
        </w:tc>
        <w:tc>
          <w:tcPr>
            <w:tcW w:w="702"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000000" w:firstRow="0" w:lastRow="0" w:firstColumn="0" w:lastColumn="0" w:oddVBand="0" w:evenVBand="0" w:oddHBand="0" w:evenHBand="0" w:firstRowFirstColumn="0" w:firstRowLastColumn="0" w:lastRowFirstColumn="0" w:lastRowLastColumn="0"/>
            </w:pPr>
            <w:r w:rsidRPr="00DF38B2">
              <w:t>12.3</w:t>
            </w:r>
          </w:p>
        </w:tc>
        <w:tc>
          <w:tcPr>
            <w:tcW w:w="602"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c>
          <w:tcPr>
            <w:tcW w:w="774" w:type="dxa"/>
            <w:tcBorders>
              <w:top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DF38B2">
              <w:t>5.9</w:t>
            </w:r>
          </w:p>
        </w:tc>
        <w:tc>
          <w:tcPr>
            <w:tcW w:w="519"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c>
          <w:tcPr>
            <w:tcW w:w="373"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1220"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roofErr w:type="spellStart"/>
            <w:r w:rsidRPr="00DF38B2">
              <w:t>na</w:t>
            </w:r>
            <w:proofErr w:type="spellEnd"/>
          </w:p>
        </w:tc>
        <w:tc>
          <w:tcPr>
            <w:tcW w:w="236"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735"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DF38B2">
              <w:t>2.1</w:t>
            </w:r>
          </w:p>
        </w:tc>
        <w:tc>
          <w:tcPr>
            <w:tcW w:w="245"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r>
      <w:tr w:rsidR="006D5A0C" w:rsidRPr="00DF38B2" w:rsidTr="009C059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single" w:sz="6" w:space="0" w:color="auto"/>
            </w:tcBorders>
            <w:shd w:val="clear" w:color="auto" w:fill="FFFFFF" w:themeFill="background1"/>
          </w:tcPr>
          <w:p w:rsidR="006D5A0C" w:rsidRPr="00F74C63" w:rsidRDefault="006D5A0C" w:rsidP="009C059F">
            <w:pPr>
              <w:pStyle w:val="tabletextleft"/>
              <w:jc w:val="left"/>
              <w:rPr>
                <w:b w:val="0"/>
              </w:rPr>
            </w:pPr>
            <w:r w:rsidRPr="00F74C63">
              <w:rPr>
                <w:b w:val="0"/>
              </w:rPr>
              <w:t>Cow milk consumption</w:t>
            </w:r>
          </w:p>
        </w:tc>
        <w:tc>
          <w:tcPr>
            <w:tcW w:w="702"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100000" w:firstRow="0" w:lastRow="0" w:firstColumn="0" w:lastColumn="0" w:oddVBand="0" w:evenVBand="0" w:oddHBand="1" w:evenHBand="0" w:firstRowFirstColumn="0" w:firstRowLastColumn="0" w:lastRowFirstColumn="0" w:lastRowLastColumn="0"/>
            </w:pPr>
            <w:r w:rsidRPr="00DF38B2">
              <w:t>93.7</w:t>
            </w:r>
          </w:p>
        </w:tc>
        <w:tc>
          <w:tcPr>
            <w:tcW w:w="602"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74" w:type="dxa"/>
            <w:tcBorders>
              <w:top w:val="nil"/>
              <w:bottom w:val="single" w:sz="6" w:space="0" w:color="auto"/>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95.2</w:t>
            </w:r>
          </w:p>
        </w:tc>
        <w:tc>
          <w:tcPr>
            <w:tcW w:w="519"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373"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1220"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91.9</w:t>
            </w:r>
          </w:p>
        </w:tc>
        <w:tc>
          <w:tcPr>
            <w:tcW w:w="236"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35"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94.3</w:t>
            </w:r>
          </w:p>
        </w:tc>
        <w:tc>
          <w:tcPr>
            <w:tcW w:w="245"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r>
    </w:tbl>
    <w:p w:rsidR="006D5A0C" w:rsidRDefault="006D5A0C" w:rsidP="006654AE">
      <w:pPr>
        <w:pStyle w:val="tablenotes"/>
        <w:spacing w:after="0"/>
      </w:pPr>
    </w:p>
    <w:p w:rsidR="00B01EB2" w:rsidRDefault="00535C84" w:rsidP="006654AE">
      <w:pPr>
        <w:pStyle w:val="tablenotes"/>
        <w:spacing w:after="0"/>
      </w:pPr>
      <w:r w:rsidRPr="00DF38B2">
        <w:t>Notes:</w:t>
      </w:r>
      <w:r w:rsidRPr="00DF38B2">
        <w:tab/>
      </w:r>
    </w:p>
    <w:p w:rsidR="00535C84" w:rsidRPr="00DF38B2" w:rsidRDefault="00535C84" w:rsidP="006654AE">
      <w:pPr>
        <w:pStyle w:val="tablenotes"/>
        <w:spacing w:after="0"/>
      </w:pPr>
      <w:r w:rsidRPr="00DF38B2">
        <w:t xml:space="preserve">(a) </w:t>
      </w:r>
      <w:r w:rsidR="00B01EB2">
        <w:tab/>
      </w:r>
      <w:r w:rsidRPr="00DF38B2">
        <w:t xml:space="preserve"> ABS indicates there are caveats about data quality</w:t>
      </w:r>
      <w:r w:rsidR="00D7119A">
        <w:t>.</w:t>
      </w:r>
    </w:p>
    <w:p w:rsidR="00535C84" w:rsidRDefault="00535C84" w:rsidP="006654AE">
      <w:pPr>
        <w:pStyle w:val="tablenotes"/>
        <w:spacing w:after="0"/>
        <w:ind w:left="1437" w:hanging="870"/>
      </w:pPr>
      <w:r w:rsidRPr="00DF38B2">
        <w:t xml:space="preserve">Source: </w:t>
      </w:r>
      <w:r w:rsidRPr="00DF38B2">
        <w:tab/>
        <w:t>Customised data from the NATSIHS 2004-05 and NATSIHS 2012</w:t>
      </w:r>
      <w:r w:rsidR="00FC23F6" w:rsidRPr="00DF38B2">
        <w:t>-</w:t>
      </w:r>
      <w:r w:rsidRPr="00DF38B2">
        <w:t>13.</w:t>
      </w:r>
    </w:p>
    <w:p w:rsidR="00FE1A6A" w:rsidRDefault="00FE1A6A" w:rsidP="006654AE">
      <w:pPr>
        <w:pStyle w:val="tablefootnoteslastline"/>
      </w:pPr>
    </w:p>
    <w:p w:rsidR="00437BA7" w:rsidRPr="00DF38B2" w:rsidRDefault="00437BA7" w:rsidP="006654AE">
      <w:r w:rsidRPr="00437BA7">
        <w:t>For Indigenous children living in non-remote areas of the Northern Territory, the data shows that</w:t>
      </w:r>
      <w:r w:rsidR="005D1CC5">
        <w:t xml:space="preserve"> </w:t>
      </w:r>
      <w:r w:rsidR="006960EE">
        <w:t xml:space="preserve">the </w:t>
      </w:r>
      <w:r w:rsidRPr="00437BA7">
        <w:t xml:space="preserve">proportion of children with </w:t>
      </w:r>
      <w:r w:rsidR="006960EE">
        <w:t xml:space="preserve">an </w:t>
      </w:r>
      <w:r w:rsidRPr="00437BA7">
        <w:t xml:space="preserve">adequate daily fruit intake has increase substantially and milk consumption has increased slightly, but that the proportion of children with </w:t>
      </w:r>
      <w:r w:rsidR="006960EE">
        <w:t xml:space="preserve">an </w:t>
      </w:r>
      <w:r w:rsidRPr="00437BA7">
        <w:t>adequate vegetable consumption has halved. While on balance there may have been an improvement in children’s diet the evidence is not consistent. It is probable that to the extent change has occurred it is likely to be largely the effect of other more direct programs such as the School Nutrition Program.</w:t>
      </w:r>
    </w:p>
    <w:p w:rsidR="00535C84" w:rsidRPr="00DF38B2" w:rsidRDefault="00535C84" w:rsidP="006654AE">
      <w:pPr>
        <w:pStyle w:val="Heading3"/>
      </w:pPr>
      <w:bookmarkStart w:id="535" w:name="_Toc403739100"/>
      <w:r w:rsidRPr="00DF38B2">
        <w:t>Body Mass Index</w:t>
      </w:r>
      <w:bookmarkEnd w:id="535"/>
    </w:p>
    <w:p w:rsidR="00535C84" w:rsidRPr="00DF38B2" w:rsidRDefault="00535C84" w:rsidP="006654AE">
      <w:r w:rsidRPr="00DF38B2">
        <w:fldChar w:fldCharType="begin"/>
      </w:r>
      <w:r w:rsidRPr="00DF38B2">
        <w:instrText xml:space="preserve"> REF _Ref391530043 \h </w:instrText>
      </w:r>
      <w:r w:rsidRPr="00DF38B2">
        <w:fldChar w:fldCharType="separate"/>
      </w:r>
      <w:r w:rsidR="00906D13" w:rsidRPr="00DF38B2">
        <w:t xml:space="preserve">Table </w:t>
      </w:r>
      <w:r w:rsidR="00906D13">
        <w:rPr>
          <w:noProof/>
        </w:rPr>
        <w:t>9</w:t>
      </w:r>
      <w:r w:rsidR="00906D13">
        <w:noBreakHyphen/>
      </w:r>
      <w:r w:rsidR="00906D13">
        <w:rPr>
          <w:noProof/>
        </w:rPr>
        <w:t>7</w:t>
      </w:r>
      <w:r w:rsidRPr="00DF38B2">
        <w:fldChar w:fldCharType="end"/>
      </w:r>
      <w:r w:rsidRPr="00DF38B2">
        <w:t xml:space="preserve"> provides information on the extent to which Indigenous children are underweight, overweight</w:t>
      </w:r>
      <w:r w:rsidR="00690B56">
        <w:t>,</w:t>
      </w:r>
      <w:r w:rsidRPr="00DF38B2">
        <w:t xml:space="preserve"> or have a normal weight</w:t>
      </w:r>
      <w:r w:rsidR="00690B56">
        <w:t xml:space="preserve">, </w:t>
      </w:r>
      <w:r w:rsidRPr="00DF38B2">
        <w:t>based on Body Mass Index (BMI) in 2004</w:t>
      </w:r>
      <w:r w:rsidR="00FC23F6" w:rsidRPr="00FE502F">
        <w:t>-</w:t>
      </w:r>
      <w:r w:rsidRPr="009655C3">
        <w:t>05 and 2012</w:t>
      </w:r>
      <w:r w:rsidR="00FC23F6" w:rsidRPr="00DF38B2">
        <w:t>-</w:t>
      </w:r>
      <w:r w:rsidRPr="00DF38B2">
        <w:t>13. Whil</w:t>
      </w:r>
      <w:r w:rsidR="00690B56">
        <w:t>e</w:t>
      </w:r>
      <w:r w:rsidRPr="00DF38B2">
        <w:t xml:space="preserve"> in 2004</w:t>
      </w:r>
      <w:r w:rsidR="00FC23F6" w:rsidRPr="00DF38B2">
        <w:t>-</w:t>
      </w:r>
      <w:r w:rsidRPr="00DF38B2">
        <w:t>05 female children were more likely to</w:t>
      </w:r>
      <w:r w:rsidR="00593B60">
        <w:t xml:space="preserve"> be of </w:t>
      </w:r>
      <w:r w:rsidRPr="00DF38B2">
        <w:t>a normal weight than male children, by 2012</w:t>
      </w:r>
      <w:r w:rsidR="00FC23F6" w:rsidRPr="00DF38B2">
        <w:t>-</w:t>
      </w:r>
      <w:r w:rsidRPr="00DF38B2">
        <w:t>13, male children are more likely than female children to hav</w:t>
      </w:r>
      <w:r w:rsidR="00690B56">
        <w:t>e</w:t>
      </w:r>
      <w:r w:rsidRPr="00DF38B2">
        <w:t xml:space="preserve"> a normal weight (58 per cent for male children compared </w:t>
      </w:r>
      <w:r w:rsidR="00690B56">
        <w:t>with</w:t>
      </w:r>
      <w:r w:rsidRPr="00DF38B2">
        <w:t xml:space="preserve"> 42 per cent for female children). The proportion of children who reported BMIs </w:t>
      </w:r>
      <w:r w:rsidR="00690B56">
        <w:t>that</w:t>
      </w:r>
      <w:r w:rsidRPr="00DF38B2">
        <w:t xml:space="preserve"> placed them in the normal weight category fell from 2004</w:t>
      </w:r>
      <w:r w:rsidR="00FC23F6" w:rsidRPr="00DF38B2">
        <w:t>-</w:t>
      </w:r>
      <w:r w:rsidRPr="00DF38B2">
        <w:t>05 to 2012</w:t>
      </w:r>
      <w:r w:rsidR="00FC23F6" w:rsidRPr="00DF38B2">
        <w:t>-</w:t>
      </w:r>
      <w:r w:rsidRPr="00DF38B2">
        <w:t>13. In particular, for females the share who reported a normal BMI decreased from 72 per cent to 42 per cent.</w:t>
      </w:r>
    </w:p>
    <w:p w:rsidR="00535C84" w:rsidRPr="00DF38B2" w:rsidRDefault="00535C84" w:rsidP="006654AE">
      <w:pPr>
        <w:rPr>
          <w:b/>
        </w:rPr>
      </w:pPr>
      <w:r w:rsidRPr="00DF38B2">
        <w:t>Obesity is more of a concern in 2012</w:t>
      </w:r>
      <w:r w:rsidR="00FC23F6" w:rsidRPr="00DF38B2">
        <w:t>-</w:t>
      </w:r>
      <w:r w:rsidRPr="00DF38B2">
        <w:t>13 than it was in 2004</w:t>
      </w:r>
      <w:r w:rsidR="00FC23F6" w:rsidRPr="00DF38B2">
        <w:t>-</w:t>
      </w:r>
      <w:r w:rsidRPr="00DF38B2">
        <w:t xml:space="preserve">05. Almost one in every three Indigenous children </w:t>
      </w:r>
      <w:proofErr w:type="gramStart"/>
      <w:r w:rsidRPr="00DF38B2">
        <w:t>were</w:t>
      </w:r>
      <w:proofErr w:type="gramEnd"/>
      <w:r w:rsidRPr="00DF38B2">
        <w:t xml:space="preserve"> overweight or obese in 2012</w:t>
      </w:r>
      <w:r w:rsidR="00FC23F6" w:rsidRPr="00DF38B2">
        <w:t>-</w:t>
      </w:r>
      <w:r w:rsidRPr="00DF38B2">
        <w:t>13. In comparison, one in every five male children and one in every ten female children was overweight or obese in 2004</w:t>
      </w:r>
      <w:r w:rsidR="00FC23F6" w:rsidRPr="00DF38B2">
        <w:t>-</w:t>
      </w:r>
      <w:r w:rsidRPr="00DF38B2">
        <w:t xml:space="preserve">05. Whilst caution has to be exercised in interpreting the ABS estimates given the high standard errors, the general trend does point to increases in the proportion of children that are either underweight or overweight. </w:t>
      </w:r>
    </w:p>
    <w:p w:rsidR="00535C84" w:rsidRPr="00DF38B2" w:rsidRDefault="00535C84" w:rsidP="006654AE">
      <w:pPr>
        <w:pStyle w:val="Caption"/>
        <w:ind w:left="1439" w:hanging="1155"/>
      </w:pPr>
      <w:bookmarkStart w:id="536" w:name="_Ref391530043"/>
      <w:bookmarkStart w:id="537" w:name="_Toc403739481"/>
      <w:r w:rsidRPr="00DF38B2">
        <w:lastRenderedPageBreak/>
        <w:t xml:space="preserve">Table </w:t>
      </w:r>
      <w:fldSimple w:instr=" STYLEREF 1 \s ">
        <w:r w:rsidR="00906D13">
          <w:rPr>
            <w:noProof/>
          </w:rPr>
          <w:t>9</w:t>
        </w:r>
      </w:fldSimple>
      <w:r w:rsidR="00D40B64">
        <w:noBreakHyphen/>
      </w:r>
      <w:fldSimple w:instr=" SEQ Table \* ARABIC \s 1 ">
        <w:r w:rsidR="00906D13">
          <w:rPr>
            <w:noProof/>
          </w:rPr>
          <w:t>7</w:t>
        </w:r>
      </w:fldSimple>
      <w:bookmarkEnd w:id="536"/>
      <w:r w:rsidRPr="00DF38B2">
        <w:tab/>
      </w:r>
      <w:r w:rsidR="000F06BF">
        <w:t>Distribution of B</w:t>
      </w:r>
      <w:r w:rsidRPr="00DF38B2">
        <w:t xml:space="preserve">ody Mass Index for </w:t>
      </w:r>
      <w:r w:rsidR="000F06BF">
        <w:t xml:space="preserve">Indigenous </w:t>
      </w:r>
      <w:r w:rsidRPr="00DF38B2">
        <w:t>children age</w:t>
      </w:r>
      <w:r w:rsidR="000F06BF">
        <w:t>d</w:t>
      </w:r>
      <w:r w:rsidRPr="00DF38B2">
        <w:t xml:space="preserve"> 15</w:t>
      </w:r>
      <w:r w:rsidR="00690B56">
        <w:t xml:space="preserve"> to </w:t>
      </w:r>
      <w:r w:rsidRPr="00DF38B2">
        <w:t>1</w:t>
      </w:r>
      <w:r w:rsidR="000F06BF">
        <w:t>7 years by gender</w:t>
      </w:r>
      <w:r w:rsidRPr="00DF38B2">
        <w:t>, Northern Territory, 2004</w:t>
      </w:r>
      <w:r w:rsidR="00FC23F6" w:rsidRPr="00DF38B2">
        <w:t>-</w:t>
      </w:r>
      <w:r w:rsidRPr="00DF38B2">
        <w:t>05 and 2012</w:t>
      </w:r>
      <w:r w:rsidR="00FC23F6" w:rsidRPr="00DF38B2">
        <w:t>-</w:t>
      </w:r>
      <w:r w:rsidRPr="00DF38B2">
        <w:t>13</w:t>
      </w:r>
      <w:bookmarkEnd w:id="537"/>
    </w:p>
    <w:tbl>
      <w:tblPr>
        <w:tblStyle w:val="MediumList1"/>
        <w:tblW w:w="5811" w:type="dxa"/>
        <w:jc w:val="center"/>
        <w:tblLook w:val="04A0" w:firstRow="1" w:lastRow="0" w:firstColumn="1" w:lastColumn="0" w:noHBand="0" w:noVBand="1"/>
        <w:tblDescription w:val="This table presents the proportion of children identified as being underweight, normal weight and overweight (row headings) the columns provide the survey results for 2004-05 and 2012-13, firstly for males and secondly for females.&#10;The data is discussed in the text.&#10;"/>
      </w:tblPr>
      <w:tblGrid>
        <w:gridCol w:w="2114"/>
        <w:gridCol w:w="861"/>
        <w:gridCol w:w="833"/>
        <w:gridCol w:w="287"/>
        <w:gridCol w:w="861"/>
        <w:gridCol w:w="855"/>
      </w:tblGrid>
      <w:tr w:rsidR="009C059F" w:rsidRPr="00FE1A6A" w:rsidTr="009C059F">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auto"/>
              <w:bottom w:val="single" w:sz="4" w:space="0" w:color="auto"/>
            </w:tcBorders>
            <w:shd w:val="clear" w:color="auto" w:fill="FFFFFF" w:themeFill="background1"/>
          </w:tcPr>
          <w:p w:rsidR="00535C84" w:rsidRPr="00FE1A6A" w:rsidRDefault="00535C84" w:rsidP="006654AE">
            <w:pPr>
              <w:pStyle w:val="tabletextleft"/>
              <w:rPr>
                <w:b w:val="0"/>
              </w:rPr>
            </w:pPr>
          </w:p>
        </w:tc>
        <w:tc>
          <w:tcPr>
            <w:tcW w:w="861"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Males </w:t>
            </w:r>
            <w:r w:rsidR="00535C84" w:rsidRPr="00FE1A6A">
              <w:t>2004</w:t>
            </w:r>
            <w:r w:rsidR="00FC23F6" w:rsidRPr="00FE1A6A">
              <w:t>-</w:t>
            </w:r>
            <w:r w:rsidR="00535C84" w:rsidRPr="00FE1A6A">
              <w:t>05</w:t>
            </w:r>
            <w:r>
              <w:t xml:space="preserve"> (%)(a)</w:t>
            </w:r>
          </w:p>
        </w:tc>
        <w:tc>
          <w:tcPr>
            <w:tcW w:w="833" w:type="dxa"/>
            <w:tcBorders>
              <w:top w:val="single" w:sz="4" w:space="0" w:color="auto"/>
              <w:bottom w:val="single" w:sz="4" w:space="0" w:color="auto"/>
              <w:right w:val="nil"/>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Males </w:t>
            </w:r>
            <w:r w:rsidR="00535C84" w:rsidRPr="00FE1A6A">
              <w:t>2012</w:t>
            </w:r>
            <w:r w:rsidR="00FC23F6" w:rsidRPr="00FE1A6A">
              <w:t>-</w:t>
            </w:r>
            <w:r w:rsidR="00535C84" w:rsidRPr="00FE1A6A">
              <w:t>13</w:t>
            </w:r>
            <w:r>
              <w:t xml:space="preserve"> (%)(a)</w:t>
            </w:r>
          </w:p>
        </w:tc>
        <w:tc>
          <w:tcPr>
            <w:tcW w:w="287" w:type="dxa"/>
            <w:tcBorders>
              <w:top w:val="single" w:sz="4" w:space="0" w:color="auto"/>
              <w:bottom w:val="single" w:sz="4" w:space="0" w:color="auto"/>
            </w:tcBorders>
            <w:shd w:val="clear" w:color="auto" w:fill="FFFFFF" w:themeFill="background1"/>
          </w:tcPr>
          <w:p w:rsidR="00535C84" w:rsidRPr="00FE1A6A" w:rsidRDefault="00535C84" w:rsidP="006654AE">
            <w:pPr>
              <w:pStyle w:val="tabletextright"/>
              <w:cnfStyle w:val="100000000000" w:firstRow="1" w:lastRow="0" w:firstColumn="0" w:lastColumn="0" w:oddVBand="0" w:evenVBand="0" w:oddHBand="0" w:evenHBand="0" w:firstRowFirstColumn="0" w:firstRowLastColumn="0" w:lastRowFirstColumn="0" w:lastRowLastColumn="0"/>
            </w:pPr>
          </w:p>
        </w:tc>
        <w:tc>
          <w:tcPr>
            <w:tcW w:w="861"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Females </w:t>
            </w:r>
            <w:r w:rsidR="00535C84" w:rsidRPr="00FE1A6A">
              <w:t>2004</w:t>
            </w:r>
            <w:r w:rsidR="00FC23F6" w:rsidRPr="00FE1A6A">
              <w:t>-</w:t>
            </w:r>
            <w:r w:rsidR="00535C84" w:rsidRPr="00FE1A6A">
              <w:t>05</w:t>
            </w:r>
            <w:r>
              <w:t xml:space="preserve"> (%)(a)</w:t>
            </w:r>
          </w:p>
        </w:tc>
        <w:tc>
          <w:tcPr>
            <w:tcW w:w="855"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Females </w:t>
            </w:r>
            <w:r w:rsidR="00535C84" w:rsidRPr="00FE1A6A">
              <w:t>2012</w:t>
            </w:r>
            <w:r w:rsidR="00FC23F6" w:rsidRPr="00FE1A6A">
              <w:t>-</w:t>
            </w:r>
            <w:r w:rsidR="00535C84" w:rsidRPr="00FE1A6A">
              <w:t>13</w:t>
            </w:r>
            <w:r>
              <w:t xml:space="preserve"> (%)(a)</w:t>
            </w:r>
          </w:p>
        </w:tc>
      </w:tr>
      <w:tr w:rsidR="009C059F" w:rsidRPr="00FE1A6A" w:rsidTr="009C0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14" w:type="dxa"/>
            <w:shd w:val="clear" w:color="auto" w:fill="FFFFFF" w:themeFill="background1"/>
          </w:tcPr>
          <w:p w:rsidR="00535C84" w:rsidRPr="00FE1A6A" w:rsidRDefault="00535C84" w:rsidP="009C059F">
            <w:pPr>
              <w:pStyle w:val="tabletextleft"/>
              <w:jc w:val="left"/>
              <w:rPr>
                <w:b w:val="0"/>
              </w:rPr>
            </w:pPr>
            <w:r w:rsidRPr="00FE1A6A">
              <w:rPr>
                <w:b w:val="0"/>
              </w:rPr>
              <w:t>Underweight</w:t>
            </w:r>
          </w:p>
        </w:tc>
        <w:tc>
          <w:tcPr>
            <w:tcW w:w="861"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17.3</w:t>
            </w:r>
          </w:p>
        </w:tc>
        <w:tc>
          <w:tcPr>
            <w:tcW w:w="833" w:type="dxa"/>
            <w:tcBorders>
              <w:top w:val="nil"/>
              <w:bottom w:val="nil"/>
              <w:right w:val="nil"/>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11.4</w:t>
            </w:r>
          </w:p>
        </w:tc>
        <w:tc>
          <w:tcPr>
            <w:tcW w:w="287"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861"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17.8</w:t>
            </w:r>
          </w:p>
        </w:tc>
        <w:tc>
          <w:tcPr>
            <w:tcW w:w="855"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27.0</w:t>
            </w:r>
          </w:p>
        </w:tc>
      </w:tr>
      <w:tr w:rsidR="009C059F" w:rsidRPr="00FE1A6A" w:rsidTr="009C059F">
        <w:trPr>
          <w:trHeight w:val="325"/>
          <w:jc w:val="center"/>
        </w:trPr>
        <w:tc>
          <w:tcPr>
            <w:cnfStyle w:val="001000000000" w:firstRow="0" w:lastRow="0" w:firstColumn="1" w:lastColumn="0" w:oddVBand="0" w:evenVBand="0" w:oddHBand="0" w:evenHBand="0" w:firstRowFirstColumn="0" w:firstRowLastColumn="0" w:lastRowFirstColumn="0" w:lastRowLastColumn="0"/>
            <w:tcW w:w="2114" w:type="dxa"/>
            <w:tcBorders>
              <w:bottom w:val="nil"/>
            </w:tcBorders>
            <w:shd w:val="clear" w:color="auto" w:fill="FFFFFF" w:themeFill="background1"/>
          </w:tcPr>
          <w:p w:rsidR="00535C84" w:rsidRPr="00FE1A6A" w:rsidRDefault="00535C84" w:rsidP="009C059F">
            <w:pPr>
              <w:pStyle w:val="tabletextleft"/>
              <w:jc w:val="left"/>
              <w:rPr>
                <w:b w:val="0"/>
              </w:rPr>
            </w:pPr>
            <w:r w:rsidRPr="00FE1A6A">
              <w:rPr>
                <w:b w:val="0"/>
              </w:rPr>
              <w:t>Normal weight</w:t>
            </w:r>
          </w:p>
        </w:tc>
        <w:tc>
          <w:tcPr>
            <w:tcW w:w="861"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60.6</w:t>
            </w:r>
          </w:p>
        </w:tc>
        <w:tc>
          <w:tcPr>
            <w:tcW w:w="833" w:type="dxa"/>
            <w:tcBorders>
              <w:top w:val="nil"/>
              <w:bottom w:val="nil"/>
              <w:right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57.7</w:t>
            </w:r>
          </w:p>
        </w:tc>
        <w:tc>
          <w:tcPr>
            <w:tcW w:w="287"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861"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72.3</w:t>
            </w:r>
          </w:p>
        </w:tc>
        <w:tc>
          <w:tcPr>
            <w:tcW w:w="855"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42.0</w:t>
            </w:r>
          </w:p>
        </w:tc>
      </w:tr>
      <w:tr w:rsidR="009C059F" w:rsidRPr="00FE1A6A" w:rsidTr="009C0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14" w:type="dxa"/>
            <w:tcBorders>
              <w:top w:val="nil"/>
              <w:bottom w:val="single" w:sz="6" w:space="0" w:color="auto"/>
            </w:tcBorders>
            <w:shd w:val="clear" w:color="auto" w:fill="FFFFFF" w:themeFill="background1"/>
          </w:tcPr>
          <w:p w:rsidR="00535C84" w:rsidRPr="00FE1A6A" w:rsidRDefault="00535C84" w:rsidP="009C059F">
            <w:pPr>
              <w:pStyle w:val="tabletextleft"/>
              <w:jc w:val="left"/>
              <w:rPr>
                <w:b w:val="0"/>
              </w:rPr>
            </w:pPr>
            <w:r w:rsidRPr="00FE1A6A">
              <w:rPr>
                <w:b w:val="0"/>
              </w:rPr>
              <w:t>Overweight/obese</w:t>
            </w:r>
          </w:p>
        </w:tc>
        <w:tc>
          <w:tcPr>
            <w:tcW w:w="861"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22.1</w:t>
            </w:r>
          </w:p>
        </w:tc>
        <w:tc>
          <w:tcPr>
            <w:tcW w:w="833" w:type="dxa"/>
            <w:tcBorders>
              <w:top w:val="nil"/>
              <w:bottom w:val="single" w:sz="6" w:space="0" w:color="auto"/>
              <w:right w:val="nil"/>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31.0</w:t>
            </w:r>
          </w:p>
        </w:tc>
        <w:tc>
          <w:tcPr>
            <w:tcW w:w="287"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861"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10.0</w:t>
            </w:r>
          </w:p>
        </w:tc>
        <w:tc>
          <w:tcPr>
            <w:tcW w:w="855"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31.1</w:t>
            </w:r>
          </w:p>
        </w:tc>
      </w:tr>
    </w:tbl>
    <w:p w:rsidR="00B01EB2" w:rsidRDefault="00535C84" w:rsidP="006654AE">
      <w:pPr>
        <w:pStyle w:val="tablenotes"/>
      </w:pPr>
      <w:r w:rsidRPr="00DF38B2">
        <w:t>Notes:</w:t>
      </w:r>
      <w:r w:rsidRPr="00DF38B2">
        <w:tab/>
      </w:r>
    </w:p>
    <w:p w:rsidR="00535C84" w:rsidRPr="00DF38B2" w:rsidRDefault="00535C84" w:rsidP="006654AE">
      <w:pPr>
        <w:pStyle w:val="tablenotes"/>
      </w:pPr>
      <w:r w:rsidRPr="00DF38B2">
        <w:t xml:space="preserve">(a) </w:t>
      </w:r>
      <w:r w:rsidR="00B01EB2">
        <w:tab/>
      </w:r>
      <w:r w:rsidRPr="00DF38B2">
        <w:t>ABS indicates there are caveats about data quality of all of these estimates</w:t>
      </w:r>
      <w:r w:rsidR="00690B56">
        <w:t>.</w:t>
      </w:r>
    </w:p>
    <w:p w:rsidR="00535C84" w:rsidRDefault="00535C84" w:rsidP="006654AE">
      <w:pPr>
        <w:pStyle w:val="tablenotes"/>
        <w:ind w:left="1437" w:hanging="870"/>
      </w:pPr>
      <w:r w:rsidRPr="00DF38B2">
        <w:t xml:space="preserve">Source: </w:t>
      </w:r>
      <w:r w:rsidRPr="00DF38B2">
        <w:tab/>
        <w:t>Customised data from the National Aboriginal and Torres Strait Islander Health Survey 2004</w:t>
      </w:r>
      <w:r w:rsidR="00FC23F6" w:rsidRPr="00DF38B2">
        <w:t>-</w:t>
      </w:r>
      <w:r w:rsidRPr="00DF38B2">
        <w:t>05 and 2012</w:t>
      </w:r>
      <w:r w:rsidR="00FC23F6" w:rsidRPr="00DF38B2">
        <w:t>-</w:t>
      </w:r>
      <w:r w:rsidRPr="00DF38B2">
        <w:t>13.</w:t>
      </w:r>
    </w:p>
    <w:p w:rsidR="00FE1A6A" w:rsidRPr="00DF38B2" w:rsidRDefault="00FE1A6A" w:rsidP="006654AE">
      <w:pPr>
        <w:pStyle w:val="tablenotes"/>
        <w:ind w:left="1437" w:hanging="870"/>
        <w:rPr>
          <w:rFonts w:cs="Times New Roman"/>
          <w:sz w:val="20"/>
          <w:szCs w:val="20"/>
        </w:rPr>
      </w:pPr>
    </w:p>
    <w:p w:rsidR="00535C84" w:rsidRPr="00DF38B2" w:rsidRDefault="00535C84" w:rsidP="006654AE">
      <w:pPr>
        <w:pStyle w:val="Heading3"/>
      </w:pPr>
      <w:bookmarkStart w:id="538" w:name="_Toc403739101"/>
      <w:r w:rsidRPr="00DF38B2">
        <w:t>Hospitalisation rates of Indigenous children</w:t>
      </w:r>
      <w:bookmarkEnd w:id="538"/>
    </w:p>
    <w:p w:rsidR="00535C84" w:rsidRPr="00DF38B2" w:rsidRDefault="00535C84" w:rsidP="006654AE">
      <w:r w:rsidRPr="00DF38B2">
        <w:t xml:space="preserve">The hospitalisation rates for Indigenous children </w:t>
      </w:r>
      <w:r w:rsidR="006960EE">
        <w:t xml:space="preserve">in the Northern Territory </w:t>
      </w:r>
      <w:r w:rsidRPr="00DF38B2">
        <w:t>have not changed substantially between 2006</w:t>
      </w:r>
      <w:r w:rsidR="00FC23F6" w:rsidRPr="00DF38B2">
        <w:t>-</w:t>
      </w:r>
      <w:r w:rsidRPr="00DF38B2">
        <w:t>07 and 2010</w:t>
      </w:r>
      <w:r w:rsidR="00FC23F6" w:rsidRPr="00DF38B2">
        <w:t>-</w:t>
      </w:r>
      <w:r w:rsidRPr="00DF38B2">
        <w:t>11. There has been a steady increase in the hospitalisation rates between 2006</w:t>
      </w:r>
      <w:r w:rsidR="00FC23F6" w:rsidRPr="00DF38B2">
        <w:t>-</w:t>
      </w:r>
      <w:r w:rsidRPr="00DF38B2">
        <w:t xml:space="preserve">07 </w:t>
      </w:r>
      <w:r w:rsidR="00D37FBC" w:rsidRPr="00DF38B2">
        <w:t>and 2009-10</w:t>
      </w:r>
      <w:r w:rsidR="00690B56">
        <w:t>,</w:t>
      </w:r>
      <w:r w:rsidR="00D37FBC" w:rsidRPr="00DF38B2">
        <w:t xml:space="preserve"> </w:t>
      </w:r>
      <w:r w:rsidRPr="00DF38B2">
        <w:t xml:space="preserve">but a decline </w:t>
      </w:r>
      <w:r w:rsidR="00D37FBC" w:rsidRPr="00DF38B2">
        <w:t>between 2009-10 and 2010-11</w:t>
      </w:r>
      <w:r w:rsidRPr="00DF38B2">
        <w:t xml:space="preserve"> when total hospitalisation fell from 258.1 to 244.7 per 1,000 (</w:t>
      </w:r>
      <w:r w:rsidRPr="00DF38B2">
        <w:fldChar w:fldCharType="begin"/>
      </w:r>
      <w:r w:rsidRPr="00DF38B2">
        <w:instrText xml:space="preserve"> REF _Ref391530060 \h </w:instrText>
      </w:r>
      <w:r w:rsidRPr="00DF38B2">
        <w:fldChar w:fldCharType="separate"/>
      </w:r>
      <w:r w:rsidR="00906D13" w:rsidRPr="00DF38B2">
        <w:t xml:space="preserve">Table </w:t>
      </w:r>
      <w:r w:rsidR="00906D13">
        <w:rPr>
          <w:noProof/>
        </w:rPr>
        <w:t>9</w:t>
      </w:r>
      <w:r w:rsidR="00906D13">
        <w:noBreakHyphen/>
      </w:r>
      <w:r w:rsidR="00906D13">
        <w:rPr>
          <w:noProof/>
        </w:rPr>
        <w:t>8</w:t>
      </w:r>
      <w:r w:rsidRPr="00DF38B2">
        <w:fldChar w:fldCharType="end"/>
      </w:r>
      <w:r w:rsidRPr="00DF38B2">
        <w:t xml:space="preserve">). </w:t>
      </w:r>
      <w:r w:rsidR="00D37FBC" w:rsidRPr="009655C3">
        <w:t xml:space="preserve">Across the whole time period there </w:t>
      </w:r>
      <w:r w:rsidRPr="009655C3">
        <w:t xml:space="preserve">has been a decline in the hospitalisation rates due to infectious and parasitic diseases, but an increase of almost </w:t>
      </w:r>
      <w:r w:rsidR="00690B56">
        <w:t>ten</w:t>
      </w:r>
      <w:r w:rsidRPr="009655C3">
        <w:t xml:space="preserve"> percen</w:t>
      </w:r>
      <w:r w:rsidRPr="00DF38B2">
        <w:t xml:space="preserve">tage points in hospitalisation due to diseases of the respiratory system. </w:t>
      </w:r>
    </w:p>
    <w:p w:rsidR="00535C84" w:rsidRPr="00DF38B2" w:rsidRDefault="00535C84" w:rsidP="006654AE">
      <w:pPr>
        <w:pStyle w:val="Caption"/>
        <w:ind w:left="1439" w:hanging="1155"/>
      </w:pPr>
      <w:bookmarkStart w:id="539" w:name="_Ref391530060"/>
      <w:bookmarkStart w:id="540" w:name="_Toc403739482"/>
      <w:r w:rsidRPr="00DF38B2">
        <w:t xml:space="preserve">Table </w:t>
      </w:r>
      <w:fldSimple w:instr=" STYLEREF 1 \s ">
        <w:r w:rsidR="00906D13">
          <w:rPr>
            <w:noProof/>
          </w:rPr>
          <w:t>9</w:t>
        </w:r>
      </w:fldSimple>
      <w:r w:rsidR="00D40B64">
        <w:noBreakHyphen/>
      </w:r>
      <w:fldSimple w:instr=" SEQ Table \* ARABIC \s 1 ">
        <w:r w:rsidR="00906D13">
          <w:rPr>
            <w:noProof/>
          </w:rPr>
          <w:t>8</w:t>
        </w:r>
      </w:fldSimple>
      <w:bookmarkEnd w:id="539"/>
      <w:r w:rsidRPr="00DF38B2">
        <w:tab/>
        <w:t>Age</w:t>
      </w:r>
      <w:r w:rsidR="00690B56">
        <w:t>-</w:t>
      </w:r>
      <w:r w:rsidRPr="00DF38B2">
        <w:t>standardised hospitalisation rates of Indigenous children aged 0–14 years by diagnoses, Northern Territory, 2006</w:t>
      </w:r>
      <w:r w:rsidR="00FC23F6" w:rsidRPr="00DF38B2">
        <w:t>-</w:t>
      </w:r>
      <w:r w:rsidRPr="00DF38B2">
        <w:t>07–2010</w:t>
      </w:r>
      <w:r w:rsidR="00FC23F6" w:rsidRPr="00DF38B2">
        <w:t>-</w:t>
      </w:r>
      <w:r w:rsidRPr="00DF38B2">
        <w:t>11</w:t>
      </w:r>
      <w:bookmarkEnd w:id="5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esents hospitalisation rates for children in terms of hospitalisations per 1000 children.  The columns present three of the major diagnoses – Infectious and parasitic diseases; diseases of the respiratory system; and Injury, poisoning and certain other consequences of external causes –it then presents the total hospitalisation rate (which is roughly double the sum of the three identified causes).  The rows report the financial year rates over the period from 2006-07 to 2010-11.&#10;There is a brief discussion of the main trends in the text.&#10;"/>
      </w:tblPr>
      <w:tblGrid>
        <w:gridCol w:w="1270"/>
        <w:gridCol w:w="1455"/>
        <w:gridCol w:w="1701"/>
        <w:gridCol w:w="2089"/>
        <w:gridCol w:w="1525"/>
      </w:tblGrid>
      <w:tr w:rsidR="00535C84" w:rsidRPr="00DF38B2" w:rsidTr="00FB7147">
        <w:trPr>
          <w:trHeight w:val="691"/>
          <w:tblHeader/>
          <w:jc w:val="center"/>
        </w:trPr>
        <w:tc>
          <w:tcPr>
            <w:tcW w:w="1270" w:type="dxa"/>
            <w:tcBorders>
              <w:top w:val="single" w:sz="4" w:space="0" w:color="auto"/>
              <w:bottom w:val="single" w:sz="4" w:space="0" w:color="auto"/>
            </w:tcBorders>
          </w:tcPr>
          <w:p w:rsidR="00535C84" w:rsidRPr="00DF38B2" w:rsidRDefault="00535C84" w:rsidP="006654AE">
            <w:pPr>
              <w:pStyle w:val="tabletextleft"/>
            </w:pPr>
          </w:p>
        </w:tc>
        <w:tc>
          <w:tcPr>
            <w:tcW w:w="1455" w:type="dxa"/>
            <w:tcBorders>
              <w:top w:val="single" w:sz="4" w:space="0" w:color="auto"/>
              <w:bottom w:val="single" w:sz="4" w:space="0" w:color="auto"/>
            </w:tcBorders>
          </w:tcPr>
          <w:p w:rsidR="007F5F9B" w:rsidRDefault="00535C84" w:rsidP="006654AE">
            <w:pPr>
              <w:pStyle w:val="tabletextright"/>
            </w:pPr>
            <w:r w:rsidRPr="00DF38B2">
              <w:t>Infectious and parasitic diseases</w:t>
            </w:r>
            <w:r w:rsidR="007F5F9B" w:rsidRPr="00DF38B2">
              <w:t xml:space="preserve"> </w:t>
            </w:r>
          </w:p>
          <w:p w:rsidR="00535C84" w:rsidRPr="00DF38B2" w:rsidRDefault="007F5F9B" w:rsidP="006654AE">
            <w:pPr>
              <w:pStyle w:val="tabletextright"/>
            </w:pPr>
            <w:r w:rsidRPr="007F5F9B">
              <w:rPr>
                <w:sz w:val="16"/>
              </w:rPr>
              <w:t>(per 1,000 children)</w:t>
            </w:r>
          </w:p>
        </w:tc>
        <w:tc>
          <w:tcPr>
            <w:tcW w:w="1701" w:type="dxa"/>
            <w:tcBorders>
              <w:top w:val="single" w:sz="4" w:space="0" w:color="auto"/>
              <w:bottom w:val="single" w:sz="4" w:space="0" w:color="auto"/>
            </w:tcBorders>
          </w:tcPr>
          <w:p w:rsidR="00535C84" w:rsidRDefault="00535C84" w:rsidP="006654AE">
            <w:pPr>
              <w:pStyle w:val="tabletextright"/>
            </w:pPr>
            <w:r w:rsidRPr="00DF38B2">
              <w:t>Disease of respiratory system</w:t>
            </w:r>
          </w:p>
          <w:p w:rsidR="007F5F9B" w:rsidRPr="00DF38B2" w:rsidRDefault="007F5F9B" w:rsidP="006654AE">
            <w:pPr>
              <w:pStyle w:val="tabletextright"/>
            </w:pPr>
            <w:r w:rsidRPr="007F5F9B">
              <w:rPr>
                <w:sz w:val="16"/>
              </w:rPr>
              <w:t>(per 1,000 children)</w:t>
            </w:r>
          </w:p>
        </w:tc>
        <w:tc>
          <w:tcPr>
            <w:tcW w:w="2089" w:type="dxa"/>
            <w:tcBorders>
              <w:top w:val="single" w:sz="4" w:space="0" w:color="auto"/>
              <w:bottom w:val="single" w:sz="4" w:space="0" w:color="auto"/>
            </w:tcBorders>
          </w:tcPr>
          <w:p w:rsidR="00535C84" w:rsidRDefault="00535C84" w:rsidP="006654AE">
            <w:pPr>
              <w:pStyle w:val="tabletextright"/>
            </w:pPr>
            <w:r w:rsidRPr="00DF38B2">
              <w:t>Injury, poisoning and certain other consequences of external causes</w:t>
            </w:r>
          </w:p>
          <w:p w:rsidR="007F5F9B" w:rsidRPr="00DF38B2" w:rsidRDefault="007F5F9B" w:rsidP="006654AE">
            <w:pPr>
              <w:pStyle w:val="tabletextright"/>
            </w:pPr>
            <w:r w:rsidRPr="007F5F9B">
              <w:rPr>
                <w:sz w:val="16"/>
              </w:rPr>
              <w:t>(per 1,000 children)</w:t>
            </w:r>
          </w:p>
        </w:tc>
        <w:tc>
          <w:tcPr>
            <w:tcW w:w="1525" w:type="dxa"/>
            <w:tcBorders>
              <w:top w:val="single" w:sz="4" w:space="0" w:color="auto"/>
              <w:bottom w:val="single" w:sz="4" w:space="0" w:color="auto"/>
            </w:tcBorders>
          </w:tcPr>
          <w:p w:rsidR="00535C84" w:rsidRDefault="00535C84" w:rsidP="006654AE">
            <w:pPr>
              <w:pStyle w:val="tabletextright"/>
            </w:pPr>
            <w:r w:rsidRPr="00DF38B2">
              <w:t>Total hospitalisations</w:t>
            </w:r>
          </w:p>
          <w:p w:rsidR="007F5F9B" w:rsidRPr="00DF38B2" w:rsidRDefault="007F5F9B" w:rsidP="006654AE">
            <w:pPr>
              <w:pStyle w:val="tabletextright"/>
            </w:pPr>
            <w:r w:rsidRPr="007F5F9B">
              <w:rPr>
                <w:sz w:val="16"/>
              </w:rPr>
              <w:t>(per 1,000 children)</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2006</w:t>
            </w:r>
            <w:r w:rsidR="00FC23F6" w:rsidRPr="00DF38B2">
              <w:t>-</w:t>
            </w:r>
            <w:r w:rsidRPr="00DF38B2">
              <w:t>07</w:t>
            </w:r>
          </w:p>
        </w:tc>
        <w:tc>
          <w:tcPr>
            <w:tcW w:w="1455" w:type="dxa"/>
            <w:tcBorders>
              <w:top w:val="single" w:sz="4" w:space="0" w:color="auto"/>
            </w:tcBorders>
          </w:tcPr>
          <w:p w:rsidR="00535C84" w:rsidRPr="00DF38B2" w:rsidRDefault="00535C84" w:rsidP="006654AE">
            <w:pPr>
              <w:pStyle w:val="tabletextright"/>
            </w:pPr>
            <w:r w:rsidRPr="00DF38B2">
              <w:t>35.9</w:t>
            </w:r>
          </w:p>
        </w:tc>
        <w:tc>
          <w:tcPr>
            <w:tcW w:w="1701" w:type="dxa"/>
            <w:tcBorders>
              <w:top w:val="single" w:sz="4" w:space="0" w:color="auto"/>
            </w:tcBorders>
          </w:tcPr>
          <w:p w:rsidR="00535C84" w:rsidRPr="00DF38B2" w:rsidRDefault="00535C84" w:rsidP="006654AE">
            <w:pPr>
              <w:pStyle w:val="tabletextright"/>
            </w:pPr>
            <w:r w:rsidRPr="00DF38B2">
              <w:t>52.1</w:t>
            </w:r>
          </w:p>
        </w:tc>
        <w:tc>
          <w:tcPr>
            <w:tcW w:w="2089" w:type="dxa"/>
            <w:tcBorders>
              <w:top w:val="single" w:sz="4" w:space="0" w:color="auto"/>
            </w:tcBorders>
          </w:tcPr>
          <w:p w:rsidR="00535C84" w:rsidRPr="00DF38B2" w:rsidRDefault="00535C84" w:rsidP="006654AE">
            <w:pPr>
              <w:pStyle w:val="tabletextright"/>
            </w:pPr>
            <w:r w:rsidRPr="00DF38B2">
              <w:t>24.3</w:t>
            </w:r>
          </w:p>
        </w:tc>
        <w:tc>
          <w:tcPr>
            <w:tcW w:w="1525" w:type="dxa"/>
            <w:tcBorders>
              <w:top w:val="single" w:sz="4" w:space="0" w:color="auto"/>
            </w:tcBorders>
          </w:tcPr>
          <w:p w:rsidR="00535C84" w:rsidRPr="00DF38B2" w:rsidRDefault="00535C84" w:rsidP="006654AE">
            <w:pPr>
              <w:pStyle w:val="tabletextright"/>
            </w:pPr>
            <w:r w:rsidRPr="00DF38B2">
              <w:t>225.8</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2007</w:t>
            </w:r>
            <w:r w:rsidR="00FC23F6" w:rsidRPr="00DF38B2">
              <w:t>-</w:t>
            </w:r>
            <w:r w:rsidRPr="00DF38B2">
              <w:t>08</w:t>
            </w:r>
          </w:p>
        </w:tc>
        <w:tc>
          <w:tcPr>
            <w:tcW w:w="1455" w:type="dxa"/>
          </w:tcPr>
          <w:p w:rsidR="00535C84" w:rsidRPr="00DF38B2" w:rsidRDefault="00535C84" w:rsidP="006654AE">
            <w:pPr>
              <w:pStyle w:val="tabletextright"/>
            </w:pPr>
            <w:r w:rsidRPr="00DF38B2">
              <w:t>37.2</w:t>
            </w:r>
          </w:p>
        </w:tc>
        <w:tc>
          <w:tcPr>
            <w:tcW w:w="1701" w:type="dxa"/>
          </w:tcPr>
          <w:p w:rsidR="00535C84" w:rsidRPr="00DF38B2" w:rsidRDefault="00535C84" w:rsidP="006654AE">
            <w:pPr>
              <w:pStyle w:val="tabletextright"/>
            </w:pPr>
            <w:r w:rsidRPr="00DF38B2">
              <w:t>51.1</w:t>
            </w:r>
          </w:p>
        </w:tc>
        <w:tc>
          <w:tcPr>
            <w:tcW w:w="2089" w:type="dxa"/>
          </w:tcPr>
          <w:p w:rsidR="00535C84" w:rsidRPr="00DF38B2" w:rsidRDefault="00535C84" w:rsidP="006654AE">
            <w:pPr>
              <w:pStyle w:val="tabletextright"/>
            </w:pPr>
            <w:r w:rsidRPr="00DF38B2">
              <w:t>25.0</w:t>
            </w:r>
          </w:p>
        </w:tc>
        <w:tc>
          <w:tcPr>
            <w:tcW w:w="1525" w:type="dxa"/>
          </w:tcPr>
          <w:p w:rsidR="00535C84" w:rsidRPr="00DF38B2" w:rsidRDefault="00535C84" w:rsidP="006654AE">
            <w:pPr>
              <w:pStyle w:val="tabletextright"/>
            </w:pPr>
            <w:r w:rsidRPr="00DF38B2">
              <w:t>237.9</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2008</w:t>
            </w:r>
            <w:r w:rsidR="00FC23F6" w:rsidRPr="00DF38B2">
              <w:t>-</w:t>
            </w:r>
            <w:r w:rsidRPr="00DF38B2">
              <w:t>09</w:t>
            </w:r>
          </w:p>
        </w:tc>
        <w:tc>
          <w:tcPr>
            <w:tcW w:w="1455" w:type="dxa"/>
          </w:tcPr>
          <w:p w:rsidR="00535C84" w:rsidRPr="00DF38B2" w:rsidRDefault="00535C84" w:rsidP="006654AE">
            <w:pPr>
              <w:pStyle w:val="tabletextright"/>
            </w:pPr>
            <w:r w:rsidRPr="00DF38B2">
              <w:t>33.1</w:t>
            </w:r>
          </w:p>
        </w:tc>
        <w:tc>
          <w:tcPr>
            <w:tcW w:w="1701" w:type="dxa"/>
          </w:tcPr>
          <w:p w:rsidR="00535C84" w:rsidRPr="00DF38B2" w:rsidRDefault="00535C84" w:rsidP="006654AE">
            <w:pPr>
              <w:pStyle w:val="tabletextright"/>
            </w:pPr>
            <w:r w:rsidRPr="00DF38B2">
              <w:t>59.6</w:t>
            </w:r>
          </w:p>
        </w:tc>
        <w:tc>
          <w:tcPr>
            <w:tcW w:w="2089" w:type="dxa"/>
          </w:tcPr>
          <w:p w:rsidR="00535C84" w:rsidRPr="00DF38B2" w:rsidRDefault="00535C84" w:rsidP="006654AE">
            <w:pPr>
              <w:pStyle w:val="tabletextright"/>
            </w:pPr>
            <w:r w:rsidRPr="00DF38B2">
              <w:t>25.9</w:t>
            </w:r>
          </w:p>
        </w:tc>
        <w:tc>
          <w:tcPr>
            <w:tcW w:w="1525" w:type="dxa"/>
          </w:tcPr>
          <w:p w:rsidR="00535C84" w:rsidRPr="00DF38B2" w:rsidRDefault="00535C84" w:rsidP="006654AE">
            <w:pPr>
              <w:pStyle w:val="tabletextright"/>
            </w:pPr>
            <w:r w:rsidRPr="00DF38B2">
              <w:t>258.9</w:t>
            </w:r>
          </w:p>
        </w:tc>
      </w:tr>
      <w:tr w:rsidR="00535C84" w:rsidRPr="00DF38B2" w:rsidTr="00FB7147">
        <w:trPr>
          <w:trHeight w:val="222"/>
          <w:jc w:val="center"/>
        </w:trPr>
        <w:tc>
          <w:tcPr>
            <w:tcW w:w="1270" w:type="dxa"/>
          </w:tcPr>
          <w:p w:rsidR="00535C84" w:rsidRPr="00DF38B2" w:rsidRDefault="00535C84" w:rsidP="006654AE">
            <w:pPr>
              <w:pStyle w:val="tabletextleft"/>
            </w:pPr>
            <w:r w:rsidRPr="00DF38B2">
              <w:t>2009</w:t>
            </w:r>
            <w:r w:rsidR="00FC23F6" w:rsidRPr="00DF38B2">
              <w:t>-</w:t>
            </w:r>
            <w:r w:rsidRPr="00DF38B2">
              <w:t>10</w:t>
            </w:r>
          </w:p>
        </w:tc>
        <w:tc>
          <w:tcPr>
            <w:tcW w:w="1455" w:type="dxa"/>
          </w:tcPr>
          <w:p w:rsidR="00535C84" w:rsidRPr="00DF38B2" w:rsidRDefault="00535C84" w:rsidP="006654AE">
            <w:pPr>
              <w:pStyle w:val="tabletextright"/>
            </w:pPr>
            <w:r w:rsidRPr="00DF38B2">
              <w:t>31.4</w:t>
            </w:r>
          </w:p>
        </w:tc>
        <w:tc>
          <w:tcPr>
            <w:tcW w:w="1701" w:type="dxa"/>
          </w:tcPr>
          <w:p w:rsidR="00535C84" w:rsidRPr="00DF38B2" w:rsidRDefault="00535C84" w:rsidP="006654AE">
            <w:pPr>
              <w:pStyle w:val="tabletextright"/>
            </w:pPr>
            <w:r w:rsidRPr="00DF38B2">
              <w:t>58.0</w:t>
            </w:r>
          </w:p>
        </w:tc>
        <w:tc>
          <w:tcPr>
            <w:tcW w:w="2089" w:type="dxa"/>
          </w:tcPr>
          <w:p w:rsidR="00535C84" w:rsidRPr="00DF38B2" w:rsidRDefault="00535C84" w:rsidP="006654AE">
            <w:pPr>
              <w:pStyle w:val="tabletextright"/>
            </w:pPr>
            <w:r w:rsidRPr="00DF38B2">
              <w:t>29.3</w:t>
            </w:r>
          </w:p>
        </w:tc>
        <w:tc>
          <w:tcPr>
            <w:tcW w:w="1525" w:type="dxa"/>
          </w:tcPr>
          <w:p w:rsidR="00535C84" w:rsidRPr="00DF38B2" w:rsidRDefault="00535C84" w:rsidP="006654AE">
            <w:pPr>
              <w:pStyle w:val="tabletextright"/>
            </w:pPr>
            <w:r w:rsidRPr="00DF38B2">
              <w:t>258.1</w:t>
            </w:r>
          </w:p>
        </w:tc>
      </w:tr>
      <w:tr w:rsidR="00535C84" w:rsidRPr="00DF38B2" w:rsidTr="00FB7147">
        <w:trPr>
          <w:trHeight w:val="222"/>
          <w:jc w:val="center"/>
        </w:trPr>
        <w:tc>
          <w:tcPr>
            <w:tcW w:w="1270" w:type="dxa"/>
            <w:tcBorders>
              <w:bottom w:val="single" w:sz="6" w:space="0" w:color="auto"/>
            </w:tcBorders>
          </w:tcPr>
          <w:p w:rsidR="00535C84" w:rsidRPr="00DF38B2" w:rsidRDefault="00535C84" w:rsidP="006654AE">
            <w:pPr>
              <w:pStyle w:val="tabletextleft"/>
            </w:pPr>
            <w:r w:rsidRPr="00DF38B2">
              <w:t>2010</w:t>
            </w:r>
            <w:r w:rsidR="00FC23F6" w:rsidRPr="00DF38B2">
              <w:t>-</w:t>
            </w:r>
            <w:r w:rsidRPr="00DF38B2">
              <w:t>11</w:t>
            </w:r>
          </w:p>
        </w:tc>
        <w:tc>
          <w:tcPr>
            <w:tcW w:w="1455" w:type="dxa"/>
            <w:tcBorders>
              <w:bottom w:val="single" w:sz="6" w:space="0" w:color="auto"/>
            </w:tcBorders>
          </w:tcPr>
          <w:p w:rsidR="00535C84" w:rsidRPr="00DF38B2" w:rsidRDefault="00535C84" w:rsidP="006654AE">
            <w:pPr>
              <w:pStyle w:val="tabletextright"/>
            </w:pPr>
            <w:r w:rsidRPr="00DF38B2">
              <w:t>24.5</w:t>
            </w:r>
          </w:p>
        </w:tc>
        <w:tc>
          <w:tcPr>
            <w:tcW w:w="1701" w:type="dxa"/>
            <w:tcBorders>
              <w:bottom w:val="single" w:sz="6" w:space="0" w:color="auto"/>
            </w:tcBorders>
          </w:tcPr>
          <w:p w:rsidR="00535C84" w:rsidRPr="00DF38B2" w:rsidRDefault="00535C84" w:rsidP="006654AE">
            <w:pPr>
              <w:pStyle w:val="tabletextright"/>
            </w:pPr>
            <w:r w:rsidRPr="00DF38B2">
              <w:t>61.3</w:t>
            </w:r>
          </w:p>
        </w:tc>
        <w:tc>
          <w:tcPr>
            <w:tcW w:w="2089" w:type="dxa"/>
            <w:tcBorders>
              <w:bottom w:val="single" w:sz="6" w:space="0" w:color="auto"/>
            </w:tcBorders>
          </w:tcPr>
          <w:p w:rsidR="00535C84" w:rsidRPr="00DF38B2" w:rsidRDefault="00535C84" w:rsidP="006654AE">
            <w:pPr>
              <w:pStyle w:val="tabletextright"/>
            </w:pPr>
            <w:r w:rsidRPr="00DF38B2">
              <w:t>28.8</w:t>
            </w:r>
          </w:p>
        </w:tc>
        <w:tc>
          <w:tcPr>
            <w:tcW w:w="1525" w:type="dxa"/>
            <w:tcBorders>
              <w:bottom w:val="single" w:sz="6" w:space="0" w:color="auto"/>
            </w:tcBorders>
          </w:tcPr>
          <w:p w:rsidR="00535C84" w:rsidRPr="00DF38B2" w:rsidRDefault="00535C84" w:rsidP="006654AE">
            <w:pPr>
              <w:pStyle w:val="tabletextright"/>
            </w:pPr>
            <w:r w:rsidRPr="00DF38B2">
              <w:t>244.7</w:t>
            </w:r>
          </w:p>
        </w:tc>
      </w:tr>
    </w:tbl>
    <w:p w:rsidR="000F06BF" w:rsidRDefault="000F06BF" w:rsidP="006654AE">
      <w:pPr>
        <w:pStyle w:val="tablenotes"/>
      </w:pPr>
    </w:p>
    <w:p w:rsidR="00535C84" w:rsidRDefault="00535C84" w:rsidP="006654AE">
      <w:pPr>
        <w:pStyle w:val="tablenotes"/>
      </w:pPr>
      <w:r w:rsidRPr="00DF38B2">
        <w:t xml:space="preserve">Source: </w:t>
      </w:r>
      <w:r w:rsidRPr="00DF38B2">
        <w:tab/>
      </w:r>
      <w:r w:rsidR="00842824">
        <w:t>FaHCSIA</w:t>
      </w:r>
      <w:r w:rsidRPr="00DF38B2">
        <w:t xml:space="preserve"> </w:t>
      </w:r>
      <w:r w:rsidR="00842824">
        <w:t>(2012b)</w:t>
      </w:r>
      <w:r w:rsidR="00B01EB2">
        <w:t>.</w:t>
      </w:r>
    </w:p>
    <w:p w:rsidR="00FE1A6A" w:rsidRPr="00DF38B2" w:rsidRDefault="00FE1A6A" w:rsidP="006654AE">
      <w:pPr>
        <w:pStyle w:val="tablefootnoteslastline"/>
      </w:pPr>
    </w:p>
    <w:p w:rsidR="00535C84" w:rsidRPr="00DF38B2" w:rsidRDefault="00535C84" w:rsidP="006654AE">
      <w:pPr>
        <w:pStyle w:val="Heading3"/>
      </w:pPr>
      <w:bookmarkStart w:id="541" w:name="_Toc403739102"/>
      <w:r w:rsidRPr="00DF38B2">
        <w:t>Child protection indicators</w:t>
      </w:r>
      <w:bookmarkEnd w:id="541"/>
    </w:p>
    <w:p w:rsidR="00535C84" w:rsidRPr="00DF38B2" w:rsidRDefault="00535C84" w:rsidP="006654AE">
      <w:r w:rsidRPr="00FE502F">
        <w:fldChar w:fldCharType="begin"/>
      </w:r>
      <w:r w:rsidRPr="00DF38B2">
        <w:instrText xml:space="preserve"> REF _Ref391530083 \h </w:instrText>
      </w:r>
      <w:r w:rsidRPr="00FE502F">
        <w:fldChar w:fldCharType="separate"/>
      </w:r>
      <w:r w:rsidR="00906D13" w:rsidRPr="00DF38B2">
        <w:t xml:space="preserve">Table </w:t>
      </w:r>
      <w:r w:rsidR="00906D13">
        <w:rPr>
          <w:noProof/>
        </w:rPr>
        <w:t>9</w:t>
      </w:r>
      <w:r w:rsidR="00906D13">
        <w:noBreakHyphen/>
      </w:r>
      <w:r w:rsidR="00906D13">
        <w:rPr>
          <w:noProof/>
        </w:rPr>
        <w:t>9</w:t>
      </w:r>
      <w:r w:rsidRPr="00FE502F">
        <w:fldChar w:fldCharType="end"/>
      </w:r>
      <w:r w:rsidRPr="00DF38B2">
        <w:t xml:space="preserve"> </w:t>
      </w:r>
      <w:r w:rsidRPr="00FE502F">
        <w:t>shows the trend i</w:t>
      </w:r>
      <w:r w:rsidRPr="009655C3">
        <w:t>n child protection indicators in the Northern Territory in terms of substantiations of notifications, care and protection orders</w:t>
      </w:r>
      <w:r w:rsidR="00136606">
        <w:t>,</w:t>
      </w:r>
      <w:r w:rsidRPr="009655C3">
        <w:t xml:space="preserve"> and out</w:t>
      </w:r>
      <w:r w:rsidR="00136606">
        <w:t>-</w:t>
      </w:r>
      <w:r w:rsidRPr="009655C3">
        <w:t>of</w:t>
      </w:r>
      <w:r w:rsidR="00136606">
        <w:t>-</w:t>
      </w:r>
      <w:r w:rsidRPr="009655C3">
        <w:t xml:space="preserve">home care. The rate of substantiations for Indigenous children in the Northern Territory is higher than the non-Indigenous rate. </w:t>
      </w:r>
      <w:bookmarkStart w:id="542" w:name="RANGE!A1"/>
      <w:r w:rsidRPr="009655C3">
        <w:t>Over the period 2006</w:t>
      </w:r>
      <w:r w:rsidR="00FC23F6" w:rsidRPr="00DF38B2">
        <w:t>-</w:t>
      </w:r>
      <w:r w:rsidRPr="00DF38B2">
        <w:t>07 to 2010</w:t>
      </w:r>
      <w:r w:rsidR="00FC23F6" w:rsidRPr="00DF38B2">
        <w:t>-</w:t>
      </w:r>
      <w:r w:rsidRPr="00DF38B2">
        <w:t>11 there has been a very substantial increase in the substantiation</w:t>
      </w:r>
      <w:r w:rsidR="00136606">
        <w:t>s</w:t>
      </w:r>
      <w:r w:rsidRPr="00DF38B2">
        <w:t xml:space="preserve"> of notification</w:t>
      </w:r>
      <w:r w:rsidR="00136606">
        <w:t>s</w:t>
      </w:r>
      <w:r w:rsidRPr="00DF38B2">
        <w:t>, care and protection orders</w:t>
      </w:r>
      <w:r w:rsidR="00136606">
        <w:t>,</w:t>
      </w:r>
      <w:r w:rsidRPr="00DF38B2">
        <w:t xml:space="preserve"> and children in out-of-home care. The largest increase in substantiations of notifications over this period was 2009</w:t>
      </w:r>
      <w:r w:rsidR="00FC23F6" w:rsidRPr="00DF38B2">
        <w:t>-</w:t>
      </w:r>
      <w:r w:rsidRPr="00DF38B2">
        <w:t>10 and 2010</w:t>
      </w:r>
      <w:r w:rsidR="00FC23F6" w:rsidRPr="00DF38B2">
        <w:t>-</w:t>
      </w:r>
      <w:r w:rsidRPr="00DF38B2">
        <w:t xml:space="preserve">11. </w:t>
      </w:r>
    </w:p>
    <w:p w:rsidR="00535C84" w:rsidRPr="00DF38B2" w:rsidRDefault="00535C84" w:rsidP="006654AE">
      <w:pPr>
        <w:pStyle w:val="Caption"/>
      </w:pPr>
      <w:bookmarkStart w:id="543" w:name="_Ref391530083"/>
      <w:bookmarkStart w:id="544" w:name="_Toc403739483"/>
      <w:bookmarkEnd w:id="542"/>
      <w:r w:rsidRPr="00DF38B2">
        <w:lastRenderedPageBreak/>
        <w:t xml:space="preserve">Table </w:t>
      </w:r>
      <w:fldSimple w:instr=" STYLEREF 1 \s ">
        <w:r w:rsidR="00906D13">
          <w:rPr>
            <w:noProof/>
          </w:rPr>
          <w:t>9</w:t>
        </w:r>
      </w:fldSimple>
      <w:r w:rsidR="00D40B64">
        <w:noBreakHyphen/>
      </w:r>
      <w:fldSimple w:instr=" SEQ Table \* ARABIC \s 1 ">
        <w:r w:rsidR="00906D13">
          <w:rPr>
            <w:noProof/>
          </w:rPr>
          <w:t>9</w:t>
        </w:r>
      </w:fldSimple>
      <w:bookmarkEnd w:id="543"/>
      <w:r w:rsidRPr="00DF38B2">
        <w:tab/>
        <w:t>Child Protection Indicators, Northern Territory, 2006</w:t>
      </w:r>
      <w:r w:rsidR="00FC23F6" w:rsidRPr="00DF38B2">
        <w:t>-</w:t>
      </w:r>
      <w:r w:rsidRPr="00DF38B2">
        <w:t>07–2010</w:t>
      </w:r>
      <w:r w:rsidR="00FC23F6" w:rsidRPr="00DF38B2">
        <w:t>-</w:t>
      </w:r>
      <w:r w:rsidRPr="00DF38B2">
        <w:t>11</w:t>
      </w:r>
      <w:bookmarkEnd w:id="544"/>
    </w:p>
    <w:tbl>
      <w:tblPr>
        <w:tblW w:w="9024" w:type="dxa"/>
        <w:tblInd w:w="93" w:type="dxa"/>
        <w:tblLook w:val="04A0" w:firstRow="1" w:lastRow="0" w:firstColumn="1" w:lastColumn="0" w:noHBand="0" w:noVBand="1"/>
        <w:tblDescription w:val="This table presents data on 3 indicators in 3 horizontal panels. The indicators are: Substantiation of notifications; Care and Protection Orders; and Out-of-home care.  In each of the panel three statistics are provided : the rate (per 1000 children) for Indigenous Children, the rate for non-Indigenous children and the “Relative greater risk for Indigenous children (rate ratio)”.&#10;The five columns are for the annual time periods from 2006-07 to 2010-11&#10;The data is briefly discussed in the text.&#10;"/>
      </w:tblPr>
      <w:tblGrid>
        <w:gridCol w:w="1530"/>
        <w:gridCol w:w="2494"/>
        <w:gridCol w:w="1000"/>
        <w:gridCol w:w="1000"/>
        <w:gridCol w:w="1000"/>
        <w:gridCol w:w="1000"/>
        <w:gridCol w:w="1000"/>
      </w:tblGrid>
      <w:tr w:rsidR="007F5F9B" w:rsidRPr="00DF38B2" w:rsidTr="007F5F9B">
        <w:trPr>
          <w:trHeight w:val="335"/>
          <w:tblHeader/>
        </w:trPr>
        <w:tc>
          <w:tcPr>
            <w:tcW w:w="1530" w:type="dxa"/>
            <w:tcBorders>
              <w:top w:val="single" w:sz="4" w:space="0" w:color="auto"/>
            </w:tcBorders>
          </w:tcPr>
          <w:p w:rsidR="007F5F9B" w:rsidRPr="00DF38B2" w:rsidRDefault="007F5F9B" w:rsidP="006654AE">
            <w:pPr>
              <w:pStyle w:val="tabletextleft"/>
            </w:pPr>
          </w:p>
        </w:tc>
        <w:tc>
          <w:tcPr>
            <w:tcW w:w="2494" w:type="dxa"/>
            <w:tcBorders>
              <w:top w:val="single" w:sz="4" w:space="0" w:color="auto"/>
            </w:tcBorders>
            <w:shd w:val="clear" w:color="auto" w:fill="auto"/>
            <w:vAlign w:val="center"/>
            <w:hideMark/>
          </w:tcPr>
          <w:p w:rsidR="007F5F9B" w:rsidRPr="00DF38B2" w:rsidRDefault="007F5F9B" w:rsidP="006654AE">
            <w:pPr>
              <w:pStyle w:val="tabletextleft"/>
            </w:pPr>
            <w:r w:rsidRPr="00DF38B2">
              <w:t> </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2006-07</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2007-08</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2008-09</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2009-10</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2010-11</w:t>
            </w:r>
          </w:p>
          <w:p w:rsidR="007F5F9B" w:rsidRPr="00DF38B2" w:rsidRDefault="007F5F9B" w:rsidP="006654AE">
            <w:pPr>
              <w:pStyle w:val="tabletextright"/>
            </w:pPr>
            <w:r w:rsidRPr="007F5F9B">
              <w:rPr>
                <w:sz w:val="16"/>
              </w:rPr>
              <w:t>(per 1,000 children)</w:t>
            </w:r>
          </w:p>
        </w:tc>
      </w:tr>
      <w:tr w:rsidR="007F5F9B" w:rsidRPr="00DF38B2" w:rsidTr="007F5F9B">
        <w:trPr>
          <w:trHeight w:val="70"/>
        </w:trPr>
        <w:tc>
          <w:tcPr>
            <w:tcW w:w="1530" w:type="dxa"/>
            <w:vMerge w:val="restart"/>
            <w:tcBorders>
              <w:top w:val="single" w:sz="4" w:space="0" w:color="auto"/>
            </w:tcBorders>
          </w:tcPr>
          <w:p w:rsidR="007F5F9B" w:rsidRPr="00DF38B2" w:rsidRDefault="007F5F9B" w:rsidP="006654AE">
            <w:pPr>
              <w:pStyle w:val="tabletextleft"/>
              <w:jc w:val="left"/>
            </w:pPr>
            <w:r w:rsidRPr="00DF38B2">
              <w:t>Substantiations of notifications</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000000" w:fill="FFFFFF"/>
            <w:hideMark/>
          </w:tcPr>
          <w:p w:rsidR="007F5F9B" w:rsidRPr="009655C3" w:rsidRDefault="007F5F9B" w:rsidP="007F5F9B">
            <w:pPr>
              <w:pStyle w:val="tabletextright"/>
            </w:pPr>
            <w:r w:rsidRPr="009655C3">
              <w:t>16.8</w:t>
            </w:r>
          </w:p>
        </w:tc>
        <w:tc>
          <w:tcPr>
            <w:tcW w:w="0" w:type="auto"/>
            <w:tcBorders>
              <w:top w:val="single" w:sz="4" w:space="0" w:color="auto"/>
            </w:tcBorders>
            <w:shd w:val="clear" w:color="000000" w:fill="FFFFFF"/>
            <w:hideMark/>
          </w:tcPr>
          <w:p w:rsidR="007F5F9B" w:rsidRPr="00DF38B2" w:rsidRDefault="007F5F9B" w:rsidP="007F5F9B">
            <w:pPr>
              <w:pStyle w:val="tabletextright"/>
            </w:pPr>
            <w:r w:rsidRPr="00DF38B2">
              <w:t>23.7</w:t>
            </w:r>
          </w:p>
        </w:tc>
        <w:tc>
          <w:tcPr>
            <w:tcW w:w="0" w:type="auto"/>
            <w:tcBorders>
              <w:top w:val="single" w:sz="4" w:space="0" w:color="auto"/>
            </w:tcBorders>
            <w:shd w:val="clear" w:color="000000" w:fill="FFFFFF"/>
            <w:hideMark/>
          </w:tcPr>
          <w:p w:rsidR="007F5F9B" w:rsidRPr="00DF38B2" w:rsidRDefault="007F5F9B" w:rsidP="007F5F9B">
            <w:pPr>
              <w:pStyle w:val="tabletextright"/>
            </w:pPr>
            <w:r w:rsidRPr="00DF38B2">
              <w:t>24.1</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31.9</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43.3</w:t>
            </w:r>
          </w:p>
        </w:tc>
      </w:tr>
      <w:tr w:rsidR="007F5F9B" w:rsidRPr="00DF38B2" w:rsidTr="007F5F9B">
        <w:trPr>
          <w:trHeight w:val="167"/>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w:t>
            </w:r>
            <w:r w:rsidRPr="00FE502F">
              <w:t>s rate</w:t>
            </w:r>
          </w:p>
        </w:tc>
        <w:tc>
          <w:tcPr>
            <w:tcW w:w="0" w:type="auto"/>
            <w:shd w:val="clear" w:color="auto" w:fill="auto"/>
            <w:hideMark/>
          </w:tcPr>
          <w:p w:rsidR="007F5F9B" w:rsidRPr="009655C3" w:rsidRDefault="007F5F9B" w:rsidP="007F5F9B">
            <w:pPr>
              <w:pStyle w:val="tabletextright"/>
            </w:pPr>
            <w:r w:rsidRPr="009655C3">
              <w:t>4.2</w:t>
            </w:r>
          </w:p>
        </w:tc>
        <w:tc>
          <w:tcPr>
            <w:tcW w:w="0" w:type="auto"/>
            <w:shd w:val="clear" w:color="auto" w:fill="auto"/>
            <w:hideMark/>
          </w:tcPr>
          <w:p w:rsidR="007F5F9B" w:rsidRPr="00DF38B2" w:rsidRDefault="007F5F9B" w:rsidP="007F5F9B">
            <w:pPr>
              <w:pStyle w:val="tabletextright"/>
            </w:pPr>
            <w:r w:rsidRPr="00DF38B2">
              <w:t>4</w:t>
            </w:r>
            <w:r>
              <w:t>.0</w:t>
            </w:r>
          </w:p>
        </w:tc>
        <w:tc>
          <w:tcPr>
            <w:tcW w:w="0" w:type="auto"/>
            <w:shd w:val="clear" w:color="auto" w:fill="auto"/>
            <w:hideMark/>
          </w:tcPr>
          <w:p w:rsidR="007F5F9B" w:rsidRPr="00DF38B2" w:rsidRDefault="007F5F9B" w:rsidP="007F5F9B">
            <w:pPr>
              <w:pStyle w:val="tabletextright"/>
            </w:pPr>
            <w:r w:rsidRPr="00DF38B2">
              <w:t>3.9</w:t>
            </w:r>
          </w:p>
        </w:tc>
        <w:tc>
          <w:tcPr>
            <w:tcW w:w="0" w:type="auto"/>
            <w:shd w:val="clear" w:color="auto" w:fill="auto"/>
            <w:hideMark/>
          </w:tcPr>
          <w:p w:rsidR="007F5F9B" w:rsidRPr="00DF38B2" w:rsidRDefault="007F5F9B" w:rsidP="007F5F9B">
            <w:pPr>
              <w:pStyle w:val="tabletextright"/>
            </w:pPr>
            <w:r w:rsidRPr="00DF38B2">
              <w:t>4.7</w:t>
            </w:r>
          </w:p>
        </w:tc>
        <w:tc>
          <w:tcPr>
            <w:tcW w:w="0" w:type="auto"/>
            <w:shd w:val="clear" w:color="auto" w:fill="auto"/>
            <w:hideMark/>
          </w:tcPr>
          <w:p w:rsidR="007F5F9B" w:rsidRPr="00DF38B2" w:rsidRDefault="007F5F9B" w:rsidP="007F5F9B">
            <w:pPr>
              <w:pStyle w:val="tabletextright"/>
            </w:pPr>
            <w:r w:rsidRPr="00DF38B2">
              <w:t>6.6</w:t>
            </w:r>
          </w:p>
        </w:tc>
      </w:tr>
      <w:tr w:rsidR="007F5F9B" w:rsidRPr="00DF38B2" w:rsidTr="007F5F9B">
        <w:trPr>
          <w:trHeight w:val="213"/>
        </w:trPr>
        <w:tc>
          <w:tcPr>
            <w:tcW w:w="1530" w:type="dxa"/>
            <w:vMerge/>
            <w:tcBorders>
              <w:bottom w:val="single" w:sz="4" w:space="0" w:color="auto"/>
            </w:tcBorders>
          </w:tcPr>
          <w:p w:rsidR="007F5F9B" w:rsidRPr="00DF38B2" w:rsidRDefault="007F5F9B" w:rsidP="006654AE">
            <w:pPr>
              <w:pStyle w:val="tabletextleft"/>
              <w:jc w:val="left"/>
            </w:pPr>
          </w:p>
        </w:tc>
        <w:tc>
          <w:tcPr>
            <w:tcW w:w="2494" w:type="dxa"/>
            <w:tcBorders>
              <w:bottom w:val="single" w:sz="4" w:space="0" w:color="auto"/>
            </w:tcBorders>
            <w:shd w:val="clear" w:color="auto" w:fill="auto"/>
            <w:hideMark/>
          </w:tcPr>
          <w:p w:rsidR="007F5F9B" w:rsidRPr="00FE502F" w:rsidRDefault="007F5F9B" w:rsidP="007F5F9B">
            <w:pPr>
              <w:pStyle w:val="tabletextleft"/>
              <w:jc w:val="left"/>
            </w:pPr>
            <w:r w:rsidRPr="00DF38B2">
              <w:t>Relative greater risk for Indigenous children (rate ratio)</w:t>
            </w:r>
          </w:p>
        </w:tc>
        <w:tc>
          <w:tcPr>
            <w:tcW w:w="0" w:type="auto"/>
            <w:tcBorders>
              <w:bottom w:val="single" w:sz="4" w:space="0" w:color="auto"/>
            </w:tcBorders>
            <w:shd w:val="clear" w:color="auto" w:fill="auto"/>
            <w:hideMark/>
          </w:tcPr>
          <w:p w:rsidR="007F5F9B" w:rsidRPr="009655C3" w:rsidRDefault="007F5F9B" w:rsidP="007F5F9B">
            <w:pPr>
              <w:pStyle w:val="tabletextright"/>
            </w:pPr>
            <w:r w:rsidRPr="009655C3">
              <w:t>4</w:t>
            </w:r>
            <w:r>
              <w:t>.0</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5.9</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6.1</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6.7</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6.6</w:t>
            </w:r>
          </w:p>
        </w:tc>
      </w:tr>
      <w:tr w:rsidR="007F5F9B" w:rsidRPr="00DF38B2" w:rsidTr="007F5F9B">
        <w:trPr>
          <w:trHeight w:val="226"/>
        </w:trPr>
        <w:tc>
          <w:tcPr>
            <w:tcW w:w="1530" w:type="dxa"/>
            <w:vMerge w:val="restart"/>
            <w:tcBorders>
              <w:top w:val="single" w:sz="4" w:space="0" w:color="auto"/>
            </w:tcBorders>
          </w:tcPr>
          <w:p w:rsidR="007F5F9B" w:rsidRPr="00DF38B2" w:rsidRDefault="007F5F9B" w:rsidP="006654AE">
            <w:pPr>
              <w:pStyle w:val="tabletextleft"/>
              <w:jc w:val="left"/>
            </w:pPr>
            <w:r w:rsidRPr="00DF38B2">
              <w:t>Care and Protection orders</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auto" w:fill="auto"/>
            <w:hideMark/>
          </w:tcPr>
          <w:p w:rsidR="007F5F9B" w:rsidRPr="009655C3" w:rsidRDefault="007F5F9B" w:rsidP="007F5F9B">
            <w:pPr>
              <w:pStyle w:val="tabletextright"/>
            </w:pPr>
            <w:r w:rsidRPr="009655C3">
              <w:t>12.1</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14.6</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15.8</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18.6</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20.9</w:t>
            </w:r>
          </w:p>
        </w:tc>
      </w:tr>
      <w:tr w:rsidR="007F5F9B" w:rsidRPr="00DF38B2" w:rsidTr="007F5F9B">
        <w:trPr>
          <w:trHeight w:val="131"/>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Non-Indigenous rate</w:t>
            </w:r>
          </w:p>
        </w:tc>
        <w:tc>
          <w:tcPr>
            <w:tcW w:w="0" w:type="auto"/>
            <w:shd w:val="clear" w:color="auto" w:fill="auto"/>
            <w:hideMark/>
          </w:tcPr>
          <w:p w:rsidR="007F5F9B" w:rsidRPr="009655C3" w:rsidRDefault="007F5F9B" w:rsidP="007F5F9B">
            <w:pPr>
              <w:pStyle w:val="tabletextright"/>
            </w:pPr>
            <w:r w:rsidRPr="009655C3">
              <w:t>4.1</w:t>
            </w:r>
          </w:p>
        </w:tc>
        <w:tc>
          <w:tcPr>
            <w:tcW w:w="0" w:type="auto"/>
            <w:shd w:val="clear" w:color="auto" w:fill="auto"/>
            <w:hideMark/>
          </w:tcPr>
          <w:p w:rsidR="007F5F9B" w:rsidRPr="00DF38B2" w:rsidRDefault="007F5F9B" w:rsidP="007F5F9B">
            <w:pPr>
              <w:pStyle w:val="tabletextright"/>
            </w:pPr>
            <w:r w:rsidRPr="00DF38B2">
              <w:t>4.2</w:t>
            </w:r>
          </w:p>
        </w:tc>
        <w:tc>
          <w:tcPr>
            <w:tcW w:w="0" w:type="auto"/>
            <w:shd w:val="clear" w:color="auto" w:fill="auto"/>
            <w:hideMark/>
          </w:tcPr>
          <w:p w:rsidR="007F5F9B" w:rsidRPr="00DF38B2" w:rsidRDefault="007F5F9B" w:rsidP="007F5F9B">
            <w:pPr>
              <w:pStyle w:val="tabletextright"/>
            </w:pPr>
            <w:r w:rsidRPr="00DF38B2">
              <w:t>4.1</w:t>
            </w:r>
          </w:p>
        </w:tc>
        <w:tc>
          <w:tcPr>
            <w:tcW w:w="0" w:type="auto"/>
            <w:shd w:val="clear" w:color="auto" w:fill="auto"/>
            <w:hideMark/>
          </w:tcPr>
          <w:p w:rsidR="007F5F9B" w:rsidRPr="00DF38B2" w:rsidRDefault="007F5F9B" w:rsidP="007F5F9B">
            <w:pPr>
              <w:pStyle w:val="tabletextright"/>
            </w:pPr>
            <w:r w:rsidRPr="00DF38B2">
              <w:t>5.2</w:t>
            </w:r>
          </w:p>
        </w:tc>
        <w:tc>
          <w:tcPr>
            <w:tcW w:w="0" w:type="auto"/>
            <w:shd w:val="clear" w:color="auto" w:fill="auto"/>
            <w:hideMark/>
          </w:tcPr>
          <w:p w:rsidR="007F5F9B" w:rsidRPr="00DF38B2" w:rsidRDefault="007F5F9B" w:rsidP="007F5F9B">
            <w:pPr>
              <w:pStyle w:val="tabletextright"/>
            </w:pPr>
            <w:r w:rsidRPr="00DF38B2">
              <w:t>4.2</w:t>
            </w:r>
          </w:p>
        </w:tc>
      </w:tr>
      <w:tr w:rsidR="007F5F9B" w:rsidRPr="00DF38B2" w:rsidTr="007F5F9B">
        <w:trPr>
          <w:trHeight w:val="129"/>
        </w:trPr>
        <w:tc>
          <w:tcPr>
            <w:tcW w:w="1530" w:type="dxa"/>
            <w:vMerge/>
            <w:tcBorders>
              <w:bottom w:val="single" w:sz="4" w:space="0" w:color="auto"/>
            </w:tcBorders>
          </w:tcPr>
          <w:p w:rsidR="007F5F9B" w:rsidRPr="00DF38B2" w:rsidRDefault="007F5F9B" w:rsidP="006654AE">
            <w:pPr>
              <w:pStyle w:val="tabletextleft"/>
              <w:jc w:val="left"/>
            </w:pPr>
          </w:p>
        </w:tc>
        <w:tc>
          <w:tcPr>
            <w:tcW w:w="2494" w:type="dxa"/>
            <w:tcBorders>
              <w:bottom w:val="single" w:sz="4" w:space="0" w:color="auto"/>
            </w:tcBorders>
            <w:shd w:val="clear" w:color="auto" w:fill="auto"/>
            <w:hideMark/>
          </w:tcPr>
          <w:p w:rsidR="007F5F9B" w:rsidRPr="00FE502F" w:rsidRDefault="007F5F9B" w:rsidP="007F5F9B">
            <w:pPr>
              <w:pStyle w:val="tabletextleft"/>
              <w:jc w:val="left"/>
            </w:pPr>
            <w:r w:rsidRPr="00DF38B2">
              <w:t>Relative greater risk for Indigenous</w:t>
            </w:r>
            <w:r w:rsidRPr="00FE502F">
              <w:t xml:space="preserve"> children (rate ratio)</w:t>
            </w:r>
          </w:p>
        </w:tc>
        <w:tc>
          <w:tcPr>
            <w:tcW w:w="0" w:type="auto"/>
            <w:tcBorders>
              <w:bottom w:val="single" w:sz="4" w:space="0" w:color="auto"/>
            </w:tcBorders>
            <w:shd w:val="clear" w:color="auto" w:fill="auto"/>
            <w:hideMark/>
          </w:tcPr>
          <w:p w:rsidR="007F5F9B" w:rsidRPr="009655C3" w:rsidRDefault="007F5F9B" w:rsidP="007F5F9B">
            <w:pPr>
              <w:pStyle w:val="tabletextright"/>
            </w:pPr>
            <w:r w:rsidRPr="009655C3">
              <w:t>2.9</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3.5</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3.8</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3.6</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5</w:t>
            </w:r>
            <w:r>
              <w:t>.0</w:t>
            </w:r>
          </w:p>
        </w:tc>
      </w:tr>
      <w:tr w:rsidR="007F5F9B" w:rsidRPr="00DF38B2" w:rsidTr="007F5F9B">
        <w:trPr>
          <w:trHeight w:val="235"/>
        </w:trPr>
        <w:tc>
          <w:tcPr>
            <w:tcW w:w="1530" w:type="dxa"/>
            <w:vMerge w:val="restart"/>
            <w:tcBorders>
              <w:top w:val="single" w:sz="4" w:space="0" w:color="auto"/>
            </w:tcBorders>
          </w:tcPr>
          <w:p w:rsidR="007F5F9B" w:rsidRPr="00DF38B2" w:rsidRDefault="007F5F9B" w:rsidP="006654AE">
            <w:pPr>
              <w:pStyle w:val="tabletextleft"/>
              <w:jc w:val="left"/>
            </w:pPr>
            <w:r w:rsidRPr="00DF38B2">
              <w:t>Out-of-home care</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auto" w:fill="auto"/>
            <w:hideMark/>
          </w:tcPr>
          <w:p w:rsidR="007F5F9B" w:rsidRPr="009655C3" w:rsidRDefault="007F5F9B" w:rsidP="007F5F9B">
            <w:pPr>
              <w:pStyle w:val="tabletextright"/>
            </w:pPr>
            <w:r w:rsidRPr="009655C3">
              <w:t>10.8</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11.3</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13.2</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14.9</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18.2</w:t>
            </w:r>
          </w:p>
        </w:tc>
      </w:tr>
      <w:tr w:rsidR="007F5F9B" w:rsidRPr="00DF38B2" w:rsidTr="007F5F9B">
        <w:trPr>
          <w:trHeight w:val="153"/>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Non-Indigenous rate</w:t>
            </w:r>
          </w:p>
        </w:tc>
        <w:tc>
          <w:tcPr>
            <w:tcW w:w="0" w:type="auto"/>
            <w:shd w:val="clear" w:color="auto" w:fill="auto"/>
            <w:hideMark/>
          </w:tcPr>
          <w:p w:rsidR="007F5F9B" w:rsidRPr="009655C3" w:rsidRDefault="007F5F9B" w:rsidP="007F5F9B">
            <w:pPr>
              <w:pStyle w:val="tabletextright"/>
            </w:pPr>
            <w:r w:rsidRPr="009655C3">
              <w:t>3.5</w:t>
            </w:r>
          </w:p>
        </w:tc>
        <w:tc>
          <w:tcPr>
            <w:tcW w:w="0" w:type="auto"/>
            <w:shd w:val="clear" w:color="auto" w:fill="auto"/>
            <w:hideMark/>
          </w:tcPr>
          <w:p w:rsidR="007F5F9B" w:rsidRPr="00DF38B2" w:rsidRDefault="007F5F9B" w:rsidP="007F5F9B">
            <w:pPr>
              <w:pStyle w:val="tabletextright"/>
            </w:pPr>
            <w:r w:rsidRPr="00DF38B2">
              <w:t>3.1</w:t>
            </w:r>
          </w:p>
        </w:tc>
        <w:tc>
          <w:tcPr>
            <w:tcW w:w="0" w:type="auto"/>
            <w:shd w:val="clear" w:color="auto" w:fill="auto"/>
            <w:hideMark/>
          </w:tcPr>
          <w:p w:rsidR="007F5F9B" w:rsidRPr="00DF38B2" w:rsidRDefault="007F5F9B" w:rsidP="007F5F9B">
            <w:pPr>
              <w:pStyle w:val="tabletextright"/>
            </w:pPr>
            <w:r w:rsidRPr="00DF38B2">
              <w:t>3.4</w:t>
            </w:r>
          </w:p>
        </w:tc>
        <w:tc>
          <w:tcPr>
            <w:tcW w:w="0" w:type="auto"/>
            <w:shd w:val="clear" w:color="auto" w:fill="auto"/>
            <w:hideMark/>
          </w:tcPr>
          <w:p w:rsidR="007F5F9B" w:rsidRPr="00DF38B2" w:rsidRDefault="007F5F9B" w:rsidP="007F5F9B">
            <w:pPr>
              <w:pStyle w:val="tabletextright"/>
            </w:pPr>
            <w:r w:rsidRPr="00DF38B2">
              <w:t>4</w:t>
            </w:r>
            <w:r>
              <w:t>.0</w:t>
            </w:r>
          </w:p>
        </w:tc>
        <w:tc>
          <w:tcPr>
            <w:tcW w:w="0" w:type="auto"/>
            <w:shd w:val="clear" w:color="auto" w:fill="auto"/>
            <w:hideMark/>
          </w:tcPr>
          <w:p w:rsidR="007F5F9B" w:rsidRPr="00DF38B2" w:rsidRDefault="007F5F9B" w:rsidP="007F5F9B">
            <w:pPr>
              <w:pStyle w:val="tabletextright"/>
            </w:pPr>
            <w:r w:rsidRPr="00DF38B2">
              <w:t>3.8</w:t>
            </w:r>
          </w:p>
        </w:tc>
      </w:tr>
      <w:tr w:rsidR="007F5F9B" w:rsidRPr="00DF38B2" w:rsidTr="007F5F9B">
        <w:trPr>
          <w:trHeight w:val="199"/>
        </w:trPr>
        <w:tc>
          <w:tcPr>
            <w:tcW w:w="1530" w:type="dxa"/>
            <w:vMerge/>
            <w:tcBorders>
              <w:bottom w:val="single" w:sz="6" w:space="0" w:color="auto"/>
            </w:tcBorders>
          </w:tcPr>
          <w:p w:rsidR="007F5F9B" w:rsidRPr="00DF38B2" w:rsidRDefault="007F5F9B" w:rsidP="006654AE">
            <w:pPr>
              <w:pStyle w:val="tabletextleft"/>
              <w:jc w:val="left"/>
            </w:pPr>
          </w:p>
        </w:tc>
        <w:tc>
          <w:tcPr>
            <w:tcW w:w="2494" w:type="dxa"/>
            <w:tcBorders>
              <w:bottom w:val="single" w:sz="6" w:space="0" w:color="auto"/>
            </w:tcBorders>
            <w:shd w:val="clear" w:color="auto" w:fill="auto"/>
            <w:hideMark/>
          </w:tcPr>
          <w:p w:rsidR="007F5F9B" w:rsidRPr="00FE502F" w:rsidRDefault="007F5F9B" w:rsidP="007F5F9B">
            <w:pPr>
              <w:pStyle w:val="tabletextleft"/>
              <w:jc w:val="left"/>
            </w:pPr>
            <w:r w:rsidRPr="00DF38B2">
              <w:t>Relative greater risk for Indigenous children (rate ratio)</w:t>
            </w:r>
          </w:p>
        </w:tc>
        <w:tc>
          <w:tcPr>
            <w:tcW w:w="0" w:type="auto"/>
            <w:tcBorders>
              <w:bottom w:val="single" w:sz="6" w:space="0" w:color="auto"/>
            </w:tcBorders>
            <w:shd w:val="clear" w:color="auto" w:fill="auto"/>
            <w:hideMark/>
          </w:tcPr>
          <w:p w:rsidR="007F5F9B" w:rsidRPr="009655C3" w:rsidRDefault="007F5F9B" w:rsidP="007F5F9B">
            <w:pPr>
              <w:pStyle w:val="tabletextright"/>
            </w:pPr>
            <w:r w:rsidRPr="009655C3">
              <w:t>3.1</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3.6</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3.9</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3.7</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4.8</w:t>
            </w:r>
          </w:p>
        </w:tc>
      </w:tr>
    </w:tbl>
    <w:p w:rsidR="00535C84" w:rsidRDefault="00535C84" w:rsidP="006654AE">
      <w:pPr>
        <w:pStyle w:val="tablenotes"/>
      </w:pPr>
      <w:r w:rsidRPr="00DF38B2">
        <w:t xml:space="preserve">Source: </w:t>
      </w:r>
      <w:r w:rsidRPr="00FE502F">
        <w:tab/>
      </w:r>
      <w:r w:rsidR="00DB6DF1">
        <w:t xml:space="preserve">FaHCSIA (2012c). </w:t>
      </w:r>
    </w:p>
    <w:p w:rsidR="00FE1A6A" w:rsidRPr="00FE502F" w:rsidRDefault="00FE1A6A" w:rsidP="006654AE">
      <w:pPr>
        <w:pStyle w:val="tablefootnoteslastline"/>
      </w:pPr>
    </w:p>
    <w:p w:rsidR="00535C84" w:rsidRPr="00DF38B2" w:rsidRDefault="00535C84" w:rsidP="006654AE">
      <w:r w:rsidRPr="009655C3">
        <w:t>The rate of children aged 0</w:t>
      </w:r>
      <w:r w:rsidR="00D37FBC" w:rsidRPr="009655C3">
        <w:t xml:space="preserve"> to </w:t>
      </w:r>
      <w:r w:rsidRPr="00DF38B2">
        <w:t xml:space="preserve">12 years who were the subject of child protection substantiation is given in </w:t>
      </w:r>
      <w:r w:rsidRPr="008E4D9D">
        <w:fldChar w:fldCharType="begin"/>
      </w:r>
      <w:r w:rsidRPr="00DF38B2">
        <w:instrText xml:space="preserve"> REF _Ref391530161 \h </w:instrText>
      </w:r>
      <w:r w:rsidRPr="008E4D9D">
        <w:fldChar w:fldCharType="separate"/>
      </w:r>
      <w:r w:rsidR="00906D13" w:rsidRPr="00DF38B2">
        <w:t xml:space="preserve">Figure </w:t>
      </w:r>
      <w:r w:rsidR="00906D13">
        <w:rPr>
          <w:noProof/>
        </w:rPr>
        <w:t>9</w:t>
      </w:r>
      <w:r w:rsidR="00906D13" w:rsidRPr="00DF38B2">
        <w:noBreakHyphen/>
      </w:r>
      <w:r w:rsidR="00906D13">
        <w:rPr>
          <w:noProof/>
        </w:rPr>
        <w:t>16</w:t>
      </w:r>
      <w:r w:rsidRPr="008E4D9D">
        <w:fldChar w:fldCharType="end"/>
      </w:r>
      <w:r w:rsidRPr="00DF38B2">
        <w:t>. In 2011</w:t>
      </w:r>
      <w:r w:rsidR="00FC23F6" w:rsidRPr="009655C3">
        <w:t>-</w:t>
      </w:r>
      <w:r w:rsidRPr="009655C3">
        <w:t>12, the rate of child protection substantiation for Indigenous children is approximately 8.7 times that of non-Indigenous children in Australia. In the Northern Territory, that rate is</w:t>
      </w:r>
      <w:r w:rsidRPr="00DF38B2">
        <w:t xml:space="preserve"> 7.8 times. </w:t>
      </w:r>
    </w:p>
    <w:p w:rsidR="00535C84" w:rsidRPr="00DF38B2" w:rsidRDefault="00535C84" w:rsidP="006654AE">
      <w:pPr>
        <w:pStyle w:val="Caption"/>
        <w:ind w:left="1439" w:hanging="1155"/>
      </w:pPr>
      <w:bookmarkStart w:id="545" w:name="_Ref391530161"/>
      <w:bookmarkStart w:id="546" w:name="_Toc40373957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16</w:t>
      </w:r>
      <w:r w:rsidR="00040708" w:rsidRPr="00F157EE">
        <w:fldChar w:fldCharType="end"/>
      </w:r>
      <w:bookmarkEnd w:id="545"/>
      <w:r w:rsidRPr="00DF38B2">
        <w:tab/>
        <w:t>Child protection substantiations per 1,000 children, Northern Territory and Australia, 2007–2012</w:t>
      </w:r>
      <w:bookmarkEnd w:id="546"/>
    </w:p>
    <w:p w:rsidR="00535C84" w:rsidRPr="00DF38B2" w:rsidRDefault="002C2E8A" w:rsidP="006654AE">
      <w:pPr>
        <w:pStyle w:val="graphicpaste"/>
        <w:rPr>
          <w:sz w:val="24"/>
          <w:szCs w:val="24"/>
        </w:rPr>
      </w:pPr>
      <w:r w:rsidRPr="002C2E8A">
        <w:rPr>
          <w:sz w:val="24"/>
          <w:szCs w:val="24"/>
        </w:rPr>
        <w:t xml:space="preserve"> </w:t>
      </w:r>
      <w:r w:rsidRPr="002C2E8A">
        <w:rPr>
          <w:noProof/>
        </w:rPr>
        <w:drawing>
          <wp:inline distT="0" distB="0" distL="0" distR="0" wp14:anchorId="5A529D0E" wp14:editId="2E600777">
            <wp:extent cx="4572000" cy="2743200"/>
            <wp:effectExtent l="0" t="0" r="0" b="0"/>
            <wp:docPr id="69" name="Picture 69" descr="This chart plots the rate child protection substantiations for four groups: Indigenous persons in the Northern Territory, non-Indigenous people in the Northern Territory, Indigenous people in Australia and non-Indigenous people in Australia over the period 2007-08 to 2011-12.&#10;As described in the text above and below, the rate of child protection substantiations for Indigenous children in the Northern Territory increased from 27.0 to 36.4 per 1,000 children between 2008-09 and 2009-10 and between 2009-10 and 2010-11, from 36.4 per 1,000 children to 51.6 per 1,000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AIHW Interactive Child Indicators Database</w:t>
      </w:r>
      <w:r w:rsidR="00B01EB2">
        <w:t>.</w:t>
      </w:r>
    </w:p>
    <w:p w:rsidR="00437BA7" w:rsidRDefault="00437BA7" w:rsidP="006654AE">
      <w:pPr>
        <w:pStyle w:val="tablenotes"/>
      </w:pPr>
    </w:p>
    <w:p w:rsidR="002B02A7" w:rsidRPr="00DF38B2" w:rsidRDefault="002B02A7" w:rsidP="006654AE">
      <w:r w:rsidRPr="00DF38B2">
        <w:t xml:space="preserve">It appears that the rate of child protection substantiations for Indigenous children in the Northern Territory has been increasing </w:t>
      </w:r>
      <w:r>
        <w:t>over the period</w:t>
      </w:r>
      <w:r w:rsidRPr="00DF38B2">
        <w:t xml:space="preserve"> 2007-08 to 2011-12. There have been two large increases over the time period. The first occurred between 2008-09 and 2009-10 when the rate of child protection substantiations increased from 27</w:t>
      </w:r>
      <w:r>
        <w:t>.0</w:t>
      </w:r>
      <w:r w:rsidRPr="00DF38B2">
        <w:t xml:space="preserve"> to 36.4</w:t>
      </w:r>
      <w:r w:rsidRPr="00FE502F">
        <w:t> per 1,000 children. There was a further increase between 2009</w:t>
      </w:r>
      <w:r w:rsidRPr="009655C3">
        <w:t xml:space="preserve">-10 </w:t>
      </w:r>
      <w:r>
        <w:t>and</w:t>
      </w:r>
      <w:r w:rsidRPr="009655C3">
        <w:t xml:space="preserve"> 2010</w:t>
      </w:r>
      <w:r w:rsidRPr="00DF38B2">
        <w:t>-11</w:t>
      </w:r>
      <w:r>
        <w:t>,</w:t>
      </w:r>
      <w:r w:rsidRPr="00DF38B2">
        <w:t xml:space="preserve"> from 36.4 per 1,000 children to 51.6 per 1,000 children. </w:t>
      </w:r>
    </w:p>
    <w:p w:rsidR="002B02A7" w:rsidRPr="00DF38B2" w:rsidRDefault="002B02A7" w:rsidP="006654AE">
      <w:r w:rsidRPr="00DF38B2">
        <w:t>There is an interesting point to note in compar</w:t>
      </w:r>
      <w:r>
        <w:t xml:space="preserve">ing </w:t>
      </w:r>
      <w:r w:rsidRPr="00DF38B2">
        <w:t xml:space="preserve">the Northern Territory to the Australian pattern, as the rate of </w:t>
      </w:r>
      <w:r w:rsidR="00095720">
        <w:t xml:space="preserve">Indigenous </w:t>
      </w:r>
      <w:r w:rsidRPr="00DF38B2">
        <w:t xml:space="preserve">child protection substantiation was higher for Australia compared to the Northern Territory prior to 2009-10. Since then, the rate in the Northern Territory has surpassed that of the Australian pattern. </w:t>
      </w:r>
    </w:p>
    <w:p w:rsidR="002B02A7" w:rsidRPr="00DF38B2" w:rsidRDefault="002B02A7" w:rsidP="006654AE">
      <w:r w:rsidRPr="00DF38B2">
        <w:t xml:space="preserve">These trends are difficult to interpret because they are derived from reported and investigated cases and do not necessarily reflect changes in the underlying rate of child </w:t>
      </w:r>
      <w:r w:rsidR="006960EE">
        <w:t xml:space="preserve">neglect, </w:t>
      </w:r>
      <w:r w:rsidRPr="00DF38B2">
        <w:t>abuse and maltreatment. There have been a number of significant changes to the child protection system and other service delivery systems in the</w:t>
      </w:r>
      <w:r>
        <w:t xml:space="preserve"> Northern Territory </w:t>
      </w:r>
      <w:r w:rsidRPr="00DF38B2">
        <w:t xml:space="preserve">following the </w:t>
      </w:r>
      <w:r>
        <w:t>“</w:t>
      </w:r>
      <w:r w:rsidRPr="00DF38B2">
        <w:t>Bath</w:t>
      </w:r>
      <w:r>
        <w:t>”</w:t>
      </w:r>
      <w:r w:rsidRPr="00DF38B2">
        <w:t xml:space="preserve"> report into child protection in the</w:t>
      </w:r>
      <w:r>
        <w:t xml:space="preserve"> Northern Territory </w:t>
      </w:r>
      <w:r w:rsidRPr="00DF38B2">
        <w:lastRenderedPageBreak/>
        <w:t>(</w:t>
      </w:r>
      <w:proofErr w:type="spellStart"/>
      <w:r w:rsidRPr="00DF38B2">
        <w:t>Bamblett</w:t>
      </w:r>
      <w:proofErr w:type="spellEnd"/>
      <w:r w:rsidRPr="00DF38B2">
        <w:t xml:space="preserve">, Bath and </w:t>
      </w:r>
      <w:proofErr w:type="spellStart"/>
      <w:r w:rsidRPr="00DF38B2">
        <w:t>Roseby</w:t>
      </w:r>
      <w:proofErr w:type="spellEnd"/>
      <w:r w:rsidRPr="00DF38B2">
        <w:t>, 2010)</w:t>
      </w:r>
      <w:r>
        <w:t>,</w:t>
      </w:r>
      <w:r w:rsidRPr="00DF38B2">
        <w:t xml:space="preserve"> which have impacted on rates of reporting in the Northern Territory over this period.</w:t>
      </w:r>
    </w:p>
    <w:p w:rsidR="00FE1A6A" w:rsidRDefault="00F62BE9" w:rsidP="006654AE">
      <w:r>
        <w:t xml:space="preserve">While detailed data for 2013 is not yet available initial data published by AIHW indicates that across the Northern Territory the number of </w:t>
      </w:r>
      <w:r w:rsidRPr="00F62BE9">
        <w:t xml:space="preserve">children </w:t>
      </w:r>
      <w:r>
        <w:t xml:space="preserve">aged between 0 and 17 years </w:t>
      </w:r>
      <w:r w:rsidRPr="00F62BE9">
        <w:t>on care and protection orders has increased from 11.1 per 1000 children as at 30 June in 2010 to 11.6 in 2011, 12.5 in 2012 and 12.9 in 2013. (AIHW</w:t>
      </w:r>
      <w:r w:rsidR="008B284B">
        <w:t>,</w:t>
      </w:r>
      <w:r w:rsidRPr="00F62BE9">
        <w:t xml:space="preserve"> 2014</w:t>
      </w:r>
      <w:r>
        <w:t xml:space="preserve"> Table 4.5</w:t>
      </w:r>
      <w:r w:rsidRPr="00F62BE9">
        <w:t>)</w:t>
      </w:r>
    </w:p>
    <w:p w:rsidR="00535C84" w:rsidRPr="00DF38B2" w:rsidRDefault="00535C84" w:rsidP="006654AE">
      <w:pPr>
        <w:pStyle w:val="Heading2"/>
      </w:pPr>
      <w:bookmarkStart w:id="547" w:name="_Toc398131300"/>
      <w:bookmarkStart w:id="548" w:name="_Toc403739103"/>
      <w:bookmarkEnd w:id="547"/>
      <w:r w:rsidRPr="00DF38B2">
        <w:t xml:space="preserve">Impact on </w:t>
      </w:r>
      <w:r w:rsidR="00900637">
        <w:t>a</w:t>
      </w:r>
      <w:r w:rsidRPr="00DF38B2">
        <w:t>lcohol consumption and consequences</w:t>
      </w:r>
      <w:bookmarkEnd w:id="548"/>
    </w:p>
    <w:p w:rsidR="00535C84" w:rsidRPr="00DF38B2" w:rsidRDefault="00535C84" w:rsidP="006654AE">
      <w:r w:rsidRPr="00DF38B2">
        <w:t>This second part of this chapter is primarily focused on the level of alcohol consumption and its consequences</w:t>
      </w:r>
      <w:r w:rsidR="00A1421A">
        <w:t xml:space="preserve">. </w:t>
      </w:r>
      <w:r w:rsidRPr="00DF38B2">
        <w:t>In this latter we have included imprisonment rates</w:t>
      </w:r>
      <w:r w:rsidR="00900637">
        <w:t>,</w:t>
      </w:r>
      <w:r w:rsidRPr="00DF38B2">
        <w:t xml:space="preserve"> as alcohol is a major contributor to this in the Northern Territory</w:t>
      </w:r>
      <w:r w:rsidR="00A1421A">
        <w:t xml:space="preserve">. </w:t>
      </w:r>
      <w:r w:rsidRPr="00DF38B2">
        <w:t xml:space="preserve">It is recognised that income management has sought not </w:t>
      </w:r>
      <w:r w:rsidR="00900637">
        <w:t>merely</w:t>
      </w:r>
      <w:r w:rsidRPr="00DF38B2">
        <w:t xml:space="preserve"> t</w:t>
      </w:r>
      <w:r w:rsidR="00900637">
        <w:t>he</w:t>
      </w:r>
      <w:r w:rsidRPr="00DF38B2">
        <w:t xml:space="preserve"> control</w:t>
      </w:r>
      <w:r w:rsidR="00900637">
        <w:t xml:space="preserve"> of</w:t>
      </w:r>
      <w:r w:rsidRPr="00DF38B2">
        <w:t xml:space="preserve"> alcohol consumption, but also that of tobacco and the extent to which people gamble</w:t>
      </w:r>
      <w:r w:rsidR="00A1421A">
        <w:t xml:space="preserve">. </w:t>
      </w:r>
      <w:r w:rsidRPr="00DF38B2">
        <w:t>These latter two are not considered here</w:t>
      </w:r>
      <w:r w:rsidR="00A1421A">
        <w:t xml:space="preserve">. </w:t>
      </w:r>
      <w:r w:rsidRPr="00DF38B2">
        <w:t>In the first instance there is limited data available on tobacco expenditure and consumption of a nature suitable for aggregate analysis, although we do consider some self-reported data on smoking</w:t>
      </w:r>
      <w:r w:rsidR="00900637">
        <w:t>,</w:t>
      </w:r>
      <w:r w:rsidRPr="00DF38B2">
        <w:t xml:space="preserve"> and Chapter 6 considers some details on tobacco sales at some stores. The major concerns about gambling, especially in communities, </w:t>
      </w:r>
      <w:r w:rsidR="006960EE">
        <w:t xml:space="preserve">relate to </w:t>
      </w:r>
      <w:r w:rsidRPr="00DF38B2">
        <w:t xml:space="preserve">informal gambling – typically card games organised at the community level. </w:t>
      </w:r>
    </w:p>
    <w:p w:rsidR="00535C84" w:rsidRPr="00DF38B2" w:rsidRDefault="00535C84" w:rsidP="006654AE">
      <w:pPr>
        <w:pStyle w:val="Heading3"/>
      </w:pPr>
      <w:bookmarkStart w:id="549" w:name="_Toc403739104"/>
      <w:r w:rsidRPr="00DF38B2">
        <w:t>Alcohol consumption per capita</w:t>
      </w:r>
      <w:bookmarkEnd w:id="549"/>
    </w:p>
    <w:p w:rsidR="00535C84" w:rsidRPr="00DF38B2" w:rsidRDefault="00535C84" w:rsidP="006654AE">
      <w:r w:rsidRPr="00DF38B2">
        <w:t xml:space="preserve">This section provides an overview of alcohol consumption in the Northern Territory for the period 2005 to 2012. The </w:t>
      </w:r>
      <w:r w:rsidR="00D5404D">
        <w:t>data are</w:t>
      </w:r>
      <w:r w:rsidRPr="00DF38B2">
        <w:t xml:space="preserve"> from the Department of Business in the Northern Territory. The measure of alcohol includes beer, spirits</w:t>
      </w:r>
      <w:r w:rsidR="00900637">
        <w:t>,</w:t>
      </w:r>
      <w:r w:rsidRPr="00DF38B2">
        <w:t xml:space="preserve"> and wine. </w:t>
      </w:r>
      <w:r w:rsidRPr="008E4D9D">
        <w:fldChar w:fldCharType="begin"/>
      </w:r>
      <w:r w:rsidRPr="00DF38B2">
        <w:instrText xml:space="preserve"> REF _Ref391036072 \h </w:instrText>
      </w:r>
      <w:r w:rsidRPr="008E4D9D">
        <w:fldChar w:fldCharType="separate"/>
      </w:r>
      <w:r w:rsidR="00906D13" w:rsidRPr="00DF38B2">
        <w:t xml:space="preserve">Figure </w:t>
      </w:r>
      <w:r w:rsidR="00906D13">
        <w:rPr>
          <w:noProof/>
        </w:rPr>
        <w:t>9</w:t>
      </w:r>
      <w:r w:rsidR="00906D13" w:rsidRPr="00DF38B2">
        <w:noBreakHyphen/>
      </w:r>
      <w:r w:rsidR="00906D13">
        <w:rPr>
          <w:noProof/>
        </w:rPr>
        <w:t>17</w:t>
      </w:r>
      <w:r w:rsidRPr="008E4D9D">
        <w:fldChar w:fldCharType="end"/>
      </w:r>
      <w:r w:rsidRPr="009655C3">
        <w:t xml:space="preserve"> shows per capita alcohol </w:t>
      </w:r>
      <w:r w:rsidR="006960EE">
        <w:t xml:space="preserve">(pure content) </w:t>
      </w:r>
      <w:r w:rsidRPr="009655C3">
        <w:t>consumption in the Northern Territory over the period 2002 to 2012. The consumption per capita in the Northern Territory was exhibiting an increasing trend in the period of 2002 to 2005. Since 2005, the consumption per capita has been declining over time. Per capita alcohol co</w:t>
      </w:r>
      <w:r w:rsidRPr="00DF38B2">
        <w:t xml:space="preserve">nsumption increased from just </w:t>
      </w:r>
      <w:proofErr w:type="gramStart"/>
      <w:r w:rsidRPr="00DF38B2">
        <w:t>under</w:t>
      </w:r>
      <w:proofErr w:type="gramEnd"/>
      <w:r w:rsidRPr="00DF38B2">
        <w:t xml:space="preserve"> 14 litres per capita in 2002 to a little over 15 litres per capita in 2005. Between 2005 and 2011 per capita alcohol consumption has steadily decreased. There was a very slight increase between 2011 and 2012, but more recent </w:t>
      </w:r>
      <w:r w:rsidR="00D5404D">
        <w:t>data are</w:t>
      </w:r>
      <w:r w:rsidRPr="00DF38B2">
        <w:t xml:space="preserve"> required in order to</w:t>
      </w:r>
      <w:r w:rsidR="00900637">
        <w:t xml:space="preserve"> determine</w:t>
      </w:r>
      <w:r w:rsidRPr="00DF38B2">
        <w:t xml:space="preserve"> whether the increase is sustained. This decline in alcohol consumption commenced prior to the introduction of NTER Income Management. Focusing on the NTER Income Management to New Income Management transition period, between 2008 and 2009, per capita alcohol consumption fell by 2.8 per cent</w:t>
      </w:r>
      <w:r w:rsidR="00C36273">
        <w:t>; while</w:t>
      </w:r>
      <w:r w:rsidRPr="00DF38B2">
        <w:t xml:space="preserve"> between 2010 and 2011 it fell a further 1.5 per cent. </w:t>
      </w:r>
    </w:p>
    <w:p w:rsidR="00535C84" w:rsidRPr="00DF38B2" w:rsidRDefault="00535C84" w:rsidP="006654AE">
      <w:pPr>
        <w:pStyle w:val="Caption"/>
      </w:pPr>
      <w:bookmarkStart w:id="550" w:name="_Ref391036072"/>
      <w:bookmarkStart w:id="551" w:name="_Toc40373957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17</w:t>
      </w:r>
      <w:r w:rsidR="00040708" w:rsidRPr="00F157EE">
        <w:fldChar w:fldCharType="end"/>
      </w:r>
      <w:bookmarkEnd w:id="550"/>
      <w:r w:rsidRPr="00DF38B2">
        <w:tab/>
        <w:t>Alcohol consumption per capita</w:t>
      </w:r>
      <w:r w:rsidR="00893CD8">
        <w:t xml:space="preserve"> in the Northern Territory, 2002</w:t>
      </w:r>
      <w:r w:rsidR="00C36273">
        <w:t>–</w:t>
      </w:r>
      <w:r w:rsidRPr="00DF38B2">
        <w:t>2012</w:t>
      </w:r>
      <w:bookmarkEnd w:id="551"/>
    </w:p>
    <w:p w:rsidR="00535C84" w:rsidRPr="00DF38B2" w:rsidRDefault="00535C84" w:rsidP="006654AE">
      <w:pPr>
        <w:pStyle w:val="graphicpaste"/>
      </w:pPr>
      <w:r w:rsidRPr="008E4D9D">
        <w:rPr>
          <w:noProof/>
        </w:rPr>
        <w:drawing>
          <wp:inline distT="0" distB="0" distL="0" distR="0" wp14:anchorId="350B30DB" wp14:editId="095E061F">
            <wp:extent cx="4572000" cy="2628900"/>
            <wp:effectExtent l="0" t="0" r="0" b="0"/>
            <wp:docPr id="115" name="Picture 115" descr="This chart plots the alcohol consumption rate per capita in the NT over time 2002-2012. The introduction of the NTER (2007) and NIM (2010) are illustrated on the chart. Consumption appeared to peak in 2005 and has declined until 2011. This is discussed in detail above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rsidR="00535C84" w:rsidRDefault="00535C84" w:rsidP="006654AE">
      <w:pPr>
        <w:pStyle w:val="tablenotes"/>
        <w:ind w:left="1482" w:hanging="915"/>
      </w:pPr>
      <w:r w:rsidRPr="00FE502F">
        <w:t>Source:</w:t>
      </w:r>
      <w:r w:rsidRPr="00FE502F">
        <w:tab/>
      </w:r>
      <w:r w:rsidR="00893CD8" w:rsidRPr="00893CD8">
        <w:t>Northern Territory Department of Justice (2009)</w:t>
      </w:r>
      <w:r w:rsidR="00893CD8">
        <w:t xml:space="preserve"> &amp; </w:t>
      </w:r>
      <w:r w:rsidRPr="00FE502F">
        <w:t xml:space="preserve">Northern Territory Department of Business </w:t>
      </w:r>
      <w:r w:rsidR="00D304D0">
        <w:t>(2013</w:t>
      </w:r>
      <w:r w:rsidR="00DB6DF1">
        <w:t>)</w:t>
      </w:r>
      <w:r w:rsidR="00D304D0">
        <w:t>.</w:t>
      </w:r>
    </w:p>
    <w:p w:rsidR="00FE1A6A" w:rsidRPr="00FE502F" w:rsidRDefault="00FE1A6A" w:rsidP="006654AE">
      <w:pPr>
        <w:pStyle w:val="tablefootnoteslastline"/>
      </w:pPr>
    </w:p>
    <w:p w:rsidR="00535C84" w:rsidRPr="00DF38B2" w:rsidRDefault="00535C84" w:rsidP="006654AE">
      <w:r w:rsidRPr="009655C3">
        <w:t xml:space="preserve">Regional data on wholesale alcohol supply is not available on a per capita basis for the Northern Territory. </w:t>
      </w:r>
      <w:r w:rsidR="00171E9A">
        <w:t>H</w:t>
      </w:r>
      <w:r w:rsidR="00171E9A" w:rsidRPr="00DF38B2">
        <w:t>owever</w:t>
      </w:r>
      <w:r w:rsidR="00171E9A">
        <w:t>, t</w:t>
      </w:r>
      <w:r w:rsidRPr="009655C3">
        <w:t>otal wholesale supply by regi</w:t>
      </w:r>
      <w:r w:rsidRPr="00DF38B2">
        <w:t xml:space="preserve">on is available. While per capita alcohol consumption has fallen for the Northern Territory, the wholesale alcohol supply increased from 2,349,028 litres of pure alcohol </w:t>
      </w:r>
      <w:r w:rsidRPr="00DF38B2">
        <w:lastRenderedPageBreak/>
        <w:t>content in 2000-01 to 2,651,375 in 2012-13. Over the period 2000-01 to 2012-13 wholesale alcohol supply increased by 12.9 per cent across the Northern Territory. There were significant differences across regions</w:t>
      </w:r>
      <w:r w:rsidR="00171E9A">
        <w:t>,</w:t>
      </w:r>
      <w:r w:rsidRPr="00DF38B2">
        <w:t xml:space="preserve"> with increases of 61.6 per cent in Palmerston, 22.3 per cent in Darwin, 22.9 per cent in Katherine, 14.6 per cent in Tennant Creek</w:t>
      </w:r>
      <w:r w:rsidR="00171E9A">
        <w:t>,</w:t>
      </w:r>
      <w:r w:rsidRPr="00DF38B2">
        <w:t xml:space="preserve"> and 13.0 per cent in the </w:t>
      </w:r>
      <w:r w:rsidR="00171E9A">
        <w:t xml:space="preserve">balance of the </w:t>
      </w:r>
      <w:r w:rsidRPr="00DF38B2">
        <w:t>Northern Territory. There were decreases of 23.9 per cent in Alice Springs and 7.9 per cent in Nhulunbuy. If Alice Springs is excluded</w:t>
      </w:r>
      <w:r w:rsidR="00171E9A">
        <w:t>,</w:t>
      </w:r>
      <w:r w:rsidRPr="00DF38B2">
        <w:t xml:space="preserve"> then wholesale alcohol supply increased in the Northern Territory by 23.8 per cent</w:t>
      </w:r>
      <w:r w:rsidR="00A1421A">
        <w:t xml:space="preserve">. </w:t>
      </w:r>
      <w:r w:rsidRPr="00DF38B2">
        <w:t>The increases on wholesale alcohol supply while per capita alcohol consumption is falling appears to be largely explained by population increases.</w:t>
      </w:r>
    </w:p>
    <w:p w:rsidR="00535C84" w:rsidRPr="00DF38B2" w:rsidRDefault="00535C84" w:rsidP="006654AE">
      <w:r w:rsidRPr="003D75FE">
        <w:fldChar w:fldCharType="begin"/>
      </w:r>
      <w:r w:rsidRPr="00DF38B2">
        <w:instrText xml:space="preserve"> REF _Ref391549131 \h </w:instrText>
      </w:r>
      <w:r w:rsidRPr="003D75FE">
        <w:fldChar w:fldCharType="separate"/>
      </w:r>
      <w:r w:rsidR="00906D13" w:rsidRPr="00DF38B2">
        <w:t xml:space="preserve">Figure </w:t>
      </w:r>
      <w:r w:rsidR="00906D13">
        <w:rPr>
          <w:noProof/>
        </w:rPr>
        <w:t>9</w:t>
      </w:r>
      <w:r w:rsidR="00906D13" w:rsidRPr="00DF38B2">
        <w:noBreakHyphen/>
      </w:r>
      <w:r w:rsidR="00906D13">
        <w:rPr>
          <w:noProof/>
        </w:rPr>
        <w:t>18</w:t>
      </w:r>
      <w:r w:rsidRPr="003D75FE">
        <w:fldChar w:fldCharType="end"/>
      </w:r>
      <w:r w:rsidRPr="00DF38B2">
        <w:t xml:space="preserve"> charts wholesale alcohol supply by broad geographic regions in the Northern Territory. Inspection of the time trends in wholesale alcohol supply by regions reveals that there is no obvious association between the introduction of the NTER Income Management </w:t>
      </w:r>
      <w:r w:rsidR="00171E9A">
        <w:t xml:space="preserve">– </w:t>
      </w:r>
      <w:r w:rsidRPr="00DF38B2">
        <w:t>and other NTER initiatives</w:t>
      </w:r>
      <w:r w:rsidR="00171E9A">
        <w:t xml:space="preserve"> –</w:t>
      </w:r>
      <w:r w:rsidRPr="00DF38B2">
        <w:t xml:space="preserve"> and wholesale alcohol supply</w:t>
      </w:r>
      <w:r w:rsidR="00171E9A">
        <w:t>,</w:t>
      </w:r>
      <w:r w:rsidRPr="00DF38B2">
        <w:t xml:space="preserve"> or with the transition from NTER Income Management to New Income Management in the second half of 2010. </w:t>
      </w:r>
    </w:p>
    <w:p w:rsidR="00535C84" w:rsidRPr="00DF38B2" w:rsidRDefault="00535C84" w:rsidP="006654AE">
      <w:pPr>
        <w:pStyle w:val="Caption"/>
        <w:ind w:left="1439" w:hanging="1155"/>
      </w:pPr>
      <w:bookmarkStart w:id="552" w:name="_Ref391549131"/>
      <w:bookmarkStart w:id="553" w:name="_Toc40373957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18</w:t>
      </w:r>
      <w:r w:rsidR="00040708" w:rsidRPr="00F157EE">
        <w:fldChar w:fldCharType="end"/>
      </w:r>
      <w:bookmarkEnd w:id="552"/>
      <w:r w:rsidRPr="00DF38B2">
        <w:tab/>
        <w:t>Wholesale alcohol supply in the Northern Territory by region, 200</w:t>
      </w:r>
      <w:r w:rsidR="00893CD8">
        <w:t>2</w:t>
      </w:r>
      <w:r w:rsidRPr="00DF38B2">
        <w:t>–2012</w:t>
      </w:r>
      <w:bookmarkEnd w:id="553"/>
    </w:p>
    <w:p w:rsidR="00535C84" w:rsidRPr="00DF38B2" w:rsidRDefault="00535C84" w:rsidP="006654AE">
      <w:pPr>
        <w:pStyle w:val="graphicpaste"/>
      </w:pPr>
      <w:r w:rsidRPr="008E4D9D">
        <w:rPr>
          <w:noProof/>
        </w:rPr>
        <w:drawing>
          <wp:inline distT="0" distB="0" distL="0" distR="0" wp14:anchorId="771D8E74" wp14:editId="43EEE503">
            <wp:extent cx="4572000" cy="2743200"/>
            <wp:effectExtent l="0" t="0" r="0" b="0"/>
            <wp:docPr id="116" name="Picture 116" descr="This chart plots alcohol supply (measured in terms of litres of pure alcohol content) over time from 2002 to 2012. The chart shows the sales in seven different locations.  The text above discusses the trends in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keepNext w:val="0"/>
        <w:ind w:left="1480" w:hanging="913"/>
      </w:pPr>
      <w:r w:rsidRPr="00DF38B2">
        <w:t>Source:</w:t>
      </w:r>
      <w:r w:rsidRPr="00DF38B2">
        <w:tab/>
      </w:r>
      <w:r w:rsidR="00893CD8" w:rsidRPr="00893CD8">
        <w:t>Northern Territory Department of Justice (2009)</w:t>
      </w:r>
      <w:r w:rsidR="00893CD8">
        <w:t xml:space="preserve"> &amp; </w:t>
      </w:r>
      <w:r w:rsidRPr="00DF38B2">
        <w:t xml:space="preserve">Northern Territory Department of Business </w:t>
      </w:r>
      <w:r w:rsidR="00D304D0">
        <w:t>(2013</w:t>
      </w:r>
      <w:r w:rsidR="00DB6DF1">
        <w:t>)</w:t>
      </w:r>
      <w:r w:rsidR="00D304D0">
        <w:t>.</w:t>
      </w:r>
    </w:p>
    <w:p w:rsidR="00FE1A6A" w:rsidRPr="00DF38B2" w:rsidRDefault="00FE1A6A" w:rsidP="006654AE">
      <w:pPr>
        <w:pStyle w:val="tablefootnoteslastline"/>
      </w:pPr>
    </w:p>
    <w:p w:rsidR="00535C84" w:rsidRPr="00F157EE" w:rsidRDefault="00535C84" w:rsidP="006654AE">
      <w:pPr>
        <w:pStyle w:val="Heading3"/>
      </w:pPr>
      <w:bookmarkStart w:id="554" w:name="_Toc403739105"/>
      <w:r w:rsidRPr="00F157EE">
        <w:t>Alcohol</w:t>
      </w:r>
      <w:r w:rsidR="00171E9A">
        <w:t>-</w:t>
      </w:r>
      <w:r w:rsidRPr="00F157EE">
        <w:t>related presentations to emergency departments and public hospitals</w:t>
      </w:r>
      <w:bookmarkEnd w:id="554"/>
    </w:p>
    <w:p w:rsidR="00535C84" w:rsidRPr="00DF38B2" w:rsidRDefault="00535C84" w:rsidP="006654AE">
      <w:r w:rsidRPr="00DF38B2">
        <w:t xml:space="preserve">Concern about alcohol consumption is of course motivated by the adverse outcomes </w:t>
      </w:r>
      <w:r w:rsidR="00593B60">
        <w:t xml:space="preserve">resulting </w:t>
      </w:r>
      <w:r w:rsidRPr="00DF38B2">
        <w:t>from excessive consumption</w:t>
      </w:r>
      <w:r w:rsidR="00A1421A">
        <w:t xml:space="preserve">. </w:t>
      </w:r>
      <w:r w:rsidRPr="00DF38B2">
        <w:t xml:space="preserve">These cause concern </w:t>
      </w:r>
      <w:r w:rsidR="00593B60">
        <w:t>amongst health services (as well other services)</w:t>
      </w:r>
      <w:r w:rsidR="00FE0C92">
        <w:t>, which</w:t>
      </w:r>
      <w:r w:rsidRPr="00DF38B2">
        <w:t xml:space="preserve"> are frequently required to deal with </w:t>
      </w:r>
      <w:r w:rsidR="00593B60">
        <w:t xml:space="preserve">both the direct health consequences such as alcohol poisoning as well as </w:t>
      </w:r>
      <w:r w:rsidRPr="00DF38B2">
        <w:t>the consequences of alcohol</w:t>
      </w:r>
      <w:r w:rsidR="00FE0C92">
        <w:t>-</w:t>
      </w:r>
      <w:r w:rsidRPr="00DF38B2">
        <w:t xml:space="preserve">fuelled violence and other behaviours. Because of this health services have </w:t>
      </w:r>
      <w:r w:rsidR="00FE0C92">
        <w:t>implemented</w:t>
      </w:r>
      <w:r w:rsidRPr="00DF38B2">
        <w:t xml:space="preserve"> robust data collections</w:t>
      </w:r>
      <w:r w:rsidR="00E731B8">
        <w:t xml:space="preserve"> on whether alcohol abuse is a factor in </w:t>
      </w:r>
      <w:r w:rsidR="00ED4223">
        <w:t>presentations and admissions</w:t>
      </w:r>
      <w:r w:rsidRPr="00DF38B2">
        <w:t>, one of which is considered here.</w:t>
      </w:r>
    </w:p>
    <w:p w:rsidR="00535C84" w:rsidRPr="00DF38B2" w:rsidRDefault="00535C84" w:rsidP="006654AE">
      <w:r w:rsidRPr="00DF38B2">
        <w:t xml:space="preserve">Data </w:t>
      </w:r>
      <w:r w:rsidR="00D5404D">
        <w:t>are</w:t>
      </w:r>
      <w:r w:rsidRPr="00DF38B2">
        <w:t xml:space="preserve"> available on the number of presentations to emergency departments and hospital admissions</w:t>
      </w:r>
      <w:r w:rsidR="00FE0C92">
        <w:t xml:space="preserve"> that </w:t>
      </w:r>
      <w:r w:rsidRPr="00DF38B2">
        <w:t>are alcohol</w:t>
      </w:r>
      <w:r w:rsidR="00FE0C92">
        <w:t>-</w:t>
      </w:r>
      <w:r w:rsidRPr="00DF38B2">
        <w:t>related. The number of alcohol</w:t>
      </w:r>
      <w:r w:rsidR="00FE0C92">
        <w:t>-</w:t>
      </w:r>
      <w:r w:rsidRPr="00DF38B2">
        <w:t>related emergency department presentations and admissions for Indigenous people in the Northern Territory increased from around 70 to 80 per month during the second half of 2005 to between 328 and 479 per month during the second half of 2013 (</w:t>
      </w:r>
      <w:r w:rsidRPr="003D75FE">
        <w:fldChar w:fldCharType="begin"/>
      </w:r>
      <w:r w:rsidRPr="00DF38B2">
        <w:instrText xml:space="preserve"> REF _Ref391530743 \h </w:instrText>
      </w:r>
      <w:r w:rsidRPr="003D75FE">
        <w:fldChar w:fldCharType="separate"/>
      </w:r>
      <w:r w:rsidR="00906D13" w:rsidRPr="00DF38B2">
        <w:t xml:space="preserve">Figure </w:t>
      </w:r>
      <w:r w:rsidR="00906D13">
        <w:rPr>
          <w:noProof/>
        </w:rPr>
        <w:t>9</w:t>
      </w:r>
      <w:r w:rsidR="00906D13" w:rsidRPr="00DF38B2">
        <w:noBreakHyphen/>
      </w:r>
      <w:r w:rsidR="00906D13">
        <w:rPr>
          <w:noProof/>
        </w:rPr>
        <w:t>19</w:t>
      </w:r>
      <w:r w:rsidRPr="003D75FE">
        <w:fldChar w:fldCharType="end"/>
      </w:r>
      <w:r w:rsidRPr="00DF38B2">
        <w:t xml:space="preserve">). The number of </w:t>
      </w:r>
      <w:r w:rsidR="00FE0C92">
        <w:t>alcohol-related</w:t>
      </w:r>
      <w:r w:rsidRPr="00DF38B2">
        <w:t xml:space="preserve"> presentations to the public hospital system is much lower for the non-Indigenous population, but also increased, from around 20 to 30 per month in the second half of 20005 to around 50 per month during the second half of 2013. There are no apparent changes in the number of </w:t>
      </w:r>
      <w:r w:rsidR="00FE0C92">
        <w:t>alcohol-related</w:t>
      </w:r>
      <w:r w:rsidRPr="00DF38B2">
        <w:t xml:space="preserve"> hospital presentations that are clearly associated with the introduction of the NTER Income Management or New Income Management.</w:t>
      </w:r>
    </w:p>
    <w:p w:rsidR="00535C84" w:rsidRPr="00DF38B2" w:rsidRDefault="00535C84" w:rsidP="006654AE">
      <w:r w:rsidRPr="003D75FE">
        <w:lastRenderedPageBreak/>
        <w:fldChar w:fldCharType="begin"/>
      </w:r>
      <w:r w:rsidRPr="00DF38B2">
        <w:instrText xml:space="preserve"> REF _Ref391530939 \h </w:instrText>
      </w:r>
      <w:r w:rsidRPr="003D75FE">
        <w:fldChar w:fldCharType="separate"/>
      </w:r>
      <w:r w:rsidR="00906D13" w:rsidRPr="00DF38B2">
        <w:t xml:space="preserve">Figure </w:t>
      </w:r>
      <w:r w:rsidR="00906D13">
        <w:rPr>
          <w:noProof/>
        </w:rPr>
        <w:t>9</w:t>
      </w:r>
      <w:r w:rsidR="00906D13" w:rsidRPr="00DF38B2">
        <w:noBreakHyphen/>
      </w:r>
      <w:r w:rsidR="00906D13">
        <w:rPr>
          <w:noProof/>
        </w:rPr>
        <w:t>20</w:t>
      </w:r>
      <w:r w:rsidRPr="003D75FE">
        <w:fldChar w:fldCharType="end"/>
      </w:r>
      <w:r w:rsidRPr="00DF38B2">
        <w:t xml:space="preserve"> shows the number of </w:t>
      </w:r>
      <w:r w:rsidR="00FE0C92">
        <w:t>alcohol-related</w:t>
      </w:r>
      <w:r w:rsidRPr="00DF38B2">
        <w:t xml:space="preserve"> presentations to emergency departments and public hospital admissions by hospital. While there have been increases for all hospital (except Gove which has very small numbers of </w:t>
      </w:r>
      <w:r w:rsidR="00FE0C92">
        <w:t>alcohol-related</w:t>
      </w:r>
      <w:r w:rsidRPr="00DF38B2">
        <w:t xml:space="preserve"> presentations), the </w:t>
      </w:r>
      <w:r w:rsidR="00FE0C92">
        <w:t>greatest</w:t>
      </w:r>
      <w:r w:rsidRPr="00DF38B2">
        <w:t xml:space="preserve"> increase by far has been in the Alice Springs Hospital. It is interesting that the increase in </w:t>
      </w:r>
      <w:r w:rsidR="00FE0C92">
        <w:t>alcohol-related</w:t>
      </w:r>
      <w:r w:rsidRPr="00DF38B2">
        <w:t xml:space="preserve"> emergency department presentations and hospital admissions at the Alice Springs Public hospital, despite the decreases in wholesale alcohol supply in the Alice Springs area. </w:t>
      </w:r>
    </w:p>
    <w:p w:rsidR="00535C84" w:rsidRPr="00DF38B2" w:rsidRDefault="00535C84" w:rsidP="006654AE">
      <w:pPr>
        <w:pStyle w:val="Caption"/>
        <w:ind w:left="1439" w:hanging="1155"/>
      </w:pPr>
      <w:bookmarkStart w:id="555" w:name="_Ref391530743"/>
      <w:bookmarkStart w:id="556" w:name="_Toc40373957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19</w:t>
      </w:r>
      <w:r w:rsidR="00040708" w:rsidRPr="00F157EE">
        <w:fldChar w:fldCharType="end"/>
      </w:r>
      <w:bookmarkEnd w:id="555"/>
      <w:r w:rsidRPr="00DF38B2">
        <w:tab/>
      </w:r>
      <w:r w:rsidR="00FE0C92">
        <w:t>Alcohol-related</w:t>
      </w:r>
      <w:r w:rsidRPr="00DF38B2">
        <w:t xml:space="preserve"> emergency department presentations and admissions by </w:t>
      </w:r>
      <w:r w:rsidR="00D40B64">
        <w:t>Indigenous status</w:t>
      </w:r>
      <w:r w:rsidRPr="00DF38B2">
        <w:t>, Northern Territory, 2005</w:t>
      </w:r>
      <w:r w:rsidR="00FE0C92">
        <w:t>–</w:t>
      </w:r>
      <w:r w:rsidRPr="00DF38B2">
        <w:t>2013</w:t>
      </w:r>
      <w:bookmarkEnd w:id="556"/>
    </w:p>
    <w:p w:rsidR="00535C84" w:rsidRPr="00DF38B2" w:rsidRDefault="00535C84" w:rsidP="006654AE">
      <w:pPr>
        <w:pStyle w:val="graphicpaste"/>
      </w:pPr>
      <w:r w:rsidRPr="008E4D9D">
        <w:rPr>
          <w:noProof/>
        </w:rPr>
        <w:drawing>
          <wp:inline distT="0" distB="0" distL="0" distR="0" wp14:anchorId="3ED47B15" wp14:editId="7882AA0B">
            <wp:extent cx="4572000" cy="2743200"/>
            <wp:effectExtent l="0" t="0" r="0" b="0"/>
            <wp:docPr id="117" name="Picture 117" descr="This chart plots on the vertical axis, for non-Indigenous and Indigenous people, the number of admissions and presentations identified as alcohol related in the month from July 2005 to October 2013.&#10;While the data is somewhat noisy it shows that the number of Indigenous admissions and presentations was above that of non-Indigenous people for the whole time period, and that there had been a strong acceleration in the number of Indigenous admissions and presentations since mid-2011.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keepNext w:val="0"/>
        <w:ind w:left="1435" w:hanging="868"/>
      </w:pPr>
      <w:r w:rsidRPr="00DF38B2">
        <w:t xml:space="preserve">Source: </w:t>
      </w:r>
      <w:r w:rsidRPr="00DF38B2">
        <w:tab/>
        <w:t>Northern Territory Government Department of Health (2014), Attachment A</w:t>
      </w:r>
      <w:r w:rsidR="0092331A">
        <w:t>.</w:t>
      </w:r>
    </w:p>
    <w:p w:rsidR="00FE1A6A" w:rsidRPr="00DF38B2" w:rsidRDefault="00FE1A6A" w:rsidP="006654AE">
      <w:pPr>
        <w:pStyle w:val="tablefootnoteslastline"/>
      </w:pPr>
    </w:p>
    <w:p w:rsidR="00535C84" w:rsidRPr="00DF38B2" w:rsidRDefault="00535C84" w:rsidP="006654AE">
      <w:pPr>
        <w:pStyle w:val="Caption"/>
        <w:ind w:left="1439" w:hanging="1155"/>
      </w:pPr>
      <w:bookmarkStart w:id="557" w:name="_Ref391530939"/>
      <w:bookmarkStart w:id="558" w:name="_Toc40373957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20</w:t>
      </w:r>
      <w:r w:rsidR="00040708" w:rsidRPr="00F157EE">
        <w:fldChar w:fldCharType="end"/>
      </w:r>
      <w:bookmarkEnd w:id="557"/>
      <w:r w:rsidRPr="00DF38B2">
        <w:tab/>
      </w:r>
      <w:r w:rsidR="00FE0C92">
        <w:t>Alcohol-related</w:t>
      </w:r>
      <w:r w:rsidRPr="00DF38B2">
        <w:t xml:space="preserve"> emergency department presentations and admissions by </w:t>
      </w:r>
      <w:r w:rsidR="00D40B64">
        <w:t>public hospital</w:t>
      </w:r>
      <w:r w:rsidRPr="00DF38B2">
        <w:t>, Northern Territory, 2005</w:t>
      </w:r>
      <w:r w:rsidR="00FE0C92">
        <w:t>–</w:t>
      </w:r>
      <w:r w:rsidRPr="00DF38B2">
        <w:t>2013</w:t>
      </w:r>
      <w:bookmarkEnd w:id="558"/>
    </w:p>
    <w:p w:rsidR="00535C84" w:rsidRPr="00DF38B2" w:rsidRDefault="00535C84" w:rsidP="006654AE">
      <w:pPr>
        <w:pStyle w:val="graphicpaste"/>
      </w:pPr>
      <w:r w:rsidRPr="008E4D9D">
        <w:rPr>
          <w:noProof/>
        </w:rPr>
        <w:drawing>
          <wp:inline distT="0" distB="0" distL="0" distR="0" wp14:anchorId="47C26AE5" wp14:editId="088BB99F">
            <wp:extent cx="4572000" cy="2743200"/>
            <wp:effectExtent l="0" t="0" r="0" b="0"/>
            <wp:docPr id="118" name="Picture 118" descr="This chart plots the number of admissions and presentations identified as alcohol related in the month from July 2005 to October 2013 for each of 5 hospitals in the Northern Territory. These hospitals are: Alice Springs; Gove; Katherine; Royal Darwin; and Tennant Creek. The chart shows some increase for all hospitals, except for Gove, with a particular strong rise for Alice Springs. These data and some implications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t>Northern Territory Government Department of Health (2014), Attachment A</w:t>
      </w:r>
      <w:r w:rsidR="0092331A">
        <w:t>.</w:t>
      </w:r>
    </w:p>
    <w:p w:rsidR="00FE1A6A" w:rsidRPr="00FE502F" w:rsidRDefault="00FE1A6A" w:rsidP="006654AE">
      <w:pPr>
        <w:pStyle w:val="tablefootnoteslastline"/>
      </w:pPr>
    </w:p>
    <w:p w:rsidR="00535C84" w:rsidRPr="009655C3" w:rsidRDefault="00535C84" w:rsidP="006654AE">
      <w:pPr>
        <w:pStyle w:val="Heading3"/>
      </w:pPr>
      <w:bookmarkStart w:id="559" w:name="_Toc403739106"/>
      <w:r w:rsidRPr="009655C3">
        <w:t>Self-reported consumption measures: tobacco and alcohol</w:t>
      </w:r>
      <w:bookmarkEnd w:id="559"/>
    </w:p>
    <w:p w:rsidR="00535C84" w:rsidRPr="00DF38B2" w:rsidRDefault="00535C84" w:rsidP="006654AE">
      <w:r w:rsidRPr="00DF38B2">
        <w:t>This section provides information on self-reported tobacco</w:t>
      </w:r>
      <w:r w:rsidRPr="00DF38B2">
        <w:rPr>
          <w:rStyle w:val="FootnoteReference"/>
        </w:rPr>
        <w:footnoteReference w:id="132"/>
      </w:r>
      <w:r w:rsidRPr="00DF38B2">
        <w:t xml:space="preserve"> and alcohol consumption by Indigenous people in the Northern Territory. The </w:t>
      </w:r>
      <w:r w:rsidR="00D5404D">
        <w:t>data are</w:t>
      </w:r>
      <w:r w:rsidRPr="00DF38B2">
        <w:t xml:space="preserve"> from the National Aboriginal and Torres Strait Islander </w:t>
      </w:r>
      <w:r w:rsidRPr="00DF38B2">
        <w:lastRenderedPageBreak/>
        <w:t xml:space="preserve">Health Survey (NATSIHS) 2004-05 and the NATSIHS 2012-13. This allows estimates of the extent to which tobacco and alcohol consumption </w:t>
      </w:r>
      <w:proofErr w:type="gramStart"/>
      <w:r w:rsidRPr="00DF38B2">
        <w:t>have</w:t>
      </w:r>
      <w:proofErr w:type="gramEnd"/>
      <w:r w:rsidRPr="00DF38B2">
        <w:t xml:space="preserve"> changed from before the NTER and after the introduction of New Income Management.</w:t>
      </w:r>
    </w:p>
    <w:p w:rsidR="00535C84" w:rsidRPr="00DF38B2" w:rsidRDefault="00A23730" w:rsidP="006654AE">
      <w:r>
        <w:fldChar w:fldCharType="begin"/>
      </w:r>
      <w:r>
        <w:instrText xml:space="preserve"> REF _Ref401834282 \h </w:instrText>
      </w:r>
      <w:r>
        <w:fldChar w:fldCharType="separate"/>
      </w:r>
      <w:r w:rsidR="00906D13">
        <w:t xml:space="preserve">Table </w:t>
      </w:r>
      <w:r w:rsidR="00906D13">
        <w:rPr>
          <w:noProof/>
        </w:rPr>
        <w:t>9</w:t>
      </w:r>
      <w:r w:rsidR="00906D13">
        <w:noBreakHyphen/>
      </w:r>
      <w:r w:rsidR="00906D13">
        <w:rPr>
          <w:noProof/>
        </w:rPr>
        <w:t>10</w:t>
      </w:r>
      <w:r>
        <w:fldChar w:fldCharType="end"/>
      </w:r>
      <w:r>
        <w:t xml:space="preserve"> </w:t>
      </w:r>
      <w:r w:rsidR="00535C84" w:rsidRPr="00DF38B2">
        <w:t>shows the proportion of Indigenous adults who smoke daily</w:t>
      </w:r>
      <w:r w:rsidR="00CB2B07">
        <w:t>,</w:t>
      </w:r>
      <w:r w:rsidR="00535C84" w:rsidRPr="00DF38B2">
        <w:t xml:space="preserve"> the proportion whose alcohol consumption places them at long-term risk</w:t>
      </w:r>
      <w:r w:rsidR="00CB2B07">
        <w:t>,</w:t>
      </w:r>
      <w:r w:rsidR="00535C84" w:rsidRPr="00DF38B2">
        <w:t xml:space="preserve"> and the proportion whose alcohol consumption exceeds lifetime risk guidelines. The proportion </w:t>
      </w:r>
      <w:r w:rsidR="00CB2B07">
        <w:t>of</w:t>
      </w:r>
      <w:r w:rsidR="00593B60">
        <w:t xml:space="preserve"> the population smoking </w:t>
      </w:r>
      <w:r w:rsidR="00535C84" w:rsidRPr="00DF38B2">
        <w:t xml:space="preserve">daily and </w:t>
      </w:r>
      <w:r w:rsidR="00593B60">
        <w:t xml:space="preserve">the proportion </w:t>
      </w:r>
      <w:r w:rsidR="00535C84" w:rsidRPr="00DF38B2">
        <w:t>consuming alcohol at high</w:t>
      </w:r>
      <w:r w:rsidR="00CB2B07">
        <w:t>-</w:t>
      </w:r>
      <w:r w:rsidR="00535C84" w:rsidRPr="00DF38B2">
        <w:t>risk levels were all slightly higher in 2012-13 than in 2004-05, although the relatively small sample sizes m</w:t>
      </w:r>
      <w:r w:rsidR="00CB2B07">
        <w:t>ake</w:t>
      </w:r>
      <w:r w:rsidR="00535C84" w:rsidRPr="00DF38B2">
        <w:t xml:space="preserve"> interpreting small differences as changes problematic. However, the results do not provide any evidence of a positive change having occurred. In the case of smoking</w:t>
      </w:r>
      <w:r w:rsidR="00CB2B07">
        <w:t>,</w:t>
      </w:r>
      <w:r w:rsidR="00535C84" w:rsidRPr="00DF38B2">
        <w:t xml:space="preserve"> the Northern Territory results also need to be compared with broader community level results</w:t>
      </w:r>
      <w:r w:rsidR="00A1421A">
        <w:t xml:space="preserve">. </w:t>
      </w:r>
      <w:r w:rsidR="00535C84" w:rsidRPr="00DF38B2">
        <w:t xml:space="preserve">Data from </w:t>
      </w:r>
      <w:r w:rsidR="00535C84" w:rsidRPr="00DF38B2">
        <w:rPr>
          <w:i/>
        </w:rPr>
        <w:t>Australian Health Survey</w:t>
      </w:r>
      <w:r w:rsidR="00535C84" w:rsidRPr="00DF38B2">
        <w:t xml:space="preserve"> suggest that rates of daily smoking (of people aged 18</w:t>
      </w:r>
      <w:r w:rsidR="00D37FBC" w:rsidRPr="00DF38B2">
        <w:t xml:space="preserve"> </w:t>
      </w:r>
      <w:r w:rsidR="00535C84" w:rsidRPr="00DF38B2">
        <w:t>years and over) fell from 22.4 per cent in 2001 to 18.9 per cent in 2008-08 and 16.1 per cent in 2011-12 (ABS, 2013</w:t>
      </w:r>
      <w:r w:rsidR="00D7119A">
        <w:t>c</w:t>
      </w:r>
      <w:r w:rsidR="00535C84" w:rsidRPr="00DF38B2">
        <w:t xml:space="preserve">). </w:t>
      </w:r>
    </w:p>
    <w:p w:rsidR="00535C84" w:rsidRPr="00DF38B2" w:rsidRDefault="00D40B64" w:rsidP="006654AE">
      <w:pPr>
        <w:pStyle w:val="Caption"/>
      </w:pPr>
      <w:bookmarkStart w:id="560" w:name="_Ref401834282"/>
      <w:bookmarkStart w:id="561" w:name="_Ref401832259"/>
      <w:bookmarkStart w:id="562" w:name="_Toc403739484"/>
      <w:r>
        <w:t xml:space="preserve">Table </w:t>
      </w:r>
      <w:fldSimple w:instr=" STYLEREF 1 \s ">
        <w:r w:rsidR="00906D13">
          <w:rPr>
            <w:noProof/>
          </w:rPr>
          <w:t>9</w:t>
        </w:r>
      </w:fldSimple>
      <w:r>
        <w:noBreakHyphen/>
      </w:r>
      <w:fldSimple w:instr=" SEQ Table \* ARABIC \s 1 ">
        <w:r w:rsidR="00906D13">
          <w:rPr>
            <w:noProof/>
          </w:rPr>
          <w:t>10</w:t>
        </w:r>
      </w:fldSimple>
      <w:bookmarkEnd w:id="560"/>
      <w:r>
        <w:tab/>
      </w:r>
      <w:r w:rsidR="00893CD8">
        <w:t>Rates of s</w:t>
      </w:r>
      <w:r w:rsidR="00535C84" w:rsidRPr="00DF38B2">
        <w:t xml:space="preserve">elf-reported smoking and </w:t>
      </w:r>
      <w:r w:rsidR="00893CD8">
        <w:t xml:space="preserve">risky </w:t>
      </w:r>
      <w:r w:rsidR="00535C84" w:rsidRPr="00DF38B2">
        <w:t xml:space="preserve">alcohol consumption </w:t>
      </w:r>
      <w:r w:rsidR="00893CD8">
        <w:t>by</w:t>
      </w:r>
      <w:r w:rsidR="00535C84" w:rsidRPr="00DF38B2">
        <w:t xml:space="preserve"> Indigenous adults in the Northern Territory</w:t>
      </w:r>
      <w:r w:rsidR="00F74C63">
        <w:t>, 2004-05 and 2012-13</w:t>
      </w:r>
      <w:bookmarkEnd w:id="561"/>
      <w:bookmarkEnd w:id="562"/>
    </w:p>
    <w:tbl>
      <w:tblPr>
        <w:tblW w:w="5529" w:type="dxa"/>
        <w:jc w:val="center"/>
        <w:tblLayout w:type="fixed"/>
        <w:tblLook w:val="04A0" w:firstRow="1" w:lastRow="0" w:firstColumn="1" w:lastColumn="0" w:noHBand="0" w:noVBand="1"/>
        <w:tblDescription w:val="This table provides in its rows the results from the 2004-05 and 2012-13 surveys respectively to three questions about the incidence (as a percentage of the population) of: Daily smoking; Alcohol consumption at long term risk levels; and alcohol consumption exceeding lifetime risk guidelines.&#10;The data in the table is discussed in the text.&#10;"/>
      </w:tblPr>
      <w:tblGrid>
        <w:gridCol w:w="3544"/>
        <w:gridCol w:w="992"/>
        <w:gridCol w:w="993"/>
      </w:tblGrid>
      <w:tr w:rsidR="00535C84" w:rsidRPr="00DF38B2" w:rsidTr="007F5F9B">
        <w:trPr>
          <w:trHeight w:val="240"/>
          <w:tblHeader/>
          <w:jc w:val="center"/>
        </w:trPr>
        <w:tc>
          <w:tcPr>
            <w:tcW w:w="3544" w:type="dxa"/>
            <w:tcBorders>
              <w:top w:val="single" w:sz="2" w:space="0" w:color="auto"/>
              <w:left w:val="nil"/>
              <w:bottom w:val="single" w:sz="4" w:space="0" w:color="auto"/>
              <w:right w:val="nil"/>
            </w:tcBorders>
            <w:shd w:val="clear" w:color="auto" w:fill="auto"/>
            <w:noWrap/>
            <w:vAlign w:val="bottom"/>
            <w:hideMark/>
          </w:tcPr>
          <w:p w:rsidR="00535C84" w:rsidRPr="009655C3" w:rsidRDefault="00535C84" w:rsidP="006654AE">
            <w:pPr>
              <w:pStyle w:val="tabletextleft"/>
            </w:pPr>
          </w:p>
        </w:tc>
        <w:tc>
          <w:tcPr>
            <w:tcW w:w="992" w:type="dxa"/>
            <w:tcBorders>
              <w:top w:val="single" w:sz="2" w:space="0" w:color="auto"/>
              <w:left w:val="nil"/>
              <w:bottom w:val="single" w:sz="4" w:space="0" w:color="auto"/>
              <w:right w:val="nil"/>
            </w:tcBorders>
            <w:shd w:val="clear" w:color="auto" w:fill="auto"/>
            <w:noWrap/>
            <w:vAlign w:val="bottom"/>
            <w:hideMark/>
          </w:tcPr>
          <w:p w:rsidR="00535C84" w:rsidRPr="00DF38B2" w:rsidRDefault="00535C84" w:rsidP="006654AE">
            <w:pPr>
              <w:pStyle w:val="tabletextright"/>
            </w:pPr>
            <w:r w:rsidRPr="00DF38B2">
              <w:t>2004-05</w:t>
            </w:r>
            <w:r w:rsidR="007F5F9B">
              <w:t xml:space="preserve"> (%)</w:t>
            </w:r>
          </w:p>
        </w:tc>
        <w:tc>
          <w:tcPr>
            <w:tcW w:w="993" w:type="dxa"/>
            <w:tcBorders>
              <w:top w:val="single" w:sz="2" w:space="0" w:color="auto"/>
              <w:left w:val="nil"/>
              <w:bottom w:val="single" w:sz="4" w:space="0" w:color="auto"/>
              <w:right w:val="nil"/>
            </w:tcBorders>
            <w:shd w:val="clear" w:color="auto" w:fill="auto"/>
            <w:noWrap/>
            <w:vAlign w:val="bottom"/>
            <w:hideMark/>
          </w:tcPr>
          <w:p w:rsidR="00535C84" w:rsidRPr="00DF38B2" w:rsidRDefault="00535C84" w:rsidP="006654AE">
            <w:pPr>
              <w:pStyle w:val="tabletextright"/>
            </w:pPr>
            <w:r w:rsidRPr="00DF38B2">
              <w:t>2012-13</w:t>
            </w:r>
            <w:r w:rsidR="007F5F9B">
              <w:t xml:space="preserve"> (%)</w:t>
            </w:r>
          </w:p>
        </w:tc>
      </w:tr>
      <w:tr w:rsidR="00535C84" w:rsidRPr="00DF38B2" w:rsidTr="007F5F9B">
        <w:trPr>
          <w:trHeight w:val="255"/>
          <w:jc w:val="center"/>
        </w:trPr>
        <w:tc>
          <w:tcPr>
            <w:tcW w:w="3544"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left"/>
            </w:pPr>
            <w:r w:rsidRPr="00DF38B2">
              <w:t>Daily smoking</w:t>
            </w:r>
          </w:p>
        </w:tc>
        <w:tc>
          <w:tcPr>
            <w:tcW w:w="992"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right"/>
            </w:pPr>
            <w:r w:rsidRPr="00DF38B2">
              <w:t>31</w:t>
            </w:r>
          </w:p>
        </w:tc>
        <w:tc>
          <w:tcPr>
            <w:tcW w:w="993"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right"/>
            </w:pPr>
            <w:r w:rsidRPr="00DF38B2">
              <w:t>34</w:t>
            </w:r>
          </w:p>
        </w:tc>
      </w:tr>
      <w:tr w:rsidR="00535C84" w:rsidRPr="00DF38B2" w:rsidTr="00D40B64">
        <w:trPr>
          <w:trHeight w:val="225"/>
          <w:jc w:val="center"/>
        </w:trPr>
        <w:tc>
          <w:tcPr>
            <w:tcW w:w="3544" w:type="dxa"/>
            <w:tcBorders>
              <w:top w:val="nil"/>
              <w:left w:val="nil"/>
              <w:bottom w:val="nil"/>
              <w:right w:val="nil"/>
            </w:tcBorders>
            <w:shd w:val="clear" w:color="auto" w:fill="auto"/>
            <w:noWrap/>
            <w:vAlign w:val="bottom"/>
            <w:hideMark/>
          </w:tcPr>
          <w:p w:rsidR="00535C84" w:rsidRPr="00DF38B2" w:rsidRDefault="00535C84" w:rsidP="006654AE">
            <w:pPr>
              <w:pStyle w:val="tabletextleft"/>
            </w:pPr>
            <w:r w:rsidRPr="00DF38B2">
              <w:t xml:space="preserve">Alcohol </w:t>
            </w:r>
            <w:r w:rsidR="00CB2B07">
              <w:t>–</w:t>
            </w:r>
            <w:r w:rsidRPr="00DF38B2">
              <w:t xml:space="preserve"> long-term risk</w:t>
            </w:r>
          </w:p>
        </w:tc>
        <w:tc>
          <w:tcPr>
            <w:tcW w:w="992" w:type="dxa"/>
            <w:tcBorders>
              <w:top w:val="nil"/>
              <w:left w:val="nil"/>
              <w:bottom w:val="nil"/>
              <w:right w:val="nil"/>
            </w:tcBorders>
            <w:shd w:val="clear" w:color="auto" w:fill="auto"/>
            <w:noWrap/>
            <w:vAlign w:val="bottom"/>
            <w:hideMark/>
          </w:tcPr>
          <w:p w:rsidR="00535C84" w:rsidRPr="00DF38B2" w:rsidRDefault="00535C84" w:rsidP="006654AE">
            <w:pPr>
              <w:pStyle w:val="tabletextright"/>
            </w:pPr>
            <w:r w:rsidRPr="00DF38B2">
              <w:t>5</w:t>
            </w:r>
          </w:p>
        </w:tc>
        <w:tc>
          <w:tcPr>
            <w:tcW w:w="993" w:type="dxa"/>
            <w:tcBorders>
              <w:top w:val="nil"/>
              <w:left w:val="nil"/>
              <w:bottom w:val="nil"/>
              <w:right w:val="nil"/>
            </w:tcBorders>
            <w:shd w:val="clear" w:color="auto" w:fill="auto"/>
            <w:noWrap/>
            <w:vAlign w:val="bottom"/>
            <w:hideMark/>
          </w:tcPr>
          <w:p w:rsidR="00535C84" w:rsidRPr="00DF38B2" w:rsidRDefault="00535C84" w:rsidP="006654AE">
            <w:pPr>
              <w:pStyle w:val="tabletextright"/>
            </w:pPr>
            <w:r w:rsidRPr="00DF38B2">
              <w:t>6</w:t>
            </w:r>
          </w:p>
        </w:tc>
      </w:tr>
      <w:tr w:rsidR="00535C84" w:rsidRPr="00DF38B2" w:rsidTr="00D40B64">
        <w:trPr>
          <w:trHeight w:val="225"/>
          <w:jc w:val="center"/>
        </w:trPr>
        <w:tc>
          <w:tcPr>
            <w:tcW w:w="3544"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left"/>
            </w:pPr>
            <w:r w:rsidRPr="00DF38B2">
              <w:t xml:space="preserve">Alcohol </w:t>
            </w:r>
            <w:r w:rsidR="00CB2B07">
              <w:t>–</w:t>
            </w:r>
            <w:r w:rsidRPr="00DF38B2">
              <w:t xml:space="preserve"> exceeded lifetime risk guidelines</w:t>
            </w:r>
          </w:p>
        </w:tc>
        <w:tc>
          <w:tcPr>
            <w:tcW w:w="992"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right"/>
            </w:pPr>
            <w:r w:rsidRPr="00DF38B2">
              <w:t>7</w:t>
            </w:r>
          </w:p>
        </w:tc>
        <w:tc>
          <w:tcPr>
            <w:tcW w:w="993"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right"/>
            </w:pPr>
            <w:r w:rsidRPr="00DF38B2">
              <w:t>9</w:t>
            </w:r>
          </w:p>
        </w:tc>
      </w:tr>
    </w:tbl>
    <w:p w:rsidR="00893CD8" w:rsidRDefault="00893CD8" w:rsidP="006654AE">
      <w:pPr>
        <w:pStyle w:val="tablenotes"/>
        <w:ind w:left="1437" w:hanging="870"/>
      </w:pPr>
    </w:p>
    <w:p w:rsidR="00535C84" w:rsidRPr="00DF38B2" w:rsidRDefault="00535C84" w:rsidP="006654AE">
      <w:pPr>
        <w:pStyle w:val="tablenotes"/>
        <w:ind w:left="1437" w:hanging="870"/>
      </w:pPr>
      <w:r w:rsidRPr="00DF38B2">
        <w:t>Notes:</w:t>
      </w:r>
      <w:r w:rsidRPr="00DF38B2">
        <w:tab/>
        <w:t>The consumption of alcohol at long-term risk levels is based upon the 2001 NHMRC Guidelines</w:t>
      </w:r>
      <w:r w:rsidR="00CB2B07">
        <w:t>;</w:t>
      </w:r>
      <w:r w:rsidRPr="00DF38B2">
        <w:t xml:space="preserve"> the measure of alcohol consumption exceeding the lifetime risk guidelines is based on the 2009 NHMRC Guidelines.</w:t>
      </w:r>
    </w:p>
    <w:p w:rsidR="00535C84" w:rsidRPr="00DF38B2" w:rsidRDefault="00535C84" w:rsidP="006654AE">
      <w:pPr>
        <w:pStyle w:val="tablenotes"/>
        <w:ind w:left="1437" w:hanging="870"/>
      </w:pPr>
      <w:r w:rsidRPr="00DF38B2">
        <w:t xml:space="preserve">Source: </w:t>
      </w:r>
      <w:r w:rsidRPr="00DF38B2">
        <w:tab/>
      </w:r>
      <w:r w:rsidR="00BE5FEA">
        <w:t>ABS</w:t>
      </w:r>
      <w:r w:rsidRPr="00DF38B2">
        <w:t>, Customised cross-tabulations form the NATSIHS 2004-05 and NATSIHS 2012-13.</w:t>
      </w:r>
    </w:p>
    <w:p w:rsidR="00535C84" w:rsidRPr="00DF38B2" w:rsidRDefault="00535C84" w:rsidP="006654AE">
      <w:pPr>
        <w:pStyle w:val="tablefootnoteslastline"/>
      </w:pPr>
    </w:p>
    <w:p w:rsidR="00535C84" w:rsidRPr="00DF38B2" w:rsidRDefault="00535C84" w:rsidP="006654AE">
      <w:pPr>
        <w:pStyle w:val="Heading3"/>
      </w:pPr>
      <w:bookmarkStart w:id="563" w:name="_Toc403739107"/>
      <w:r w:rsidRPr="00DF38B2">
        <w:t xml:space="preserve">Crime and </w:t>
      </w:r>
      <w:r w:rsidR="00FE0C92">
        <w:t>alcohol-related</w:t>
      </w:r>
      <w:r w:rsidRPr="00DF38B2">
        <w:t xml:space="preserve"> crime</w:t>
      </w:r>
      <w:bookmarkEnd w:id="563"/>
    </w:p>
    <w:p w:rsidR="00535C84" w:rsidRPr="00DF38B2" w:rsidRDefault="00535C84" w:rsidP="006654AE">
      <w:r w:rsidRPr="00DF38B2">
        <w:t xml:space="preserve">The Northern Territory government provides data on the number of assaults and whether alcohol was recorded as being involved. Over the period 2007-08 to 2011-12 the number of </w:t>
      </w:r>
      <w:r w:rsidR="00FE0C92">
        <w:t>alcohol-related</w:t>
      </w:r>
      <w:r w:rsidRPr="00DF38B2">
        <w:t xml:space="preserve"> assaults on Indigenous women has increased substantially, particular in cases w</w:t>
      </w:r>
      <w:r w:rsidR="00CB2B07">
        <w:t>h</w:t>
      </w:r>
      <w:r w:rsidRPr="00DF38B2">
        <w:t>ere the offender is recorded as being alcohol</w:t>
      </w:r>
      <w:r w:rsidR="00CB2B07">
        <w:t>-</w:t>
      </w:r>
      <w:r w:rsidRPr="00DF38B2">
        <w:t>affected</w:t>
      </w:r>
      <w:r w:rsidR="00CB2B07">
        <w:t>,</w:t>
      </w:r>
      <w:r w:rsidRPr="00DF38B2">
        <w:t xml:space="preserve"> but the victim is not recorded as being alcohol</w:t>
      </w:r>
      <w:r w:rsidR="00CB2B07">
        <w:t>-</w:t>
      </w:r>
      <w:r w:rsidRPr="00DF38B2">
        <w:t xml:space="preserve">affected </w:t>
      </w:r>
      <w:r w:rsidR="004468D2">
        <w:t>(</w:t>
      </w:r>
      <w:r w:rsidR="004468D2">
        <w:fldChar w:fldCharType="begin"/>
      </w:r>
      <w:r w:rsidR="004468D2">
        <w:instrText xml:space="preserve"> REF _Ref399687236 \h </w:instrText>
      </w:r>
      <w:r w:rsidR="004468D2">
        <w:fldChar w:fldCharType="separate"/>
      </w:r>
      <w:r w:rsidR="00DF4A3C" w:rsidRPr="00DF38B2">
        <w:t xml:space="preserve">Figure </w:t>
      </w:r>
      <w:r w:rsidR="00DF4A3C">
        <w:rPr>
          <w:noProof/>
        </w:rPr>
        <w:t>9</w:t>
      </w:r>
      <w:r w:rsidR="00DF4A3C" w:rsidRPr="00DF38B2">
        <w:noBreakHyphen/>
      </w:r>
      <w:r w:rsidR="00DF4A3C">
        <w:rPr>
          <w:noProof/>
        </w:rPr>
        <w:t>21</w:t>
      </w:r>
      <w:r w:rsidR="004468D2">
        <w:fldChar w:fldCharType="end"/>
      </w:r>
      <w:r w:rsidRPr="00DF38B2">
        <w:t xml:space="preserve">). Over this period, the number of recorded </w:t>
      </w:r>
      <w:r w:rsidR="00FE0C92">
        <w:t>alcohol-related</w:t>
      </w:r>
      <w:r w:rsidRPr="00DF38B2">
        <w:t xml:space="preserve"> assaults on Indigenous men also increased, but from a much smaller base than recorded assaults of Indigenous women.</w:t>
      </w:r>
    </w:p>
    <w:p w:rsidR="00535C84" w:rsidRPr="00DF38B2" w:rsidRDefault="00535C84" w:rsidP="006654AE">
      <w:r w:rsidRPr="00FE502F">
        <w:fldChar w:fldCharType="begin"/>
      </w:r>
      <w:r w:rsidRPr="00DF38B2">
        <w:instrText xml:space="preserve"> REF _Ref392850431 \h  \* MERGEFORMAT </w:instrText>
      </w:r>
      <w:r w:rsidRPr="00FE502F">
        <w:fldChar w:fldCharType="separate"/>
      </w:r>
      <w:r w:rsidR="00DF4A3C" w:rsidRPr="00DF38B2">
        <w:t xml:space="preserve">Figure </w:t>
      </w:r>
      <w:r w:rsidR="00DF4A3C">
        <w:t>9</w:t>
      </w:r>
      <w:r w:rsidR="00DF4A3C" w:rsidRPr="00DF38B2">
        <w:noBreakHyphen/>
      </w:r>
      <w:r w:rsidR="00DF4A3C">
        <w:t>22</w:t>
      </w:r>
      <w:r w:rsidRPr="00FE502F">
        <w:fldChar w:fldCharType="end"/>
      </w:r>
      <w:r w:rsidRPr="00DF38B2">
        <w:t xml:space="preserve"> provides information on t</w:t>
      </w:r>
      <w:r w:rsidRPr="00FE502F">
        <w:t>he assault rate (per 100 persons) in the Northern Territory over the period 2007-08 to 2011-12. Over this period the rate of recorded</w:t>
      </w:r>
      <w:r w:rsidRPr="009655C3">
        <w:t xml:space="preserve"> assaults of Indigenous men increased from 1.8 to 3 per 100 </w:t>
      </w:r>
      <w:proofErr w:type="gramStart"/>
      <w:r w:rsidRPr="009655C3">
        <w:t>population</w:t>
      </w:r>
      <w:proofErr w:type="gramEnd"/>
      <w:r w:rsidRPr="009655C3">
        <w:t xml:space="preserve">. For Indigenous women it increased from 6.9 to 10.7 per 100 </w:t>
      </w:r>
      <w:proofErr w:type="gramStart"/>
      <w:r w:rsidRPr="009655C3">
        <w:t>population</w:t>
      </w:r>
      <w:proofErr w:type="gramEnd"/>
      <w:r w:rsidRPr="009655C3">
        <w:t xml:space="preserve">. For the non-Indigenous population the assault rate increased between 2007-08 and 2008-09 and since then has been </w:t>
      </w:r>
      <w:r w:rsidRPr="00DF38B2">
        <w:t>more or less constant.</w:t>
      </w:r>
      <w:bookmarkStart w:id="564" w:name="_Ref392850249"/>
    </w:p>
    <w:p w:rsidR="00535C84" w:rsidRPr="00DF38B2" w:rsidRDefault="00535C84" w:rsidP="006654AE">
      <w:pPr>
        <w:pStyle w:val="Caption"/>
      </w:pPr>
      <w:bookmarkStart w:id="565" w:name="_Ref399687236"/>
      <w:bookmarkStart w:id="566" w:name="_Toc40373957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21</w:t>
      </w:r>
      <w:r w:rsidR="00040708" w:rsidRPr="00F157EE">
        <w:fldChar w:fldCharType="end"/>
      </w:r>
      <w:bookmarkEnd w:id="564"/>
      <w:bookmarkEnd w:id="565"/>
      <w:r w:rsidRPr="00DF38B2">
        <w:tab/>
      </w:r>
      <w:r w:rsidR="00D40B64" w:rsidRPr="00D40B64">
        <w:t>Indigenous alcohol–related assault victims by sex and nature of alcohol involvement, Northern Territory, 2007-08 to 2011-12</w:t>
      </w:r>
      <w:bookmarkEnd w:id="566"/>
    </w:p>
    <w:p w:rsidR="00535C84" w:rsidRPr="00DF38B2" w:rsidRDefault="00535C84" w:rsidP="006654AE">
      <w:pPr>
        <w:pStyle w:val="graphicpaste"/>
      </w:pPr>
      <w:r w:rsidRPr="008E4D9D">
        <w:rPr>
          <w:noProof/>
        </w:rPr>
        <w:drawing>
          <wp:inline distT="0" distB="0" distL="0" distR="0" wp14:anchorId="735CC7D9" wp14:editId="496BCDC9">
            <wp:extent cx="4572000" cy="2743200"/>
            <wp:effectExtent l="0" t="0" r="0" b="0"/>
            <wp:docPr id="119" name="Picture 119" descr="This bar chart shows the number of assault victims where the assault involved alcohol, over time (2007-08 to 2011-12). The chart shows six plots 3 for Indigenous female victims and 3 for Indigenous male victims, with these three plots in each case being where only the offender was affected by alcohol, where both the offender and the victim were affected, and where only the victim is. The broad trends in this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Pr="009655C3" w:rsidRDefault="00535C84" w:rsidP="006654AE">
      <w:pPr>
        <w:pStyle w:val="tablenotes"/>
        <w:keepNext w:val="0"/>
        <w:ind w:left="1435" w:hanging="868"/>
      </w:pPr>
      <w:r w:rsidRPr="00FE502F">
        <w:t xml:space="preserve">Source: </w:t>
      </w:r>
      <w:r w:rsidRPr="00FE502F">
        <w:tab/>
        <w:t>Northern Territory Department of the Attorney General an</w:t>
      </w:r>
      <w:r w:rsidRPr="009655C3">
        <w:t xml:space="preserve">d Justice </w:t>
      </w:r>
      <w:r w:rsidR="005B1324">
        <w:t>(</w:t>
      </w:r>
      <w:r w:rsidRPr="009655C3">
        <w:t>2012</w:t>
      </w:r>
      <w:r w:rsidR="005B1324">
        <w:t>)</w:t>
      </w:r>
      <w:r w:rsidR="00B01EB2">
        <w:t>.</w:t>
      </w:r>
    </w:p>
    <w:p w:rsidR="00535C84" w:rsidRPr="00DF38B2" w:rsidRDefault="00535C84" w:rsidP="006654AE">
      <w:pPr>
        <w:pStyle w:val="tablefootnoteslastline"/>
      </w:pPr>
    </w:p>
    <w:p w:rsidR="00535C84" w:rsidRPr="00DF38B2" w:rsidRDefault="00535C84" w:rsidP="006654AE">
      <w:pPr>
        <w:pStyle w:val="Caption"/>
      </w:pPr>
      <w:bookmarkStart w:id="567" w:name="_Ref392850431"/>
      <w:bookmarkStart w:id="568" w:name="_Toc403739578"/>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22</w:t>
      </w:r>
      <w:r w:rsidR="00040708" w:rsidRPr="00F157EE">
        <w:fldChar w:fldCharType="end"/>
      </w:r>
      <w:bookmarkEnd w:id="567"/>
      <w:r w:rsidRPr="00DF38B2">
        <w:tab/>
      </w:r>
      <w:r w:rsidR="00D40B64" w:rsidRPr="00D40B64">
        <w:t>Assault victimisation rates by Indigenous status and sex, Norther</w:t>
      </w:r>
      <w:r w:rsidR="00D40B64">
        <w:t>n Territory, 2007-08 to 2011-12</w:t>
      </w:r>
      <w:bookmarkEnd w:id="568"/>
    </w:p>
    <w:p w:rsidR="00535C84" w:rsidRPr="00FE1A6A" w:rsidRDefault="00535C84" w:rsidP="006654AE">
      <w:pPr>
        <w:pStyle w:val="graphicpaste"/>
      </w:pPr>
      <w:r w:rsidRPr="008E4D9D">
        <w:rPr>
          <w:noProof/>
        </w:rPr>
        <w:drawing>
          <wp:inline distT="0" distB="0" distL="0" distR="0" wp14:anchorId="47C27EE5" wp14:editId="0B8B0018">
            <wp:extent cx="4572000" cy="2743200"/>
            <wp:effectExtent l="0" t="0" r="0" b="0"/>
            <wp:docPr id="120" name="Picture 120" descr="This barchart shows the assault victimisation rates in the Northern Territory for the period 2007-8 to 2011-12. Separate plots are shown for Indigenous men; Indigenous women; non-Indigenous men and non-Indigenous women. The key trends in these series over time and the main levels are cit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r>
      <w:r w:rsidRPr="009655C3">
        <w:t xml:space="preserve">Northern Territory, Department of the Attorney General and Justice </w:t>
      </w:r>
      <w:r w:rsidR="005B1324">
        <w:t>(</w:t>
      </w:r>
      <w:r w:rsidRPr="009655C3">
        <w:t>2012</w:t>
      </w:r>
      <w:r w:rsidR="005B1324">
        <w:t>)</w:t>
      </w:r>
      <w:r w:rsidR="00B01EB2">
        <w:t>.</w:t>
      </w:r>
    </w:p>
    <w:p w:rsidR="00FE1A6A" w:rsidRPr="009655C3" w:rsidRDefault="00FE1A6A" w:rsidP="006654AE">
      <w:pPr>
        <w:pStyle w:val="tablefootnoteslastline"/>
      </w:pPr>
    </w:p>
    <w:p w:rsidR="00535C84" w:rsidRPr="00DF38B2" w:rsidRDefault="00535C84" w:rsidP="006654AE">
      <w:r w:rsidRPr="00FE502F">
        <w:fldChar w:fldCharType="begin"/>
      </w:r>
      <w:r w:rsidRPr="00DF38B2">
        <w:instrText xml:space="preserve"> REF _Ref392851291 \h </w:instrText>
      </w:r>
      <w:r w:rsidRPr="00FE502F">
        <w:fldChar w:fldCharType="separate"/>
      </w:r>
      <w:r w:rsidR="00DF4A3C" w:rsidRPr="00DF38B2">
        <w:t xml:space="preserve">Figure </w:t>
      </w:r>
      <w:r w:rsidR="00DF4A3C">
        <w:rPr>
          <w:noProof/>
        </w:rPr>
        <w:t>9</w:t>
      </w:r>
      <w:r w:rsidR="00DF4A3C" w:rsidRPr="00DF38B2">
        <w:noBreakHyphen/>
      </w:r>
      <w:r w:rsidR="00DF4A3C">
        <w:rPr>
          <w:noProof/>
        </w:rPr>
        <w:t>23</w:t>
      </w:r>
      <w:r w:rsidRPr="00FE502F">
        <w:fldChar w:fldCharType="end"/>
      </w:r>
      <w:r w:rsidRPr="00DF38B2">
        <w:t xml:space="preserve"> provides information on the number of assault offences in the Northern Territory (left-hand axis) and the proportion of assaults that involved domestic violence and</w:t>
      </w:r>
      <w:r w:rsidRPr="00FE502F">
        <w:t xml:space="preserve"> alcohol (right-hand axis) over the period 2011 to 2013. The total number of assaults increased from 1,495 for the June 2011 quarter to 1,856 in the June 2013 quarter. The proportion of assaults that were associated with do</w:t>
      </w:r>
      <w:r w:rsidRPr="009655C3">
        <w:t>mestic violence and the proportion associated with alcohol are high and increasing. Over the period July 2011 to July 2013, the proportion associated with domestic violence increased from 53.6 per cent to 60.6 per cent and the proportion associated with al</w:t>
      </w:r>
      <w:r w:rsidRPr="00DF38B2">
        <w:t xml:space="preserve">cohol increased from 57.3 per cent to 59.9 percent. </w:t>
      </w:r>
    </w:p>
    <w:p w:rsidR="00535C84" w:rsidRPr="00DF38B2" w:rsidRDefault="00535C84" w:rsidP="006654AE">
      <w:pPr>
        <w:pStyle w:val="Caption"/>
      </w:pPr>
      <w:bookmarkStart w:id="569" w:name="_Ref392851291"/>
      <w:bookmarkStart w:id="570" w:name="_Toc403739579"/>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23</w:t>
      </w:r>
      <w:r w:rsidR="00040708" w:rsidRPr="00F157EE">
        <w:fldChar w:fldCharType="end"/>
      </w:r>
      <w:bookmarkEnd w:id="569"/>
      <w:r w:rsidRPr="00DF38B2">
        <w:tab/>
        <w:t>Quarterly assault offences by alcohol involvement and domestic violence association, Northern Territory, 2011 to 2013</w:t>
      </w:r>
      <w:bookmarkEnd w:id="570"/>
    </w:p>
    <w:p w:rsidR="00535C84" w:rsidRPr="00DF38B2" w:rsidRDefault="00535C84" w:rsidP="006654AE">
      <w:pPr>
        <w:pStyle w:val="graphicpaste"/>
      </w:pPr>
      <w:r w:rsidRPr="008E4D9D">
        <w:rPr>
          <w:noProof/>
        </w:rPr>
        <w:drawing>
          <wp:inline distT="0" distB="0" distL="0" distR="0" wp14:anchorId="6E8F5795" wp14:editId="0C1FD82F">
            <wp:extent cx="4572000" cy="2743200"/>
            <wp:effectExtent l="0" t="0" r="0" b="0"/>
            <wp:docPr id="121" name="Picture 121" descr="This line chart shows five series of data: the total number of assaults in the quarter, the number that are associated with alcohol, and the number that are associated with domestic violence. The other two series are derived from these figures and are the proportion, as a percentage, of assaults associated with alcohol and the percentage associated with domestic violence and are the focal variables for analys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t>Northern Terr</w:t>
      </w:r>
      <w:r w:rsidRPr="009655C3">
        <w:t xml:space="preserve">itory </w:t>
      </w:r>
      <w:r w:rsidR="005B1324">
        <w:t>Department of the Attorney-General and Justice (2013)</w:t>
      </w:r>
      <w:r w:rsidRPr="009655C3">
        <w:t>.</w:t>
      </w:r>
    </w:p>
    <w:p w:rsidR="00FE1A6A" w:rsidRPr="009655C3" w:rsidRDefault="00FE1A6A" w:rsidP="006654AE">
      <w:pPr>
        <w:pStyle w:val="tablefootnoteslastline"/>
      </w:pPr>
    </w:p>
    <w:p w:rsidR="00535C84" w:rsidRPr="00DF38B2" w:rsidRDefault="00535C84" w:rsidP="006654AE">
      <w:pPr>
        <w:pStyle w:val="Heading3"/>
      </w:pPr>
      <w:bookmarkStart w:id="571" w:name="_Toc403739108"/>
      <w:r w:rsidRPr="00DF38B2">
        <w:t>Imprisonment rates</w:t>
      </w:r>
      <w:bookmarkEnd w:id="571"/>
    </w:p>
    <w:p w:rsidR="00535C84" w:rsidRPr="00DF38B2" w:rsidRDefault="00535C84" w:rsidP="006654AE">
      <w:r w:rsidRPr="00DF38B2">
        <w:t>This section provides data on the trends in the imprisonment rate in the Northern Territory. The data are drawn from the National Prisoner Census</w:t>
      </w:r>
      <w:r w:rsidR="00CB2B07">
        <w:t>,</w:t>
      </w:r>
      <w:r w:rsidRPr="00DF38B2">
        <w:t xml:space="preserve"> which is undertaken by the ABS on 30</w:t>
      </w:r>
      <w:r w:rsidR="00CB2B07">
        <w:t xml:space="preserve"> </w:t>
      </w:r>
      <w:r w:rsidRPr="00DF38B2">
        <w:t>June each year. The National Prisoner Census does not cover persons held in juvenile justice institutions, polic</w:t>
      </w:r>
      <w:r w:rsidR="00CB2B07">
        <w:t>e</w:t>
      </w:r>
      <w:r w:rsidRPr="00DF38B2">
        <w:t xml:space="preserve"> custody and psychiatric custody. </w:t>
      </w:r>
      <w:r w:rsidRPr="00FE502F">
        <w:fldChar w:fldCharType="begin"/>
      </w:r>
      <w:r w:rsidRPr="00DF38B2">
        <w:instrText xml:space="preserve"> REF _Ref391532866 \h </w:instrText>
      </w:r>
      <w:r w:rsidRPr="00FE502F">
        <w:fldChar w:fldCharType="separate"/>
      </w:r>
      <w:r w:rsidR="008C6244" w:rsidRPr="009655C3">
        <w:t xml:space="preserve">Figure </w:t>
      </w:r>
      <w:r w:rsidR="008C6244">
        <w:rPr>
          <w:noProof/>
        </w:rPr>
        <w:t>9</w:t>
      </w:r>
      <w:r w:rsidR="008C6244" w:rsidRPr="00DF38B2">
        <w:noBreakHyphen/>
      </w:r>
      <w:r w:rsidR="008C6244">
        <w:rPr>
          <w:noProof/>
        </w:rPr>
        <w:t>24</w:t>
      </w:r>
      <w:r w:rsidRPr="00FE502F">
        <w:fldChar w:fldCharType="end"/>
      </w:r>
      <w:r w:rsidRPr="00DF38B2">
        <w:t xml:space="preserve"> shows the imprisonment rate (per 100,000 adult </w:t>
      </w:r>
      <w:proofErr w:type="gramStart"/>
      <w:r w:rsidRPr="00DF38B2">
        <w:t>populat</w:t>
      </w:r>
      <w:r w:rsidRPr="00FE502F">
        <w:t>ion</w:t>
      </w:r>
      <w:proofErr w:type="gramEnd"/>
      <w:r w:rsidRPr="00FE502F">
        <w:t>) for the Northern Territory and Australia over the period 2002 to 2012. The incar</w:t>
      </w:r>
      <w:r w:rsidR="00CB2B07">
        <w:t>cer</w:t>
      </w:r>
      <w:r w:rsidRPr="00FE502F">
        <w:t xml:space="preserve">ation </w:t>
      </w:r>
      <w:r w:rsidR="00CB2B07">
        <w:t xml:space="preserve">rate </w:t>
      </w:r>
      <w:r w:rsidRPr="00FE502F">
        <w:t xml:space="preserve">is much higher for Indigenous than non-Indigenous </w:t>
      </w:r>
      <w:r w:rsidR="00CB2B07">
        <w:t xml:space="preserve">people </w:t>
      </w:r>
      <w:r w:rsidRPr="00FE502F">
        <w:t>both in the Northern-Territory and Australia as a whole. For the Northern Territo</w:t>
      </w:r>
      <w:r w:rsidRPr="009655C3">
        <w:t>ry Indigenous population the incarceration rate increased very substantially over the period 2002 to 2012</w:t>
      </w:r>
      <w:r w:rsidR="00B33816">
        <w:t>;</w:t>
      </w:r>
      <w:r w:rsidRPr="009655C3">
        <w:t xml:space="preserve"> and while the incarceration rate for Indigenous people Australia</w:t>
      </w:r>
      <w:r w:rsidR="00A419CE">
        <w:t>-</w:t>
      </w:r>
      <w:r w:rsidRPr="009655C3">
        <w:t xml:space="preserve">wide also increased over this period, the increase was smaller than for the Northern </w:t>
      </w:r>
      <w:r w:rsidRPr="00DF38B2">
        <w:t xml:space="preserve">Territory Indigenous population. No impact of either the NTER or the transition to New Income Management is apparent from the incarceration rate time series. </w:t>
      </w:r>
    </w:p>
    <w:p w:rsidR="00535C84" w:rsidRPr="009655C3" w:rsidRDefault="00535C84" w:rsidP="006654AE">
      <w:r w:rsidRPr="00DF38B2">
        <w:t>Incarceration rates decrease with age</w:t>
      </w:r>
      <w:r w:rsidR="00B33816">
        <w:t>,</w:t>
      </w:r>
      <w:r w:rsidRPr="00DF38B2">
        <w:t xml:space="preserve"> and to the extent to which there are relative changes in the age distribution of the Indigenous and non-Indigenous population between 2002 and 2012 may impact upon the relative changes in incarceration rates. </w:t>
      </w:r>
      <w:r w:rsidRPr="00FE502F">
        <w:fldChar w:fldCharType="begin"/>
      </w:r>
      <w:r w:rsidRPr="00DF38B2">
        <w:instrText xml:space="preserve"> REF _Ref391532890 \h </w:instrText>
      </w:r>
      <w:r w:rsidRPr="00FE502F">
        <w:fldChar w:fldCharType="separate"/>
      </w:r>
      <w:r w:rsidR="008C6244" w:rsidRPr="00DF38B2">
        <w:t xml:space="preserve">Figure </w:t>
      </w:r>
      <w:r w:rsidR="008C6244">
        <w:rPr>
          <w:noProof/>
        </w:rPr>
        <w:t>9</w:t>
      </w:r>
      <w:r w:rsidR="008C6244" w:rsidRPr="00DF38B2">
        <w:noBreakHyphen/>
      </w:r>
      <w:r w:rsidR="008C6244">
        <w:rPr>
          <w:noProof/>
        </w:rPr>
        <w:t>25</w:t>
      </w:r>
      <w:r w:rsidRPr="00FE502F">
        <w:fldChar w:fldCharType="end"/>
      </w:r>
      <w:r w:rsidRPr="00DF38B2">
        <w:t xml:space="preserve"> shows the age</w:t>
      </w:r>
      <w:r w:rsidR="00B33816">
        <w:t>-</w:t>
      </w:r>
      <w:r w:rsidRPr="00DF38B2">
        <w:t>standardise</w:t>
      </w:r>
      <w:r w:rsidR="00B33816">
        <w:t>d</w:t>
      </w:r>
      <w:r w:rsidRPr="00DF38B2">
        <w:t xml:space="preserve"> incarceration rate by Indigenous status for the Northern Territory and</w:t>
      </w:r>
      <w:r w:rsidRPr="00FE502F">
        <w:t xml:space="preserve"> Australia as a whole. While the Indigenous rates are lower than the rates which have not been age</w:t>
      </w:r>
      <w:r w:rsidR="00B33816">
        <w:t>-</w:t>
      </w:r>
      <w:r w:rsidRPr="00FE502F">
        <w:t xml:space="preserve">standardised, the conclusion </w:t>
      </w:r>
      <w:r w:rsidR="00B33816">
        <w:t xml:space="preserve">is </w:t>
      </w:r>
      <w:r w:rsidRPr="00FE502F">
        <w:t xml:space="preserve">that the incarceration rate for Indigenous </w:t>
      </w:r>
      <w:r w:rsidR="00B33816">
        <w:t xml:space="preserve">people </w:t>
      </w:r>
      <w:r w:rsidRPr="00FE502F">
        <w:t xml:space="preserve">in the Northern Territory has increased </w:t>
      </w:r>
      <w:r w:rsidR="00B33816">
        <w:t>more rapidly</w:t>
      </w:r>
      <w:r w:rsidRPr="00FE502F">
        <w:t xml:space="preserve"> than </w:t>
      </w:r>
      <w:r w:rsidRPr="009655C3">
        <w:t xml:space="preserve">for Indigenous </w:t>
      </w:r>
      <w:r w:rsidR="00B33816">
        <w:t xml:space="preserve">people </w:t>
      </w:r>
      <w:r w:rsidRPr="009655C3">
        <w:t>Australia</w:t>
      </w:r>
      <w:r w:rsidR="00A419CE">
        <w:t>-</w:t>
      </w:r>
      <w:r w:rsidRPr="009655C3">
        <w:t>wide.</w:t>
      </w:r>
    </w:p>
    <w:p w:rsidR="00535C84" w:rsidRPr="00DF38B2" w:rsidRDefault="00535C84" w:rsidP="006654AE">
      <w:pPr>
        <w:pStyle w:val="Caption"/>
        <w:keepLines/>
        <w:ind w:left="1439" w:hanging="1155"/>
      </w:pPr>
      <w:bookmarkStart w:id="572" w:name="_Ref391532866"/>
      <w:bookmarkStart w:id="573" w:name="_Toc403739580"/>
      <w:r w:rsidRPr="009655C3">
        <w:lastRenderedPageBreak/>
        <w:t xml:space="preserve">Figure </w:t>
      </w:r>
      <w:fldSimple w:instr=" STYLEREF 1 \s ">
        <w:r w:rsidR="00906D13">
          <w:rPr>
            <w:noProof/>
          </w:rPr>
          <w:t>9</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24</w:t>
      </w:r>
      <w:r w:rsidR="00040708" w:rsidRPr="00F157EE">
        <w:fldChar w:fldCharType="end"/>
      </w:r>
      <w:bookmarkEnd w:id="572"/>
      <w:r w:rsidRPr="00DF38B2">
        <w:tab/>
        <w:t xml:space="preserve">Imprisonment rate by Indigenous </w:t>
      </w:r>
      <w:r w:rsidR="00B33816">
        <w:t>s</w:t>
      </w:r>
      <w:r w:rsidRPr="00DF38B2">
        <w:t>tatus (rate per 100,000 adult population) Northern Territory and Australia, 2002–2012</w:t>
      </w:r>
      <w:bookmarkEnd w:id="573"/>
      <w:r w:rsidRPr="00DF38B2">
        <w:t xml:space="preserve"> </w:t>
      </w:r>
    </w:p>
    <w:p w:rsidR="00535C84" w:rsidRPr="00DF38B2" w:rsidRDefault="00535C84" w:rsidP="006654AE">
      <w:pPr>
        <w:pStyle w:val="graphicpaste"/>
      </w:pPr>
      <w:r w:rsidRPr="008E4D9D">
        <w:rPr>
          <w:noProof/>
        </w:rPr>
        <w:drawing>
          <wp:inline distT="0" distB="0" distL="0" distR="0" wp14:anchorId="3CB52983" wp14:editId="0D066767">
            <wp:extent cx="4572000" cy="2743200"/>
            <wp:effectExtent l="0" t="0" r="0" b="0"/>
            <wp:docPr id="122" name="Picture 122" descr="This barchart shows the crude imprisonment rate for four groups from 2002-2012: Indigenous persons in the Northern Territory, non-Indigenous people in the Northern Territory, Indigenous people in Australia and non-Indigenous people in Australia. Key figures from this chart are cited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 xml:space="preserve">Source: </w:t>
      </w:r>
      <w:r w:rsidRPr="00FE502F">
        <w:tab/>
      </w:r>
      <w:r w:rsidRPr="009655C3">
        <w:t xml:space="preserve">ABS </w:t>
      </w:r>
      <w:r w:rsidR="00D7119A">
        <w:t>(</w:t>
      </w:r>
      <w:r w:rsidRPr="009655C3">
        <w:t>201</w:t>
      </w:r>
      <w:r w:rsidR="00D7119A">
        <w:t>3d</w:t>
      </w:r>
      <w:r w:rsidRPr="009655C3">
        <w:t>)</w:t>
      </w:r>
      <w:r w:rsidR="00D7119A">
        <w:t>.</w:t>
      </w:r>
    </w:p>
    <w:p w:rsidR="00FE1A6A" w:rsidRPr="009655C3" w:rsidRDefault="00FE1A6A" w:rsidP="006654AE">
      <w:pPr>
        <w:pStyle w:val="tablefootnoteslastline"/>
      </w:pPr>
    </w:p>
    <w:p w:rsidR="00535C84" w:rsidRPr="009655C3" w:rsidRDefault="00535C84" w:rsidP="006654AE">
      <w:r w:rsidRPr="00DF38B2">
        <w:fldChar w:fldCharType="begin"/>
      </w:r>
      <w:r w:rsidRPr="00DF38B2">
        <w:instrText xml:space="preserve"> REF _Ref391532866 \h </w:instrText>
      </w:r>
      <w:r w:rsidRPr="00DF38B2">
        <w:fldChar w:fldCharType="separate"/>
      </w:r>
      <w:r w:rsidR="008C6244" w:rsidRPr="009655C3">
        <w:t xml:space="preserve">Figure </w:t>
      </w:r>
      <w:r w:rsidR="008C6244">
        <w:rPr>
          <w:noProof/>
        </w:rPr>
        <w:t>9</w:t>
      </w:r>
      <w:r w:rsidR="008C6244" w:rsidRPr="00DF38B2">
        <w:noBreakHyphen/>
      </w:r>
      <w:r w:rsidR="008C6244">
        <w:rPr>
          <w:noProof/>
        </w:rPr>
        <w:t>24</w:t>
      </w:r>
      <w:r w:rsidRPr="00DF38B2">
        <w:fldChar w:fldCharType="end"/>
      </w:r>
      <w:r w:rsidRPr="00DF38B2">
        <w:t xml:space="preserve"> shows the crude imprisonment rate for the Indigenous and non-Indigenous population between 2002 and 2012 for the Northern Territory as well as Australia as a whole. The crude imprisonment rate for the Indigenous population i</w:t>
      </w:r>
      <w:r w:rsidRPr="00FE502F">
        <w:t xml:space="preserve">n Australia ranged between 14.3 times the non-Indigenous </w:t>
      </w:r>
      <w:proofErr w:type="gramStart"/>
      <w:r w:rsidRPr="00FE502F">
        <w:t>rate</w:t>
      </w:r>
      <w:proofErr w:type="gramEnd"/>
      <w:r w:rsidRPr="00FE502F">
        <w:t xml:space="preserve"> in 2002 to about 18.4 times in 2012. For the Northern Territory, the </w:t>
      </w:r>
      <w:r w:rsidR="006960EE">
        <w:t xml:space="preserve">ratio of the </w:t>
      </w:r>
      <w:r w:rsidRPr="00FE502F">
        <w:t xml:space="preserve">crude imprisonment </w:t>
      </w:r>
      <w:r w:rsidR="006960EE" w:rsidRPr="00FE502F">
        <w:t>rat</w:t>
      </w:r>
      <w:r w:rsidR="006960EE">
        <w:t>e</w:t>
      </w:r>
      <w:r w:rsidR="006960EE" w:rsidRPr="00FE502F">
        <w:t xml:space="preserve"> </w:t>
      </w:r>
      <w:r w:rsidRPr="00FE502F">
        <w:t xml:space="preserve">of Indigenous </w:t>
      </w:r>
      <w:r w:rsidR="006960EE">
        <w:t xml:space="preserve">people relative </w:t>
      </w:r>
      <w:r w:rsidRPr="00FE502F">
        <w:t>to non-Indigenous ranged between 6.9 times in 2002 to</w:t>
      </w:r>
      <w:r w:rsidRPr="009655C3">
        <w:t xml:space="preserve"> 14.8 times in 2012. The ratio between </w:t>
      </w:r>
      <w:r w:rsidR="00B33816">
        <w:t xml:space="preserve">the </w:t>
      </w:r>
      <w:r w:rsidRPr="009655C3">
        <w:t xml:space="preserve">Indigenous and non-Indigenous crude imprisonment rate is larger at the national level when compared to the Northern Territory pattern. </w:t>
      </w:r>
    </w:p>
    <w:p w:rsidR="00535C84" w:rsidRPr="00DF38B2" w:rsidRDefault="00535C84" w:rsidP="006654AE">
      <w:pPr>
        <w:pStyle w:val="Caption"/>
        <w:ind w:left="1439" w:hanging="1155"/>
      </w:pPr>
      <w:bookmarkStart w:id="574" w:name="_Ref391532890"/>
      <w:bookmarkStart w:id="575" w:name="_Toc40373958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25</w:t>
      </w:r>
      <w:r w:rsidR="00040708" w:rsidRPr="00F157EE">
        <w:fldChar w:fldCharType="end"/>
      </w:r>
      <w:bookmarkEnd w:id="574"/>
      <w:r w:rsidRPr="00DF38B2">
        <w:tab/>
        <w:t>Age</w:t>
      </w:r>
      <w:r w:rsidR="00B33816">
        <w:t>-</w:t>
      </w:r>
      <w:r w:rsidRPr="00DF38B2">
        <w:t xml:space="preserve">standardised imprisonment rate by Indigenous </w:t>
      </w:r>
      <w:r w:rsidR="00B33816">
        <w:t>s</w:t>
      </w:r>
      <w:r w:rsidRPr="00DF38B2">
        <w:t>tatus (rate per 100,000 adult population), Northern Territory and Australia, 2002–2012</w:t>
      </w:r>
      <w:bookmarkEnd w:id="575"/>
      <w:r w:rsidRPr="00DF38B2">
        <w:t xml:space="preserve"> </w:t>
      </w:r>
    </w:p>
    <w:p w:rsidR="00535C84" w:rsidRPr="00DF38B2" w:rsidRDefault="00535C84" w:rsidP="006654AE">
      <w:pPr>
        <w:pStyle w:val="graphicpaste"/>
      </w:pPr>
      <w:r w:rsidRPr="008E4D9D">
        <w:rPr>
          <w:noProof/>
        </w:rPr>
        <w:drawing>
          <wp:inline distT="0" distB="0" distL="0" distR="0" wp14:anchorId="49B9819B" wp14:editId="6CADF112">
            <wp:extent cx="4572000" cy="2743200"/>
            <wp:effectExtent l="0" t="0" r="0" b="0"/>
            <wp:docPr id="123" name="Picture 123" descr="This graph shows the age standardised imprisonment rate for four groups from 2002-2012: Indigenous persons in the Northern Territory, non-Indigenous people in the Northern Territory, Indigenous people in Australia and non-Indigenous people in Australia. The data suggests that there has been a U shaped pattern in the rate for non-Indigenous people in both the Northern Territory and Australia, with the rates falling from a bit under 200 in 2002 to a low of around 120 in 2006 before returning to rates close to the starting rates in 2012.&#10;The national rate for Indigenous people has shown an increase from just over 1200 in 2002 to just under 2000 in 2012. There is some suggestion in the data that the trend had flattened out since 2009. In contrast the rate in the Northern Territory, which largely reflected the national rate up to 2010, surged very strongly after that year – moving from 1,729 to 2,258. This is discussed further in the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 xml:space="preserve">Source: </w:t>
      </w:r>
      <w:r w:rsidRPr="00FE502F">
        <w:tab/>
      </w:r>
      <w:r w:rsidRPr="009655C3">
        <w:t xml:space="preserve">ABS </w:t>
      </w:r>
      <w:r w:rsidR="00B33816">
        <w:t>(</w:t>
      </w:r>
      <w:r w:rsidRPr="009655C3">
        <w:t>201</w:t>
      </w:r>
      <w:r w:rsidR="00D7119A">
        <w:t>3d</w:t>
      </w:r>
      <w:r w:rsidRPr="009655C3">
        <w:t>)</w:t>
      </w:r>
      <w:r w:rsidR="00D7119A">
        <w:t>.</w:t>
      </w:r>
    </w:p>
    <w:p w:rsidR="00FE1A6A" w:rsidRDefault="00FE1A6A" w:rsidP="006654AE">
      <w:pPr>
        <w:pStyle w:val="tablefootnoteslastline"/>
      </w:pPr>
    </w:p>
    <w:p w:rsidR="002B02A7" w:rsidRPr="00DF38B2" w:rsidRDefault="002B02A7" w:rsidP="006654AE">
      <w:r w:rsidRPr="00DF38B2">
        <w:t xml:space="preserve">Between 2008 and 2009, the crude imprisonment rate rose from 2,014 per 100,000 adult </w:t>
      </w:r>
      <w:proofErr w:type="gramStart"/>
      <w:r w:rsidRPr="00DF38B2">
        <w:t>population</w:t>
      </w:r>
      <w:proofErr w:type="gramEnd"/>
      <w:r w:rsidRPr="00DF38B2">
        <w:t xml:space="preserve"> to 2,104 per 100,000 adult population. This was approximately</w:t>
      </w:r>
      <w:r w:rsidR="006960EE">
        <w:t xml:space="preserve"> a </w:t>
      </w:r>
      <w:r w:rsidRPr="00DF38B2">
        <w:t xml:space="preserve">4.5 per cent increase in the rate. In comparison, there was a substantial increase in the crude imprisonment rate between 2010 and 2011. The rate increased from 2,103 per 100,000 adult population to 2,419 per 100,000 adult population (15 per cent increase). The pattern of crude imprisonment rate for </w:t>
      </w:r>
      <w:r>
        <w:t xml:space="preserve">the </w:t>
      </w:r>
      <w:r w:rsidRPr="00DF38B2">
        <w:t xml:space="preserve">non-Indigenous population in the Northern </w:t>
      </w:r>
      <w:r w:rsidRPr="00DF38B2">
        <w:lastRenderedPageBreak/>
        <w:t>Territory also exhibited an increase between 2008-09 and also 2010-11</w:t>
      </w:r>
      <w:r>
        <w:t>,</w:t>
      </w:r>
      <w:r w:rsidRPr="00DF38B2">
        <w:t xml:space="preserve"> with the larger percentage increase occurring in 2008-09. </w:t>
      </w:r>
    </w:p>
    <w:p w:rsidR="00535C84" w:rsidRPr="00DF38B2" w:rsidRDefault="00535C84" w:rsidP="006654AE">
      <w:pPr>
        <w:pStyle w:val="Heading2"/>
      </w:pPr>
      <w:bookmarkStart w:id="576" w:name="_Toc403739109"/>
      <w:r w:rsidRPr="00DF38B2">
        <w:t>Summary</w:t>
      </w:r>
      <w:bookmarkEnd w:id="576"/>
    </w:p>
    <w:p w:rsidR="00535C84" w:rsidRPr="00DF38B2" w:rsidRDefault="00535C84" w:rsidP="006654AE">
      <w:r w:rsidRPr="00DF38B2">
        <w:t xml:space="preserve">This chapter has documented change in the aggregate levels of a range of measures of child health and wellbeing, school enrolment and attendance, alcohol sales and consumption, tobacco use, </w:t>
      </w:r>
      <w:r w:rsidR="00FE0C92">
        <w:t>alcohol-related</w:t>
      </w:r>
      <w:r w:rsidRPr="00DF38B2">
        <w:t xml:space="preserve"> harm</w:t>
      </w:r>
      <w:r w:rsidR="00B33816">
        <w:t>,</w:t>
      </w:r>
      <w:r w:rsidRPr="00DF38B2">
        <w:t xml:space="preserve"> and imprisonment. </w:t>
      </w:r>
    </w:p>
    <w:p w:rsidR="00535C84" w:rsidRPr="00DF38B2" w:rsidRDefault="00535C84" w:rsidP="006654AE">
      <w:r w:rsidRPr="00DF38B2">
        <w:t>If income management is having a significant impact in addressing poor child outcomes as a consequence of the money being provided to parents being inappropriately used for other consumption such as alcohol, tobacco and gambling, given the extent to which the policy impacts across the population, and in particular the Indigenous population in the Northern Territory it would be expected that this would be seen at the aggregate as well as the individual level</w:t>
      </w:r>
      <w:r w:rsidR="00A1421A">
        <w:t xml:space="preserve">. </w:t>
      </w:r>
      <w:r w:rsidRPr="00DF38B2">
        <w:t>These aggregate outcomes should also reflect the impact of improvements in other aspects of conduct at the community level and</w:t>
      </w:r>
      <w:r w:rsidR="00B33816">
        <w:t>,</w:t>
      </w:r>
      <w:r w:rsidRPr="00DF38B2">
        <w:t xml:space="preserve"> more specifically</w:t>
      </w:r>
      <w:r w:rsidR="00B33816">
        <w:t>,</w:t>
      </w:r>
      <w:r w:rsidRPr="00DF38B2">
        <w:t xml:space="preserve"> on parents through the objective of the policy to “strengthen families by ensuring that welfare is spent where it is intended </w:t>
      </w:r>
      <w:r w:rsidR="00B33816">
        <w:t>–</w:t>
      </w:r>
      <w:r w:rsidRPr="00DF38B2">
        <w:t xml:space="preserve"> on the essentials of life and in the interests of children</w:t>
      </w:r>
      <w:r w:rsidR="00B33816">
        <w:t>.</w:t>
      </w:r>
      <w:r w:rsidRPr="00DF38B2">
        <w:t>”</w:t>
      </w:r>
    </w:p>
    <w:p w:rsidR="00535C84" w:rsidRPr="00DF38B2" w:rsidRDefault="00535C84" w:rsidP="006654AE">
      <w:r w:rsidRPr="00DF38B2">
        <w:t>In turn these outcomes should be reflected in a range of aggregate</w:t>
      </w:r>
      <w:r w:rsidR="00B33816">
        <w:t>-</w:t>
      </w:r>
      <w:r w:rsidRPr="00DF38B2">
        <w:t>level data on community and population outcomes. This should be particularly apparent for the Indigenous population</w:t>
      </w:r>
      <w:r w:rsidR="00B33816">
        <w:t>,</w:t>
      </w:r>
      <w:r w:rsidRPr="00DF38B2">
        <w:t xml:space="preserve"> a high proportion of </w:t>
      </w:r>
      <w:proofErr w:type="gramStart"/>
      <w:r w:rsidRPr="00DF38B2">
        <w:t>whom</w:t>
      </w:r>
      <w:proofErr w:type="gramEnd"/>
      <w:r w:rsidRPr="00DF38B2">
        <w:t xml:space="preserve"> are affected by income management</w:t>
      </w:r>
      <w:r w:rsidR="00A1421A">
        <w:t xml:space="preserve">. </w:t>
      </w:r>
      <w:r w:rsidRPr="00DF38B2">
        <w:t xml:space="preserve">For the purpose of this evaluation the question is what improvements can be found </w:t>
      </w:r>
      <w:r w:rsidR="00B33816">
        <w:t>that</w:t>
      </w:r>
      <w:r w:rsidRPr="00DF38B2">
        <w:t xml:space="preserve"> are consistent with the impact income management seeks to have on outcomes. A</w:t>
      </w:r>
      <w:r w:rsidRPr="00DF38B2">
        <w:rPr>
          <w:color w:val="000000"/>
        </w:rPr>
        <w:t xml:space="preserve">s has been noted in Chapter 2, one complication is that many of the outcomes </w:t>
      </w:r>
      <w:r w:rsidR="00AF5CD4" w:rsidRPr="00DF38B2">
        <w:rPr>
          <w:color w:val="000000"/>
        </w:rPr>
        <w:t>would be expected t</w:t>
      </w:r>
      <w:r w:rsidR="00AF5CD4">
        <w:rPr>
          <w:color w:val="000000"/>
        </w:rPr>
        <w:t>o</w:t>
      </w:r>
      <w:r w:rsidRPr="00DF38B2">
        <w:rPr>
          <w:color w:val="000000"/>
        </w:rPr>
        <w:t xml:space="preserve"> be affected </w:t>
      </w:r>
      <w:r w:rsidR="00AF5CD4">
        <w:rPr>
          <w:color w:val="000000"/>
        </w:rPr>
        <w:t>also</w:t>
      </w:r>
      <w:r w:rsidR="00AF5CD4" w:rsidRPr="00DF38B2">
        <w:rPr>
          <w:color w:val="000000"/>
        </w:rPr>
        <w:t xml:space="preserve"> </w:t>
      </w:r>
      <w:r w:rsidRPr="00DF38B2">
        <w:rPr>
          <w:color w:val="000000"/>
        </w:rPr>
        <w:t xml:space="preserve">by the extensive expenditure on other programs </w:t>
      </w:r>
      <w:r w:rsidR="00AF5CD4">
        <w:rPr>
          <w:color w:val="000000"/>
        </w:rPr>
        <w:t>that</w:t>
      </w:r>
      <w:r w:rsidRPr="00DF38B2">
        <w:rPr>
          <w:color w:val="000000"/>
        </w:rPr>
        <w:t xml:space="preserve"> are often even more directly targeted at addressing problems in these domains.</w:t>
      </w:r>
    </w:p>
    <w:p w:rsidR="00535C84" w:rsidRPr="00DF38B2" w:rsidRDefault="006C71C0" w:rsidP="006654AE">
      <w:r>
        <w:t>Summarising the data reported</w:t>
      </w:r>
      <w:r w:rsidR="00535C84" w:rsidRPr="00DF38B2">
        <w:t xml:space="preserve"> in this Chapter:</w:t>
      </w:r>
    </w:p>
    <w:p w:rsidR="00535C84" w:rsidRPr="00DF38B2" w:rsidRDefault="00535C84" w:rsidP="006654AE">
      <w:pPr>
        <w:pStyle w:val="dot"/>
      </w:pPr>
      <w:r w:rsidRPr="00DF38B2">
        <w:t xml:space="preserve">While the AEDI results are not consistent, in general there appear to have been some strong reductions in the extent to which children are developmentally vulnerable, although the rate of improvement in the Northern Territory only exceeded the national rate in </w:t>
      </w:r>
      <w:r w:rsidR="00AF5CD4">
        <w:t>three</w:t>
      </w:r>
      <w:r w:rsidRPr="00DF38B2">
        <w:t xml:space="preserve"> out of </w:t>
      </w:r>
      <w:r w:rsidR="00AF5CD4">
        <w:t>five</w:t>
      </w:r>
      <w:r w:rsidRPr="00DF38B2">
        <w:t xml:space="preserve"> domains</w:t>
      </w:r>
      <w:r w:rsidR="00A1421A">
        <w:t xml:space="preserve">. </w:t>
      </w:r>
    </w:p>
    <w:p w:rsidR="00535C84" w:rsidRPr="00DF38B2" w:rsidRDefault="00535C84" w:rsidP="006654AE">
      <w:pPr>
        <w:pStyle w:val="dot"/>
      </w:pPr>
      <w:r w:rsidRPr="00DF38B2">
        <w:t>School achievement show</w:t>
      </w:r>
      <w:r w:rsidR="00AF5CD4">
        <w:t>s</w:t>
      </w:r>
      <w:r w:rsidRPr="00DF38B2">
        <w:t xml:space="preserve"> that while there are some gains in the early years of school these are not reflected in the data for later years. The pattern of changes for Indigenous children in the Northern Territory are generally similar to those found for Indigenous children nationally.</w:t>
      </w:r>
    </w:p>
    <w:p w:rsidR="00535C84" w:rsidRPr="00DF38B2" w:rsidRDefault="00535C84" w:rsidP="006654AE">
      <w:pPr>
        <w:pStyle w:val="dot"/>
      </w:pPr>
      <w:r w:rsidRPr="00DF38B2">
        <w:t>School attendance has improved at the provincial level, but ha</w:t>
      </w:r>
      <w:r w:rsidR="00AF5CD4">
        <w:t>s</w:t>
      </w:r>
      <w:r w:rsidRPr="00DF38B2">
        <w:t xml:space="preserve"> either remained stable or fallen in remote and non-remote location</w:t>
      </w:r>
      <w:r w:rsidR="00AF5CD4">
        <w:t>s</w:t>
      </w:r>
      <w:r w:rsidRPr="00DF38B2">
        <w:t>, suggesting no generalised trend</w:t>
      </w:r>
      <w:r w:rsidR="00D37FBC" w:rsidRPr="00DF38B2">
        <w:t>.</w:t>
      </w:r>
    </w:p>
    <w:p w:rsidR="00535C84" w:rsidRPr="00DF38B2" w:rsidRDefault="00535C84" w:rsidP="006654AE">
      <w:pPr>
        <w:pStyle w:val="dot"/>
      </w:pPr>
      <w:r w:rsidRPr="00DF38B2">
        <w:t>Across a wide range of child health indicators there is no evidence of any consistent positive change</w:t>
      </w:r>
      <w:r w:rsidR="00D37FBC" w:rsidRPr="00DF38B2">
        <w:t>.</w:t>
      </w:r>
    </w:p>
    <w:p w:rsidR="00535C84" w:rsidRPr="00DF38B2" w:rsidRDefault="00535C84" w:rsidP="006654AE">
      <w:pPr>
        <w:pStyle w:val="dot"/>
      </w:pPr>
      <w:r w:rsidRPr="00DF38B2">
        <w:t>There has been a substantial decrease in per capita alcohol consumption from the mid-2000s. However, this decrease started well before the NTER and is almost certainly driven by factors other than income management</w:t>
      </w:r>
      <w:r w:rsidR="00D37FBC" w:rsidRPr="00DF38B2">
        <w:t>.</w:t>
      </w:r>
    </w:p>
    <w:p w:rsidR="00535C84" w:rsidRPr="00DF38B2" w:rsidRDefault="00535C84" w:rsidP="006654AE">
      <w:pPr>
        <w:pStyle w:val="dot"/>
      </w:pPr>
      <w:r w:rsidRPr="00DF38B2">
        <w:t xml:space="preserve">The number of </w:t>
      </w:r>
      <w:r w:rsidR="00FE0C92">
        <w:t>alcohol-related</w:t>
      </w:r>
      <w:r w:rsidRPr="00DF38B2">
        <w:t xml:space="preserve"> presentations to emergency departments and admissions </w:t>
      </w:r>
      <w:r w:rsidR="00C11F61">
        <w:t>to</w:t>
      </w:r>
      <w:r w:rsidRPr="00DF38B2">
        <w:t xml:space="preserve"> public hospitals by Indigenous people in the Northern Territory has increased dramatically since the mid-2000s. </w:t>
      </w:r>
    </w:p>
    <w:p w:rsidR="00535C84" w:rsidRPr="00DF38B2" w:rsidRDefault="00535C84" w:rsidP="006654AE">
      <w:pPr>
        <w:pStyle w:val="dot"/>
      </w:pPr>
      <w:r w:rsidRPr="00DF38B2">
        <w:t>Imprisonment rates of the Indigenous population have increased in the Northern Territory since 2002 at a faster rate than amongst the Indigenous population Australia</w:t>
      </w:r>
      <w:r w:rsidR="00A419CE">
        <w:t>-</w:t>
      </w:r>
      <w:r w:rsidRPr="00DF38B2">
        <w:t xml:space="preserve">wide. </w:t>
      </w:r>
    </w:p>
    <w:p w:rsidR="00535C84" w:rsidRPr="00DF38B2" w:rsidRDefault="00535C84" w:rsidP="006654AE">
      <w:r w:rsidRPr="00DF38B2">
        <w:t xml:space="preserve">When the </w:t>
      </w:r>
      <w:r w:rsidR="00D5404D">
        <w:t>data are</w:t>
      </w:r>
      <w:r w:rsidRPr="00DF38B2">
        <w:t xml:space="preserve"> taken as a whole, not only does it suggest that there has been very little progress in addressing many of the substantial disadvantages faced by many people in the Northern Territory, but </w:t>
      </w:r>
      <w:r w:rsidR="00C11F61">
        <w:t xml:space="preserve">it </w:t>
      </w:r>
      <w:r w:rsidRPr="00DF38B2">
        <w:t xml:space="preserve">also </w:t>
      </w:r>
      <w:r w:rsidR="00C11F61">
        <w:t xml:space="preserve">suggests </w:t>
      </w:r>
      <w:r w:rsidRPr="00DF38B2">
        <w:t xml:space="preserve">that there is no evidence of changes in aggregate outcomes that can plausibly be linked to income management. </w:t>
      </w:r>
    </w:p>
    <w:p w:rsidR="00086970" w:rsidRDefault="00086970" w:rsidP="006654AE">
      <w:pPr>
        <w:spacing w:line="276" w:lineRule="auto"/>
        <w:jc w:val="left"/>
      </w:pPr>
      <w:r>
        <w:br w:type="page"/>
      </w:r>
    </w:p>
    <w:p w:rsidR="00535C84" w:rsidRPr="00DF38B2" w:rsidRDefault="00535C84" w:rsidP="006654AE">
      <w:pPr>
        <w:spacing w:line="276" w:lineRule="auto"/>
        <w:jc w:val="left"/>
      </w:pPr>
    </w:p>
    <w:p w:rsidR="00535C84" w:rsidRPr="00DF38B2" w:rsidRDefault="00535C84" w:rsidP="006654AE"/>
    <w:p w:rsidR="00417B51" w:rsidRPr="00DF38B2" w:rsidRDefault="00417B51" w:rsidP="006654AE">
      <w:pPr>
        <w:sectPr w:rsidR="00417B51" w:rsidRPr="00DF38B2" w:rsidSect="00285084">
          <w:headerReference w:type="even" r:id="rId169"/>
          <w:headerReference w:type="default" r:id="rId170"/>
          <w:footerReference w:type="even" r:id="rId171"/>
          <w:footerReference w:type="default" r:id="rId172"/>
          <w:headerReference w:type="first" r:id="rId173"/>
          <w:footerReference w:type="first" r:id="rId174"/>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577" w:name="_Toc403739110"/>
      <w:r w:rsidRPr="00DF38B2">
        <w:lastRenderedPageBreak/>
        <w:t>The perspectives of intermediaries</w:t>
      </w:r>
      <w:bookmarkEnd w:id="577"/>
      <w:r w:rsidRPr="00DF38B2">
        <w:t xml:space="preserve"> </w:t>
      </w:r>
    </w:p>
    <w:p w:rsidR="00417B51" w:rsidRPr="00DF38B2" w:rsidRDefault="00417B51" w:rsidP="00F42BEE">
      <w:pPr>
        <w:pStyle w:val="Heading2"/>
        <w:spacing w:before="1134"/>
        <w:ind w:left="855" w:hanging="855"/>
      </w:pPr>
      <w:bookmarkStart w:id="578" w:name="_Toc403739111"/>
      <w:r w:rsidRPr="00DF38B2">
        <w:t>Introduction</w:t>
      </w:r>
      <w:bookmarkEnd w:id="578"/>
      <w:r w:rsidRPr="00DF38B2">
        <w:t xml:space="preserve"> </w:t>
      </w:r>
    </w:p>
    <w:p w:rsidR="00417B51" w:rsidRPr="00DF38B2" w:rsidRDefault="00417B51" w:rsidP="006654AE">
      <w:r w:rsidRPr="00DF38B2">
        <w:t>This chapter provides analysis of the key themes that emerge from the interviews with staff from organisation</w:t>
      </w:r>
      <w:r w:rsidR="00EB0B7A">
        <w:t>s</w:t>
      </w:r>
      <w:r w:rsidRPr="00DF38B2">
        <w:t xml:space="preserve"> implementing income management or working with people subject to income management (collectively we term these organisations intermediaries).</w:t>
      </w:r>
      <w:r w:rsidR="00D37FBC" w:rsidRPr="00DF38B2">
        <w:t xml:space="preserve"> </w:t>
      </w:r>
      <w:r w:rsidRPr="00DF38B2">
        <w:t>Data has been collected from Centrelink staff, money management and financial counselling service providers</w:t>
      </w:r>
      <w:r w:rsidR="00EB0B7A">
        <w:t>,</w:t>
      </w:r>
      <w:r w:rsidRPr="00DF38B2">
        <w:t xml:space="preserve"> child protection workers, non-government organisations that provide emergency relief, housing services, legal service and advocacy groups, and peak bodies (merchants and legal services).</w:t>
      </w:r>
    </w:p>
    <w:p w:rsidR="00417B51" w:rsidRPr="00DF38B2" w:rsidRDefault="00417B51" w:rsidP="006654AE">
      <w:r w:rsidRPr="00DF38B2">
        <w:t xml:space="preserve">The chapter begins with a brief overview of the number of interviews undertaken and </w:t>
      </w:r>
      <w:r w:rsidR="00EB0B7A">
        <w:t xml:space="preserve">the </w:t>
      </w:r>
      <w:r w:rsidRPr="00DF38B2">
        <w:t>approach used</w:t>
      </w:r>
      <w:r w:rsidR="00EB0B7A">
        <w:t>,</w:t>
      </w:r>
      <w:r w:rsidRPr="00DF38B2">
        <w:t xml:space="preserve"> and then describes key themes from the data collected </w:t>
      </w:r>
      <w:r w:rsidR="00EB0B7A">
        <w:t>regarding</w:t>
      </w:r>
      <w:r w:rsidRPr="00DF38B2">
        <w:t xml:space="preserve"> income management in the Northern Territory. These analyses are spl</w:t>
      </w:r>
      <w:r w:rsidR="008D52CC">
        <w:t>i</w:t>
      </w:r>
      <w:r w:rsidRPr="00DF38B2">
        <w:t xml:space="preserve">t between </w:t>
      </w:r>
      <w:r w:rsidR="008D52CC">
        <w:t xml:space="preserve">the </w:t>
      </w:r>
      <w:r w:rsidRPr="00DF38B2">
        <w:t>operational and implementation issues outlined by the intermediaries</w:t>
      </w:r>
      <w:r w:rsidR="00EB0B7A">
        <w:t>’</w:t>
      </w:r>
      <w:r w:rsidRPr="00DF38B2">
        <w:t xml:space="preserve"> interviews, and their perceptions of the impacts and outcomes that they have observed at both the individual and community level in relation to income management in the Northern Territory. While this second evaluation report has a primary focus on outcomes, it is important also </w:t>
      </w:r>
      <w:r w:rsidR="00EB0B7A" w:rsidRPr="00DF38B2">
        <w:t xml:space="preserve">to </w:t>
      </w:r>
      <w:r w:rsidRPr="00DF38B2">
        <w:t xml:space="preserve">understand how different aspects of the operation and/or implementation of income management in </w:t>
      </w:r>
      <w:r w:rsidR="00EB0B7A">
        <w:t xml:space="preserve">the </w:t>
      </w:r>
      <w:r w:rsidRPr="00DF38B2">
        <w:t>Northern Territory may impact the experiences of those subject to income management</w:t>
      </w:r>
      <w:r w:rsidR="00A1421A">
        <w:t xml:space="preserve">. </w:t>
      </w:r>
    </w:p>
    <w:p w:rsidR="00417B51" w:rsidRPr="00DF38B2" w:rsidRDefault="00417B51" w:rsidP="006654AE">
      <w:r w:rsidRPr="00DF38B2">
        <w:t xml:space="preserve">The findings presented here are based on qualitative interviews with a range of intermediaries working with people subject to income management across the Northern Territory. While significant proportions of money management and financial counselling staff and Centrelink social workers are represented here, we cannot be sure that the sample is representative of all service providers in the Northern Territory. However, the themes and supporting quotes presented in this chapter, unless specified otherwise, are themes that consistently emerged from interviews with intermediaries. These themes serve both </w:t>
      </w:r>
      <w:r w:rsidR="00EB0B7A" w:rsidRPr="00DF38B2">
        <w:t xml:space="preserve">to </w:t>
      </w:r>
      <w:r w:rsidRPr="00DF38B2">
        <w:t xml:space="preserve">illustrate and </w:t>
      </w:r>
      <w:r w:rsidR="00EB0B7A">
        <w:t xml:space="preserve">to </w:t>
      </w:r>
      <w:r w:rsidRPr="00DF38B2">
        <w:t>provide context to quantitative findings presented elsewhere in the report</w:t>
      </w:r>
      <w:r w:rsidR="00EB0B7A">
        <w:t>,</w:t>
      </w:r>
      <w:r w:rsidRPr="00DF38B2">
        <w:t xml:space="preserve"> as well as allowing for </w:t>
      </w:r>
      <w:r w:rsidR="006960EE">
        <w:t>analysis of some issues</w:t>
      </w:r>
      <w:r w:rsidR="006960EE" w:rsidRPr="00DF38B2">
        <w:t xml:space="preserve"> </w:t>
      </w:r>
      <w:r w:rsidRPr="00DF38B2">
        <w:t>that are not easily identified using surveys and administrative data.</w:t>
      </w:r>
    </w:p>
    <w:p w:rsidR="00417B51" w:rsidRPr="00DF38B2" w:rsidRDefault="00417B51" w:rsidP="006654AE">
      <w:r w:rsidRPr="00DF38B2">
        <w:t xml:space="preserve">Detailed analyses of intermediary interviews as they relate to </w:t>
      </w:r>
      <w:r w:rsidR="008D52CC">
        <w:t xml:space="preserve">the </w:t>
      </w:r>
      <w:r w:rsidRPr="00DF38B2">
        <w:rPr>
          <w:szCs w:val="19"/>
        </w:rPr>
        <w:t xml:space="preserve">Vulnerable Welfare Payment Recipient measure </w:t>
      </w:r>
      <w:r w:rsidR="00EB0B7A">
        <w:rPr>
          <w:szCs w:val="19"/>
        </w:rPr>
        <w:t>are</w:t>
      </w:r>
      <w:r w:rsidRPr="00DF38B2">
        <w:rPr>
          <w:szCs w:val="19"/>
        </w:rPr>
        <w:t xml:space="preserve"> reported in Chapter 12. While some of the material from interviews with child protection workers has been included in this chapter, the majority of th</w:t>
      </w:r>
      <w:r w:rsidR="00EB0B7A">
        <w:rPr>
          <w:szCs w:val="19"/>
        </w:rPr>
        <w:t>ese</w:t>
      </w:r>
      <w:r w:rsidRPr="00DF38B2">
        <w:rPr>
          <w:szCs w:val="19"/>
        </w:rPr>
        <w:t xml:space="preserve"> data will be reported in the separate supplementary report on Child Protection Income Management.</w:t>
      </w:r>
    </w:p>
    <w:p w:rsidR="00417B51" w:rsidRPr="00DF38B2" w:rsidRDefault="00417B51" w:rsidP="006654AE">
      <w:pPr>
        <w:pStyle w:val="Heading2"/>
      </w:pPr>
      <w:bookmarkStart w:id="579" w:name="_Toc403739112"/>
      <w:r w:rsidRPr="00DF38B2">
        <w:t>Methodology</w:t>
      </w:r>
      <w:bookmarkEnd w:id="579"/>
    </w:p>
    <w:p w:rsidR="00417B51" w:rsidRPr="00DF38B2" w:rsidRDefault="00417B51" w:rsidP="006654AE">
      <w:r w:rsidRPr="00DF38B2">
        <w:t>Interviews with both groups and individuals have been undertaken with 120 intermediaries from a range of organisations. The intermediaries interviewed hold a range of positions in their organisation</w:t>
      </w:r>
      <w:r w:rsidR="008D52CC">
        <w:t>s</w:t>
      </w:r>
      <w:r w:rsidRPr="00DF38B2">
        <w:t xml:space="preserve"> and come from a range of backgrounds. The interviewers covered operational and implementation issues associated with income management and perceptions of whether income management assists people</w:t>
      </w:r>
      <w:r w:rsidR="004A5E93">
        <w:t>,</w:t>
      </w:r>
      <w:r w:rsidRPr="00DF38B2">
        <w:t xml:space="preserve"> and whether there are differences between the income management measures. </w:t>
      </w:r>
    </w:p>
    <w:p w:rsidR="00417B51" w:rsidRPr="00DF38B2" w:rsidRDefault="00417B51" w:rsidP="006654AE">
      <w:pPr>
        <w:rPr>
          <w:szCs w:val="19"/>
        </w:rPr>
      </w:pPr>
      <w:r w:rsidRPr="00DF38B2">
        <w:rPr>
          <w:szCs w:val="19"/>
        </w:rPr>
        <w:t xml:space="preserve">The following interviews </w:t>
      </w:r>
      <w:r w:rsidR="004A5E93">
        <w:rPr>
          <w:szCs w:val="19"/>
        </w:rPr>
        <w:t xml:space="preserve">– </w:t>
      </w:r>
      <w:r w:rsidRPr="00DF38B2">
        <w:rPr>
          <w:szCs w:val="19"/>
        </w:rPr>
        <w:t>group</w:t>
      </w:r>
      <w:r w:rsidR="004A5E93">
        <w:rPr>
          <w:szCs w:val="19"/>
        </w:rPr>
        <w:t xml:space="preserve"> and</w:t>
      </w:r>
      <w:r w:rsidRPr="00DF38B2">
        <w:rPr>
          <w:szCs w:val="19"/>
        </w:rPr>
        <w:t xml:space="preserve"> individual</w:t>
      </w:r>
      <w:r w:rsidR="004A5E93">
        <w:rPr>
          <w:szCs w:val="19"/>
        </w:rPr>
        <w:t xml:space="preserve"> –</w:t>
      </w:r>
      <w:r w:rsidRPr="00DF38B2">
        <w:rPr>
          <w:szCs w:val="19"/>
        </w:rPr>
        <w:t xml:space="preserve"> were conducted:</w:t>
      </w:r>
    </w:p>
    <w:p w:rsidR="00417B51" w:rsidRPr="00DF38B2" w:rsidRDefault="006C71C0" w:rsidP="006654AE">
      <w:pPr>
        <w:pStyle w:val="dot"/>
      </w:pPr>
      <w:r w:rsidRPr="006C71C0">
        <w:lastRenderedPageBreak/>
        <w:t>M</w:t>
      </w:r>
      <w:r w:rsidR="00417B51" w:rsidRPr="006C71C0">
        <w:t>anagers</w:t>
      </w:r>
      <w:r w:rsidR="00417B51" w:rsidRPr="00DF38B2">
        <w:t xml:space="preserve"> and staff from 11 of the 12 organisations providing </w:t>
      </w:r>
      <w:r w:rsidR="00E964B4">
        <w:t>Money Management Service</w:t>
      </w:r>
      <w:r w:rsidR="00417B51" w:rsidRPr="00DF38B2">
        <w:t>s</w:t>
      </w:r>
      <w:r w:rsidR="004A5E93">
        <w:t>,</w:t>
      </w:r>
      <w:r w:rsidR="00417B51" w:rsidRPr="00DF38B2">
        <w:t xml:space="preserve"> and all of the </w:t>
      </w:r>
      <w:r w:rsidR="004A5E93">
        <w:t>seven</w:t>
      </w:r>
      <w:r w:rsidR="00417B51" w:rsidRPr="00DF38B2">
        <w:t xml:space="preserve"> organisations providing </w:t>
      </w:r>
      <w:r w:rsidR="000C4773">
        <w:t>Commonwealth</w:t>
      </w:r>
      <w:r w:rsidR="004616EF">
        <w:t xml:space="preserve"> F</w:t>
      </w:r>
      <w:r w:rsidR="00417B51" w:rsidRPr="00DF38B2">
        <w:t xml:space="preserve">inancial </w:t>
      </w:r>
      <w:r w:rsidR="004616EF">
        <w:t>C</w:t>
      </w:r>
      <w:r w:rsidR="00417B51" w:rsidRPr="00DF38B2">
        <w:t>ounselling services in the</w:t>
      </w:r>
      <w:r w:rsidR="00087D72">
        <w:t xml:space="preserve"> Northern Territory </w:t>
      </w:r>
      <w:r>
        <w:t xml:space="preserve">were </w:t>
      </w:r>
      <w:r w:rsidR="00A8053C">
        <w:t>interviewed</w:t>
      </w:r>
      <w:r>
        <w:t xml:space="preserve">. This involved </w:t>
      </w:r>
      <w:r w:rsidR="00417B51" w:rsidRPr="00DF38B2">
        <w:t xml:space="preserve">40 participants across </w:t>
      </w:r>
      <w:r w:rsidR="004A5E93">
        <w:t>four</w:t>
      </w:r>
      <w:r w:rsidR="00417B51" w:rsidRPr="00DF38B2">
        <w:t xml:space="preserve"> focus groups</w:t>
      </w:r>
      <w:r>
        <w:t>.</w:t>
      </w:r>
    </w:p>
    <w:p w:rsidR="00417B51" w:rsidRPr="00DF38B2" w:rsidRDefault="006C71C0" w:rsidP="006654AE">
      <w:pPr>
        <w:pStyle w:val="dot"/>
      </w:pPr>
      <w:r>
        <w:t>S</w:t>
      </w:r>
      <w:r w:rsidR="00417B51" w:rsidRPr="00DF38B2">
        <w:t xml:space="preserve">taff from the Australian Government </w:t>
      </w:r>
      <w:r w:rsidR="00060511">
        <w:t>DHS</w:t>
      </w:r>
      <w:r w:rsidR="00417B51" w:rsidRPr="00DF38B2">
        <w:t xml:space="preserve"> </w:t>
      </w:r>
      <w:r>
        <w:t xml:space="preserve">including </w:t>
      </w:r>
      <w:r w:rsidR="00417B51" w:rsidRPr="00DF38B2">
        <w:t xml:space="preserve">43 </w:t>
      </w:r>
      <w:r w:rsidR="00A8053C" w:rsidRPr="00DF38B2">
        <w:t>staff</w:t>
      </w:r>
      <w:r w:rsidR="00A8053C">
        <w:t xml:space="preserve">, </w:t>
      </w:r>
      <w:r w:rsidR="000E7F9D">
        <w:t>including</w:t>
      </w:r>
      <w:r>
        <w:t xml:space="preserve"> </w:t>
      </w:r>
      <w:r w:rsidR="00417B51" w:rsidRPr="00DF38B2">
        <w:t>26 social workers</w:t>
      </w:r>
      <w:r>
        <w:t xml:space="preserve">. The social worker </w:t>
      </w:r>
      <w:r w:rsidR="00417B51" w:rsidRPr="00DF38B2">
        <w:t>interview</w:t>
      </w:r>
      <w:r>
        <w:t xml:space="preserve">s </w:t>
      </w:r>
      <w:r w:rsidR="00417B51" w:rsidRPr="00DF38B2">
        <w:t>focused on Vulnerable Income Management</w:t>
      </w:r>
      <w:r>
        <w:t>, others were</w:t>
      </w:r>
      <w:r w:rsidR="00417B51" w:rsidRPr="00DF38B2">
        <w:t xml:space="preserve"> Customer Service Officers</w:t>
      </w:r>
      <w:r w:rsidR="004A5E93">
        <w:t>;</w:t>
      </w:r>
      <w:r w:rsidR="00417B51" w:rsidRPr="00DF38B2">
        <w:t xml:space="preserve"> remote servicing staff</w:t>
      </w:r>
      <w:r w:rsidR="004A5E93">
        <w:t>;</w:t>
      </w:r>
      <w:r w:rsidR="00417B51" w:rsidRPr="00DF38B2">
        <w:t xml:space="preserve"> </w:t>
      </w:r>
      <w:r w:rsidR="00E32EC1" w:rsidRPr="00DF38B2">
        <w:t>Income Management Coordination Officer</w:t>
      </w:r>
      <w:r w:rsidR="00E32EC1">
        <w:t>s</w:t>
      </w:r>
      <w:r w:rsidR="004A5E93">
        <w:t>;</w:t>
      </w:r>
      <w:r w:rsidR="00417B51" w:rsidRPr="00DF38B2">
        <w:t xml:space="preserve"> and exemptions staff</w:t>
      </w:r>
      <w:r>
        <w:t>.</w:t>
      </w:r>
    </w:p>
    <w:p w:rsidR="00417B51" w:rsidRPr="00FF1EE3" w:rsidRDefault="00417B51" w:rsidP="006654AE">
      <w:pPr>
        <w:pStyle w:val="dot"/>
      </w:pPr>
      <w:r w:rsidRPr="00DF38B2">
        <w:t>N</w:t>
      </w:r>
      <w:r w:rsidR="00407AEF">
        <w:t xml:space="preserve">orthern </w:t>
      </w:r>
      <w:r w:rsidRPr="00DF38B2">
        <w:t>T</w:t>
      </w:r>
      <w:r w:rsidR="00407AEF">
        <w:t>erritory</w:t>
      </w:r>
      <w:r w:rsidRPr="00DF38B2">
        <w:t xml:space="preserve"> Department of Children and Families (DCF) child protection staff</w:t>
      </w:r>
      <w:r w:rsidR="004A5E93">
        <w:t>,</w:t>
      </w:r>
      <w:r w:rsidRPr="00DF38B2">
        <w:t xml:space="preserve"> including regional directors, </w:t>
      </w:r>
      <w:r w:rsidRPr="00FF1EE3">
        <w:t>head off</w:t>
      </w:r>
      <w:r w:rsidR="004616EF">
        <w:t>ice</w:t>
      </w:r>
      <w:r w:rsidRPr="00FF1EE3">
        <w:t xml:space="preserve"> staff, managers</w:t>
      </w:r>
      <w:r w:rsidR="004A5E93" w:rsidRPr="00FF1EE3">
        <w:t>,</w:t>
      </w:r>
      <w:r w:rsidRPr="00FF1EE3">
        <w:t xml:space="preserve"> and caseworkers (29 participants across </w:t>
      </w:r>
      <w:r w:rsidR="004A5E93" w:rsidRPr="00FF1EE3">
        <w:t>six</w:t>
      </w:r>
      <w:r w:rsidRPr="00FF1EE3">
        <w:t xml:space="preserve"> interviews)</w:t>
      </w:r>
      <w:r w:rsidR="006C71C0">
        <w:t>.</w:t>
      </w:r>
    </w:p>
    <w:p w:rsidR="00417B51" w:rsidRPr="00FF1EE3" w:rsidRDefault="006C71C0" w:rsidP="006654AE">
      <w:pPr>
        <w:pStyle w:val="dot"/>
      </w:pPr>
      <w:r>
        <w:t xml:space="preserve">Interviews with </w:t>
      </w:r>
      <w:r w:rsidR="00FF1EE3">
        <w:t>five</w:t>
      </w:r>
      <w:r w:rsidR="00417B51" w:rsidRPr="00FF1EE3">
        <w:t xml:space="preserve"> representatives of </w:t>
      </w:r>
      <w:r w:rsidR="00FF1EE3">
        <w:t>five</w:t>
      </w:r>
      <w:r w:rsidR="00AA76DB" w:rsidRPr="00FF1EE3">
        <w:t xml:space="preserve"> </w:t>
      </w:r>
      <w:r w:rsidR="00417B51" w:rsidRPr="00FF1EE3">
        <w:t>agencies providing emergency relief</w:t>
      </w:r>
      <w:r>
        <w:t>.</w:t>
      </w:r>
    </w:p>
    <w:p w:rsidR="00417B51" w:rsidRPr="00DF38B2" w:rsidRDefault="006C71C0" w:rsidP="006654AE">
      <w:pPr>
        <w:pStyle w:val="dot"/>
      </w:pPr>
      <w:r>
        <w:t xml:space="preserve">One interview with a </w:t>
      </w:r>
      <w:r w:rsidR="00417B51" w:rsidRPr="00FF1EE3">
        <w:t>representative</w:t>
      </w:r>
      <w:r>
        <w:t xml:space="preserve"> from </w:t>
      </w:r>
      <w:r w:rsidR="00FF1EE3">
        <w:t>an</w:t>
      </w:r>
      <w:r w:rsidR="00AA76DB" w:rsidRPr="00FF1EE3">
        <w:t xml:space="preserve"> agency</w:t>
      </w:r>
      <w:r w:rsidR="00417B51" w:rsidRPr="00DF38B2">
        <w:t xml:space="preserve"> providing housing</w:t>
      </w:r>
      <w:r w:rsidR="004A5E93">
        <w:t>-</w:t>
      </w:r>
      <w:r w:rsidR="00417B51" w:rsidRPr="00DF38B2">
        <w:t>related services</w:t>
      </w:r>
      <w:r>
        <w:t>.</w:t>
      </w:r>
    </w:p>
    <w:p w:rsidR="00417B51" w:rsidRPr="00DF38B2" w:rsidRDefault="006C71C0" w:rsidP="006654AE">
      <w:pPr>
        <w:pStyle w:val="dot"/>
        <w:rPr>
          <w:szCs w:val="22"/>
        </w:rPr>
      </w:pPr>
      <w:r>
        <w:t xml:space="preserve">Interviews with </w:t>
      </w:r>
      <w:r w:rsidR="00417B51" w:rsidRPr="00DF38B2">
        <w:t xml:space="preserve">eight representatives of </w:t>
      </w:r>
      <w:r w:rsidR="004A5E93">
        <w:t>five</w:t>
      </w:r>
      <w:r w:rsidR="00417B51" w:rsidRPr="00DF38B2">
        <w:t xml:space="preserve"> service providers and agencies that work with or represent people subject to income management</w:t>
      </w:r>
      <w:r w:rsidR="004A5E93">
        <w:t>,</w:t>
      </w:r>
      <w:r w:rsidR="00417B51" w:rsidRPr="00DF38B2">
        <w:t xml:space="preserve"> including both legal services and peak bodies.</w:t>
      </w:r>
    </w:p>
    <w:p w:rsidR="00417B51" w:rsidRDefault="00417B51" w:rsidP="006654AE">
      <w:pPr>
        <w:rPr>
          <w:szCs w:val="19"/>
        </w:rPr>
      </w:pPr>
      <w:r w:rsidRPr="00DF38B2">
        <w:t xml:space="preserve">Interviews took between 20 minutes and </w:t>
      </w:r>
      <w:r w:rsidR="004A5E93">
        <w:t>two</w:t>
      </w:r>
      <w:r w:rsidRPr="00DF38B2">
        <w:t xml:space="preserve"> hours. The general interview schedule and interview </w:t>
      </w:r>
      <w:r w:rsidRPr="004616EF">
        <w:t>schedules for the Vulnerable and Child Protection Income Management</w:t>
      </w:r>
      <w:r w:rsidR="004A5E93" w:rsidRPr="004616EF">
        <w:t>-</w:t>
      </w:r>
      <w:r w:rsidRPr="004616EF">
        <w:t xml:space="preserve">focused </w:t>
      </w:r>
      <w:proofErr w:type="gramStart"/>
      <w:r w:rsidRPr="004616EF">
        <w:t>interviews</w:t>
      </w:r>
      <w:r w:rsidR="008D52CC">
        <w:t>,</w:t>
      </w:r>
      <w:proofErr w:type="gramEnd"/>
      <w:r w:rsidRPr="004616EF">
        <w:t xml:space="preserve"> are provided in </w:t>
      </w:r>
      <w:r w:rsidR="008D52CC" w:rsidRPr="004616EF">
        <w:t>A</w:t>
      </w:r>
      <w:r w:rsidR="008D52CC">
        <w:t>ppendices</w:t>
      </w:r>
      <w:r w:rsidR="008D52CC" w:rsidRPr="004616EF">
        <w:t xml:space="preserve"> </w:t>
      </w:r>
      <w:r w:rsidR="004616EF" w:rsidRPr="004616EF">
        <w:t xml:space="preserve">F </w:t>
      </w:r>
      <w:r w:rsidRPr="004616EF">
        <w:t xml:space="preserve">to </w:t>
      </w:r>
      <w:r w:rsidR="004616EF" w:rsidRPr="004616EF">
        <w:t>G.</w:t>
      </w:r>
      <w:r w:rsidRPr="004616EF">
        <w:rPr>
          <w:szCs w:val="19"/>
        </w:rPr>
        <w:t xml:space="preserve"> Each organisation</w:t>
      </w:r>
      <w:r w:rsidRPr="00DF38B2">
        <w:rPr>
          <w:szCs w:val="19"/>
        </w:rPr>
        <w:t xml:space="preserve"> was sent a copy of the interview schedule in advance of the interview in order </w:t>
      </w:r>
      <w:r w:rsidR="004A5E93">
        <w:rPr>
          <w:szCs w:val="19"/>
        </w:rPr>
        <w:t xml:space="preserve">to </w:t>
      </w:r>
      <w:r w:rsidRPr="00DF38B2">
        <w:rPr>
          <w:szCs w:val="19"/>
        </w:rPr>
        <w:t xml:space="preserve">assist participants </w:t>
      </w:r>
      <w:r w:rsidR="004A5E93">
        <w:rPr>
          <w:szCs w:val="19"/>
        </w:rPr>
        <w:t>in</w:t>
      </w:r>
      <w:r w:rsidRPr="00DF38B2">
        <w:rPr>
          <w:szCs w:val="19"/>
        </w:rPr>
        <w:t xml:space="preserve"> provid</w:t>
      </w:r>
      <w:r w:rsidR="004A5E93">
        <w:rPr>
          <w:szCs w:val="19"/>
        </w:rPr>
        <w:t>ing</w:t>
      </w:r>
      <w:r w:rsidRPr="00DF38B2">
        <w:rPr>
          <w:szCs w:val="19"/>
        </w:rPr>
        <w:t xml:space="preserve"> informed consent</w:t>
      </w:r>
      <w:r w:rsidR="004A5E93">
        <w:rPr>
          <w:szCs w:val="19"/>
        </w:rPr>
        <w:t>,</w:t>
      </w:r>
      <w:r w:rsidRPr="00DF38B2">
        <w:rPr>
          <w:szCs w:val="19"/>
        </w:rPr>
        <w:t xml:space="preserve"> to prepare </w:t>
      </w:r>
      <w:r w:rsidR="004A5E93">
        <w:rPr>
          <w:szCs w:val="19"/>
        </w:rPr>
        <w:t xml:space="preserve">for </w:t>
      </w:r>
      <w:r w:rsidRPr="00DF38B2">
        <w:rPr>
          <w:szCs w:val="19"/>
        </w:rPr>
        <w:t>the interview and consult with colleagues as required. Participants were also invited to raise other issues that were not included in the interview schedules</w:t>
      </w:r>
      <w:r w:rsidR="004A5E93">
        <w:rPr>
          <w:szCs w:val="19"/>
        </w:rPr>
        <w:t>,</w:t>
      </w:r>
      <w:r w:rsidRPr="00DF38B2">
        <w:rPr>
          <w:szCs w:val="19"/>
        </w:rPr>
        <w:t xml:space="preserve"> but </w:t>
      </w:r>
      <w:r w:rsidR="004A5E93">
        <w:rPr>
          <w:szCs w:val="19"/>
        </w:rPr>
        <w:t>which</w:t>
      </w:r>
      <w:r w:rsidRPr="00DF38B2">
        <w:rPr>
          <w:szCs w:val="19"/>
        </w:rPr>
        <w:t xml:space="preserve"> they thought were relevant to income management in the Northern Territory. </w:t>
      </w:r>
    </w:p>
    <w:p w:rsidR="00D0720C" w:rsidRPr="00DF38B2" w:rsidRDefault="00D0720C" w:rsidP="006654AE">
      <w:r w:rsidRPr="00D0720C">
        <w:t xml:space="preserve">It is noted that in discussions with DHS staff the evaluation sought to obtain from them their professional assessment of their experience of working in the administration of </w:t>
      </w:r>
      <w:r w:rsidR="005E4CAC">
        <w:t>income management</w:t>
      </w:r>
      <w:r w:rsidRPr="00D0720C">
        <w:t xml:space="preserve"> and with people on the measures, and of the outcomes the program achieved for this group. On the whole we believe that the views we obtained clearly reflect this perspective. The views of individual staff of course should not be taken as representing the official position of the agency</w:t>
      </w:r>
    </w:p>
    <w:p w:rsidR="00417B51" w:rsidRPr="00DF38B2" w:rsidRDefault="00417B51" w:rsidP="006654AE">
      <w:pPr>
        <w:pStyle w:val="Heading2"/>
      </w:pPr>
      <w:bookmarkStart w:id="580" w:name="_Toc403739113"/>
      <w:r w:rsidRPr="00DF38B2">
        <w:t>Operational and implementation issues</w:t>
      </w:r>
      <w:bookmarkEnd w:id="580"/>
    </w:p>
    <w:p w:rsidR="00417B51" w:rsidRPr="00DF38B2" w:rsidRDefault="00417B51" w:rsidP="006654AE">
      <w:r w:rsidRPr="00DF38B2">
        <w:t>This section provides an overview of findings from the interviews relating to operational and implementation issues including processes around commencing income management and setting up allocations, exemptions, the use of BasicsCards, money management and financial counselling services</w:t>
      </w:r>
      <w:r w:rsidR="00693854">
        <w:t>,</w:t>
      </w:r>
      <w:r w:rsidRPr="00DF38B2">
        <w:t xml:space="preserve"> and other services that support people subject to income management. These issues continue to be important in the experience of people subject to income management. </w:t>
      </w:r>
    </w:p>
    <w:p w:rsidR="00417B51" w:rsidRPr="00DF38B2" w:rsidRDefault="00417B51" w:rsidP="006654AE">
      <w:pPr>
        <w:pStyle w:val="Heading3"/>
      </w:pPr>
      <w:bookmarkStart w:id="581" w:name="_Toc403739114"/>
      <w:r w:rsidRPr="00DF38B2">
        <w:t>Commencing income management</w:t>
      </w:r>
      <w:bookmarkEnd w:id="581"/>
    </w:p>
    <w:p w:rsidR="00417B51" w:rsidRPr="00DF38B2" w:rsidRDefault="00417B51" w:rsidP="006654AE">
      <w:r w:rsidRPr="00DF38B2">
        <w:t>In the first stage of the evaluation, much of the discussions with intermediaries about the process for people coming into income management focused on the transition from NTER Income Management to New Income Management. The second</w:t>
      </w:r>
      <w:r w:rsidR="00693854">
        <w:t>-</w:t>
      </w:r>
      <w:r w:rsidRPr="00DF38B2">
        <w:t xml:space="preserve">stage intermediary interviews have focused on issues for people commencing income management for the first time. </w:t>
      </w:r>
    </w:p>
    <w:p w:rsidR="00417B51" w:rsidRPr="00DF38B2" w:rsidRDefault="00417B51" w:rsidP="006654AE">
      <w:r w:rsidRPr="00DF38B2">
        <w:t xml:space="preserve">A widespread view among the money management and financial counselling staff and managers was that most of the people they see who are subject to income management have only a very limited understanding of the program and most people think of income management as being the BasicsCard. </w:t>
      </w:r>
    </w:p>
    <w:p w:rsidR="00417B51" w:rsidRPr="00DF38B2" w:rsidRDefault="00417B51" w:rsidP="006654AE">
      <w:r w:rsidRPr="00DF38B2">
        <w:t xml:space="preserve">A number of participants from the money management and financial counselling services, particularly servicing remote areas, reported that there was a great deal of confusion for some people subject to income management about differences between Voluntary Income Management and the compulsory measures. They also reported that some of the people they worked with who were on the </w:t>
      </w:r>
      <w:r w:rsidR="006960EE">
        <w:t>v</w:t>
      </w:r>
      <w:r w:rsidRPr="00DF38B2">
        <w:t>oluntary measure think they are not allowed to come off it at all. Many of these were clients who had been on income management ‘since day one’, during the NTER. Interview participants who worked in legal services also said that some of their clients who were on Voluntary Income Management did not understand that they could choose to come off income management</w:t>
      </w:r>
      <w:r w:rsidR="009567BE">
        <w:t>:</w:t>
      </w:r>
      <w:r w:rsidRPr="00DF38B2">
        <w:t xml:space="preserve"> </w:t>
      </w:r>
    </w:p>
    <w:p w:rsidR="00417B51" w:rsidRPr="00DF38B2" w:rsidRDefault="00417B51" w:rsidP="006654AE">
      <w:pPr>
        <w:pStyle w:val="Quote2"/>
      </w:pPr>
      <w:r w:rsidRPr="00DF38B2">
        <w:lastRenderedPageBreak/>
        <w:t xml:space="preserve">The people on </w:t>
      </w:r>
      <w:r w:rsidR="001544DF">
        <w:t>Voluntary Income Management</w:t>
      </w:r>
      <w:r w:rsidRPr="00DF38B2">
        <w:t xml:space="preserve"> that we see don’t identify with it being voluntary </w:t>
      </w:r>
      <w:r w:rsidR="00693854">
        <w:t>(</w:t>
      </w:r>
      <w:r w:rsidRPr="00DF38B2">
        <w:t>Legal service</w:t>
      </w:r>
      <w:r w:rsidR="00693854">
        <w:t>)</w:t>
      </w:r>
    </w:p>
    <w:p w:rsidR="00417B51" w:rsidRPr="00DF38B2" w:rsidRDefault="00417B51" w:rsidP="006654AE">
      <w:r w:rsidRPr="00DF38B2">
        <w:t>There was also a concern across financial counselling, money management, legal services and advocacy staff that there are still clients who do not understand that they are on income management and that some of their income support payments are in a separate account. In this situation people just accept that whatever goes into their bank account must be the right amount and they don’t follow up with DHS about why they have less money. Interviewees observed that this is likely to be the most vulnerable people. In these cases people can experience considerable hardship until this issue is resolved.</w:t>
      </w:r>
    </w:p>
    <w:p w:rsidR="00417B51" w:rsidRPr="00DF38B2" w:rsidRDefault="00417B51" w:rsidP="006654AE">
      <w:pPr>
        <w:pStyle w:val="Quote2"/>
      </w:pPr>
      <w:r w:rsidRPr="00DF38B2">
        <w:t xml:space="preserve">People just accept whatever money is in the bank. They don’t question the amount. </w:t>
      </w:r>
      <w:r w:rsidR="00693854">
        <w:t>(</w:t>
      </w:r>
      <w:r w:rsidRPr="00DF38B2">
        <w:t>Money management worker</w:t>
      </w:r>
      <w:r w:rsidR="00693854">
        <w:t>)</w:t>
      </w:r>
    </w:p>
    <w:p w:rsidR="00417B51" w:rsidRPr="00DF38B2" w:rsidRDefault="00417B51" w:rsidP="006654AE">
      <w:r w:rsidRPr="00DF38B2">
        <w:t>When a person becomes subject to income management, DHS seeks to inform them of this in a number of ways, including discussions during routine face-to-face contact at a Customer Service Centre or through a Remote Services Team, via the telephone</w:t>
      </w:r>
      <w:r w:rsidR="009567BE">
        <w:t>,</w:t>
      </w:r>
      <w:r w:rsidRPr="00DF38B2">
        <w:t xml:space="preserve"> and through written communications such as letters. This varies slightly according to the way in which people go on</w:t>
      </w:r>
      <w:r w:rsidR="009567BE">
        <w:t>to</w:t>
      </w:r>
      <w:r w:rsidRPr="00DF38B2">
        <w:t xml:space="preserve"> income management. For example, DHS staff participating in interviews </w:t>
      </w:r>
      <w:r w:rsidR="009567BE">
        <w:t>explained</w:t>
      </w:r>
      <w:r w:rsidRPr="00DF38B2">
        <w:t xml:space="preserve"> that when a customer was a couple of months from qualifying for income management via one of the participation measures, they would start reminding the person that this would be happening soon, so that they were aware of this prior to written communications being sent when they attended a Customer Service Centre or called DHS about other income support matters. </w:t>
      </w:r>
      <w:r w:rsidR="009567BE">
        <w:t>In instances w</w:t>
      </w:r>
      <w:r w:rsidRPr="00DF38B2">
        <w:t xml:space="preserve">here people had been referred to the Child Protection Income Management measure, in addition to sending letters to these customers the Income Management Coordination Officer would call the customer to explain what was happening and to try and start the process of setting up allocations. </w:t>
      </w:r>
    </w:p>
    <w:p w:rsidR="00417B51" w:rsidRPr="00DF38B2" w:rsidRDefault="00417B51" w:rsidP="006654AE">
      <w:r w:rsidRPr="00DF38B2">
        <w:t xml:space="preserve">These </w:t>
      </w:r>
      <w:r w:rsidR="00484A16">
        <w:t>face-to-face</w:t>
      </w:r>
      <w:r w:rsidRPr="00DF38B2">
        <w:t xml:space="preserve"> interactions and telephone calls were seen as being an important step in the process</w:t>
      </w:r>
      <w:r w:rsidR="009567BE">
        <w:t>,</w:t>
      </w:r>
      <w:r w:rsidRPr="00DF38B2">
        <w:t xml:space="preserve"> as it was acknowledged by DHS staff that many people who were moving onto income management either failed to receive the letters or were unable to understand them. This was a particular issue for remote communities or where people were homeless or very mobile</w:t>
      </w:r>
      <w:r w:rsidR="009567BE">
        <w:t>:</w:t>
      </w:r>
      <w:r w:rsidRPr="00DF38B2">
        <w:t xml:space="preserve"> </w:t>
      </w:r>
    </w:p>
    <w:p w:rsidR="00417B51" w:rsidRPr="00DF38B2" w:rsidRDefault="00417B51" w:rsidP="006654AE">
      <w:pPr>
        <w:pStyle w:val="Quote2"/>
      </w:pPr>
      <w:r w:rsidRPr="00DF38B2">
        <w:t>Urban customers tend to receive letters</w:t>
      </w:r>
      <w:r w:rsidR="009567BE">
        <w:t>,</w:t>
      </w:r>
      <w:r w:rsidRPr="00DF38B2">
        <w:t xml:space="preserve"> but where they go to a local post office or to communities we can’t guarantee the letter is received. It is important they get their mail</w:t>
      </w:r>
      <w:r w:rsidR="009567BE">
        <w:t>,</w:t>
      </w:r>
      <w:r w:rsidRPr="00DF38B2">
        <w:t xml:space="preserve"> as if they miss their appointments they can be put on auto-IM. This is bad because customers only get access to 30 per cent or 50 per cent of their payment. I don’t like doing this. </w:t>
      </w:r>
      <w:r w:rsidR="00693854">
        <w:t>(</w:t>
      </w:r>
      <w:r w:rsidRPr="00DF38B2">
        <w:t>Centrelink Customer Service Officer</w:t>
      </w:r>
      <w:r w:rsidR="00693854">
        <w:t>)</w:t>
      </w:r>
      <w:r w:rsidR="00EA6E18">
        <w:rPr>
          <w:rStyle w:val="FootnoteReference"/>
        </w:rPr>
        <w:footnoteReference w:id="133"/>
      </w:r>
    </w:p>
    <w:p w:rsidR="00417B51" w:rsidRPr="00DF38B2" w:rsidRDefault="00417B51" w:rsidP="006654AE">
      <w:r w:rsidRPr="00DF38B2">
        <w:t>To try and avoid people being in a situation where their income support is being automatically income managed, this DHS staff member described strategies to contact customers</w:t>
      </w:r>
      <w:r w:rsidR="009567BE">
        <w:t>,</w:t>
      </w:r>
      <w:r w:rsidRPr="00DF38B2">
        <w:t xml:space="preserve"> such as calling the Centrelink agent or the local store</w:t>
      </w:r>
      <w:r w:rsidR="009567BE">
        <w:t>,</w:t>
      </w:r>
      <w:r w:rsidRPr="00DF38B2">
        <w:t xml:space="preserve"> or p</w:t>
      </w:r>
      <w:r w:rsidR="009567BE">
        <w:t>lacing</w:t>
      </w:r>
      <w:r w:rsidRPr="00DF38B2">
        <w:t xml:space="preserve"> a note on their file to put the customer through to them if they call the general phone line.</w:t>
      </w:r>
    </w:p>
    <w:p w:rsidR="00417B51" w:rsidRPr="00DF38B2" w:rsidRDefault="00417B51" w:rsidP="006654AE">
      <w:pPr>
        <w:pStyle w:val="Heading3"/>
      </w:pPr>
      <w:bookmarkStart w:id="582" w:name="_Toc403739115"/>
      <w:r w:rsidRPr="00DF38B2">
        <w:t>Setting up income management – allocations</w:t>
      </w:r>
      <w:bookmarkEnd w:id="582"/>
    </w:p>
    <w:p w:rsidR="00417B51" w:rsidRPr="00DF38B2" w:rsidRDefault="00417B51" w:rsidP="006654AE">
      <w:r w:rsidRPr="00DF38B2">
        <w:t xml:space="preserve">The quality of allocations by DHS staff for </w:t>
      </w:r>
      <w:r w:rsidR="00A04470">
        <w:t>income managed</w:t>
      </w:r>
      <w:r w:rsidRPr="00DF38B2">
        <w:t xml:space="preserve"> funds are seen by financial counselling, money management and legal services staff as being of varying quality and was very much dependent on individual DHS staff involved in doing these allocations:</w:t>
      </w:r>
    </w:p>
    <w:p w:rsidR="00417B51" w:rsidRPr="00DF38B2" w:rsidRDefault="00417B51" w:rsidP="006654AE">
      <w:pPr>
        <w:pStyle w:val="Quote2"/>
      </w:pPr>
      <w:r w:rsidRPr="00DF38B2">
        <w:t xml:space="preserve">It depends on who the Centrelink worker is on how they make allocations for debts. Some are very focused on debt and others are more concerned about financial wellbeing and hardship. It depends on their knowledge, experience and compassion. </w:t>
      </w:r>
      <w:r w:rsidR="00693854">
        <w:t>(</w:t>
      </w:r>
      <w:r w:rsidRPr="00DF38B2">
        <w:t>Financial counsellor</w:t>
      </w:r>
      <w:r w:rsidR="00693854">
        <w:t>)</w:t>
      </w:r>
    </w:p>
    <w:p w:rsidR="00417B51" w:rsidRPr="00DF38B2" w:rsidRDefault="00417B51" w:rsidP="006654AE">
      <w:r w:rsidRPr="00DF38B2">
        <w:t xml:space="preserve">Across both of the focus groups undertaken with financial counsellors and interviews with legal services, concerns were expressed that allocations of </w:t>
      </w:r>
      <w:r w:rsidR="00A04470">
        <w:t>income managed</w:t>
      </w:r>
      <w:r w:rsidRPr="00DF38B2">
        <w:t xml:space="preserve"> funds were being set up in ways that did not benefit their clients</w:t>
      </w:r>
      <w:r w:rsidR="00A1421A">
        <w:t xml:space="preserve">. </w:t>
      </w:r>
      <w:r w:rsidRPr="00DF38B2">
        <w:t xml:space="preserve">Many noted that they had seen examples of poorly set up allocations that have led to debts being accrued and people being worse off financially: </w:t>
      </w:r>
    </w:p>
    <w:p w:rsidR="00417B51" w:rsidRPr="00DF38B2" w:rsidRDefault="00417B51" w:rsidP="006654AE">
      <w:pPr>
        <w:pStyle w:val="Quote2"/>
      </w:pPr>
      <w:r w:rsidRPr="00DF38B2">
        <w:t>I have clients with thousands saved and Centrelink think</w:t>
      </w:r>
      <w:r w:rsidR="009567BE">
        <w:t>s</w:t>
      </w:r>
      <w:r w:rsidRPr="00DF38B2">
        <w:t xml:space="preserve"> it’s great to save so much but they are living in very straitened circumstances. </w:t>
      </w:r>
      <w:r w:rsidR="00693854">
        <w:t>(</w:t>
      </w:r>
      <w:r w:rsidRPr="00DF38B2">
        <w:t>Financial counsellor</w:t>
      </w:r>
      <w:r w:rsidR="00693854">
        <w:t>)</w:t>
      </w:r>
    </w:p>
    <w:p w:rsidR="00417B51" w:rsidRPr="00DF38B2" w:rsidRDefault="00417B51" w:rsidP="006654AE">
      <w:pPr>
        <w:pStyle w:val="Quote2"/>
      </w:pPr>
      <w:r w:rsidRPr="00DF38B2">
        <w:lastRenderedPageBreak/>
        <w:t xml:space="preserve">I have seen cases where the allocations haven’t been good and money has built up. This leads to pressure and financial exploitation. </w:t>
      </w:r>
      <w:r w:rsidR="00693854">
        <w:t>(</w:t>
      </w:r>
      <w:r w:rsidRPr="00DF38B2">
        <w:t>Centrelink social worker</w:t>
      </w:r>
      <w:r w:rsidR="00693854">
        <w:t>)</w:t>
      </w:r>
    </w:p>
    <w:p w:rsidR="00417B51" w:rsidRPr="00DF38B2" w:rsidRDefault="00417B51" w:rsidP="006654AE">
      <w:r w:rsidRPr="00DF38B2">
        <w:t xml:space="preserve">There was also a strong concern across interviews with these services about the way that DHS staff manage the payments of people’s debts through their </w:t>
      </w:r>
      <w:r w:rsidR="00A04470">
        <w:t>income managed</w:t>
      </w:r>
      <w:r w:rsidRPr="00DF38B2">
        <w:t xml:space="preserve"> funds and the potential longer term financial impacts this has on people subject to income management</w:t>
      </w:r>
      <w:r w:rsidR="00702676">
        <w:t>:</w:t>
      </w:r>
      <w:r w:rsidRPr="00DF38B2">
        <w:t xml:space="preserve"> </w:t>
      </w:r>
    </w:p>
    <w:p w:rsidR="00417B51" w:rsidRPr="00DF38B2" w:rsidRDefault="00417B51" w:rsidP="006654AE">
      <w:pPr>
        <w:pStyle w:val="Quote2"/>
      </w:pPr>
      <w:r w:rsidRPr="00DF38B2">
        <w:t xml:space="preserve">I had a client with $2,500 worth of fines and they had him paying $200 per fortnight and he couldn’t afford to live. </w:t>
      </w:r>
      <w:r w:rsidR="00693854">
        <w:t>(</w:t>
      </w:r>
      <w:r w:rsidRPr="00DF38B2">
        <w:t>Financial counsellor</w:t>
      </w:r>
      <w:r w:rsidR="00693854">
        <w:t>)</w:t>
      </w:r>
    </w:p>
    <w:p w:rsidR="00417B51" w:rsidRPr="00DF38B2" w:rsidRDefault="00417B51" w:rsidP="006654AE">
      <w:r w:rsidRPr="00DF38B2">
        <w:t>The key concern relating to the issue of debt is that money management and financial counselling staff and legal and advocacy services observed that DHS staff sometimes set</w:t>
      </w:r>
      <w:r w:rsidR="005E5EE8">
        <w:t xml:space="preserve"> up</w:t>
      </w:r>
      <w:r w:rsidRPr="00DF38B2">
        <w:t xml:space="preserve"> people's allocations to pay off debts that people may not be legally required to pay – for example, that the age of the debt means it will soon be written off or that the debt has been accrued when </w:t>
      </w:r>
      <w:r w:rsidR="00702676">
        <w:t xml:space="preserve">it </w:t>
      </w:r>
      <w:r w:rsidRPr="00DF38B2">
        <w:t>shouldn</w:t>
      </w:r>
      <w:r w:rsidR="00702676">
        <w:t>’</w:t>
      </w:r>
      <w:r w:rsidRPr="00DF38B2">
        <w:t>t have been</w:t>
      </w:r>
      <w:r w:rsidR="00A1421A">
        <w:t xml:space="preserve">. </w:t>
      </w:r>
      <w:r w:rsidRPr="00DF38B2">
        <w:t>Financial counsellors noted that they can often advocate on behalf of their clients to have such debts reversed or reduced</w:t>
      </w:r>
      <w:r w:rsidR="00702676">
        <w:t>,</w:t>
      </w:r>
      <w:r w:rsidRPr="00DF38B2">
        <w:t xml:space="preserve"> but this is harder if their clients have already </w:t>
      </w:r>
      <w:r w:rsidR="00702676">
        <w:t>begun</w:t>
      </w:r>
      <w:r w:rsidRPr="00DF38B2">
        <w:t xml:space="preserve"> paying off the debt. Financial counsellors and legal services observed that debt issues seem</w:t>
      </w:r>
      <w:r w:rsidR="00702676">
        <w:t xml:space="preserve"> </w:t>
      </w:r>
      <w:r w:rsidRPr="00DF38B2">
        <w:t>to be dealt with differently depending on which individuals at DHS set up the allocations</w:t>
      </w:r>
      <w:r w:rsidR="00D37FBC" w:rsidRPr="00DF38B2">
        <w:t>. S</w:t>
      </w:r>
      <w:r w:rsidRPr="00DF38B2">
        <w:t xml:space="preserve">ome DHS staff </w:t>
      </w:r>
      <w:proofErr w:type="gramStart"/>
      <w:r w:rsidRPr="00DF38B2">
        <w:t>are</w:t>
      </w:r>
      <w:proofErr w:type="gramEnd"/>
      <w:r w:rsidRPr="00DF38B2">
        <w:t xml:space="preserve"> very concerned with debt and there is a strong focus on this in how they do allocations</w:t>
      </w:r>
      <w:r w:rsidR="00702676">
        <w:t>;</w:t>
      </w:r>
      <w:r w:rsidRPr="00DF38B2">
        <w:t xml:space="preserve"> others are more concerned around issues of financial wellbeing and hardship. Financial counsellors expressed a preference for referrals being made to them to work out how best to manage debt using </w:t>
      </w:r>
      <w:r w:rsidR="00A04470">
        <w:t>income managed</w:t>
      </w:r>
      <w:r w:rsidR="00307C76">
        <w:t xml:space="preserve"> funds</w:t>
      </w:r>
      <w:r w:rsidRPr="00DF38B2">
        <w:t xml:space="preserve"> before allocations to pay off debts are set up by DHS</w:t>
      </w:r>
      <w:r w:rsidR="00702676">
        <w:t>:</w:t>
      </w:r>
    </w:p>
    <w:p w:rsidR="00417B51" w:rsidRPr="00DF38B2" w:rsidRDefault="00417B51" w:rsidP="006654AE">
      <w:pPr>
        <w:pStyle w:val="Quote2"/>
      </w:pPr>
      <w:r w:rsidRPr="00DF38B2">
        <w:t>We need more financial counsellors looking at where people’s money is going – especially in relation to housing and debt</w:t>
      </w:r>
      <w:r w:rsidR="00702676">
        <w:t xml:space="preserve"> </w:t>
      </w:r>
      <w:r w:rsidRPr="00DF38B2">
        <w:t>…</w:t>
      </w:r>
      <w:r w:rsidR="00702676">
        <w:t xml:space="preserve">. </w:t>
      </w:r>
      <w:r w:rsidRPr="00DF38B2">
        <w:t>There needs to be proper oversight to ensure proper management of funds and to ensure people can afford it</w:t>
      </w:r>
      <w:r w:rsidR="00702676">
        <w:t>; e</w:t>
      </w:r>
      <w:r w:rsidRPr="00DF38B2">
        <w:t xml:space="preserve">specially with hire purchase leasing arrangements. </w:t>
      </w:r>
      <w:r w:rsidR="00693854">
        <w:t>(</w:t>
      </w:r>
      <w:r w:rsidRPr="00DF38B2">
        <w:t>Legal service</w:t>
      </w:r>
      <w:r w:rsidR="00693854">
        <w:t>)</w:t>
      </w:r>
    </w:p>
    <w:p w:rsidR="00417B51" w:rsidRPr="00DF38B2" w:rsidRDefault="00417B51" w:rsidP="006654AE">
      <w:r w:rsidRPr="00DF38B2">
        <w:t xml:space="preserve">Additionally, allocations to pay for rent were also seen as problematic. Legal services in particular expressed concerns about rent being paid twice by some people – once through their </w:t>
      </w:r>
      <w:r w:rsidR="00A04470">
        <w:t>income managed</w:t>
      </w:r>
      <w:r w:rsidR="00307C76">
        <w:t xml:space="preserve"> funds</w:t>
      </w:r>
      <w:r w:rsidRPr="00DF38B2">
        <w:t xml:space="preserve"> and once through their non-</w:t>
      </w:r>
      <w:r w:rsidR="00307C76">
        <w:t>income</w:t>
      </w:r>
      <w:r w:rsidR="00702676">
        <w:t xml:space="preserve"> </w:t>
      </w:r>
      <w:r w:rsidR="00307C76">
        <w:t>managed funds</w:t>
      </w:r>
      <w:r w:rsidRPr="00DF38B2">
        <w:t xml:space="preserve">. Overpayments are problematic as they created financial hardship in the short term and were also hard to </w:t>
      </w:r>
      <w:r w:rsidR="00702676">
        <w:t>retrieve</w:t>
      </w:r>
      <w:r w:rsidRPr="00DF38B2">
        <w:t xml:space="preserve"> from landlords or housing agencies without legal support</w:t>
      </w:r>
      <w:r w:rsidR="00702676">
        <w:t>:</w:t>
      </w:r>
      <w:r w:rsidRPr="00DF38B2">
        <w:t xml:space="preserve"> </w:t>
      </w:r>
    </w:p>
    <w:p w:rsidR="00417B51" w:rsidRPr="00DF38B2" w:rsidRDefault="00417B51" w:rsidP="006654AE">
      <w:pPr>
        <w:pStyle w:val="Quote2"/>
      </w:pPr>
      <w:r w:rsidRPr="00DF38B2">
        <w:t>I think that they [housing allocations] are happening in a paradigm where everyone must pay rent</w:t>
      </w:r>
      <w:r w:rsidR="00702676">
        <w:t xml:space="preserve"> </w:t>
      </w:r>
      <w:r w:rsidRPr="00DF38B2">
        <w:t>…</w:t>
      </w:r>
      <w:r w:rsidR="00702676">
        <w:t xml:space="preserve"> </w:t>
      </w:r>
      <w:r w:rsidRPr="00DF38B2">
        <w:t xml:space="preserve">there’s a lot of confusion about remote rent. </w:t>
      </w:r>
      <w:r w:rsidR="00693854">
        <w:t>(</w:t>
      </w:r>
      <w:r w:rsidRPr="00DF38B2">
        <w:t>Legal service</w:t>
      </w:r>
      <w:r w:rsidR="00693854">
        <w:t>)</w:t>
      </w:r>
    </w:p>
    <w:p w:rsidR="00417B51" w:rsidRDefault="00417B51" w:rsidP="006654AE">
      <w:pPr>
        <w:pStyle w:val="Quote2"/>
      </w:pPr>
      <w:r w:rsidRPr="00DF38B2">
        <w:t xml:space="preserve">Housing wants compulsory rent deductions. It can easily </w:t>
      </w:r>
      <w:proofErr w:type="gramStart"/>
      <w:r w:rsidRPr="00DF38B2">
        <w:t>happen</w:t>
      </w:r>
      <w:proofErr w:type="gramEnd"/>
      <w:r w:rsidRPr="00DF38B2">
        <w:t xml:space="preserve"> where people pay twice – from income managed and non</w:t>
      </w:r>
      <w:r w:rsidR="00702676">
        <w:t>-</w:t>
      </w:r>
      <w:r w:rsidRPr="00DF38B2">
        <w:t xml:space="preserve">income managed finds. </w:t>
      </w:r>
      <w:r w:rsidR="00693854">
        <w:t>(</w:t>
      </w:r>
      <w:r w:rsidRPr="00DF38B2">
        <w:t>Legal service</w:t>
      </w:r>
      <w:r w:rsidR="00693854">
        <w:t>)</w:t>
      </w:r>
    </w:p>
    <w:p w:rsidR="00EB6097" w:rsidRPr="00DF38B2" w:rsidRDefault="00EB6097" w:rsidP="006654AE">
      <w:r w:rsidRPr="00EB6097">
        <w:t>These views were echoed by the interview participant from the housing support service who also noted that in transitioning to income management, many of their clients</w:t>
      </w:r>
      <w:r>
        <w:t xml:space="preserve"> ended up</w:t>
      </w:r>
      <w:r w:rsidRPr="00EB6097">
        <w:t xml:space="preserve"> overpaying </w:t>
      </w:r>
      <w:r>
        <w:t xml:space="preserve">their rent </w:t>
      </w:r>
      <w:r w:rsidRPr="00EB6097">
        <w:t xml:space="preserve">from both </w:t>
      </w:r>
      <w:proofErr w:type="gramStart"/>
      <w:r w:rsidRPr="00EB6097">
        <w:t>income</w:t>
      </w:r>
      <w:proofErr w:type="gramEnd"/>
      <w:r w:rsidRPr="00EB6097">
        <w:t xml:space="preserve"> managed and non-income managed funds. Where this did occur, people often had to wait a long time to have their overpayments returned. In other cases people were reported to incur housing debts when allocations were difficult to match to housing costs</w:t>
      </w:r>
      <w:r>
        <w:t xml:space="preserve"> </w:t>
      </w:r>
      <w:r w:rsidRPr="00EB6097">
        <w:t>– such as having to spl</w:t>
      </w:r>
      <w:r w:rsidR="008D52CC">
        <w:t>i</w:t>
      </w:r>
      <w:r w:rsidRPr="00EB6097">
        <w:t>t rent payments across both income managed and non-income managed funds.</w:t>
      </w:r>
    </w:p>
    <w:p w:rsidR="00417B51" w:rsidRPr="00DF38B2" w:rsidRDefault="00417B51" w:rsidP="006654AE">
      <w:r w:rsidRPr="00DF38B2">
        <w:t xml:space="preserve">Allocations for people who were working were noted as a challenge by intermediaries across the different service types. This </w:t>
      </w:r>
      <w:r w:rsidR="00702676">
        <w:t>is</w:t>
      </w:r>
      <w:r w:rsidRPr="00DF38B2">
        <w:t xml:space="preserve"> because allocations </w:t>
      </w:r>
      <w:r w:rsidR="00702676">
        <w:t xml:space="preserve">are </w:t>
      </w:r>
      <w:r w:rsidR="00EB6097">
        <w:t>based on</w:t>
      </w:r>
      <w:r w:rsidRPr="00DF38B2">
        <w:t xml:space="preserve"> a percentage of people’s </w:t>
      </w:r>
      <w:r w:rsidR="00A04470">
        <w:t>income managed</w:t>
      </w:r>
      <w:r w:rsidR="00307C76">
        <w:t xml:space="preserve"> funds</w:t>
      </w:r>
      <w:r w:rsidRPr="00DF38B2">
        <w:t xml:space="preserve">, which in turn is 50 per cent or 70 per cent of someone’s income support payment. A frequently cited example by financial counsellors and Centrelink Customer Service Officers involved </w:t>
      </w:r>
      <w:r w:rsidR="00702676">
        <w:t>the situation in which</w:t>
      </w:r>
      <w:r w:rsidRPr="00DF38B2">
        <w:t xml:space="preserve"> a person’s income support payment decreases due to working in a fortnight. This means the actual amount paid </w:t>
      </w:r>
      <w:r w:rsidR="00702676" w:rsidRPr="00DF38B2">
        <w:t xml:space="preserve">through income management </w:t>
      </w:r>
      <w:r w:rsidRPr="00DF38B2">
        <w:t xml:space="preserve">for bills </w:t>
      </w:r>
      <w:r w:rsidR="00702676" w:rsidRPr="00DF38B2">
        <w:t xml:space="preserve">such as rent </w:t>
      </w:r>
      <w:r w:rsidRPr="00DF38B2">
        <w:t>decreases. This can mean a shortfall in the amount of rent paid and possible debts</w:t>
      </w:r>
      <w:r w:rsidR="00702676">
        <w:t>:</w:t>
      </w:r>
      <w:r w:rsidRPr="00DF38B2">
        <w:t xml:space="preserve"> </w:t>
      </w:r>
    </w:p>
    <w:p w:rsidR="00417B51" w:rsidRPr="00DF38B2" w:rsidRDefault="00417B51" w:rsidP="006654AE">
      <w:pPr>
        <w:pStyle w:val="Quote2"/>
      </w:pPr>
      <w:r w:rsidRPr="00DF38B2">
        <w:t>You get people starting work that have to report earnings but that changes their income</w:t>
      </w:r>
      <w:r w:rsidR="00A04470">
        <w:t xml:space="preserve"> </w:t>
      </w:r>
      <w:r w:rsidRPr="00DF38B2">
        <w:t>managed amount and throws out allocations</w:t>
      </w:r>
      <w:r w:rsidR="00702676">
        <w:t>,</w:t>
      </w:r>
      <w:r w:rsidRPr="00DF38B2">
        <w:t xml:space="preserve"> so payments don’t get made and they go into arrears. </w:t>
      </w:r>
      <w:r w:rsidR="00693854">
        <w:t>(</w:t>
      </w:r>
      <w:r w:rsidRPr="00DF38B2">
        <w:t>Financial counsellor</w:t>
      </w:r>
      <w:r w:rsidR="00693854">
        <w:t>)</w:t>
      </w:r>
    </w:p>
    <w:p w:rsidR="00417B51" w:rsidRPr="00DF38B2" w:rsidRDefault="00417B51" w:rsidP="006654AE">
      <w:r w:rsidRPr="00DF38B2">
        <w:t xml:space="preserve">DHS staff also noted concerns about rent payments. Some were aware of the risk of having payments made twice and would use contact with </w:t>
      </w:r>
      <w:r w:rsidR="00FF1EE3">
        <w:t>people on income management</w:t>
      </w:r>
      <w:r w:rsidRPr="00DF38B2">
        <w:t xml:space="preserve"> to check that allocations were correct. However, DHS staff also noted that consistent delays in payments of rent and other bills by Centrelink using people’s </w:t>
      </w:r>
      <w:r w:rsidR="00A04470">
        <w:t>income managed</w:t>
      </w:r>
      <w:r w:rsidR="00307C76">
        <w:t xml:space="preserve"> funds</w:t>
      </w:r>
      <w:r w:rsidRPr="00DF38B2">
        <w:t xml:space="preserve"> were more of an issue. Delays were usually attributed to </w:t>
      </w:r>
      <w:r w:rsidRPr="00DF38B2">
        <w:lastRenderedPageBreak/>
        <w:t xml:space="preserve">capacity issues within the </w:t>
      </w:r>
      <w:r w:rsidR="00702676">
        <w:t xml:space="preserve">staff </w:t>
      </w:r>
      <w:r w:rsidRPr="00DF38B2">
        <w:t>team</w:t>
      </w:r>
      <w:r w:rsidR="00702676">
        <w:t>,</w:t>
      </w:r>
      <w:r w:rsidRPr="00DF38B2">
        <w:t xml:space="preserve"> with DHS responsible for making these payments.</w:t>
      </w:r>
      <w:r w:rsidR="004616EF">
        <w:rPr>
          <w:rStyle w:val="FootnoteReference"/>
        </w:rPr>
        <w:footnoteReference w:id="134"/>
      </w:r>
      <w:r w:rsidRPr="00DF38B2">
        <w:t xml:space="preserve"> This was reported to have led to some landlords refusing to accept </w:t>
      </w:r>
      <w:r w:rsidR="00A04470">
        <w:t>income managed</w:t>
      </w:r>
      <w:r w:rsidR="00307C76">
        <w:t xml:space="preserve"> funds</w:t>
      </w:r>
      <w:r w:rsidRPr="00DF38B2">
        <w:t xml:space="preserve"> and to have caused significant distress to some people subject to income management</w:t>
      </w:r>
      <w:r w:rsidR="00702676">
        <w:t>:</w:t>
      </w:r>
      <w:r w:rsidRPr="00DF38B2">
        <w:t xml:space="preserve"> </w:t>
      </w:r>
    </w:p>
    <w:p w:rsidR="00417B51" w:rsidRPr="00DF38B2" w:rsidRDefault="00417B51" w:rsidP="006654AE">
      <w:pPr>
        <w:pStyle w:val="Quote2"/>
      </w:pPr>
      <w:r w:rsidRPr="00DF38B2">
        <w:t>Sometimes people’s rent doesn’t go through on correct days and it’s very stressful when rent is late</w:t>
      </w:r>
      <w:r w:rsidR="00432E1C">
        <w:t xml:space="preserve"> </w:t>
      </w:r>
      <w:r w:rsidRPr="00DF38B2">
        <w:t>… places around here won’t accept income</w:t>
      </w:r>
      <w:r w:rsidR="00A04470">
        <w:t xml:space="preserve"> </w:t>
      </w:r>
      <w:r w:rsidRPr="00DF38B2">
        <w:t>managed f</w:t>
      </w:r>
      <w:r w:rsidR="008F282E">
        <w:t>u</w:t>
      </w:r>
      <w:r w:rsidRPr="00DF38B2">
        <w:t xml:space="preserve">nds now because payments have been late. </w:t>
      </w:r>
      <w:r w:rsidR="00693854">
        <w:t>(</w:t>
      </w:r>
      <w:r w:rsidRPr="00DF38B2">
        <w:t>Centrelink Customer Service Officer</w:t>
      </w:r>
      <w:r w:rsidR="00693854">
        <w:t>)</w:t>
      </w:r>
      <w:r w:rsidRPr="00DF38B2">
        <w:t xml:space="preserve"> </w:t>
      </w:r>
    </w:p>
    <w:p w:rsidR="00417B51" w:rsidRPr="00DF38B2" w:rsidRDefault="00417B51" w:rsidP="006654AE">
      <w:pPr>
        <w:pStyle w:val="Heading3"/>
      </w:pPr>
      <w:bookmarkStart w:id="583" w:name="_Toc403739116"/>
      <w:r w:rsidRPr="00DF38B2">
        <w:t>Exemptions</w:t>
      </w:r>
      <w:bookmarkEnd w:id="583"/>
      <w:r w:rsidRPr="00DF38B2">
        <w:t xml:space="preserve"> </w:t>
      </w:r>
    </w:p>
    <w:p w:rsidR="00417B51" w:rsidRPr="00DF38B2" w:rsidRDefault="00417B51" w:rsidP="006654AE">
      <w:pPr>
        <w:widowControl w:val="0"/>
        <w:autoSpaceDE w:val="0"/>
        <w:autoSpaceDN w:val="0"/>
        <w:adjustRightInd w:val="0"/>
        <w:spacing w:after="0"/>
        <w:rPr>
          <w:szCs w:val="19"/>
        </w:rPr>
      </w:pPr>
      <w:r w:rsidRPr="00DF38B2">
        <w:rPr>
          <w:szCs w:val="19"/>
        </w:rPr>
        <w:t xml:space="preserve">Exemptions were discussed in interviews with money management and financial counsellors, legal services and </w:t>
      </w:r>
      <w:r w:rsidR="00060511">
        <w:rPr>
          <w:szCs w:val="19"/>
        </w:rPr>
        <w:t>DHS</w:t>
      </w:r>
      <w:r w:rsidRPr="00DF38B2">
        <w:rPr>
          <w:szCs w:val="19"/>
        </w:rPr>
        <w:t xml:space="preserve"> staff. The general view across all of these interviews was that exemptions were difficult </w:t>
      </w:r>
      <w:r w:rsidR="000D104B" w:rsidRPr="00DF38B2">
        <w:rPr>
          <w:szCs w:val="19"/>
        </w:rPr>
        <w:t xml:space="preserve">to achieve </w:t>
      </w:r>
      <w:r w:rsidRPr="00DF38B2">
        <w:rPr>
          <w:szCs w:val="19"/>
        </w:rPr>
        <w:t xml:space="preserve">for most people subject to income management in the Northern Territory. This related to the limited circumstances in which exemptions </w:t>
      </w:r>
      <w:proofErr w:type="gramStart"/>
      <w:r w:rsidRPr="00DF38B2">
        <w:rPr>
          <w:szCs w:val="19"/>
        </w:rPr>
        <w:t>applied,</w:t>
      </w:r>
      <w:proofErr w:type="gramEnd"/>
      <w:r w:rsidRPr="00DF38B2">
        <w:rPr>
          <w:szCs w:val="19"/>
        </w:rPr>
        <w:t xml:space="preserve"> some aspects of the financial vulnerability test</w:t>
      </w:r>
      <w:r w:rsidR="00432E1C">
        <w:rPr>
          <w:szCs w:val="19"/>
        </w:rPr>
        <w:t>,</w:t>
      </w:r>
      <w:r w:rsidRPr="00DF38B2">
        <w:rPr>
          <w:szCs w:val="19"/>
        </w:rPr>
        <w:t xml:space="preserve"> and the level of evidence needing to be produced by people applying for exemptions. </w:t>
      </w:r>
    </w:p>
    <w:p w:rsidR="00417B51" w:rsidRPr="00DF38B2" w:rsidRDefault="00417B51" w:rsidP="006654AE">
      <w:pPr>
        <w:widowControl w:val="0"/>
        <w:autoSpaceDE w:val="0"/>
        <w:autoSpaceDN w:val="0"/>
        <w:adjustRightInd w:val="0"/>
        <w:spacing w:after="0"/>
        <w:rPr>
          <w:szCs w:val="19"/>
        </w:rPr>
      </w:pPr>
    </w:p>
    <w:p w:rsidR="00417B51" w:rsidRPr="00DF38B2" w:rsidRDefault="00417B51" w:rsidP="006654AE">
      <w:r w:rsidRPr="00DF38B2">
        <w:rPr>
          <w:szCs w:val="19"/>
        </w:rPr>
        <w:t xml:space="preserve">Since the previous evaluation report, new processes have been put into place that reflect feedback from the 2012 review by the Commonwealth Ombudsman of the </w:t>
      </w:r>
      <w:r w:rsidRPr="00DF38B2">
        <w:t>financial vulnerability assessment that is part of the exemptions process</w:t>
      </w:r>
      <w:r w:rsidRPr="00DF38B2">
        <w:rPr>
          <w:szCs w:val="19"/>
        </w:rPr>
        <w:t xml:space="preserve">. </w:t>
      </w:r>
      <w:r w:rsidRPr="00DF38B2">
        <w:t xml:space="preserve">As discussed in Chapter 5, the review made seven recommendations regarding the financial vulnerability test relating to improved documentation, additional training for staff, a revision of the </w:t>
      </w:r>
      <w:r w:rsidRPr="00DF38B2">
        <w:rPr>
          <w:i/>
        </w:rPr>
        <w:t>Guide to Social Security Law</w:t>
      </w:r>
      <w:r w:rsidR="00432E1C">
        <w:t xml:space="preserve">, </w:t>
      </w:r>
      <w:r w:rsidRPr="00DF38B2">
        <w:t>and ensuring improved access to interpreter services.</w:t>
      </w:r>
    </w:p>
    <w:p w:rsidR="00417B51" w:rsidRPr="00DF38B2" w:rsidRDefault="00417B51" w:rsidP="006654AE">
      <w:pPr>
        <w:rPr>
          <w:szCs w:val="19"/>
        </w:rPr>
      </w:pPr>
      <w:r w:rsidRPr="00DF38B2">
        <w:rPr>
          <w:szCs w:val="19"/>
        </w:rPr>
        <w:t>DHS staff described these changes as including more stringent reporting about reasons for not allowing an application for an exemption</w:t>
      </w:r>
      <w:r w:rsidR="00797D91">
        <w:rPr>
          <w:szCs w:val="19"/>
        </w:rPr>
        <w:t>,</w:t>
      </w:r>
      <w:r w:rsidRPr="00DF38B2">
        <w:rPr>
          <w:szCs w:val="19"/>
        </w:rPr>
        <w:t xml:space="preserve"> and new processes to ensure that customers subject to the compulsory income management measures are regularly informed of their right to apply for exemptions when engaging with Centrelink </w:t>
      </w:r>
      <w:r w:rsidR="00797D91">
        <w:rPr>
          <w:szCs w:val="19"/>
        </w:rPr>
        <w:t>regarding</w:t>
      </w:r>
      <w:r w:rsidRPr="00DF38B2">
        <w:rPr>
          <w:szCs w:val="19"/>
        </w:rPr>
        <w:t xml:space="preserve"> other matters. Many of these changes were welcomed by the exemptions staff interviewed for the evaluation</w:t>
      </w:r>
      <w:r w:rsidR="00797D91">
        <w:rPr>
          <w:szCs w:val="19"/>
        </w:rPr>
        <w:t>,</w:t>
      </w:r>
      <w:r w:rsidRPr="00DF38B2">
        <w:rPr>
          <w:szCs w:val="19"/>
        </w:rPr>
        <w:t xml:space="preserve"> and they noted they now felt clearer about the process and more comfortable in granting exemptions than before the Ombudsman’s report</w:t>
      </w:r>
      <w:r w:rsidR="00797D91">
        <w:rPr>
          <w:szCs w:val="19"/>
        </w:rPr>
        <w:t>:</w:t>
      </w:r>
    </w:p>
    <w:p w:rsidR="00417B51" w:rsidRPr="00DF38B2" w:rsidRDefault="00417B51" w:rsidP="006654AE">
      <w:pPr>
        <w:pStyle w:val="Quote2"/>
      </w:pPr>
      <w:r w:rsidRPr="00DF38B2">
        <w:t xml:space="preserve">There were a lot of exemptions being rejected at first because sometimes it wasn’t always clear and there’s a fine line of what we saw as being financially vulnerable. The </w:t>
      </w:r>
      <w:r w:rsidR="00797D91">
        <w:t>O</w:t>
      </w:r>
      <w:r w:rsidRPr="00DF38B2">
        <w:t xml:space="preserve">mbudsman came in and that led to changes in how we did documentation and assessed change. Now it’s quite a process to reject an exemption. </w:t>
      </w:r>
      <w:r w:rsidR="00693854">
        <w:t>(</w:t>
      </w:r>
      <w:r w:rsidRPr="00DF38B2">
        <w:t>Centrelink Customer Service Officer</w:t>
      </w:r>
      <w:r w:rsidR="00693854">
        <w:t>)</w:t>
      </w:r>
      <w:r w:rsidRPr="00DF38B2">
        <w:t xml:space="preserve"> </w:t>
      </w:r>
    </w:p>
    <w:p w:rsidR="00417B51" w:rsidRPr="00DF38B2" w:rsidRDefault="00417B51" w:rsidP="006654AE">
      <w:pPr>
        <w:rPr>
          <w:szCs w:val="19"/>
        </w:rPr>
      </w:pPr>
      <w:r w:rsidRPr="00DF38B2">
        <w:rPr>
          <w:szCs w:val="19"/>
        </w:rPr>
        <w:t>DHS staff saw a difference in the reasons for people from remote versus urban locations applying for exemptions</w:t>
      </w:r>
      <w:r w:rsidR="00797D91">
        <w:rPr>
          <w:szCs w:val="19"/>
        </w:rPr>
        <w:t>:</w:t>
      </w:r>
    </w:p>
    <w:p w:rsidR="00417B51" w:rsidRPr="00DF38B2" w:rsidRDefault="00417B51" w:rsidP="006654AE">
      <w:pPr>
        <w:pStyle w:val="Quote2"/>
      </w:pPr>
      <w:r w:rsidRPr="00DF38B2">
        <w:t>Community people get humbugged for their BasicsCard and would like money to go into their bank account</w:t>
      </w:r>
      <w:r w:rsidR="00797D91">
        <w:t xml:space="preserve"> ….</w:t>
      </w:r>
      <w:r w:rsidRPr="00DF38B2">
        <w:t xml:space="preserve"> Urban people feel humiliated and stigma and say I can manage my money fine. </w:t>
      </w:r>
      <w:r w:rsidR="00693854">
        <w:t>(</w:t>
      </w:r>
      <w:r w:rsidRPr="00DF38B2">
        <w:t>Centrelink Customer Service Officer</w:t>
      </w:r>
      <w:r w:rsidR="00693854">
        <w:t>)</w:t>
      </w:r>
    </w:p>
    <w:p w:rsidR="00417B51" w:rsidRPr="00DF38B2" w:rsidRDefault="00417B51" w:rsidP="006654AE">
      <w:pPr>
        <w:rPr>
          <w:szCs w:val="19"/>
        </w:rPr>
      </w:pPr>
      <w:r w:rsidRPr="00DF38B2">
        <w:rPr>
          <w:szCs w:val="19"/>
        </w:rPr>
        <w:t>The new “service offer”</w:t>
      </w:r>
      <w:r w:rsidR="008E493B">
        <w:rPr>
          <w:szCs w:val="19"/>
        </w:rPr>
        <w:t>,</w:t>
      </w:r>
      <w:r w:rsidRPr="00DF38B2">
        <w:rPr>
          <w:szCs w:val="19"/>
        </w:rPr>
        <w:t xml:space="preserve"> where</w:t>
      </w:r>
      <w:r w:rsidR="008E493B">
        <w:rPr>
          <w:szCs w:val="19"/>
        </w:rPr>
        <w:t>by</w:t>
      </w:r>
      <w:r w:rsidRPr="00DF38B2">
        <w:rPr>
          <w:szCs w:val="19"/>
        </w:rPr>
        <w:t xml:space="preserve"> people are asked during interactions with Centrelink about whether they would like to apply for an exemption was noted as having increased the numbers of people speaking with the exemptions team</w:t>
      </w:r>
      <w:r w:rsidR="008E493B">
        <w:rPr>
          <w:szCs w:val="19"/>
        </w:rPr>
        <w:t>,</w:t>
      </w:r>
      <w:r w:rsidRPr="00DF38B2">
        <w:rPr>
          <w:szCs w:val="19"/>
        </w:rPr>
        <w:t xml:space="preserve"> but not always with full awareness of why or what was involved</w:t>
      </w:r>
      <w:r w:rsidR="00A1421A">
        <w:rPr>
          <w:szCs w:val="19"/>
        </w:rPr>
        <w:t xml:space="preserve">. </w:t>
      </w:r>
    </w:p>
    <w:p w:rsidR="00417B51" w:rsidRPr="00DF38B2" w:rsidRDefault="00417B51" w:rsidP="006654AE">
      <w:pPr>
        <w:pStyle w:val="Quote2"/>
      </w:pPr>
      <w:r w:rsidRPr="00DF38B2">
        <w:t>People are put through automatically</w:t>
      </w:r>
      <w:r w:rsidR="008E493B">
        <w:t>,</w:t>
      </w:r>
      <w:r w:rsidRPr="00DF38B2">
        <w:t xml:space="preserve"> but they don’t know what they are there for. </w:t>
      </w:r>
      <w:r w:rsidR="00693854">
        <w:t>(</w:t>
      </w:r>
      <w:r w:rsidRPr="00DF38B2">
        <w:t>Centrelink Customer Service Officer</w:t>
      </w:r>
      <w:r w:rsidR="00693854">
        <w:t>)</w:t>
      </w:r>
    </w:p>
    <w:p w:rsidR="00417B51" w:rsidRPr="00DF38B2" w:rsidRDefault="00417B51" w:rsidP="006654AE">
      <w:r w:rsidRPr="00DF38B2">
        <w:t xml:space="preserve">It was noted by both exemptions team staff and Centrelink staff working directly with customers </w:t>
      </w:r>
      <w:r w:rsidR="008E493B">
        <w:t xml:space="preserve">– </w:t>
      </w:r>
      <w:r w:rsidRPr="00DF38B2">
        <w:t>either remotely or in town</w:t>
      </w:r>
      <w:r w:rsidR="008E493B">
        <w:t xml:space="preserve"> –</w:t>
      </w:r>
      <w:r w:rsidRPr="00DF38B2">
        <w:t xml:space="preserve"> that once the exemptions process was explained to customers they frequently decided not to proceed. </w:t>
      </w:r>
    </w:p>
    <w:p w:rsidR="00417B51" w:rsidRPr="00DF38B2" w:rsidRDefault="00417B51" w:rsidP="006654AE">
      <w:pPr>
        <w:pStyle w:val="Quote2"/>
      </w:pPr>
      <w:r w:rsidRPr="00DF38B2">
        <w:t xml:space="preserve">They ask about them and when I explain what they need to do they usually say no. </w:t>
      </w:r>
      <w:r w:rsidR="00693854">
        <w:t>(</w:t>
      </w:r>
      <w:r w:rsidRPr="00DF38B2">
        <w:t>Centrelink Customer Service Officer, remote</w:t>
      </w:r>
      <w:r w:rsidR="00693854">
        <w:t>)</w:t>
      </w:r>
    </w:p>
    <w:p w:rsidR="00417B51" w:rsidRPr="00DF38B2" w:rsidRDefault="00417B51" w:rsidP="006654AE">
      <w:r w:rsidRPr="00DF38B2">
        <w:t>Sometimes this was because the customer felt they would not be eligible</w:t>
      </w:r>
      <w:r w:rsidR="008E493B">
        <w:t>;</w:t>
      </w:r>
      <w:r w:rsidRPr="00DF38B2">
        <w:t xml:space="preserve"> in other cases it was because the process seemed too complex and challenging. Centrelink staff also said that other customers lost interest in applying for an exemption when they realised that coming off income management would result in them no longer having a BasicsCard. This was also identified as happening by money management and financial </w:t>
      </w:r>
      <w:r w:rsidRPr="00DF38B2">
        <w:lastRenderedPageBreak/>
        <w:t>counselling and legal services staff</w:t>
      </w:r>
      <w:r w:rsidR="008E493B">
        <w:t>,</w:t>
      </w:r>
      <w:r w:rsidRPr="00DF38B2">
        <w:t xml:space="preserve"> who also </w:t>
      </w:r>
      <w:r w:rsidR="008E493B">
        <w:t>observed</w:t>
      </w:r>
      <w:r w:rsidRPr="00DF38B2">
        <w:t xml:space="preserve"> that their clients found the processes complex and challenging, particularly in remote communities and for people who did not speak English as </w:t>
      </w:r>
      <w:r w:rsidR="008E493B">
        <w:t>their</w:t>
      </w:r>
      <w:r w:rsidRPr="00DF38B2">
        <w:t xml:space="preserve"> first language.</w:t>
      </w:r>
    </w:p>
    <w:p w:rsidR="00417B51" w:rsidRPr="00DF38B2" w:rsidRDefault="00417B51" w:rsidP="006654AE">
      <w:r w:rsidRPr="00DF38B2">
        <w:t>Exemptions team staff noted that while the clarifications to the financial vulnerability tests gave them greater confidence to grant exemptions</w:t>
      </w:r>
      <w:r w:rsidR="008E493B">
        <w:t>,</w:t>
      </w:r>
      <w:r w:rsidRPr="00DF38B2">
        <w:t xml:space="preserve"> most exemption applications were ultimately rejected when people failed to lodge their supporting documentation – such as health checks or school attendance records or payslips – within 28 days of making the application. </w:t>
      </w:r>
      <w:r w:rsidR="008E493B">
        <w:t>It</w:t>
      </w:r>
      <w:r w:rsidRPr="00DF38B2">
        <w:t xml:space="preserve"> was seen</w:t>
      </w:r>
      <w:r w:rsidR="008E493B">
        <w:t xml:space="preserve"> as</w:t>
      </w:r>
      <w:r w:rsidRPr="00DF38B2">
        <w:t xml:space="preserve"> potentially challenging to gather</w:t>
      </w:r>
      <w:r w:rsidR="008E493B" w:rsidRPr="008E493B">
        <w:t xml:space="preserve"> </w:t>
      </w:r>
      <w:r w:rsidR="008E493B">
        <w:t xml:space="preserve">this </w:t>
      </w:r>
      <w:r w:rsidR="008E493B" w:rsidRPr="00DF38B2">
        <w:t>information</w:t>
      </w:r>
      <w:r w:rsidRPr="00DF38B2">
        <w:t>. Health services and schools did not always supply the right information and were described as being unhelpful at times</w:t>
      </w:r>
      <w:r w:rsidR="008E493B">
        <w:t>:</w:t>
      </w:r>
      <w:r w:rsidRPr="00DF38B2">
        <w:t xml:space="preserve"> </w:t>
      </w:r>
    </w:p>
    <w:p w:rsidR="00417B51" w:rsidRPr="00DF38B2" w:rsidRDefault="00417B51" w:rsidP="006654AE">
      <w:pPr>
        <w:pStyle w:val="Quote2"/>
      </w:pPr>
      <w:r w:rsidRPr="00DF38B2">
        <w:t xml:space="preserve">They [health services] get a bit annoyed depending on how many people come in requesting information. </w:t>
      </w:r>
      <w:proofErr w:type="gramStart"/>
      <w:r w:rsidRPr="00DF38B2">
        <w:t>Especially this time of the year [when lots of people request exemptions due to reconciliation payments].</w:t>
      </w:r>
      <w:proofErr w:type="gramEnd"/>
      <w:r w:rsidRPr="00DF38B2">
        <w:t xml:space="preserve"> Schools are the same</w:t>
      </w:r>
      <w:r w:rsidR="008E493B">
        <w:t xml:space="preserve"> </w:t>
      </w:r>
      <w:r w:rsidRPr="00DF38B2">
        <w:t>… usually you find the admin ladies say “we don’t get funded for this and it takes so much time!</w:t>
      </w:r>
      <w:r w:rsidR="008E493B">
        <w:t>”</w:t>
      </w:r>
      <w:r w:rsidRPr="00DF38B2">
        <w:t xml:space="preserve"> </w:t>
      </w:r>
      <w:r w:rsidR="00693854">
        <w:t>(</w:t>
      </w:r>
      <w:r w:rsidRPr="00DF38B2">
        <w:t>Centrelink Customer Service Officer, remote</w:t>
      </w:r>
      <w:r w:rsidR="00693854">
        <w:t>)</w:t>
      </w:r>
    </w:p>
    <w:p w:rsidR="00417B51" w:rsidRPr="00DF38B2" w:rsidRDefault="00417B51" w:rsidP="006654AE">
      <w:r w:rsidRPr="00DF38B2">
        <w:t xml:space="preserve">In other cases the documentation required </w:t>
      </w:r>
      <w:r w:rsidR="008E493B">
        <w:t>when</w:t>
      </w:r>
      <w:r w:rsidRPr="00DF38B2">
        <w:t xml:space="preserve"> seeking the exemption can seem onerous and unreasonable</w:t>
      </w:r>
      <w:r w:rsidR="008E493B">
        <w:t>:</w:t>
      </w:r>
    </w:p>
    <w:p w:rsidR="00417B51" w:rsidRPr="00DF38B2" w:rsidRDefault="00417B51" w:rsidP="006654AE">
      <w:pPr>
        <w:pStyle w:val="Quote2"/>
      </w:pPr>
      <w:r w:rsidRPr="00DF38B2">
        <w:t xml:space="preserve">I had a client who was working and reporting his income over a </w:t>
      </w:r>
      <w:r w:rsidR="008E493B">
        <w:t>six-</w:t>
      </w:r>
      <w:r w:rsidRPr="00DF38B2">
        <w:t xml:space="preserve">month period. Centrelink accepted his verbal reports of income and hours worked to change his income support payments. But when he went to get off income management he was then told he needed to bring back </w:t>
      </w:r>
      <w:r w:rsidR="008E493B">
        <w:t xml:space="preserve">six </w:t>
      </w:r>
      <w:r w:rsidRPr="00DF38B2">
        <w:t xml:space="preserve">months of payslips. There’s a huge amount of bureaucracy around exemptions. In the end people throw up their hands! </w:t>
      </w:r>
      <w:r w:rsidR="00693854">
        <w:t>(</w:t>
      </w:r>
      <w:r w:rsidRPr="00DF38B2">
        <w:t>Legal service</w:t>
      </w:r>
      <w:r w:rsidR="00693854">
        <w:t>)</w:t>
      </w:r>
    </w:p>
    <w:p w:rsidR="00417B51" w:rsidRPr="00DF38B2" w:rsidRDefault="00417B51" w:rsidP="006654AE">
      <w:r w:rsidRPr="00DF38B2">
        <w:t>DHS staff involve</w:t>
      </w:r>
      <w:r w:rsidR="008E493B">
        <w:t>d</w:t>
      </w:r>
      <w:r w:rsidRPr="00DF38B2">
        <w:t xml:space="preserve"> in assessing exemptions also noted some concerns with the financial vulnerability test applied to customers seeking an exemption. This test involves asking the customer a series of questions over the phone. Th</w:t>
      </w:r>
      <w:r w:rsidR="008E493B">
        <w:t>e</w:t>
      </w:r>
      <w:r w:rsidRPr="00DF38B2">
        <w:t xml:space="preserve"> test was seen to be difficult to conduct over the phone</w:t>
      </w:r>
      <w:r w:rsidR="00A1421A">
        <w:t xml:space="preserve">. </w:t>
      </w:r>
      <w:r w:rsidRPr="00DF38B2">
        <w:t>Staff involved with exemptions also noted that they felt some of the questions that were seen to identify vulnerabilities failed to recognise the realities of life in remote communities and the adaptability of people to use tools such as the BasicsCard to minimise financial pressures and exploitation. The two areas of concern related to questions about BasicsCards and the frequency of people changing their income support payment days. These participants did not see multiple replacements of BasicsCards or failed transactions as on their own being definitive markers of financial vulnerability at the individual level</w:t>
      </w:r>
      <w:r w:rsidR="008E493B">
        <w:t>:</w:t>
      </w:r>
      <w:r w:rsidR="00A1421A">
        <w:t xml:space="preserve"> </w:t>
      </w:r>
    </w:p>
    <w:p w:rsidR="00417B51" w:rsidRPr="00DF38B2" w:rsidRDefault="00417B51" w:rsidP="006654AE">
      <w:pPr>
        <w:pStyle w:val="Quote2"/>
      </w:pPr>
      <w:r w:rsidRPr="00DF38B2">
        <w:t>The questions about BasicsCards failed transactions and replacements don’t tell us anything to do with being financially vulnerable</w:t>
      </w:r>
      <w:r w:rsidR="008E493B">
        <w:t xml:space="preserve"> </w:t>
      </w:r>
      <w:r w:rsidRPr="00DF38B2">
        <w:t>…</w:t>
      </w:r>
      <w:r w:rsidR="008E493B">
        <w:t xml:space="preserve"> </w:t>
      </w:r>
      <w:r w:rsidRPr="00DF38B2">
        <w:t>people just don’t check their balances</w:t>
      </w:r>
      <w:r w:rsidR="008E493B">
        <w:t xml:space="preserve"> </w:t>
      </w:r>
      <w:r w:rsidRPr="00DF38B2">
        <w:t xml:space="preserve">… people don’t look at the </w:t>
      </w:r>
      <w:proofErr w:type="spellStart"/>
      <w:r w:rsidRPr="00DF38B2">
        <w:t>BasicsCard</w:t>
      </w:r>
      <w:proofErr w:type="spellEnd"/>
      <w:r w:rsidRPr="00DF38B2">
        <w:t xml:space="preserve"> as a </w:t>
      </w:r>
      <w:proofErr w:type="spellStart"/>
      <w:r w:rsidRPr="00DF38B2">
        <w:t>keycard</w:t>
      </w:r>
      <w:proofErr w:type="spellEnd"/>
      <w:r w:rsidRPr="00DF38B2">
        <w:t xml:space="preserve"> [an EFTPOS card issue</w:t>
      </w:r>
      <w:r w:rsidR="008E493B">
        <w:t>d</w:t>
      </w:r>
      <w:r w:rsidRPr="00DF38B2">
        <w:t xml:space="preserve"> by a bank]. There are not the same restrictions on a </w:t>
      </w:r>
      <w:proofErr w:type="spellStart"/>
      <w:r w:rsidRPr="00DF38B2">
        <w:t>BasicsCard</w:t>
      </w:r>
      <w:proofErr w:type="spellEnd"/>
      <w:r w:rsidRPr="00DF38B2">
        <w:t xml:space="preserve"> as a </w:t>
      </w:r>
      <w:proofErr w:type="spellStart"/>
      <w:r w:rsidRPr="00DF38B2">
        <w:t>keycard</w:t>
      </w:r>
      <w:proofErr w:type="spellEnd"/>
      <w:r w:rsidRPr="00DF38B2">
        <w:t>. And you use it differently</w:t>
      </w:r>
      <w:r w:rsidR="008E493B">
        <w:t xml:space="preserve"> </w:t>
      </w:r>
      <w:r w:rsidRPr="00DF38B2">
        <w:t>…</w:t>
      </w:r>
      <w:r w:rsidR="008E493B">
        <w:t xml:space="preserve"> </w:t>
      </w:r>
      <w:r w:rsidRPr="00DF38B2">
        <w:t xml:space="preserve">[with the questions about changing payment days] people know in </w:t>
      </w:r>
      <w:r w:rsidR="008E493B">
        <w:t xml:space="preserve">a </w:t>
      </w:r>
      <w:r w:rsidRPr="00DF38B2">
        <w:t xml:space="preserve">community when payday is, so they change it to avoid humbug – we see this as being smart not vulnerable. </w:t>
      </w:r>
      <w:r w:rsidR="00693854">
        <w:t>(</w:t>
      </w:r>
      <w:r w:rsidRPr="00DF38B2">
        <w:t>Centrelink Customer Service Officer</w:t>
      </w:r>
      <w:r w:rsidR="00693854">
        <w:t>)</w:t>
      </w:r>
    </w:p>
    <w:p w:rsidR="00417B51" w:rsidRPr="00DF38B2" w:rsidRDefault="00417B51" w:rsidP="006654AE">
      <w:r w:rsidRPr="00DF38B2">
        <w:t>There we</w:t>
      </w:r>
      <w:r w:rsidR="006E7C14">
        <w:t>re</w:t>
      </w:r>
      <w:r w:rsidRPr="00DF38B2">
        <w:t xml:space="preserve"> mixed views about the length of exemptions</w:t>
      </w:r>
      <w:r w:rsidR="006E7C14">
        <w:t xml:space="preserve">, which </w:t>
      </w:r>
      <w:r w:rsidRPr="00DF38B2">
        <w:t>are granted for a one-year period. While DHS staff tended to see a time limit as important</w:t>
      </w:r>
      <w:r w:rsidR="006E7C14">
        <w:t>, since</w:t>
      </w:r>
      <w:r w:rsidRPr="00DF38B2">
        <w:t xml:space="preserve"> it allowed for change in circumstances to be monitored and addressed, money management</w:t>
      </w:r>
      <w:r w:rsidR="006E7C14">
        <w:t xml:space="preserve">, </w:t>
      </w:r>
      <w:r w:rsidRPr="00DF38B2">
        <w:t>financial counselling</w:t>
      </w:r>
      <w:r w:rsidR="006E7C14">
        <w:t xml:space="preserve"> and</w:t>
      </w:r>
      <w:r w:rsidRPr="00DF38B2">
        <w:t xml:space="preserve"> </w:t>
      </w:r>
      <w:r w:rsidR="006E7C14" w:rsidRPr="00DF38B2">
        <w:t xml:space="preserve">legal services </w:t>
      </w:r>
      <w:r w:rsidRPr="00DF38B2">
        <w:t xml:space="preserve">staff questioned the need for this and felt that changes in circumstances could be monitored or addressed in other ways. DHS staff noted that where people had already been successful in receiving an exemption they usually were able to </w:t>
      </w:r>
      <w:r w:rsidR="006E7C14">
        <w:t xml:space="preserve">obtain an </w:t>
      </w:r>
      <w:r w:rsidRPr="00DF38B2">
        <w:t>exten</w:t>
      </w:r>
      <w:r w:rsidR="006E7C14">
        <w:t>sion</w:t>
      </w:r>
      <w:r w:rsidRPr="00DF38B2">
        <w:t xml:space="preserve">. However, occasionally people did not receive the letters asking them to reapply and this led to people being automatically </w:t>
      </w:r>
      <w:r w:rsidR="006E7C14">
        <w:t>returned to</w:t>
      </w:r>
      <w:r w:rsidRPr="00DF38B2">
        <w:t xml:space="preserve"> Compulsory Income Management. When this happened it </w:t>
      </w:r>
      <w:r w:rsidRPr="008F282E">
        <w:t>was</w:t>
      </w:r>
      <w:r w:rsidRPr="00DF38B2">
        <w:t xml:space="preserve"> stressful and upsetting for the person</w:t>
      </w:r>
      <w:r w:rsidR="006E7C14">
        <w:t>:</w:t>
      </w:r>
      <w:r w:rsidRPr="00DF38B2">
        <w:t xml:space="preserve"> </w:t>
      </w:r>
    </w:p>
    <w:p w:rsidR="00417B51" w:rsidRPr="00DF38B2" w:rsidRDefault="00417B51" w:rsidP="006654AE">
      <w:pPr>
        <w:pStyle w:val="Quote2"/>
      </w:pPr>
      <w:r w:rsidRPr="00DF38B2">
        <w:t xml:space="preserve">Sometimes people might get switched onto auto-IM because they didn’t get their mail and they can get upset. </w:t>
      </w:r>
      <w:r w:rsidR="00693854">
        <w:t>(</w:t>
      </w:r>
      <w:r w:rsidRPr="00DF38B2">
        <w:t>Centrelink Customer Service Officer</w:t>
      </w:r>
      <w:r w:rsidR="00693854">
        <w:t>)</w:t>
      </w:r>
    </w:p>
    <w:p w:rsidR="00417B51" w:rsidRPr="00DF38B2" w:rsidRDefault="00417B51" w:rsidP="006654AE">
      <w:r w:rsidRPr="00DF38B2">
        <w:t>Beyond these process</w:t>
      </w:r>
      <w:r w:rsidR="00D70EB6">
        <w:t>-</w:t>
      </w:r>
      <w:r w:rsidRPr="00DF38B2">
        <w:t>related issues, the exemptions criteria w</w:t>
      </w:r>
      <w:r w:rsidR="00D70EB6">
        <w:t>ere</w:t>
      </w:r>
      <w:r w:rsidRPr="00DF38B2">
        <w:t xml:space="preserve"> viewed by DHS staff, financial counselling</w:t>
      </w:r>
      <w:r w:rsidR="00D70EB6">
        <w:t>,</w:t>
      </w:r>
      <w:r w:rsidRPr="00DF38B2">
        <w:t xml:space="preserve"> money management and legal services staff to be very </w:t>
      </w:r>
      <w:r w:rsidR="00D70EB6">
        <w:t>difficult</w:t>
      </w:r>
      <w:r w:rsidRPr="00DF38B2">
        <w:t xml:space="preserve"> for most people subject to Compulsory Income Management to achieve. Where people had children, they often failed to receive an exemption due to their children having more than five unexplained absences at school. In cases where there were six or seven absences, DHS staff noted that it would be good to have some discretion to provide exemptions to people who otherwise met the criteria. Legal services also expressed concerns that these criteria did not acknowledge the impact of cultural responsibilities such as parents needing to travel </w:t>
      </w:r>
      <w:r w:rsidRPr="00DF38B2">
        <w:lastRenderedPageBreak/>
        <w:t>for funerals and the person caring for the child in their absence not being aware of or able to meet expectations around school attendance</w:t>
      </w:r>
      <w:r w:rsidR="00D70EB6">
        <w:t>:</w:t>
      </w:r>
      <w:r w:rsidRPr="00DF38B2">
        <w:t xml:space="preserve"> </w:t>
      </w:r>
    </w:p>
    <w:p w:rsidR="00417B51" w:rsidRPr="00DF38B2" w:rsidRDefault="00417B51" w:rsidP="006654AE">
      <w:pPr>
        <w:pStyle w:val="Quote2"/>
      </w:pPr>
      <w:r w:rsidRPr="00DF38B2">
        <w:t xml:space="preserve">A couple of clients, women with kids, have come from states where there is no income management and they have been very angry. They felt like they have had to jump through too many hoops such as getting documentation – and missing school is quite common here due to cultural obligations. </w:t>
      </w:r>
      <w:r w:rsidR="00693854">
        <w:t>(</w:t>
      </w:r>
      <w:r w:rsidRPr="00DF38B2">
        <w:t>Legal service</w:t>
      </w:r>
      <w:r w:rsidR="00693854">
        <w:t>)</w:t>
      </w:r>
    </w:p>
    <w:p w:rsidR="00417B51" w:rsidRPr="00DF38B2" w:rsidRDefault="00417B51" w:rsidP="006654AE">
      <w:r w:rsidRPr="00DF38B2">
        <w:t xml:space="preserve">DHS staff as well as financial counselling, money management and legal services staff noted that exemptions were particularly difficult to achieve for people who did not have children. In many communities it was challenging to find ongoing employment or enough hours of paid work to meet their criteria. This meant there </w:t>
      </w:r>
      <w:r w:rsidR="00D70EB6">
        <w:t xml:space="preserve">were </w:t>
      </w:r>
      <w:r w:rsidRPr="00DF38B2">
        <w:t>few options for people who are clearly not vulnerable and able to manage their money well</w:t>
      </w:r>
      <w:r w:rsidR="00D70EB6">
        <w:t>:</w:t>
      </w:r>
      <w:r w:rsidRPr="00DF38B2">
        <w:t xml:space="preserve"> </w:t>
      </w:r>
    </w:p>
    <w:p w:rsidR="00417B51" w:rsidRPr="00DF38B2" w:rsidRDefault="00417B51" w:rsidP="006654AE">
      <w:pPr>
        <w:pStyle w:val="Quote2"/>
      </w:pPr>
      <w:r w:rsidRPr="00DF38B2">
        <w:t xml:space="preserve">Some people don’t need income management and they don’t have kids in their care. They need other criteria other than work in circumstances where their health has prevented them from working or where they can’t find jobs. </w:t>
      </w:r>
      <w:r w:rsidR="00693854">
        <w:t>(</w:t>
      </w:r>
      <w:r w:rsidRPr="00DF38B2">
        <w:t>Centrelink Customer Service Officer</w:t>
      </w:r>
      <w:r w:rsidR="00693854">
        <w:t>)</w:t>
      </w:r>
    </w:p>
    <w:p w:rsidR="00417B51" w:rsidRPr="00DF38B2" w:rsidRDefault="00417B51" w:rsidP="006654AE">
      <w:r w:rsidRPr="00DF38B2">
        <w:t>However</w:t>
      </w:r>
      <w:r w:rsidR="00D70EB6">
        <w:t>,</w:t>
      </w:r>
      <w:r w:rsidRPr="00DF38B2">
        <w:t xml:space="preserve"> a view that exemptions were difficult to get did not mean that all </w:t>
      </w:r>
      <w:r w:rsidR="008F282E">
        <w:t xml:space="preserve">intermediaries </w:t>
      </w:r>
      <w:r w:rsidRPr="00DF38B2">
        <w:t>thought that they should be easier to achieve. Some DHS staff argued that they should be difficult to achieve and that if people don’t like income management they “should go and get a job”</w:t>
      </w:r>
      <w:r w:rsidR="00D70EB6">
        <w:t>:</w:t>
      </w:r>
      <w:r w:rsidRPr="00DF38B2">
        <w:t xml:space="preserve"> </w:t>
      </w:r>
    </w:p>
    <w:p w:rsidR="00417B51" w:rsidRPr="00DF38B2" w:rsidRDefault="00417B51" w:rsidP="006654AE">
      <w:pPr>
        <w:pStyle w:val="Quote2"/>
      </w:pPr>
      <w:r w:rsidRPr="00DF38B2">
        <w:t xml:space="preserve">I think it’s targeted quite well – very well. I mean if people don’t want to go out and work, if they’ve got no inclination to go out and work why should they get an exemption from it? </w:t>
      </w:r>
      <w:r w:rsidR="00693854">
        <w:t>(</w:t>
      </w:r>
      <w:r w:rsidRPr="00DF38B2">
        <w:t>Centrelink Customer Service Officer</w:t>
      </w:r>
      <w:r w:rsidR="00693854">
        <w:t>)</w:t>
      </w:r>
    </w:p>
    <w:p w:rsidR="00417B51" w:rsidRPr="00DF38B2" w:rsidRDefault="00417B51" w:rsidP="006654AE">
      <w:pPr>
        <w:pStyle w:val="Heading3"/>
      </w:pPr>
      <w:bookmarkStart w:id="584" w:name="_Toc403739117"/>
      <w:r w:rsidRPr="00DF38B2">
        <w:t>Use of BasicsCards</w:t>
      </w:r>
      <w:bookmarkEnd w:id="584"/>
    </w:p>
    <w:p w:rsidR="00417B51" w:rsidRPr="00DF38B2" w:rsidRDefault="00417B51" w:rsidP="006654AE">
      <w:r w:rsidRPr="00DF38B2">
        <w:t xml:space="preserve">A key tool in using income management is the BasicsCard. As outlined in Chapter 6, 85.5 per cent of people subject to income management use their BasicsCard to spend 50 per cent or more of their </w:t>
      </w:r>
      <w:r w:rsidR="00A04470">
        <w:t>income managed</w:t>
      </w:r>
      <w:r w:rsidR="00307C76">
        <w:t xml:space="preserve"> funds</w:t>
      </w:r>
      <w:r w:rsidRPr="00DF38B2">
        <w:t xml:space="preserve">. </w:t>
      </w:r>
    </w:p>
    <w:p w:rsidR="00417B51" w:rsidRPr="00DF38B2" w:rsidRDefault="00417B51" w:rsidP="006654AE">
      <w:r w:rsidRPr="00DF38B2">
        <w:t>Overall, most intermediaries noted that many people liked the convenience of having a BasicsCard – particularly as it provides fee</w:t>
      </w:r>
      <w:r w:rsidR="00681677">
        <w:t>-</w:t>
      </w:r>
      <w:r w:rsidRPr="00DF38B2">
        <w:t xml:space="preserve">free banking. Money management, financial counselling and legal services frequently noted that people living in remote communities who did not like being on income management would like to keep their BasicsCard for this </w:t>
      </w:r>
      <w:proofErr w:type="gramStart"/>
      <w:r w:rsidRPr="00DF38B2">
        <w:t>reason.</w:t>
      </w:r>
      <w:r w:rsidR="008F282E">
        <w:t>:</w:t>
      </w:r>
      <w:proofErr w:type="gramEnd"/>
    </w:p>
    <w:p w:rsidR="00417B51" w:rsidRPr="00DF38B2" w:rsidRDefault="00417B51" w:rsidP="006654AE">
      <w:pPr>
        <w:pStyle w:val="Quote2"/>
      </w:pPr>
      <w:r w:rsidRPr="00DF38B2">
        <w:t xml:space="preserve">In part it has got to do with the level of banking services that were available to people – it’s filling a vacuum rather than improving it. </w:t>
      </w:r>
      <w:r w:rsidR="00693854">
        <w:t>(</w:t>
      </w:r>
      <w:r w:rsidRPr="00DF38B2">
        <w:t>Legal service</w:t>
      </w:r>
      <w:r w:rsidR="00693854">
        <w:t>)</w:t>
      </w:r>
    </w:p>
    <w:p w:rsidR="00417B51" w:rsidRPr="00DF38B2" w:rsidRDefault="00417B51" w:rsidP="006654AE">
      <w:r w:rsidRPr="00DF38B2">
        <w:t xml:space="preserve">While DHS </w:t>
      </w:r>
      <w:proofErr w:type="gramStart"/>
      <w:r w:rsidRPr="00DF38B2">
        <w:t>staff were</w:t>
      </w:r>
      <w:proofErr w:type="gramEnd"/>
      <w:r w:rsidRPr="00DF38B2">
        <w:t xml:space="preserve"> generally of the view that a key purpose of BasicsCards was to decrease financial exploitation, </w:t>
      </w:r>
      <w:r w:rsidR="00681677">
        <w:t>they</w:t>
      </w:r>
      <w:r w:rsidRPr="00DF38B2">
        <w:t xml:space="preserve"> consistently noted that this was not always the case. But some felt it did allow for this financial exploitation to be minimised somewhat or slowed down</w:t>
      </w:r>
      <w:r w:rsidR="008F282E">
        <w:t>:</w:t>
      </w:r>
    </w:p>
    <w:p w:rsidR="00417B51" w:rsidRPr="00DF38B2" w:rsidRDefault="00417B51" w:rsidP="006654AE">
      <w:pPr>
        <w:pStyle w:val="Quote2"/>
      </w:pPr>
      <w:r w:rsidRPr="00DF38B2">
        <w:t>Even with the BasicsCard elderly people are still being exploited</w:t>
      </w:r>
      <w:r w:rsidR="00681677">
        <w:t>,</w:t>
      </w:r>
      <w:r w:rsidRPr="00DF38B2">
        <w:t xml:space="preserve"> but it lessens it and makes another hurdle for family members. </w:t>
      </w:r>
      <w:r w:rsidR="00693854">
        <w:t>(</w:t>
      </w:r>
      <w:r w:rsidRPr="00DF38B2">
        <w:t>Centrelink social worker</w:t>
      </w:r>
      <w:r w:rsidR="00693854">
        <w:t>)</w:t>
      </w:r>
    </w:p>
    <w:p w:rsidR="00417B51" w:rsidRPr="00DF38B2" w:rsidRDefault="00417B51" w:rsidP="006654AE">
      <w:pPr>
        <w:pStyle w:val="Quote2"/>
      </w:pPr>
      <w:r w:rsidRPr="00DF38B2">
        <w:t xml:space="preserve">Customers with learning difficulties use very simple PIN codes that </w:t>
      </w:r>
      <w:r w:rsidR="00681677">
        <w:t xml:space="preserve">the </w:t>
      </w:r>
      <w:r w:rsidRPr="00DF38B2">
        <w:t xml:space="preserve">family may know. So it becomes an issue for keeping money safe from family and humbug. </w:t>
      </w:r>
      <w:r w:rsidR="00693854">
        <w:t>(</w:t>
      </w:r>
      <w:r w:rsidRPr="00DF38B2">
        <w:t>Centrelink, Customer Services Office, remote</w:t>
      </w:r>
      <w:r w:rsidR="00693854">
        <w:t>)</w:t>
      </w:r>
    </w:p>
    <w:p w:rsidR="00417B51" w:rsidRPr="00DF38B2" w:rsidRDefault="00417B51" w:rsidP="006654AE">
      <w:pPr>
        <w:pStyle w:val="Quote2"/>
      </w:pPr>
      <w:r w:rsidRPr="00DF38B2">
        <w:t>It’s normalised that people come in regularly with stolen or lost cards</w:t>
      </w:r>
      <w:r w:rsidR="00681677">
        <w:t>,</w:t>
      </w:r>
      <w:r w:rsidRPr="00DF38B2">
        <w:t xml:space="preserve"> but usually they are held by a family member. </w:t>
      </w:r>
      <w:r w:rsidR="00693854">
        <w:t>(</w:t>
      </w:r>
      <w:r w:rsidRPr="00DF38B2">
        <w:t>Centrelink social worker</w:t>
      </w:r>
      <w:r w:rsidR="00693854">
        <w:t>)</w:t>
      </w:r>
    </w:p>
    <w:p w:rsidR="00417B51" w:rsidRPr="00DF38B2" w:rsidRDefault="00417B51" w:rsidP="006654AE">
      <w:r w:rsidRPr="00DF38B2">
        <w:t>DHS staff noted that for the most vulnerable customers, who frequently lost or had their BasicsCards taken from them</w:t>
      </w:r>
      <w:r w:rsidR="00681677">
        <w:t>,</w:t>
      </w:r>
      <w:r w:rsidRPr="00DF38B2">
        <w:t xml:space="preserve"> </w:t>
      </w:r>
      <w:r w:rsidR="000D104B" w:rsidRPr="00DF38B2">
        <w:t xml:space="preserve">a response was </w:t>
      </w:r>
      <w:r w:rsidRPr="00DF38B2">
        <w:t>setting up a daily allocation of a small amount of funds to their BasicsCard or to a local store</w:t>
      </w:r>
      <w:r w:rsidR="00681677">
        <w:t xml:space="preserve"> – this</w:t>
      </w:r>
      <w:r w:rsidRPr="00DF38B2">
        <w:t xml:space="preserve"> allowed them to have greater access to basic needs such as food on a daily basis. This practice also seemed to be replicated informally by people by keeping their cards at the local store</w:t>
      </w:r>
      <w:r w:rsidR="00681677">
        <w:t>:</w:t>
      </w:r>
      <w:r w:rsidRPr="00DF38B2">
        <w:t xml:space="preserve"> </w:t>
      </w:r>
    </w:p>
    <w:p w:rsidR="00417B51" w:rsidRPr="00DF38B2" w:rsidRDefault="00417B51" w:rsidP="006654AE">
      <w:pPr>
        <w:pStyle w:val="Quote2"/>
      </w:pPr>
      <w:r w:rsidRPr="00DF38B2">
        <w:t xml:space="preserve">On communities a lot of BasicsCards holders keep them at the shop and just go in and ask for the balance and buy food. </w:t>
      </w:r>
      <w:r w:rsidR="00693854">
        <w:t>(</w:t>
      </w:r>
      <w:r w:rsidRPr="00DF38B2">
        <w:t>Legal service</w:t>
      </w:r>
      <w:r w:rsidR="00693854">
        <w:t>)</w:t>
      </w:r>
    </w:p>
    <w:p w:rsidR="00417B51" w:rsidRPr="00DF38B2" w:rsidRDefault="00417B51" w:rsidP="006654AE">
      <w:r w:rsidRPr="00DF38B2">
        <w:lastRenderedPageBreak/>
        <w:t>Other intermediaries also noted that BasicsCards were not able to prevent financial exploitation and were also sold or exchanged by their owners for cash or goods such as alcohol</w:t>
      </w:r>
      <w:r w:rsidR="00681677">
        <w:t>:</w:t>
      </w:r>
      <w:r w:rsidRPr="00DF38B2">
        <w:t xml:space="preserve"> </w:t>
      </w:r>
    </w:p>
    <w:p w:rsidR="00417B51" w:rsidRPr="00DF38B2" w:rsidRDefault="00417B51" w:rsidP="006654AE">
      <w:pPr>
        <w:pStyle w:val="Quote2"/>
      </w:pPr>
      <w:r w:rsidRPr="00DF38B2">
        <w:t>I have a client who asks for her BasicsCard to be suspended when she goes to certain communities</w:t>
      </w:r>
      <w:r w:rsidR="00681677">
        <w:t>.</w:t>
      </w:r>
      <w:r w:rsidRPr="00DF38B2">
        <w:t xml:space="preserve"> </w:t>
      </w:r>
      <w:r w:rsidR="00693854">
        <w:t>(</w:t>
      </w:r>
      <w:r w:rsidRPr="00DF38B2">
        <w:t>Legal service</w:t>
      </w:r>
      <w:r w:rsidR="00693854">
        <w:t>)</w:t>
      </w:r>
    </w:p>
    <w:p w:rsidR="00417B51" w:rsidRPr="00DF38B2" w:rsidRDefault="00417B51" w:rsidP="006654AE">
      <w:pPr>
        <w:pStyle w:val="Quote2"/>
      </w:pPr>
      <w:r w:rsidRPr="00DF38B2">
        <w:t xml:space="preserve">It’s a commodity like anything else. </w:t>
      </w:r>
      <w:r w:rsidR="00693854">
        <w:t>(</w:t>
      </w:r>
      <w:r w:rsidRPr="00DF38B2">
        <w:t>Legal service</w:t>
      </w:r>
      <w:r w:rsidR="00693854">
        <w:t>)</w:t>
      </w:r>
    </w:p>
    <w:p w:rsidR="00417B51" w:rsidRPr="00DF38B2" w:rsidRDefault="00417B51" w:rsidP="006654AE">
      <w:r w:rsidRPr="00DF38B2">
        <w:t xml:space="preserve">The requirement that BasicsCards are only issued in person meant that people in remote communities could also wait </w:t>
      </w:r>
      <w:r w:rsidR="00681677">
        <w:t>a considerable</w:t>
      </w:r>
      <w:r w:rsidRPr="00DF38B2">
        <w:t xml:space="preserve"> time for BasicsCards to be replaced if lost as </w:t>
      </w:r>
      <w:r w:rsidR="00681677">
        <w:t>it depended upon</w:t>
      </w:r>
      <w:r w:rsidRPr="00DF38B2">
        <w:t xml:space="preserve"> the next visit from a DHS Remote Servicing Team</w:t>
      </w:r>
      <w:r w:rsidR="00681677">
        <w:t>:</w:t>
      </w:r>
    </w:p>
    <w:p w:rsidR="00417B51" w:rsidRPr="00DF38B2" w:rsidRDefault="00693854" w:rsidP="006654AE">
      <w:pPr>
        <w:pStyle w:val="Quote2"/>
      </w:pPr>
      <w:r>
        <w:t>[</w:t>
      </w:r>
      <w:r w:rsidR="00417B51" w:rsidRPr="00DF38B2">
        <w:t xml:space="preserve">In a remote community] if you lose your BasicsCard it’s a </w:t>
      </w:r>
      <w:r w:rsidR="00681677">
        <w:t>two-</w:t>
      </w:r>
      <w:r w:rsidR="00417B51" w:rsidRPr="00DF38B2">
        <w:t xml:space="preserve">week minimum to replace it. </w:t>
      </w:r>
      <w:r>
        <w:t>(</w:t>
      </w:r>
      <w:r w:rsidR="00417B51" w:rsidRPr="00DF38B2">
        <w:t>Service provider, remote communities</w:t>
      </w:r>
      <w:r>
        <w:t>)</w:t>
      </w:r>
    </w:p>
    <w:p w:rsidR="00417B51" w:rsidRPr="00DF38B2" w:rsidRDefault="00417B51" w:rsidP="006654AE">
      <w:r w:rsidRPr="00DF38B2">
        <w:t xml:space="preserve">In these cases DHS staff </w:t>
      </w:r>
      <w:r w:rsidR="00681677">
        <w:t>explained</w:t>
      </w:r>
      <w:r w:rsidRPr="00DF38B2">
        <w:t xml:space="preserve"> that they would set up an allocation for people at the local store until they were able to access a new BasicsCard. However, some intermediaries noted that people were often not aware of this option and instead tried to manage without these funds in the interim.</w:t>
      </w:r>
    </w:p>
    <w:p w:rsidR="00417B51" w:rsidRPr="00DF38B2" w:rsidRDefault="00417B51" w:rsidP="006654AE">
      <w:pPr>
        <w:pStyle w:val="Heading3"/>
      </w:pPr>
      <w:bookmarkStart w:id="585" w:name="_Toc403739118"/>
      <w:r w:rsidRPr="00DF38B2">
        <w:t xml:space="preserve">Supporting people subject to income management </w:t>
      </w:r>
      <w:r w:rsidR="00681677">
        <w:t>–</w:t>
      </w:r>
      <w:r w:rsidRPr="00DF38B2">
        <w:t xml:space="preserve"> money management and financial counselling services</w:t>
      </w:r>
      <w:bookmarkEnd w:id="585"/>
    </w:p>
    <w:p w:rsidR="00417B51" w:rsidRPr="00DF38B2" w:rsidRDefault="00417B51" w:rsidP="006654AE">
      <w:pPr>
        <w:widowControl w:val="0"/>
        <w:autoSpaceDE w:val="0"/>
        <w:autoSpaceDN w:val="0"/>
        <w:adjustRightInd w:val="0"/>
        <w:spacing w:after="0"/>
        <w:rPr>
          <w:szCs w:val="19"/>
        </w:rPr>
      </w:pPr>
      <w:r w:rsidRPr="00DF38B2">
        <w:rPr>
          <w:szCs w:val="19"/>
        </w:rPr>
        <w:t>Key themes have emerged from interviews with money management and financial counselling services including issues relating to referrals and co-servicing, the types of services provided by money management</w:t>
      </w:r>
      <w:r w:rsidR="00681677">
        <w:rPr>
          <w:szCs w:val="19"/>
        </w:rPr>
        <w:t>,</w:t>
      </w:r>
      <w:r w:rsidRPr="00DF38B2">
        <w:rPr>
          <w:szCs w:val="19"/>
        </w:rPr>
        <w:t xml:space="preserve"> and financial counselling and the matched payment scheme. These themes are explored in each section below. </w:t>
      </w:r>
    </w:p>
    <w:p w:rsidR="00417B51" w:rsidRPr="00DF38B2" w:rsidRDefault="00417B51" w:rsidP="006654AE">
      <w:pPr>
        <w:pStyle w:val="Heading4"/>
      </w:pPr>
      <w:r w:rsidRPr="00DF38B2">
        <w:t xml:space="preserve">Referrals </w:t>
      </w:r>
    </w:p>
    <w:p w:rsidR="00417B51" w:rsidRPr="00DF38B2" w:rsidRDefault="00417B51" w:rsidP="006654AE">
      <w:r w:rsidRPr="00DF38B2">
        <w:t>Across the four focus group interviews with money management and financial counselling staff, participants reported getting lots of referrals</w:t>
      </w:r>
      <w:r w:rsidR="003C5E3F">
        <w:t>,</w:t>
      </w:r>
      <w:r w:rsidRPr="00DF38B2">
        <w:t xml:space="preserve"> but that they ended up with few clients from these referrals, with most actual clients </w:t>
      </w:r>
      <w:r w:rsidR="003C5E3F">
        <w:t xml:space="preserve">– </w:t>
      </w:r>
      <w:r w:rsidRPr="00DF38B2">
        <w:t>whether</w:t>
      </w:r>
      <w:r w:rsidR="003C5E3F">
        <w:t xml:space="preserve"> </w:t>
      </w:r>
      <w:r w:rsidRPr="00DF38B2">
        <w:t>subject to income management or not</w:t>
      </w:r>
      <w:r w:rsidR="003C5E3F">
        <w:t xml:space="preserve"> –</w:t>
      </w:r>
      <w:r w:rsidRPr="00DF38B2">
        <w:t xml:space="preserve"> being self-referred. </w:t>
      </w:r>
    </w:p>
    <w:p w:rsidR="00417B51" w:rsidRPr="00DF38B2" w:rsidRDefault="00417B51" w:rsidP="006654AE">
      <w:r w:rsidRPr="00DF38B2">
        <w:t xml:space="preserve">As part of their regular interactions with income management customers, DHS </w:t>
      </w:r>
      <w:proofErr w:type="gramStart"/>
      <w:r w:rsidRPr="00DF38B2">
        <w:t>staff ask</w:t>
      </w:r>
      <w:proofErr w:type="gramEnd"/>
      <w:r w:rsidRPr="00DF38B2">
        <w:t xml:space="preserve"> them whether they would like to access a money management course or a financial counsellor. Since late 2013, </w:t>
      </w:r>
      <w:r w:rsidR="00D25947">
        <w:t>in instance</w:t>
      </w:r>
      <w:r w:rsidR="00F176E5">
        <w:t xml:space="preserve">s </w:t>
      </w:r>
      <w:r w:rsidRPr="00DF38B2">
        <w:t xml:space="preserve">where people agree to this the DHS staff member makes a referral to the local money management or financial counselling provider via a </w:t>
      </w:r>
      <w:r w:rsidR="008F282E">
        <w:t xml:space="preserve">new internet based </w:t>
      </w:r>
      <w:r w:rsidRPr="00DF38B2">
        <w:t>portal. This portal provides contact information for the customer, which the service can then use to follow up the referral. The new referral portal with DHS had mixed support and was seen as something that should not be the only measure of success for the</w:t>
      </w:r>
      <w:r w:rsidR="00D25947">
        <w:t xml:space="preserve"> various</w:t>
      </w:r>
      <w:r w:rsidRPr="00DF38B2">
        <w:t xml:space="preserve"> programs</w:t>
      </w:r>
      <w:r w:rsidR="00D25947">
        <w:t>,</w:t>
      </w:r>
      <w:r w:rsidRPr="00DF38B2">
        <w:t xml:space="preserve"> but </w:t>
      </w:r>
      <w:r w:rsidR="00D25947">
        <w:t xml:space="preserve">staff </w:t>
      </w:r>
      <w:r w:rsidRPr="00DF38B2">
        <w:t xml:space="preserve">suggested that </w:t>
      </w:r>
      <w:r w:rsidR="00D25947">
        <w:t xml:space="preserve">it </w:t>
      </w:r>
      <w:r w:rsidRPr="00DF38B2">
        <w:t xml:space="preserve">is helping with a more collaborative approach. There was concern expressed in the focus groups conducted in August 2013 that the focus on statistics that had come with the portal would mean services would </w:t>
      </w:r>
      <w:r w:rsidR="00D25947">
        <w:t>begin</w:t>
      </w:r>
      <w:r w:rsidRPr="00DF38B2">
        <w:t xml:space="preserve"> focusing on chasing people referred via the portal rather than working with people who are presenting at services with needs. This seemed less of a concern in the later focus groups</w:t>
      </w:r>
      <w:r w:rsidR="00D25947">
        <w:t>:</w:t>
      </w:r>
    </w:p>
    <w:p w:rsidR="00417B51" w:rsidRPr="00DF38B2" w:rsidRDefault="00417B51" w:rsidP="006654AE">
      <w:pPr>
        <w:pStyle w:val="Quote2"/>
      </w:pPr>
      <w:r w:rsidRPr="00DF38B2">
        <w:t>Most of our clientele are self-refer</w:t>
      </w:r>
      <w:r w:rsidR="008F282E">
        <w:t>r</w:t>
      </w:r>
      <w:r w:rsidRPr="00DF38B2">
        <w:t xml:space="preserve">ed. The focus on the portal referrals means we spend days to get to people who just said yes to get Centrelink off their backs rather than working with people who really want it. </w:t>
      </w:r>
      <w:r w:rsidR="00693854">
        <w:t>(</w:t>
      </w:r>
      <w:r w:rsidRPr="00DF38B2">
        <w:t>Financial counsellor</w:t>
      </w:r>
      <w:r w:rsidR="00693854">
        <w:t>)</w:t>
      </w:r>
    </w:p>
    <w:p w:rsidR="00417B51" w:rsidRPr="00DF38B2" w:rsidRDefault="00417B51" w:rsidP="006654AE">
      <w:r w:rsidRPr="00DF38B2">
        <w:t xml:space="preserve">There was also concern expressed that the portal will give focus to those with most access to Centrelink </w:t>
      </w:r>
      <w:r w:rsidR="00D25947">
        <w:t>–</w:t>
      </w:r>
      <w:r w:rsidRPr="00DF38B2">
        <w:t xml:space="preserve"> that is</w:t>
      </w:r>
      <w:r w:rsidR="00D25947">
        <w:t>,</w:t>
      </w:r>
      <w:r w:rsidRPr="00DF38B2">
        <w:t xml:space="preserve"> people in towns where permanent Customer Service Centres are located rather than those in remote locations. </w:t>
      </w:r>
    </w:p>
    <w:p w:rsidR="00417B51" w:rsidRPr="00DF38B2" w:rsidRDefault="00417B51" w:rsidP="006654AE">
      <w:r w:rsidRPr="00DF38B2">
        <w:t xml:space="preserve">Focus group participants also expressed some concerns that DHS </w:t>
      </w:r>
      <w:proofErr w:type="gramStart"/>
      <w:r w:rsidRPr="00DF38B2">
        <w:t>staff don't</w:t>
      </w:r>
      <w:proofErr w:type="gramEnd"/>
      <w:r w:rsidRPr="00DF38B2">
        <w:t xml:space="preserve"> really understand what their services actually do</w:t>
      </w:r>
      <w:r w:rsidR="00D25947">
        <w:t xml:space="preserve"> –</w:t>
      </w:r>
      <w:r w:rsidRPr="00DF38B2">
        <w:t xml:space="preserve"> this means they are unable to give a </w:t>
      </w:r>
      <w:r w:rsidR="00D25947">
        <w:t>“</w:t>
      </w:r>
      <w:r w:rsidRPr="00DF38B2">
        <w:t>good referral</w:t>
      </w:r>
      <w:r w:rsidR="00D25947">
        <w:t>”</w:t>
      </w:r>
      <w:r w:rsidRPr="00DF38B2">
        <w:t xml:space="preserve"> that encourages people to take up the service. This in turn was seen to decrease the success of measures such as the portal. It also means clients do</w:t>
      </w:r>
      <w:r w:rsidR="00D25947">
        <w:t xml:space="preserve"> not</w:t>
      </w:r>
      <w:r w:rsidRPr="00DF38B2">
        <w:t xml:space="preserve"> know what Money Management and Financial Counselling services have to offer them</w:t>
      </w:r>
      <w:r w:rsidR="00D25947">
        <w:t>,</w:t>
      </w:r>
      <w:r w:rsidRPr="00DF38B2">
        <w:t xml:space="preserve"> and so do</w:t>
      </w:r>
      <w:r w:rsidR="00D25947">
        <w:t xml:space="preserve"> not</w:t>
      </w:r>
      <w:r w:rsidRPr="00DF38B2">
        <w:t xml:space="preserve"> engage with the service and follow up with referrals. </w:t>
      </w:r>
    </w:p>
    <w:p w:rsidR="00417B51" w:rsidRPr="00DF38B2" w:rsidRDefault="00417B51" w:rsidP="006654AE">
      <w:r w:rsidRPr="00DF38B2">
        <w:t xml:space="preserve">Many clients who do attend the services that </w:t>
      </w:r>
      <w:r w:rsidR="00D25947">
        <w:t xml:space="preserve">they </w:t>
      </w:r>
      <w:r w:rsidRPr="00DF38B2">
        <w:t xml:space="preserve">are referred </w:t>
      </w:r>
      <w:r w:rsidR="00D25947">
        <w:t xml:space="preserve">to </w:t>
      </w:r>
      <w:r w:rsidRPr="00DF38B2">
        <w:t>via the portal also think that they are being referred to a DHS service and believe it is compulsory and that they ha</w:t>
      </w:r>
      <w:r w:rsidR="00D25947">
        <w:t>ve</w:t>
      </w:r>
      <w:r w:rsidRPr="00DF38B2">
        <w:t xml:space="preserve"> to attend</w:t>
      </w:r>
      <w:r w:rsidR="00D25947">
        <w:t>:</w:t>
      </w:r>
      <w:r w:rsidRPr="00DF38B2">
        <w:t xml:space="preserve"> </w:t>
      </w:r>
    </w:p>
    <w:p w:rsidR="00417B51" w:rsidRPr="00DF38B2" w:rsidRDefault="00417B51" w:rsidP="006654AE">
      <w:pPr>
        <w:pStyle w:val="Quote2"/>
      </w:pPr>
      <w:r w:rsidRPr="00DF38B2">
        <w:lastRenderedPageBreak/>
        <w:t>I’m sure if FMP people were tax agents they’d do a roaring trade. They’d be more inclined to take it up because they can see the benefit</w:t>
      </w:r>
      <w:r w:rsidR="00D25947">
        <w:t>.</w:t>
      </w:r>
      <w:r w:rsidRPr="00DF38B2">
        <w:t xml:space="preserve"> </w:t>
      </w:r>
      <w:r w:rsidR="00693854">
        <w:t>(</w:t>
      </w:r>
      <w:r w:rsidRPr="00DF38B2">
        <w:t>Centrelink Customer Service Officer, remote</w:t>
      </w:r>
      <w:r w:rsidR="00693854">
        <w:t>)</w:t>
      </w:r>
    </w:p>
    <w:p w:rsidR="00417B51" w:rsidRPr="00DF38B2" w:rsidRDefault="00417B51" w:rsidP="006654AE">
      <w:r w:rsidRPr="00DF38B2">
        <w:t xml:space="preserve">Overall, word of mouth </w:t>
      </w:r>
      <w:r w:rsidR="00D25947">
        <w:t xml:space="preserve">was </w:t>
      </w:r>
      <w:r w:rsidRPr="00DF38B2">
        <w:t>seen to be the most successful form of referral for clients to these services</w:t>
      </w:r>
      <w:r w:rsidR="00D25947">
        <w:t>:</w:t>
      </w:r>
      <w:r w:rsidRPr="00DF38B2">
        <w:t xml:space="preserve"> </w:t>
      </w:r>
    </w:p>
    <w:p w:rsidR="00417B51" w:rsidRPr="00DF38B2" w:rsidRDefault="00417B51" w:rsidP="006654AE">
      <w:pPr>
        <w:pStyle w:val="Quote2"/>
      </w:pPr>
      <w:r w:rsidRPr="00DF38B2">
        <w:t xml:space="preserve">The portal relies on the fact of a good referral. But Centrelink </w:t>
      </w:r>
      <w:proofErr w:type="gramStart"/>
      <w:r w:rsidRPr="00DF38B2">
        <w:t>staff don’t</w:t>
      </w:r>
      <w:proofErr w:type="gramEnd"/>
      <w:r w:rsidRPr="00DF38B2">
        <w:t xml:space="preserve"> know what we do. So it’s not an effective referral. They put lots of energy into the portal but not into good referrals. </w:t>
      </w:r>
      <w:r w:rsidR="00693854">
        <w:t>(</w:t>
      </w:r>
      <w:r w:rsidRPr="00DF38B2">
        <w:t>Financial counsellor</w:t>
      </w:r>
      <w:r w:rsidR="00693854">
        <w:t>)</w:t>
      </w:r>
    </w:p>
    <w:p w:rsidR="00417B51" w:rsidRPr="00DF38B2" w:rsidRDefault="00417B51" w:rsidP="006654AE">
      <w:r w:rsidRPr="00DF38B2">
        <w:t>Challenges in establishing trust and rapport with people living in remote communities were also noted by both Centrelink staff and money management and financial counsellors</w:t>
      </w:r>
      <w:r w:rsidR="00D25947">
        <w:t>:</w:t>
      </w:r>
      <w:r w:rsidRPr="00DF38B2">
        <w:t xml:space="preserve"> </w:t>
      </w:r>
    </w:p>
    <w:p w:rsidR="00417B51" w:rsidRPr="00DF38B2" w:rsidRDefault="00417B51" w:rsidP="006654AE">
      <w:pPr>
        <w:pStyle w:val="Quote2"/>
      </w:pPr>
      <w:r w:rsidRPr="00DF38B2">
        <w:t>The customers need to have confidence in the person they’re dealing with. They need to not be a stranger but not too friendly. A customer won’t want to speak to a family member or friend. And then you have poison cousins</w:t>
      </w:r>
      <w:r w:rsidR="008F282E">
        <w:rPr>
          <w:rStyle w:val="FootnoteReference"/>
        </w:rPr>
        <w:footnoteReference w:id="135"/>
      </w:r>
      <w:r w:rsidRPr="00DF38B2">
        <w:t xml:space="preserve">. So there are cultural reasons. This is a problem “in community” where you only have one person to choose from. </w:t>
      </w:r>
      <w:r w:rsidR="00693854">
        <w:t>(</w:t>
      </w:r>
      <w:r w:rsidRPr="00DF38B2">
        <w:t>Centrelink Customer Service Officer, remote</w:t>
      </w:r>
      <w:r w:rsidR="00693854">
        <w:t>)</w:t>
      </w:r>
    </w:p>
    <w:p w:rsidR="00417B51" w:rsidRPr="00DF38B2" w:rsidRDefault="00417B51" w:rsidP="006654AE">
      <w:pPr>
        <w:pStyle w:val="Heading4"/>
      </w:pPr>
      <w:r w:rsidRPr="00DF38B2">
        <w:t>Co-servicing</w:t>
      </w:r>
    </w:p>
    <w:p w:rsidR="00417B51" w:rsidRPr="00DF38B2" w:rsidRDefault="00417B51" w:rsidP="006654AE">
      <w:r w:rsidRPr="00DF38B2">
        <w:t>The focus groups with money management and financial counselling services were undertaken at the beginning of the co-servicing approach being rolled out. There were mixed views about how effective this approach would be. Some service providers who visited remote communities felt that visiting communities in partnership with DHS staff had the potential to damage relationships with communities where they have worked hard to build a rapport. They believe they need to be seen as separate from DHS</w:t>
      </w:r>
      <w:r w:rsidR="00D25947">
        <w:t>:</w:t>
      </w:r>
    </w:p>
    <w:p w:rsidR="00417B51" w:rsidRPr="00DF38B2" w:rsidRDefault="00417B51" w:rsidP="006654AE">
      <w:pPr>
        <w:pStyle w:val="Quote2"/>
      </w:pPr>
      <w:r w:rsidRPr="00DF38B2">
        <w:t xml:space="preserve">There’s also the problem of going onto community with DHS. We don’t want them associated with us. </w:t>
      </w:r>
      <w:r w:rsidR="00693854">
        <w:t>(</w:t>
      </w:r>
      <w:r w:rsidRPr="00DF38B2">
        <w:t>Money management worker</w:t>
      </w:r>
      <w:r w:rsidR="00693854">
        <w:t>)</w:t>
      </w:r>
    </w:p>
    <w:p w:rsidR="00417B51" w:rsidRPr="00DF38B2" w:rsidRDefault="00417B51" w:rsidP="006654AE">
      <w:r w:rsidRPr="00DF38B2">
        <w:t xml:space="preserve">Where co-servicing had already taken place there were mixed views about its success among money management and Centrelink staff. For some </w:t>
      </w:r>
      <w:r w:rsidR="00EF09F0">
        <w:t xml:space="preserve">staff members </w:t>
      </w:r>
      <w:r w:rsidRPr="00DF38B2">
        <w:t>it hadn’t been very successful</w:t>
      </w:r>
      <w:r w:rsidR="00EF09F0">
        <w:t>:</w:t>
      </w:r>
      <w:r w:rsidRPr="00DF38B2">
        <w:t xml:space="preserve"> </w:t>
      </w:r>
    </w:p>
    <w:p w:rsidR="00417B51" w:rsidRPr="00DF38B2" w:rsidRDefault="00417B51" w:rsidP="006654AE">
      <w:pPr>
        <w:pStyle w:val="Quote2"/>
      </w:pPr>
      <w:r w:rsidRPr="00DF38B2">
        <w:t xml:space="preserve">We tried to co-service in CSC but it didn’t work because [DHS] staff don’t understand what we do. </w:t>
      </w:r>
      <w:r w:rsidR="00693854">
        <w:t>(</w:t>
      </w:r>
      <w:r w:rsidRPr="00DF38B2">
        <w:t>Money management worker</w:t>
      </w:r>
      <w:r w:rsidR="00693854">
        <w:t>)</w:t>
      </w:r>
    </w:p>
    <w:p w:rsidR="00417B51" w:rsidRPr="00DF38B2" w:rsidRDefault="00417B51" w:rsidP="006654AE">
      <w:pPr>
        <w:pStyle w:val="Quote2"/>
      </w:pPr>
      <w:r w:rsidRPr="00DF38B2">
        <w:t xml:space="preserve">They (money management) come once or twice a week but I haven’t seen any difference. They set up a table in the front but people are a bit shy, it’s in front of all the people in the waiting area. </w:t>
      </w:r>
      <w:r w:rsidR="00693854">
        <w:t>(</w:t>
      </w:r>
      <w:r w:rsidRPr="00DF38B2">
        <w:t>Centrelink Customer Service Officer</w:t>
      </w:r>
      <w:r w:rsidR="00693854">
        <w:t>)</w:t>
      </w:r>
    </w:p>
    <w:p w:rsidR="00417B51" w:rsidRPr="00DF38B2" w:rsidRDefault="00417B51" w:rsidP="006654AE">
      <w:r w:rsidRPr="00DF38B2">
        <w:t>Others noted that they had successfully undertaken co-servicing and had found it a productive way of working to meet their clients’ needs</w:t>
      </w:r>
      <w:r w:rsidR="00EF09F0">
        <w:t>:</w:t>
      </w:r>
    </w:p>
    <w:p w:rsidR="00417B51" w:rsidRPr="00DF38B2" w:rsidRDefault="00417B51" w:rsidP="006654AE">
      <w:pPr>
        <w:pStyle w:val="Quote2"/>
      </w:pPr>
      <w:r w:rsidRPr="00DF38B2">
        <w:t xml:space="preserve">We have done some visits [with DHS]. They’ve gone really well. We know the people so we can tell DHS about their situations and we can all work together to solve lots of problems. </w:t>
      </w:r>
      <w:r w:rsidR="00693854">
        <w:t>(</w:t>
      </w:r>
      <w:r w:rsidRPr="00DF38B2">
        <w:t>Money management worker</w:t>
      </w:r>
      <w:r w:rsidR="00693854">
        <w:t>)</w:t>
      </w:r>
    </w:p>
    <w:p w:rsidR="00417B51" w:rsidRPr="00DF38B2" w:rsidRDefault="00417B51" w:rsidP="006654AE">
      <w:pPr>
        <w:widowControl w:val="0"/>
        <w:autoSpaceDE w:val="0"/>
        <w:autoSpaceDN w:val="0"/>
        <w:adjustRightInd w:val="0"/>
        <w:spacing w:after="0"/>
        <w:rPr>
          <w:szCs w:val="19"/>
        </w:rPr>
      </w:pPr>
      <w:r w:rsidRPr="00DF38B2">
        <w:rPr>
          <w:szCs w:val="19"/>
        </w:rPr>
        <w:t>There were also concerns about more practical issues</w:t>
      </w:r>
      <w:r w:rsidR="00EF09F0">
        <w:rPr>
          <w:szCs w:val="19"/>
        </w:rPr>
        <w:t>; for example,</w:t>
      </w:r>
      <w:r w:rsidRPr="00DF38B2">
        <w:rPr>
          <w:szCs w:val="19"/>
        </w:rPr>
        <w:t xml:space="preserve"> in many communities there is not enough accommodation to allow </w:t>
      </w:r>
      <w:r w:rsidR="00EF09F0">
        <w:rPr>
          <w:szCs w:val="19"/>
        </w:rPr>
        <w:t>visits by</w:t>
      </w:r>
      <w:r w:rsidRPr="00DF38B2">
        <w:rPr>
          <w:szCs w:val="19"/>
        </w:rPr>
        <w:t xml:space="preserve"> both DHS and service staff at the same time. In these cases services were exploring </w:t>
      </w:r>
      <w:r w:rsidR="00EF09F0">
        <w:rPr>
          <w:szCs w:val="19"/>
        </w:rPr>
        <w:t>options to attend a community</w:t>
      </w:r>
      <w:r w:rsidRPr="00DF38B2">
        <w:rPr>
          <w:szCs w:val="19"/>
        </w:rPr>
        <w:t xml:space="preserve"> directly after DHS had visited as a way of trying to capture the potential benefits of co-servicing. </w:t>
      </w:r>
    </w:p>
    <w:p w:rsidR="00417B51" w:rsidRPr="00DF38B2" w:rsidRDefault="00417B51" w:rsidP="006654AE">
      <w:pPr>
        <w:pStyle w:val="Heading4"/>
      </w:pPr>
      <w:r w:rsidRPr="00DF38B2">
        <w:t>What money management services do in practice</w:t>
      </w:r>
    </w:p>
    <w:p w:rsidR="00417B51" w:rsidRPr="00DF38B2" w:rsidRDefault="00417B51" w:rsidP="006654AE">
      <w:r w:rsidRPr="00DF38B2">
        <w:t xml:space="preserve">Following from the </w:t>
      </w:r>
      <w:r w:rsidR="00292F40">
        <w:t>F</w:t>
      </w:r>
      <w:r w:rsidRPr="00DF38B2">
        <w:t xml:space="preserve">irst </w:t>
      </w:r>
      <w:r w:rsidR="00292F40">
        <w:t>E</w:t>
      </w:r>
      <w:r w:rsidRPr="00DF38B2">
        <w:t xml:space="preserve">valuation </w:t>
      </w:r>
      <w:r w:rsidR="00292F40">
        <w:t>R</w:t>
      </w:r>
      <w:r w:rsidRPr="00DF38B2">
        <w:t xml:space="preserve">eport </w:t>
      </w:r>
      <w:r w:rsidR="00EF09F0">
        <w:t>in which</w:t>
      </w:r>
      <w:r w:rsidRPr="00DF38B2">
        <w:t xml:space="preserve"> </w:t>
      </w:r>
      <w:r w:rsidR="00292F40">
        <w:t xml:space="preserve">it was reported that </w:t>
      </w:r>
      <w:r w:rsidRPr="00DF38B2">
        <w:t xml:space="preserve">money management workers and financial counsellors noted that there was demand for a highly diverse range of services beyond what they were directly contracted to </w:t>
      </w:r>
      <w:r w:rsidR="00EF09F0">
        <w:t>provide</w:t>
      </w:r>
      <w:r w:rsidRPr="00DF38B2">
        <w:t xml:space="preserve">, Stage 2 of the evaluation sought to explore what these services are doing with clients to meet their needs and what money management and financial counselling staff believed were the most useful services they could offer people subject to income management. </w:t>
      </w:r>
    </w:p>
    <w:p w:rsidR="00417B51" w:rsidRPr="00DF38B2" w:rsidRDefault="00417B51" w:rsidP="006654AE">
      <w:r w:rsidRPr="00DF38B2">
        <w:t>Money management workers observed that clients come to money management because they have nowhere else to go. They usually come to the service with very specific issues that they need addressed</w:t>
      </w:r>
      <w:r w:rsidR="00EF09F0">
        <w:t>,</w:t>
      </w:r>
      <w:r w:rsidRPr="00DF38B2">
        <w:t xml:space="preserve"> and then other issues may also emerge. Money management workers see their key role as letting people know what their rights are and to assist people in developing financial skills and literacy</w:t>
      </w:r>
      <w:r w:rsidR="00EF09F0">
        <w:t>.</w:t>
      </w:r>
    </w:p>
    <w:p w:rsidR="00417B51" w:rsidRPr="00DF38B2" w:rsidRDefault="00417B51" w:rsidP="006654AE">
      <w:r w:rsidRPr="00DF38B2">
        <w:lastRenderedPageBreak/>
        <w:t>Their work with clients often focuses on dealing with the 'basics' such as superannuation, tax returns</w:t>
      </w:r>
      <w:r w:rsidR="00EF09F0">
        <w:t>,</w:t>
      </w:r>
      <w:r w:rsidRPr="00DF38B2">
        <w:t xml:space="preserve"> and setting up internet and telephone banking. </w:t>
      </w:r>
    </w:p>
    <w:p w:rsidR="00417B51" w:rsidRPr="00DF38B2" w:rsidRDefault="00417B51" w:rsidP="006654AE">
      <w:r w:rsidRPr="00DF38B2">
        <w:t>The main issues clients bring to money management services include getting ID</w:t>
      </w:r>
      <w:r w:rsidR="00EF09F0">
        <w:t>;</w:t>
      </w:r>
      <w:r w:rsidRPr="00DF38B2">
        <w:t xml:space="preserve"> sorting out financial problems</w:t>
      </w:r>
      <w:r w:rsidR="00EF09F0">
        <w:t>;</w:t>
      </w:r>
      <w:r w:rsidRPr="00DF38B2">
        <w:t xml:space="preserve"> and debts related to direct debits from a number of companies involved in direct sales of goods and services</w:t>
      </w:r>
      <w:r w:rsidR="00EF09F0">
        <w:t>,</w:t>
      </w:r>
      <w:r w:rsidRPr="00DF38B2">
        <w:t xml:space="preserve"> </w:t>
      </w:r>
      <w:r w:rsidR="00EF09F0">
        <w:t>such as</w:t>
      </w:r>
      <w:r w:rsidRPr="00DF38B2">
        <w:t xml:space="preserve"> hampers, photographs, home appliances, telecommunications and transport</w:t>
      </w:r>
      <w:r w:rsidR="00A1421A">
        <w:t xml:space="preserve">. </w:t>
      </w:r>
      <w:proofErr w:type="gramStart"/>
      <w:r w:rsidRPr="00DF38B2">
        <w:t>Staff</w:t>
      </w:r>
      <w:proofErr w:type="gramEnd"/>
      <w:r w:rsidRPr="00DF38B2">
        <w:t xml:space="preserve"> from money management services identified that people </w:t>
      </w:r>
      <w:r w:rsidR="00EF09F0">
        <w:t xml:space="preserve">in remote communities </w:t>
      </w:r>
      <w:r w:rsidRPr="00DF38B2">
        <w:t>are being signed up to services they cannot actually receive</w:t>
      </w:r>
      <w:r w:rsidR="009B651E">
        <w:t xml:space="preserve"> because it is not available were they live</w:t>
      </w:r>
      <w:r w:rsidRPr="00DF38B2">
        <w:t>. People also frequently arrive at money management services with letters from banks or other businesses that they do</w:t>
      </w:r>
      <w:r w:rsidR="00EF09F0">
        <w:t xml:space="preserve"> not</w:t>
      </w:r>
      <w:r w:rsidRPr="00DF38B2">
        <w:t xml:space="preserve"> understand.</w:t>
      </w:r>
    </w:p>
    <w:p w:rsidR="00417B51" w:rsidRPr="00DF38B2" w:rsidRDefault="00417B51" w:rsidP="006654AE">
      <w:r w:rsidRPr="00DF38B2">
        <w:t xml:space="preserve">Because of the very specific needs that people come to their services with, money management workers tend to see the </w:t>
      </w:r>
      <w:r w:rsidR="00EF09F0">
        <w:t xml:space="preserve">training </w:t>
      </w:r>
      <w:r w:rsidRPr="00DF38B2">
        <w:t xml:space="preserve">courses they are asked to deliver as not being particularly </w:t>
      </w:r>
      <w:proofErr w:type="gramStart"/>
      <w:r w:rsidRPr="00DF38B2">
        <w:t>relevant</w:t>
      </w:r>
      <w:r w:rsidR="00EF09F0">
        <w:t>,</w:t>
      </w:r>
      <w:proofErr w:type="gramEnd"/>
      <w:r w:rsidRPr="00DF38B2">
        <w:t xml:space="preserve"> believ</w:t>
      </w:r>
      <w:r w:rsidR="00EF09F0">
        <w:t xml:space="preserve">ing </w:t>
      </w:r>
      <w:r w:rsidRPr="00DF38B2">
        <w:t>that in many cases people would benefit more from individual trouble</w:t>
      </w:r>
      <w:r w:rsidR="00EF09F0">
        <w:t>-</w:t>
      </w:r>
      <w:r w:rsidRPr="00DF38B2">
        <w:t>shooting.</w:t>
      </w:r>
    </w:p>
    <w:p w:rsidR="00417B51" w:rsidRPr="00DF38B2" w:rsidRDefault="00292F40" w:rsidP="006654AE">
      <w:r>
        <w:t xml:space="preserve">Expressing views similar to those reported in </w:t>
      </w:r>
      <w:r w:rsidR="00417B51" w:rsidRPr="00DF38B2">
        <w:t xml:space="preserve">the </w:t>
      </w:r>
      <w:r>
        <w:t>F</w:t>
      </w:r>
      <w:r w:rsidR="00417B51" w:rsidRPr="00DF38B2">
        <w:t xml:space="preserve">irst </w:t>
      </w:r>
      <w:r>
        <w:t>E</w:t>
      </w:r>
      <w:r w:rsidR="00417B51" w:rsidRPr="00DF38B2">
        <w:t xml:space="preserve">valuation </w:t>
      </w:r>
      <w:r>
        <w:t>R</w:t>
      </w:r>
      <w:r w:rsidR="00417B51" w:rsidRPr="00DF38B2">
        <w:t>eport</w:t>
      </w:r>
      <w:r w:rsidR="00F716DA">
        <w:t xml:space="preserve"> –</w:t>
      </w:r>
      <w:r w:rsidR="00417B51" w:rsidRPr="00DF38B2">
        <w:t xml:space="preserve"> wh</w:t>
      </w:r>
      <w:r w:rsidR="00F716DA">
        <w:t xml:space="preserve">ich </w:t>
      </w:r>
      <w:r>
        <w:t xml:space="preserve">reported that there were a number of inadequacies in the </w:t>
      </w:r>
      <w:r w:rsidR="00417B51" w:rsidRPr="00DF38B2">
        <w:t xml:space="preserve">courses </w:t>
      </w:r>
      <w:r w:rsidR="00F716DA">
        <w:t>that we</w:t>
      </w:r>
      <w:r w:rsidR="00417B51" w:rsidRPr="00DF38B2">
        <w:t>re offered</w:t>
      </w:r>
      <w:r w:rsidR="00F716DA">
        <w:t xml:space="preserve"> –</w:t>
      </w:r>
      <w:r w:rsidR="00417B51" w:rsidRPr="00DF38B2">
        <w:t xml:space="preserve"> money management workers argued that learning has to be relevant and appropriate</w:t>
      </w:r>
      <w:r w:rsidR="00A1421A">
        <w:t xml:space="preserve">. </w:t>
      </w:r>
      <w:r w:rsidR="00417B51" w:rsidRPr="00DF38B2">
        <w:t>Courses need to have flexibility that allows those running the</w:t>
      </w:r>
      <w:r w:rsidR="00F716DA">
        <w:t>m</w:t>
      </w:r>
      <w:r w:rsidR="00417B51" w:rsidRPr="00DF38B2">
        <w:t xml:space="preserve"> to recognise local differences and strengths as well as needs. While the content of the courses were seen to be so inappropriate that people in remote areas often thought they were funny, they were also seen as being disrespectful </w:t>
      </w:r>
      <w:r w:rsidR="00F716DA">
        <w:t>–</w:t>
      </w:r>
      <w:r w:rsidR="00417B51" w:rsidRPr="00DF38B2">
        <w:t xml:space="preserve"> people who attended would stay but only </w:t>
      </w:r>
      <w:r w:rsidR="00F716DA">
        <w:t>out of</w:t>
      </w:r>
      <w:r w:rsidR="00417B51" w:rsidRPr="00DF38B2">
        <w:t xml:space="preserve"> polite</w:t>
      </w:r>
      <w:r w:rsidR="00F716DA">
        <w:t>ness:</w:t>
      </w:r>
    </w:p>
    <w:p w:rsidR="00417B51" w:rsidRPr="00DF38B2" w:rsidRDefault="00417B51" w:rsidP="006654AE">
      <w:pPr>
        <w:pStyle w:val="Quote2"/>
      </w:pPr>
      <w:r w:rsidRPr="00DF38B2">
        <w:t xml:space="preserve">Learning has to be relevant and appropriate. If not, it’s only good manners keeping them there. </w:t>
      </w:r>
      <w:r w:rsidR="00693854">
        <w:t>(</w:t>
      </w:r>
      <w:r w:rsidRPr="00DF38B2">
        <w:t>Money management worker</w:t>
      </w:r>
      <w:r w:rsidR="00693854">
        <w:t>)</w:t>
      </w:r>
    </w:p>
    <w:p w:rsidR="00417B51" w:rsidRPr="00DF38B2" w:rsidRDefault="00417B51" w:rsidP="006654AE">
      <w:pPr>
        <w:pStyle w:val="Quote2"/>
      </w:pPr>
      <w:r w:rsidRPr="00DF38B2">
        <w:t>The program needs to be more culturally appropriate. They need to understand that we never had money</w:t>
      </w:r>
      <w:r w:rsidR="00F716DA">
        <w:t xml:space="preserve"> </w:t>
      </w:r>
      <w:r w:rsidRPr="00DF38B2">
        <w:t>…</w:t>
      </w:r>
      <w:r w:rsidR="00F716DA">
        <w:t xml:space="preserve">. </w:t>
      </w:r>
      <w:r w:rsidRPr="00DF38B2">
        <w:t xml:space="preserve">The hierarchy is not hearing what we are telling </w:t>
      </w:r>
      <w:proofErr w:type="gramStart"/>
      <w:r w:rsidRPr="00DF38B2">
        <w:t>them</w:t>
      </w:r>
      <w:proofErr w:type="gramEnd"/>
      <w:r w:rsidRPr="00DF38B2">
        <w:t xml:space="preserve"> works. I need to be acknowledged for my knowledge, age and experiences and be given the flexibility to do my work. We need more Aboriginal people based on community doing works with support from people in town, and paid an appropriate wage</w:t>
      </w:r>
      <w:r w:rsidR="00F716DA">
        <w:t>,</w:t>
      </w:r>
      <w:r w:rsidRPr="00DF38B2">
        <w:t xml:space="preserve"> not CDEP</w:t>
      </w:r>
      <w:r w:rsidR="00A1421A">
        <w:t xml:space="preserve">. </w:t>
      </w:r>
      <w:r w:rsidRPr="00DF38B2">
        <w:t xml:space="preserve">I believe we need to give Aboriginal people back control of Aboriginal money. </w:t>
      </w:r>
      <w:r w:rsidR="00693854">
        <w:t>(</w:t>
      </w:r>
      <w:r w:rsidRPr="00DF38B2">
        <w:t>Money management worker</w:t>
      </w:r>
      <w:r w:rsidR="00693854">
        <w:t>)</w:t>
      </w:r>
    </w:p>
    <w:p w:rsidR="00417B51" w:rsidRPr="00DF38B2" w:rsidRDefault="00417B51" w:rsidP="006654AE">
      <w:pPr>
        <w:pStyle w:val="Heading4"/>
      </w:pPr>
      <w:r w:rsidRPr="00DF38B2">
        <w:t>What financial counselling services do in practice</w:t>
      </w:r>
    </w:p>
    <w:p w:rsidR="00417B51" w:rsidRPr="00DF38B2" w:rsidRDefault="00417B51" w:rsidP="006654AE">
      <w:r w:rsidRPr="00DF38B2">
        <w:t xml:space="preserve">Financial counsellors were also asked about what </w:t>
      </w:r>
      <w:r w:rsidR="00105A7F">
        <w:t>types</w:t>
      </w:r>
      <w:r w:rsidRPr="00DF38B2">
        <w:t xml:space="preserve"> of services they provided to people subject to income management</w:t>
      </w:r>
      <w:r w:rsidR="00105A7F">
        <w:t>,</w:t>
      </w:r>
      <w:r w:rsidRPr="00DF38B2">
        <w:t xml:space="preserve"> as well as </w:t>
      </w:r>
      <w:r w:rsidR="00105A7F">
        <w:t xml:space="preserve">to </w:t>
      </w:r>
      <w:r w:rsidRPr="00DF38B2">
        <w:t>people who attended their services more generally</w:t>
      </w:r>
      <w:r w:rsidR="00A1421A">
        <w:t xml:space="preserve">. </w:t>
      </w:r>
      <w:r w:rsidRPr="00DF38B2">
        <w:t xml:space="preserve">Participants in these discussions said it was hard to define what the role of Financial Counsellors </w:t>
      </w:r>
      <w:r w:rsidR="00105A7F">
        <w:t>wa</w:t>
      </w:r>
      <w:r w:rsidR="00105A7F" w:rsidRPr="00DF38B2">
        <w:t>s</w:t>
      </w:r>
      <w:r w:rsidR="00105A7F">
        <w:t>,</w:t>
      </w:r>
      <w:r w:rsidR="00105A7F" w:rsidRPr="00DF38B2">
        <w:t xml:space="preserve"> </w:t>
      </w:r>
      <w:r w:rsidRPr="00DF38B2">
        <w:t xml:space="preserve">as they saw their primary role as responding to what people need. </w:t>
      </w:r>
    </w:p>
    <w:p w:rsidR="00417B51" w:rsidRPr="00DF38B2" w:rsidRDefault="00417B51" w:rsidP="006654AE">
      <w:r w:rsidRPr="00DF38B2">
        <w:t>Financial counsellors across both focus groups stressed that most of the clients on income management attending their services have low money literacy</w:t>
      </w:r>
      <w:r w:rsidR="00105A7F">
        <w:t>,</w:t>
      </w:r>
      <w:r w:rsidRPr="00DF38B2">
        <w:t xml:space="preserve"> which impacts on people</w:t>
      </w:r>
      <w:r w:rsidR="00105A7F">
        <w:t>’</w:t>
      </w:r>
      <w:r w:rsidRPr="00DF38B2">
        <w:t xml:space="preserve">s ability to understand money and </w:t>
      </w:r>
      <w:r w:rsidR="000D104B" w:rsidRPr="00DF38B2">
        <w:t>income management.</w:t>
      </w:r>
    </w:p>
    <w:p w:rsidR="00417B51" w:rsidRPr="00DF38B2" w:rsidRDefault="00417B51" w:rsidP="006654AE">
      <w:r w:rsidRPr="00DF38B2">
        <w:t xml:space="preserve">As outlined above, financial counsellors spoke about spending a lot of time sorting out people’s allocations </w:t>
      </w:r>
      <w:r w:rsidR="00105A7F">
        <w:t xml:space="preserve">because of </w:t>
      </w:r>
      <w:r w:rsidRPr="00DF38B2">
        <w:t xml:space="preserve">debts – in particular debts relating to rent – as these often lead to financial hardship and </w:t>
      </w:r>
      <w:r w:rsidR="00105A7F">
        <w:t>the</w:t>
      </w:r>
      <w:r w:rsidRPr="00DF38B2">
        <w:t xml:space="preserve"> inability of people to meet their basic needs such as food and bills. </w:t>
      </w:r>
    </w:p>
    <w:p w:rsidR="00417B51" w:rsidRPr="00DF38B2" w:rsidRDefault="00417B51" w:rsidP="006654AE">
      <w:pPr>
        <w:pStyle w:val="Heading4"/>
      </w:pPr>
      <w:r w:rsidRPr="00DF38B2">
        <w:t>Incentive payments and the Matched Savings Scheme</w:t>
      </w:r>
    </w:p>
    <w:p w:rsidR="00417B51" w:rsidRPr="00DF38B2" w:rsidRDefault="00417B51" w:rsidP="006654AE">
      <w:r w:rsidRPr="00DF38B2">
        <w:t>Intermediaries across the board noted that little seemed to have changed in levels of u</w:t>
      </w:r>
      <w:r w:rsidR="00D17A0B">
        <w:t>sing</w:t>
      </w:r>
      <w:r w:rsidRPr="00DF38B2">
        <w:t xml:space="preserve"> the Matched Savings Scheme</w:t>
      </w:r>
      <w:r w:rsidR="00105A7F">
        <w:t xml:space="preserve"> – </w:t>
      </w:r>
      <w:r w:rsidRPr="00DF38B2">
        <w:t>this is consistent with the administrative data</w:t>
      </w:r>
      <w:r w:rsidR="00105A7F">
        <w:t>, which</w:t>
      </w:r>
      <w:r w:rsidRPr="00DF38B2">
        <w:t xml:space="preserve"> record only 31 Matched Savings Scheme </w:t>
      </w:r>
      <w:r w:rsidR="00D95B12">
        <w:t>P</w:t>
      </w:r>
      <w:r w:rsidRPr="00DF38B2">
        <w:t xml:space="preserve">ayments having been made. Reflecting the findings </w:t>
      </w:r>
      <w:r w:rsidR="00292F40">
        <w:t xml:space="preserve">reported in </w:t>
      </w:r>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interview participants saw two primary barriers to people engaging in this scheme. The first was that for many people, </w:t>
      </w:r>
      <w:r w:rsidR="00FF1EE3">
        <w:t>attempting to save</w:t>
      </w:r>
      <w:r w:rsidR="004616EF">
        <w:t xml:space="preserve"> up to</w:t>
      </w:r>
      <w:r w:rsidR="00FF1EE3">
        <w:t xml:space="preserve"> </w:t>
      </w:r>
      <w:r w:rsidRPr="00DF38B2">
        <w:t xml:space="preserve">$500 over 13 weeks and thus establishing a pattern of saving was not a realistic goal as they are on such low incomes </w:t>
      </w:r>
      <w:r w:rsidR="00105A7F">
        <w:t xml:space="preserve">that </w:t>
      </w:r>
      <w:r w:rsidRPr="00DF38B2">
        <w:t xml:space="preserve">they struggle to make ends meet. The second was that as soon as people became aware that the $500 Matched Savings Scheme </w:t>
      </w:r>
      <w:r w:rsidR="00D95B12">
        <w:t>P</w:t>
      </w:r>
      <w:r w:rsidRPr="00DF38B2">
        <w:t>ayment paid upon achieving the savings goal is paid into their income management account</w:t>
      </w:r>
      <w:r w:rsidR="00105A7F">
        <w:t>,</w:t>
      </w:r>
      <w:r w:rsidRPr="00DF38B2">
        <w:t xml:space="preserve"> they decided not to participate in the program. This reaction is related to the savings for the Matched Savings Scheme </w:t>
      </w:r>
      <w:r w:rsidR="00D95B12">
        <w:t>P</w:t>
      </w:r>
      <w:r w:rsidRPr="00DF38B2">
        <w:t>ayment being required to be from non-</w:t>
      </w:r>
      <w:r w:rsidR="00A04470">
        <w:t>income managed</w:t>
      </w:r>
      <w:r w:rsidR="00307C76">
        <w:t xml:space="preserve"> funds</w:t>
      </w:r>
      <w:r w:rsidRPr="00DF38B2">
        <w:t>.</w:t>
      </w:r>
    </w:p>
    <w:p w:rsidR="00417B51" w:rsidRPr="00DF38B2" w:rsidRDefault="00417B51" w:rsidP="006654AE">
      <w:r w:rsidRPr="00DF38B2">
        <w:t xml:space="preserve">Many of the intermediaries interviewed said that the Voluntary Income Management incentive payment was a popular feature. Intermediaries perceived that many people on Voluntary Income Management who </w:t>
      </w:r>
      <w:r w:rsidRPr="00DF38B2">
        <w:lastRenderedPageBreak/>
        <w:t xml:space="preserve">do not appear to need to be on income management in order to budget </w:t>
      </w:r>
      <w:r w:rsidR="00105A7F" w:rsidRPr="00DF38B2">
        <w:t xml:space="preserve">effectively </w:t>
      </w:r>
      <w:r w:rsidRPr="00DF38B2">
        <w:t xml:space="preserve">chose to be on income management in order to get the $250 incentive payment. Another reason for people wanting to be on income management which was identified by intermediaries was access </w:t>
      </w:r>
      <w:r w:rsidR="00105A7F">
        <w:t xml:space="preserve">to </w:t>
      </w:r>
      <w:r w:rsidRPr="00DF38B2">
        <w:t xml:space="preserve">the equivalent of free banking via the BasicsCard. </w:t>
      </w:r>
      <w:r w:rsidR="00105A7F">
        <w:t>M</w:t>
      </w:r>
      <w:r w:rsidRPr="00DF38B2">
        <w:t>oney management and financial counselling staff as well as some DHS staff identified these as reasons for choosing to be on Voluntary Income Management</w:t>
      </w:r>
      <w:r w:rsidR="00105A7F">
        <w:t>:</w:t>
      </w:r>
    </w:p>
    <w:p w:rsidR="00417B51" w:rsidRPr="00DF38B2" w:rsidRDefault="00417B51" w:rsidP="006654AE">
      <w:pPr>
        <w:pStyle w:val="Quote2"/>
      </w:pPr>
      <w:r w:rsidRPr="00DF38B2">
        <w:t>The really switched</w:t>
      </w:r>
      <w:r w:rsidR="00105A7F">
        <w:t>-</w:t>
      </w:r>
      <w:r w:rsidRPr="00DF38B2">
        <w:t xml:space="preserve">on ones go on voluntary because the $250 [bonus payment] is worthwhile. But they actually don’t need income management. </w:t>
      </w:r>
      <w:r w:rsidR="00693854">
        <w:t>(</w:t>
      </w:r>
      <w:r w:rsidRPr="00DF38B2">
        <w:t>Financial counsellor</w:t>
      </w:r>
      <w:r w:rsidR="00693854">
        <w:t>)</w:t>
      </w:r>
    </w:p>
    <w:p w:rsidR="00417B51" w:rsidRPr="00DF38B2" w:rsidRDefault="00417B51" w:rsidP="006654AE">
      <w:pPr>
        <w:pStyle w:val="Quote2"/>
      </w:pPr>
      <w:r w:rsidRPr="00DF38B2">
        <w:t xml:space="preserve">[Customers get exemptions] and then they go on voluntary and they get a $250 bonus every </w:t>
      </w:r>
      <w:r w:rsidR="00105A7F">
        <w:t>six</w:t>
      </w:r>
      <w:r w:rsidRPr="00DF38B2">
        <w:t xml:space="preserve"> months. I mean, why wouldn’t you? I have had so many of them that stay on income management because they like it but I say to them, look, get the exemption, go on voluntary and get the $250 every </w:t>
      </w:r>
      <w:r w:rsidR="00105A7F">
        <w:t>six</w:t>
      </w:r>
      <w:r w:rsidRPr="00DF38B2">
        <w:t xml:space="preserve"> months. </w:t>
      </w:r>
      <w:r w:rsidR="00693854">
        <w:t>(</w:t>
      </w:r>
      <w:r w:rsidRPr="00DF38B2">
        <w:t>Centrelink Customer Service Officer</w:t>
      </w:r>
      <w:r w:rsidR="00693854">
        <w:t>)</w:t>
      </w:r>
    </w:p>
    <w:p w:rsidR="000D104B" w:rsidRPr="00DF38B2" w:rsidRDefault="000D104B" w:rsidP="006654AE">
      <w:r w:rsidRPr="00DF38B2">
        <w:t>As has been seen in Chapter 5</w:t>
      </w:r>
      <w:r w:rsidR="00105A7F">
        <w:t>,</w:t>
      </w:r>
      <w:r w:rsidRPr="00DF38B2">
        <w:t xml:space="preserve"> very few people have gone down this path. Over the period for which data are available only some </w:t>
      </w:r>
      <w:r w:rsidR="00105A7F">
        <w:t>ten</w:t>
      </w:r>
      <w:r w:rsidRPr="00DF38B2">
        <w:t xml:space="preserve"> to 25 people have been on Voluntary Income Management while holding an exemption from the compulsory measure.</w:t>
      </w:r>
    </w:p>
    <w:p w:rsidR="00417B51" w:rsidRPr="00DF38B2" w:rsidRDefault="00417B51" w:rsidP="006654AE">
      <w:pPr>
        <w:pStyle w:val="Heading3"/>
      </w:pPr>
      <w:bookmarkStart w:id="586" w:name="_Toc403739119"/>
      <w:r w:rsidRPr="00DF38B2">
        <w:t>Supporting people subject to income management – other services</w:t>
      </w:r>
      <w:bookmarkEnd w:id="586"/>
    </w:p>
    <w:p w:rsidR="00FF1EE3" w:rsidRDefault="00FF1EE3" w:rsidP="006654AE">
      <w:r>
        <w:t>This section initially considers the experience of Emergency Relief Services, and then the</w:t>
      </w:r>
      <w:r w:rsidR="00893CD8">
        <w:t xml:space="preserve"> experience of support services.</w:t>
      </w:r>
    </w:p>
    <w:p w:rsidR="00FF1EE3" w:rsidRDefault="00FF1EE3" w:rsidP="006654AE">
      <w:pPr>
        <w:pStyle w:val="Heading4"/>
      </w:pPr>
      <w:r>
        <w:t>Emergency relief services</w:t>
      </w:r>
    </w:p>
    <w:p w:rsidR="00925856" w:rsidRDefault="00925856" w:rsidP="006654AE">
      <w:r>
        <w:t xml:space="preserve">Emergency relief services are primarily funded by the Commonwealth Government and provide direct assistance, typically through </w:t>
      </w:r>
      <w:r w:rsidR="008F282E">
        <w:t xml:space="preserve">a </w:t>
      </w:r>
      <w:r>
        <w:t>food, transport or similar voucher, part payment of outstanding accounts and material assistance such as household goods, food parcels and clothing to help people deal with an immediate financial crisis.</w:t>
      </w:r>
    </w:p>
    <w:p w:rsidR="00FF1EE3" w:rsidRDefault="00FF1EE3" w:rsidP="006654AE">
      <w:r>
        <w:t xml:space="preserve">Of the five emergency relief services that participated in the evaluation, three were agencies that provided services specifically to Aboriginal </w:t>
      </w:r>
      <w:proofErr w:type="gramStart"/>
      <w:r>
        <w:t>people,</w:t>
      </w:r>
      <w:proofErr w:type="gramEnd"/>
      <w:r>
        <w:t xml:space="preserve"> one provided services mainly to Aboriginal people and one reported that very few Aboriginal people accessed their service. The services provided emergency relief in the Darwin, Katherine and Alice Springs areas. </w:t>
      </w:r>
    </w:p>
    <w:p w:rsidR="00FF1EE3" w:rsidRDefault="00FF1EE3" w:rsidP="006654AE">
      <w:r>
        <w:t>None of the emergency relief services reported that the introduction to income management had led to significant changes in demand for their services – either in terms of an i</w:t>
      </w:r>
      <w:r w:rsidR="005D1CC5">
        <w:t xml:space="preserve">ncrease or decrease in demand. </w:t>
      </w:r>
      <w:r>
        <w:t xml:space="preserve">These services reported that people generally sought emergency relief when large bills came in (such as large power bills) or to cover unexpected bills such as medical expenses. Services that worked primarily with Aboriginal people said that in many cases, emergency relief was sought for food when family was visiting. </w:t>
      </w:r>
    </w:p>
    <w:p w:rsidR="00FF1EE3" w:rsidRDefault="00FF1EE3" w:rsidP="006654AE">
      <w:r>
        <w:t xml:space="preserve">There were mixed views about income management amongst the interview participants from emergency relief services. Participants from </w:t>
      </w:r>
      <w:r w:rsidR="00925856">
        <w:t xml:space="preserve">the </w:t>
      </w:r>
      <w:r>
        <w:t xml:space="preserve">three </w:t>
      </w:r>
      <w:r w:rsidR="00925856">
        <w:t>services that</w:t>
      </w:r>
      <w:r>
        <w:t xml:space="preserve"> primarily </w:t>
      </w:r>
      <w:r w:rsidR="00925856">
        <w:t xml:space="preserve">worked with </w:t>
      </w:r>
      <w:r>
        <w:t xml:space="preserve">Aboriginal clients and offered a range of services beyond emergency relief </w:t>
      </w:r>
      <w:r w:rsidR="00925856">
        <w:t xml:space="preserve">expressed a strong view </w:t>
      </w:r>
      <w:r w:rsidR="00A8053C">
        <w:t>that income</w:t>
      </w:r>
      <w:r>
        <w:t xml:space="preserve"> management had not led to significant change for their clients and could make life more difficult for people who often did not need to be on income management to take care of their everyday expenses. The participant from the fourth emergency relief service that worked with Aboriginal clients said that income management had assisted some of their more vulnerable clients to better manage their money but that there were some people who were on it who did not need it. The participant from the fifth service did not feel able to comment on income management as a policy as it was not a core part of their work with clients.</w:t>
      </w:r>
    </w:p>
    <w:p w:rsidR="00FF1EE3" w:rsidRDefault="00FF1EE3" w:rsidP="006654AE">
      <w:pPr>
        <w:pStyle w:val="Heading4"/>
      </w:pPr>
      <w:r>
        <w:t>Support services</w:t>
      </w:r>
    </w:p>
    <w:p w:rsidR="00417B51" w:rsidRPr="00DF38B2" w:rsidRDefault="00417B51" w:rsidP="006654AE">
      <w:r w:rsidRPr="00DF38B2">
        <w:t xml:space="preserve">Continuing the findings from the </w:t>
      </w:r>
      <w:r w:rsidR="00292F40">
        <w:t>F</w:t>
      </w:r>
      <w:r w:rsidRPr="00DF38B2">
        <w:t xml:space="preserve">irst </w:t>
      </w:r>
      <w:r w:rsidR="00292F40">
        <w:t>E</w:t>
      </w:r>
      <w:r w:rsidRPr="00DF38B2">
        <w:t xml:space="preserve">valuation </w:t>
      </w:r>
      <w:r w:rsidR="00292F40">
        <w:t>R</w:t>
      </w:r>
      <w:r w:rsidRPr="00DF38B2">
        <w:t xml:space="preserve">eport, intermediaries across the different service types noted that there were significant service gaps for people subject to income management – especially those who were the most vulnerable and experiencing the most difficulties. </w:t>
      </w:r>
    </w:p>
    <w:p w:rsidR="008C6244" w:rsidRDefault="008C6244">
      <w:pPr>
        <w:spacing w:line="276" w:lineRule="auto"/>
        <w:jc w:val="left"/>
      </w:pPr>
      <w:r>
        <w:br w:type="page"/>
      </w:r>
    </w:p>
    <w:p w:rsidR="00417B51" w:rsidRPr="00DF38B2" w:rsidRDefault="00417B51" w:rsidP="006654AE">
      <w:r w:rsidRPr="00DF38B2">
        <w:lastRenderedPageBreak/>
        <w:t>Gaps were noted for the following types of services:</w:t>
      </w:r>
    </w:p>
    <w:p w:rsidR="00417B51" w:rsidRPr="00DF38B2" w:rsidRDefault="00780951" w:rsidP="006654AE">
      <w:pPr>
        <w:pStyle w:val="dot"/>
      </w:pPr>
      <w:r>
        <w:t>h</w:t>
      </w:r>
      <w:r w:rsidR="00417B51" w:rsidRPr="00DF38B2">
        <w:t>omelessness and housing services</w:t>
      </w:r>
    </w:p>
    <w:p w:rsidR="00417B51" w:rsidRPr="00DF38B2" w:rsidRDefault="00780951" w:rsidP="006654AE">
      <w:pPr>
        <w:pStyle w:val="dot"/>
      </w:pPr>
      <w:r>
        <w:t>s</w:t>
      </w:r>
      <w:r w:rsidR="00417B51" w:rsidRPr="00DF38B2">
        <w:t>ocial and emotional services</w:t>
      </w:r>
    </w:p>
    <w:p w:rsidR="00417B51" w:rsidRPr="00DF38B2" w:rsidRDefault="00780951" w:rsidP="006654AE">
      <w:pPr>
        <w:pStyle w:val="dot"/>
      </w:pPr>
      <w:r>
        <w:t>a</w:t>
      </w:r>
      <w:r w:rsidR="00417B51" w:rsidRPr="00DF38B2">
        <w:t>lcohol and drug services</w:t>
      </w:r>
    </w:p>
    <w:p w:rsidR="00417B51" w:rsidRPr="00DF38B2" w:rsidRDefault="00780951" w:rsidP="006654AE">
      <w:pPr>
        <w:pStyle w:val="dot"/>
      </w:pPr>
      <w:r>
        <w:t>s</w:t>
      </w:r>
      <w:r w:rsidR="00E327D5">
        <w:t>upport for mental illness</w:t>
      </w:r>
    </w:p>
    <w:p w:rsidR="00417B51" w:rsidRPr="00DF38B2" w:rsidRDefault="00780951" w:rsidP="006654AE">
      <w:pPr>
        <w:pStyle w:val="dot"/>
      </w:pPr>
      <w:proofErr w:type="gramStart"/>
      <w:r>
        <w:t>n</w:t>
      </w:r>
      <w:r w:rsidR="00417B51" w:rsidRPr="00DF38B2">
        <w:t>utrition</w:t>
      </w:r>
      <w:proofErr w:type="gramEnd"/>
      <w:r w:rsidR="00417B51" w:rsidRPr="00DF38B2">
        <w:t xml:space="preserve"> and home cooking.</w:t>
      </w:r>
    </w:p>
    <w:p w:rsidR="00417B51" w:rsidRPr="00DF38B2" w:rsidRDefault="00417B51" w:rsidP="006654AE">
      <w:r w:rsidRPr="00DF38B2">
        <w:t>Remote communities in particular were seen to have few services available to address the needs of people subject to income management. This was seen as a barrier to longer</w:t>
      </w:r>
      <w:r w:rsidR="00164E5B">
        <w:t>-</w:t>
      </w:r>
      <w:r w:rsidRPr="00DF38B2">
        <w:t>term goals of people being able to manage their own money</w:t>
      </w:r>
      <w:r w:rsidR="00164E5B">
        <w:t>:</w:t>
      </w:r>
      <w:r w:rsidRPr="00DF38B2">
        <w:t xml:space="preserve"> </w:t>
      </w:r>
    </w:p>
    <w:p w:rsidR="00417B51" w:rsidRPr="00DF38B2" w:rsidRDefault="00417B51" w:rsidP="006654AE">
      <w:pPr>
        <w:pStyle w:val="Quote2"/>
      </w:pPr>
      <w:r w:rsidRPr="00DF38B2">
        <w:t xml:space="preserve">There is nothing to link people into. </w:t>
      </w:r>
      <w:r w:rsidR="00693854">
        <w:t>(</w:t>
      </w:r>
      <w:r w:rsidRPr="00DF38B2">
        <w:t>Centrelink Social worker</w:t>
      </w:r>
      <w:r w:rsidR="00693854">
        <w:t>)</w:t>
      </w:r>
    </w:p>
    <w:p w:rsidR="00417B51" w:rsidRPr="00DF38B2" w:rsidRDefault="00417B51" w:rsidP="006654AE">
      <w:pPr>
        <w:pStyle w:val="Quote2"/>
      </w:pPr>
      <w:r w:rsidRPr="00DF38B2">
        <w:t xml:space="preserve">[For remote customers] how can you get people to a point where they can be independent where there are no services? </w:t>
      </w:r>
      <w:r w:rsidR="00693854">
        <w:t>(</w:t>
      </w:r>
      <w:r w:rsidRPr="00DF38B2">
        <w:t>Centrelink social worker</w:t>
      </w:r>
      <w:r w:rsidR="00693854">
        <w:t>)</w:t>
      </w:r>
    </w:p>
    <w:p w:rsidR="00417B51" w:rsidRPr="00DF38B2" w:rsidRDefault="00417B51" w:rsidP="006654AE">
      <w:pPr>
        <w:pStyle w:val="Quote2"/>
      </w:pPr>
      <w:r w:rsidRPr="00DF38B2">
        <w:t xml:space="preserve">Sometimes all the allocations in the world aren’t resolving homelessness or lack of services. </w:t>
      </w:r>
      <w:r w:rsidR="00693854">
        <w:t>(</w:t>
      </w:r>
      <w:r w:rsidRPr="00DF38B2">
        <w:t>Centrelink social worker</w:t>
      </w:r>
      <w:r w:rsidR="00693854">
        <w:t>)</w:t>
      </w:r>
    </w:p>
    <w:p w:rsidR="00417B51" w:rsidRPr="00DF38B2" w:rsidRDefault="00417B51" w:rsidP="006654AE">
      <w:pPr>
        <w:pStyle w:val="Quote2"/>
      </w:pPr>
      <w:r w:rsidRPr="00DF38B2">
        <w:t xml:space="preserve">It is quite frustrating when you’ve coaxed this person to do it [accepting a referral] and then you can’t get through to anyone. </w:t>
      </w:r>
      <w:r w:rsidR="00693854">
        <w:t>(</w:t>
      </w:r>
      <w:r w:rsidRPr="00DF38B2">
        <w:t>Centrelink Customer Service Officer</w:t>
      </w:r>
      <w:r w:rsidR="00693854">
        <w:t>)</w:t>
      </w:r>
    </w:p>
    <w:p w:rsidR="00417B51" w:rsidRPr="00DF38B2" w:rsidRDefault="00417B51" w:rsidP="006654AE">
      <w:r w:rsidRPr="00DF38B2">
        <w:t>Comments from DHS staff, child protection workers and legal service staff emphasised the need to focus on groups and families rather than individuals when working with Indigenous clients</w:t>
      </w:r>
      <w:r w:rsidR="00164E5B">
        <w:t>:</w:t>
      </w:r>
      <w:r w:rsidR="00A1421A">
        <w:t xml:space="preserve"> </w:t>
      </w:r>
    </w:p>
    <w:p w:rsidR="00417B51" w:rsidRPr="00DF38B2" w:rsidRDefault="00417B51" w:rsidP="006654AE">
      <w:pPr>
        <w:pStyle w:val="Quote2"/>
      </w:pPr>
      <w:r w:rsidRPr="00DF38B2">
        <w:t xml:space="preserve">Services need to work to support a family to pool money and buy food. </w:t>
      </w:r>
      <w:r w:rsidR="00693854">
        <w:t>(</w:t>
      </w:r>
      <w:r w:rsidRPr="00DF38B2">
        <w:t>Centrelink social worker</w:t>
      </w:r>
      <w:r w:rsidR="00693854">
        <w:t>)</w:t>
      </w:r>
    </w:p>
    <w:p w:rsidR="00417B51" w:rsidRPr="00DF38B2" w:rsidRDefault="00417B51" w:rsidP="006654AE">
      <w:r w:rsidRPr="00DF38B2">
        <w:t>Another issue for remote communities was that it is not always clear what services are available and what they are doing and when they are visiting</w:t>
      </w:r>
      <w:r w:rsidR="00164E5B">
        <w:t>,</w:t>
      </w:r>
      <w:r w:rsidRPr="00DF38B2">
        <w:t xml:space="preserve"> even if technically a lot of services are funded to visit and assist these communities</w:t>
      </w:r>
      <w:r w:rsidR="00164E5B">
        <w:t>:</w:t>
      </w:r>
    </w:p>
    <w:p w:rsidR="00417B51" w:rsidRPr="00DF38B2" w:rsidRDefault="00417B51" w:rsidP="006654AE">
      <w:pPr>
        <w:pStyle w:val="Quote2"/>
      </w:pPr>
      <w:r w:rsidRPr="00DF38B2">
        <w:t xml:space="preserve">There is a community with 56 services coming in and coming out but no one knows who they are or what they’re doing. </w:t>
      </w:r>
      <w:r w:rsidR="00693854">
        <w:t>(</w:t>
      </w:r>
      <w:r w:rsidRPr="00DF38B2">
        <w:t>Centrelink social worker</w:t>
      </w:r>
      <w:r w:rsidR="00693854">
        <w:t>)</w:t>
      </w:r>
    </w:p>
    <w:p w:rsidR="00417B51" w:rsidRPr="00DF38B2" w:rsidRDefault="00417B51" w:rsidP="006654AE">
      <w:pPr>
        <w:pStyle w:val="Heading2"/>
      </w:pPr>
      <w:bookmarkStart w:id="587" w:name="_Toc403739120"/>
      <w:r w:rsidRPr="00DF38B2">
        <w:t>Perceived outcomes and impacts of income management</w:t>
      </w:r>
      <w:bookmarkEnd w:id="587"/>
    </w:p>
    <w:p w:rsidR="00417B51" w:rsidRPr="00DF38B2" w:rsidRDefault="00417B51" w:rsidP="006654AE">
      <w:pPr>
        <w:widowControl w:val="0"/>
        <w:autoSpaceDE w:val="0"/>
        <w:autoSpaceDN w:val="0"/>
        <w:adjustRightInd w:val="0"/>
        <w:spacing w:after="0"/>
        <w:rPr>
          <w:szCs w:val="19"/>
        </w:rPr>
      </w:pPr>
      <w:r w:rsidRPr="00DF38B2">
        <w:rPr>
          <w:szCs w:val="19"/>
        </w:rPr>
        <w:t xml:space="preserve">All intermediaries participating in interviews for Stage 2 of the evaluation were asked about their perceptions of the impacts of income management in terms of both individuals and communities. In addition to their observations about income management in general, intermediaries were also asked about </w:t>
      </w:r>
      <w:r w:rsidR="008F282E">
        <w:rPr>
          <w:szCs w:val="19"/>
        </w:rPr>
        <w:t xml:space="preserve">for </w:t>
      </w:r>
      <w:r w:rsidRPr="00DF38B2">
        <w:rPr>
          <w:szCs w:val="19"/>
        </w:rPr>
        <w:t xml:space="preserve">which </w:t>
      </w:r>
      <w:r w:rsidR="00A8053C" w:rsidRPr="00DF38B2">
        <w:rPr>
          <w:szCs w:val="19"/>
        </w:rPr>
        <w:t>groups</w:t>
      </w:r>
      <w:r w:rsidRPr="00DF38B2">
        <w:rPr>
          <w:szCs w:val="19"/>
        </w:rPr>
        <w:t xml:space="preserve"> income management seemed to work best for</w:t>
      </w:r>
      <w:r w:rsidR="008F282E">
        <w:rPr>
          <w:szCs w:val="19"/>
        </w:rPr>
        <w:t>,</w:t>
      </w:r>
      <w:r w:rsidRPr="00DF38B2">
        <w:rPr>
          <w:szCs w:val="19"/>
        </w:rPr>
        <w:t xml:space="preserve"> and </w:t>
      </w:r>
      <w:r w:rsidR="001D2920">
        <w:rPr>
          <w:szCs w:val="19"/>
        </w:rPr>
        <w:t>for</w:t>
      </w:r>
      <w:r w:rsidR="008F282E">
        <w:rPr>
          <w:szCs w:val="19"/>
        </w:rPr>
        <w:t xml:space="preserve"> </w:t>
      </w:r>
      <w:r w:rsidRPr="00DF38B2">
        <w:rPr>
          <w:szCs w:val="19"/>
        </w:rPr>
        <w:t xml:space="preserve">which </w:t>
      </w:r>
      <w:proofErr w:type="gramStart"/>
      <w:r w:rsidRPr="00DF38B2">
        <w:rPr>
          <w:szCs w:val="19"/>
        </w:rPr>
        <w:t>groups</w:t>
      </w:r>
      <w:proofErr w:type="gramEnd"/>
      <w:r w:rsidRPr="00DF38B2">
        <w:rPr>
          <w:szCs w:val="19"/>
        </w:rPr>
        <w:t xml:space="preserve"> income management </w:t>
      </w:r>
      <w:r w:rsidR="008F282E">
        <w:rPr>
          <w:szCs w:val="19"/>
        </w:rPr>
        <w:t xml:space="preserve">did </w:t>
      </w:r>
      <w:r w:rsidRPr="00DF38B2">
        <w:rPr>
          <w:szCs w:val="19"/>
        </w:rPr>
        <w:t xml:space="preserve">not work as well. The key areas of outcomes raised by interview participants included issues of targeting and the differing impacts of income management on different groups, the efficacy of income management as a budgeting tool, </w:t>
      </w:r>
      <w:r w:rsidR="00164E5B">
        <w:rPr>
          <w:szCs w:val="19"/>
        </w:rPr>
        <w:t xml:space="preserve">and </w:t>
      </w:r>
      <w:r w:rsidRPr="00DF38B2">
        <w:rPr>
          <w:szCs w:val="19"/>
        </w:rPr>
        <w:t xml:space="preserve">the impact of income management on financial exploitation and community level effects. </w:t>
      </w:r>
    </w:p>
    <w:p w:rsidR="00417B51" w:rsidRPr="00DF38B2" w:rsidRDefault="00417B51" w:rsidP="006654AE">
      <w:pPr>
        <w:pStyle w:val="Heading3"/>
      </w:pPr>
      <w:bookmarkStart w:id="588" w:name="_Toc403739121"/>
      <w:r w:rsidRPr="00DF38B2">
        <w:t>Targeting of measures and differential impacts</w:t>
      </w:r>
      <w:bookmarkEnd w:id="588"/>
    </w:p>
    <w:p w:rsidR="00417B51" w:rsidRPr="00DF38B2" w:rsidRDefault="00417B51" w:rsidP="006654AE">
      <w:r w:rsidRPr="00DF38B2">
        <w:t>All intermediaries participating in the interviews across the different service types observed that there seemed to be differential impacts for people</w:t>
      </w:r>
      <w:r w:rsidR="00164E5B">
        <w:t>,</w:t>
      </w:r>
      <w:r w:rsidRPr="00DF38B2">
        <w:t xml:space="preserve"> depending on their circumstances and how they understood income management. For example, most intermediaries across the service types noted that there were some women and older people in communities who can benefit greatly from income management and use it to their advantage to get bonus payments </w:t>
      </w:r>
      <w:r w:rsidR="00164E5B">
        <w:t xml:space="preserve">– </w:t>
      </w:r>
      <w:r w:rsidRPr="00DF38B2">
        <w:t xml:space="preserve">if on the </w:t>
      </w:r>
      <w:r w:rsidR="00711BD2">
        <w:t>V</w:t>
      </w:r>
      <w:r w:rsidRPr="00DF38B2">
        <w:t xml:space="preserve">oluntary </w:t>
      </w:r>
      <w:r w:rsidR="00711BD2">
        <w:t>I</w:t>
      </w:r>
      <w:r w:rsidRPr="00DF38B2">
        <w:t xml:space="preserve">ncome </w:t>
      </w:r>
      <w:r w:rsidR="00711BD2">
        <w:t>M</w:t>
      </w:r>
      <w:r w:rsidRPr="00DF38B2">
        <w:t>anagement measure</w:t>
      </w:r>
      <w:r w:rsidR="00164E5B">
        <w:t xml:space="preserve"> –</w:t>
      </w:r>
      <w:r w:rsidRPr="00DF38B2">
        <w:t xml:space="preserve"> and to save money</w:t>
      </w:r>
      <w:r w:rsidR="00164E5B">
        <w:t>:</w:t>
      </w:r>
      <w:r w:rsidRPr="00DF38B2">
        <w:t xml:space="preserve"> </w:t>
      </w:r>
    </w:p>
    <w:p w:rsidR="00417B51" w:rsidRPr="00DF38B2" w:rsidRDefault="00417B51" w:rsidP="006654AE">
      <w:pPr>
        <w:pStyle w:val="Quote2"/>
      </w:pPr>
      <w:r w:rsidRPr="00DF38B2">
        <w:t xml:space="preserve">Senior Indigenous women are very positive about income management. They have money available to find food. </w:t>
      </w:r>
      <w:r w:rsidR="00693854">
        <w:t>(</w:t>
      </w:r>
      <w:r w:rsidRPr="00DF38B2">
        <w:t>Centrelink social worker</w:t>
      </w:r>
      <w:r w:rsidR="00693854">
        <w:t>)</w:t>
      </w:r>
    </w:p>
    <w:p w:rsidR="00417B51" w:rsidRPr="00DF38B2" w:rsidRDefault="00417B51" w:rsidP="006654AE">
      <w:r w:rsidRPr="00DF38B2">
        <w:t>But some felt that the focus on women and income management was reinforcing ideas about who is responsible within families for providing care and people’s basic needs</w:t>
      </w:r>
      <w:r w:rsidR="00164E5B">
        <w:t>:</w:t>
      </w:r>
      <w:r w:rsidRPr="00DF38B2">
        <w:t xml:space="preserve"> </w:t>
      </w:r>
    </w:p>
    <w:p w:rsidR="00417B51" w:rsidRDefault="00417B51" w:rsidP="006654AE">
      <w:pPr>
        <w:pStyle w:val="Quote2"/>
      </w:pPr>
      <w:r w:rsidRPr="00DF38B2">
        <w:lastRenderedPageBreak/>
        <w:t xml:space="preserve">If women only are on income management it reinforces that they are responsible for paying for food. </w:t>
      </w:r>
      <w:r w:rsidR="00693854">
        <w:t>(</w:t>
      </w:r>
      <w:r w:rsidRPr="00DF38B2">
        <w:t>Centrelink social worker</w:t>
      </w:r>
      <w:r w:rsidR="00693854">
        <w:t>)</w:t>
      </w:r>
    </w:p>
    <w:p w:rsidR="00925856" w:rsidRPr="00DF38B2" w:rsidRDefault="00925856" w:rsidP="006654AE">
      <w:pPr>
        <w:pStyle w:val="Quote2"/>
      </w:pPr>
      <w:r w:rsidRPr="00925856">
        <w:t xml:space="preserve">[When women’s money is income managed], </w:t>
      </w:r>
      <w:r>
        <w:t>men’s money is for play money. (Emergency relief service)</w:t>
      </w:r>
    </w:p>
    <w:p w:rsidR="00417B51" w:rsidRPr="00DF38B2" w:rsidRDefault="00417B51" w:rsidP="006654AE">
      <w:r w:rsidRPr="00DF38B2">
        <w:t>Two legal services also spoke about the impacts of income management on men. These services expressed concerns that many men in remote communities did not apply for income support payments because of a sense of shame – and that income management was exacerbating this. This meant that some families had access to women’s income support payments only</w:t>
      </w:r>
      <w:r w:rsidR="00164E5B">
        <w:t>:</w:t>
      </w:r>
    </w:p>
    <w:p w:rsidR="00417B51" w:rsidRPr="00DF38B2" w:rsidRDefault="00417B51" w:rsidP="006654AE">
      <w:pPr>
        <w:pStyle w:val="Quote2"/>
      </w:pPr>
      <w:r w:rsidRPr="00DF38B2">
        <w:t>There are lots of Aboriginal men not on welfare because of embarrassment or shame</w:t>
      </w:r>
      <w:r w:rsidR="00164E5B">
        <w:t xml:space="preserve"> </w:t>
      </w:r>
      <w:r w:rsidRPr="00DF38B2">
        <w:t>…</w:t>
      </w:r>
      <w:r w:rsidR="00164E5B">
        <w:t>.</w:t>
      </w:r>
      <w:r w:rsidRPr="00DF38B2">
        <w:t xml:space="preserve"> Therefore you have a man who humbugs his wife for money. </w:t>
      </w:r>
      <w:r w:rsidR="00693854">
        <w:t>(</w:t>
      </w:r>
      <w:r w:rsidRPr="00DF38B2">
        <w:t>Legal service</w:t>
      </w:r>
      <w:r w:rsidR="00693854">
        <w:t>)</w:t>
      </w:r>
    </w:p>
    <w:p w:rsidR="00417B51" w:rsidRPr="00DF38B2" w:rsidRDefault="00417B51" w:rsidP="006654AE">
      <w:pPr>
        <w:pStyle w:val="Quote2"/>
      </w:pPr>
      <w:r w:rsidRPr="00DF38B2">
        <w:t>There’s been lots of dialogue about income management and women and children</w:t>
      </w:r>
      <w:r w:rsidR="00164E5B">
        <w:t xml:space="preserve"> </w:t>
      </w:r>
      <w:r w:rsidRPr="00DF38B2">
        <w:t>…</w:t>
      </w:r>
      <w:r w:rsidR="00164E5B">
        <w:t>.</w:t>
      </w:r>
      <w:r w:rsidRPr="00DF38B2">
        <w:t xml:space="preserve"> Men’s experiences of income management are pushed to the edges. One way men engage with income management is to not engage with Centrelink and therefore income management – this in turn increases deprivation. </w:t>
      </w:r>
      <w:r w:rsidR="00693854">
        <w:t>(</w:t>
      </w:r>
      <w:r w:rsidRPr="00DF38B2">
        <w:t>Legal service</w:t>
      </w:r>
      <w:r w:rsidR="00693854">
        <w:t>)</w:t>
      </w:r>
    </w:p>
    <w:p w:rsidR="00417B51" w:rsidRPr="00DF38B2" w:rsidRDefault="00417B51" w:rsidP="006654AE">
      <w:r w:rsidRPr="00DF38B2">
        <w:t>There was a diversity of views about the impacts of income management on people living in remote communities. Some thought it was most beneficial to people in remote communities. This was generally due to perceived higher levels of financial exploitation, and lower financial literacy. A smaller number also mentioned it was easier to manage as there were limited options to spend your money in remote communities</w:t>
      </w:r>
      <w:r w:rsidR="008054DB">
        <w:t>:</w:t>
      </w:r>
    </w:p>
    <w:p w:rsidR="00417B51" w:rsidRPr="00DF38B2" w:rsidRDefault="00417B51" w:rsidP="006654AE">
      <w:pPr>
        <w:pStyle w:val="Quote2"/>
      </w:pPr>
      <w:r w:rsidRPr="00DF38B2">
        <w:t>It works exceptionally well for our remote customers for managing their affairs. But for in</w:t>
      </w:r>
      <w:r w:rsidR="008054DB">
        <w:t>-</w:t>
      </w:r>
      <w:r w:rsidRPr="00DF38B2">
        <w:t xml:space="preserve">town customers who have higher education levels they may be more capable of managing their affairs. Non-Indigenous customers especially are quite loud about it. </w:t>
      </w:r>
      <w:r w:rsidR="00693854">
        <w:t>(</w:t>
      </w:r>
      <w:r w:rsidRPr="00DF38B2">
        <w:t>Centrelink Customer Service Officer, remote</w:t>
      </w:r>
      <w:r w:rsidR="00693854">
        <w:t>)</w:t>
      </w:r>
    </w:p>
    <w:p w:rsidR="00417B51" w:rsidRPr="00DF38B2" w:rsidRDefault="00417B51" w:rsidP="006654AE">
      <w:pPr>
        <w:pStyle w:val="Quote2"/>
      </w:pPr>
      <w:r w:rsidRPr="00DF38B2">
        <w:t>It works in remote communities where there’s a lot of humbug of women</w:t>
      </w:r>
      <w:r w:rsidR="008054DB">
        <w:t xml:space="preserve"> </w:t>
      </w:r>
      <w:r w:rsidRPr="00DF38B2">
        <w:t>…</w:t>
      </w:r>
      <w:r w:rsidR="008054DB">
        <w:t xml:space="preserve">. </w:t>
      </w:r>
      <w:r w:rsidRPr="00DF38B2">
        <w:t xml:space="preserve">It doesn’t work in towns because there’s a lot more options to spend your money. In remote </w:t>
      </w:r>
      <w:proofErr w:type="gramStart"/>
      <w:r w:rsidRPr="00DF38B2">
        <w:t>there’s only limited places</w:t>
      </w:r>
      <w:proofErr w:type="gramEnd"/>
      <w:r w:rsidRPr="00DF38B2">
        <w:t xml:space="preserve"> to spend your money. </w:t>
      </w:r>
      <w:r w:rsidR="00693854">
        <w:t>(</w:t>
      </w:r>
      <w:r w:rsidRPr="00DF38B2">
        <w:t>Legal service</w:t>
      </w:r>
      <w:r w:rsidR="00693854">
        <w:t>)</w:t>
      </w:r>
    </w:p>
    <w:p w:rsidR="00417B51" w:rsidRPr="00DF38B2" w:rsidRDefault="00417B51" w:rsidP="006654AE">
      <w:r w:rsidRPr="00DF38B2">
        <w:t xml:space="preserve">Other participants saw </w:t>
      </w:r>
      <w:r w:rsidR="00925856">
        <w:t xml:space="preserve">some </w:t>
      </w:r>
      <w:r w:rsidRPr="00DF38B2">
        <w:t>more negative impacts for people in remote communities</w:t>
      </w:r>
      <w:r w:rsidR="00925856">
        <w:t xml:space="preserve">. Examples cited including </w:t>
      </w:r>
      <w:r w:rsidRPr="00DF38B2">
        <w:t xml:space="preserve">prices for goods going up as a result of more money being available </w:t>
      </w:r>
      <w:r w:rsidR="00925856">
        <w:t>as a result of</w:t>
      </w:r>
      <w:r w:rsidRPr="00DF38B2">
        <w:t xml:space="preserve"> income management and </w:t>
      </w:r>
      <w:r w:rsidR="00925856">
        <w:t>also that people who already had constrained choices tended to have these further restricted</w:t>
      </w:r>
      <w:r w:rsidRPr="00DF38B2">
        <w:t xml:space="preserve">. </w:t>
      </w:r>
    </w:p>
    <w:p w:rsidR="00417B51" w:rsidRPr="00DF38B2" w:rsidRDefault="00417B51" w:rsidP="006654AE">
      <w:r w:rsidRPr="00DF38B2">
        <w:t xml:space="preserve">There was also diversity in intermediaries’ perceptions of income management according to the different measures. There was general agreement that those subject to </w:t>
      </w:r>
      <w:r w:rsidR="001544DF">
        <w:t>Voluntary Income Management</w:t>
      </w:r>
      <w:r w:rsidRPr="00DF38B2">
        <w:t xml:space="preserve"> were able to make good use of its features to budget, save for their goals and make use of the bonus payments. Similarly there was some agreement that income management assisted those who were most vulnerable to ensure their basic needs were met. However, there was less agreement about the value of the Compulsory Income Management measures. There were concerns among some DHS staff and other service providers more broadly that there were people subject to these measures that did not need assistance to manage their money and whose lives were made more difficult by income management</w:t>
      </w:r>
      <w:r w:rsidR="00B323FE">
        <w:t>:</w:t>
      </w:r>
      <w:r w:rsidRPr="00DF38B2">
        <w:t xml:space="preserve"> </w:t>
      </w:r>
    </w:p>
    <w:p w:rsidR="00417B51" w:rsidRPr="00DF38B2" w:rsidRDefault="00417B51" w:rsidP="006654AE">
      <w:pPr>
        <w:pStyle w:val="Quote2"/>
      </w:pPr>
      <w:r w:rsidRPr="00DF38B2">
        <w:t xml:space="preserve">I think the bluntness of the instrument will mean </w:t>
      </w:r>
      <w:proofErr w:type="gramStart"/>
      <w:r w:rsidRPr="00DF38B2">
        <w:t>there’s no real benefits</w:t>
      </w:r>
      <w:proofErr w:type="gramEnd"/>
      <w:r w:rsidRPr="00DF38B2">
        <w:t xml:space="preserve"> to people’s financial or health outcomes. </w:t>
      </w:r>
      <w:r w:rsidR="00693854">
        <w:t>(</w:t>
      </w:r>
      <w:r w:rsidRPr="00DF38B2">
        <w:t>Service provider, remote communities</w:t>
      </w:r>
      <w:r w:rsidR="00693854">
        <w:t>)</w:t>
      </w:r>
    </w:p>
    <w:p w:rsidR="00417B51" w:rsidRPr="00DF38B2" w:rsidRDefault="00417B51" w:rsidP="006654AE">
      <w:pPr>
        <w:pStyle w:val="Quote2"/>
      </w:pPr>
      <w:r w:rsidRPr="00DF38B2">
        <w:t>People on Centrelink payments have a huge bureaucracy to deal with</w:t>
      </w:r>
      <w:r w:rsidR="00217B7F">
        <w:t>:</w:t>
      </w:r>
      <w:r w:rsidRPr="00DF38B2">
        <w:t xml:space="preserve"> they need to comply in a huge way. Every call to Centrelink is hugely time consuming. Income management puts an extra layer of contacts on them. Income management wears people out. </w:t>
      </w:r>
      <w:r w:rsidR="00693854">
        <w:t>(</w:t>
      </w:r>
      <w:r w:rsidRPr="00DF38B2">
        <w:t>Legal service</w:t>
      </w:r>
      <w:r w:rsidR="00693854">
        <w:t>)</w:t>
      </w:r>
    </w:p>
    <w:p w:rsidR="00417B51" w:rsidRPr="00DF38B2" w:rsidRDefault="00417B51" w:rsidP="006654AE">
      <w:pPr>
        <w:pStyle w:val="Quote2"/>
      </w:pPr>
      <w:r w:rsidRPr="00DF38B2">
        <w:t xml:space="preserve">Income management crushed the spirits of a whole heap of people who are trying. </w:t>
      </w:r>
      <w:proofErr w:type="gramStart"/>
      <w:r w:rsidRPr="00DF38B2">
        <w:t>There’s</w:t>
      </w:r>
      <w:proofErr w:type="gramEnd"/>
      <w:r w:rsidRPr="00DF38B2">
        <w:t xml:space="preserve"> a lot of proud people who have deflated. </w:t>
      </w:r>
      <w:r w:rsidR="00693854">
        <w:t>(</w:t>
      </w:r>
      <w:r w:rsidRPr="00DF38B2">
        <w:t>Service provider, remote communities</w:t>
      </w:r>
      <w:r w:rsidR="00693854">
        <w:t>)</w:t>
      </w:r>
    </w:p>
    <w:p w:rsidR="00417B51" w:rsidRPr="00DF38B2" w:rsidRDefault="00417B51" w:rsidP="006654AE">
      <w:pPr>
        <w:rPr>
          <w:szCs w:val="19"/>
        </w:rPr>
      </w:pPr>
      <w:r w:rsidRPr="00DF38B2">
        <w:t xml:space="preserve">People subject to Compulsory Income Management were seen to include a wide range of people with different capacities and vulnerabilities around managing their money. This includes people with significant vulnerabilities that in other cases might be seen to be eligible for the Child Protection Income Management and </w:t>
      </w:r>
      <w:r w:rsidRPr="00DF38B2">
        <w:rPr>
          <w:szCs w:val="19"/>
        </w:rPr>
        <w:t>Vulnerable Welfare Payment Recipient measures</w:t>
      </w:r>
      <w:r w:rsidR="00A1421A">
        <w:rPr>
          <w:szCs w:val="19"/>
        </w:rPr>
        <w:t xml:space="preserve">. </w:t>
      </w:r>
      <w:r w:rsidRPr="00DF38B2">
        <w:rPr>
          <w:szCs w:val="19"/>
        </w:rPr>
        <w:t>This sometimes means that people with significant vulnerabilities can be missed</w:t>
      </w:r>
      <w:r w:rsidR="00217B7F">
        <w:rPr>
          <w:szCs w:val="19"/>
        </w:rPr>
        <w:t>:</w:t>
      </w:r>
      <w:r w:rsidRPr="00DF38B2">
        <w:rPr>
          <w:szCs w:val="19"/>
        </w:rPr>
        <w:t xml:space="preserve"> </w:t>
      </w:r>
    </w:p>
    <w:p w:rsidR="00417B51" w:rsidRPr="00DF38B2" w:rsidRDefault="00417B51" w:rsidP="006654AE">
      <w:pPr>
        <w:pStyle w:val="Quote2"/>
      </w:pPr>
      <w:r w:rsidRPr="00DF38B2">
        <w:lastRenderedPageBreak/>
        <w:t xml:space="preserve">[CIM] obviates the need [for CPIM or VWPR]. It masks and hides it. Any income management measure that’s in place takes people off the radar. </w:t>
      </w:r>
      <w:r w:rsidR="00693854">
        <w:t>(</w:t>
      </w:r>
      <w:r w:rsidRPr="00DF38B2">
        <w:t>Centrelink social worker</w:t>
      </w:r>
      <w:r w:rsidR="00693854">
        <w:t>)</w:t>
      </w:r>
    </w:p>
    <w:p w:rsidR="00417B51" w:rsidRPr="00DF38B2" w:rsidRDefault="00417B51" w:rsidP="006654AE">
      <w:r w:rsidRPr="00DF38B2">
        <w:t xml:space="preserve">In other circumstances the value of moving people from Compulsory Income Management to the Child Protection Income Management and </w:t>
      </w:r>
      <w:r w:rsidRPr="00DF38B2">
        <w:rPr>
          <w:szCs w:val="19"/>
        </w:rPr>
        <w:t xml:space="preserve">Vulnerable Welfare Payment Recipient measures was not seen as being useful or a good use of resources. This view was expressed by both DHS and child protection staff. </w:t>
      </w:r>
    </w:p>
    <w:p w:rsidR="00417B51" w:rsidRPr="00DF38B2" w:rsidRDefault="00417B51" w:rsidP="006654AE">
      <w:pPr>
        <w:pStyle w:val="Heading3"/>
      </w:pPr>
      <w:bookmarkStart w:id="589" w:name="_Toc403739122"/>
      <w:r w:rsidRPr="00DF38B2">
        <w:t>Income management as a budgeting tool</w:t>
      </w:r>
      <w:bookmarkEnd w:id="589"/>
    </w:p>
    <w:p w:rsidR="00417B51" w:rsidRPr="00DF38B2" w:rsidRDefault="00417B51" w:rsidP="006654AE">
      <w:r w:rsidRPr="00DF38B2">
        <w:t>Income management was viewed by DHS staff in particular as being a good budgeting tool that helped people on low incomes or with low levels of financial literacy to ‘make ends meet’. Most of DHS staff participating in interviews working in a Customer Service Officer role noted that the customers they worked with tended to appreciate these benefits over time</w:t>
      </w:r>
      <w:r w:rsidR="00217B7F">
        <w:t>:</w:t>
      </w:r>
      <w:r w:rsidRPr="00DF38B2">
        <w:t xml:space="preserve"> </w:t>
      </w:r>
    </w:p>
    <w:p w:rsidR="00417B51" w:rsidRPr="00DF38B2" w:rsidRDefault="00417B51" w:rsidP="006654AE">
      <w:pPr>
        <w:pStyle w:val="Quote2"/>
      </w:pPr>
      <w:r w:rsidRPr="00DF38B2">
        <w:t xml:space="preserve">I’m a supporter of income management. I think it’s a good tool for people to have. If you’re on a Centrelink payment you don’t get that much anyway to survive for a fortnight. So it’s good to have that backup for necessities. </w:t>
      </w:r>
      <w:r w:rsidR="00693854">
        <w:t>(</w:t>
      </w:r>
      <w:r w:rsidRPr="00DF38B2">
        <w:t>Centrelink Customer Service Officer, remote</w:t>
      </w:r>
      <w:r w:rsidR="00693854">
        <w:t>)</w:t>
      </w:r>
    </w:p>
    <w:p w:rsidR="00417B51" w:rsidRPr="00DF38B2" w:rsidRDefault="00417B51" w:rsidP="006654AE">
      <w:pPr>
        <w:pStyle w:val="Quote2"/>
      </w:pPr>
      <w:r w:rsidRPr="00DF38B2">
        <w:t>Sometimes my customers [who are subject to income management] think they’re getting more money than before because … they have bills paid and money left over</w:t>
      </w:r>
      <w:r w:rsidR="00217B7F">
        <w:t xml:space="preserve"> …</w:t>
      </w:r>
      <w:r w:rsidRPr="00DF38B2">
        <w:t xml:space="preserve"> </w:t>
      </w:r>
      <w:r w:rsidR="00693854">
        <w:t>(</w:t>
      </w:r>
      <w:r w:rsidRPr="00DF38B2">
        <w:t>Centrelink Customer Service Officer</w:t>
      </w:r>
      <w:r w:rsidR="000C1A13">
        <w:t>)</w:t>
      </w:r>
    </w:p>
    <w:p w:rsidR="00417B51" w:rsidRPr="00DF38B2" w:rsidRDefault="00417B51" w:rsidP="006654AE">
      <w:pPr>
        <w:pStyle w:val="Quote2"/>
      </w:pPr>
      <w:r w:rsidRPr="00DF38B2">
        <w:t xml:space="preserve">I see people looking healthier and putting on weight. </w:t>
      </w:r>
      <w:r w:rsidR="00693854">
        <w:t>(</w:t>
      </w:r>
      <w:r w:rsidRPr="00DF38B2">
        <w:t>Centrelink social worker</w:t>
      </w:r>
      <w:r w:rsidR="000C1A13">
        <w:t>)</w:t>
      </w:r>
    </w:p>
    <w:p w:rsidR="00417B51" w:rsidRPr="00DF38B2" w:rsidRDefault="00417B51" w:rsidP="006654AE">
      <w:r w:rsidRPr="00DF38B2">
        <w:t xml:space="preserve">However, it was also reported by DHS staff as well as money management, financial counselling and legal services staff that it was not always easy for people to spend their money. Despite acknowledged improvements in the range of merchants accepting BasicsCards, intermediaries across the different service types spoke of instances </w:t>
      </w:r>
      <w:r w:rsidR="00217B7F">
        <w:t>in which</w:t>
      </w:r>
      <w:r w:rsidRPr="00DF38B2">
        <w:t xml:space="preserve"> people were unable to purchase goods or participate in </w:t>
      </w:r>
      <w:r w:rsidR="00A8053C" w:rsidRPr="00DF38B2">
        <w:t xml:space="preserve">activities. </w:t>
      </w:r>
      <w:r w:rsidRPr="00DF38B2">
        <w:t>This included shopping at markets, attending local shows and accessing different forms of transport. Accessing private rental also continued to be an issue</w:t>
      </w:r>
      <w:r w:rsidR="00217B7F">
        <w:t>,</w:t>
      </w:r>
      <w:r w:rsidRPr="00DF38B2">
        <w:t xml:space="preserve"> with many private landlords unable or unwilling to register as Third Party Organisation</w:t>
      </w:r>
      <w:r w:rsidR="00217B7F">
        <w:t>s</w:t>
      </w:r>
      <w:r w:rsidRPr="00DF38B2">
        <w:t xml:space="preserve"> to accept </w:t>
      </w:r>
      <w:r w:rsidR="00A04470">
        <w:t>income managed</w:t>
      </w:r>
      <w:r w:rsidR="00307C76">
        <w:t xml:space="preserve"> funds</w:t>
      </w:r>
      <w:r w:rsidRPr="00DF38B2">
        <w:t>. Similarly</w:t>
      </w:r>
      <w:r w:rsidR="00217B7F">
        <w:t>,</w:t>
      </w:r>
      <w:r w:rsidRPr="00DF38B2">
        <w:t xml:space="preserve"> people living in shared accommodation or paying board to family members also had trouble paying their housing costs via their </w:t>
      </w:r>
      <w:r w:rsidR="00A04470">
        <w:t>income managed</w:t>
      </w:r>
      <w:r w:rsidR="00307C76">
        <w:t xml:space="preserve"> funds</w:t>
      </w:r>
      <w:r w:rsidRPr="00DF38B2">
        <w:t>.</w:t>
      </w:r>
    </w:p>
    <w:p w:rsidR="00417B51" w:rsidRPr="00DF38B2" w:rsidRDefault="00217B7F" w:rsidP="006654AE">
      <w:r>
        <w:t>P</w:t>
      </w:r>
      <w:r w:rsidR="00417B51" w:rsidRPr="00DF38B2">
        <w:t xml:space="preserve">erceived negative impacts of income management </w:t>
      </w:r>
      <w:r>
        <w:t xml:space="preserve">included: </w:t>
      </w:r>
      <w:r w:rsidR="00417B51" w:rsidRPr="00DF38B2">
        <w:t xml:space="preserve">that it made it </w:t>
      </w:r>
      <w:r>
        <w:t>more difficult</w:t>
      </w:r>
      <w:r w:rsidR="00417B51" w:rsidRPr="00DF38B2">
        <w:t xml:space="preserve"> for people to manage and control their money</w:t>
      </w:r>
      <w:r>
        <w:t>;</w:t>
      </w:r>
      <w:r w:rsidR="00417B51" w:rsidRPr="00DF38B2">
        <w:t xml:space="preserve"> and that it did not address </w:t>
      </w:r>
      <w:r>
        <w:t>crucial</w:t>
      </w:r>
      <w:r w:rsidR="00417B51" w:rsidRPr="00DF38B2">
        <w:t xml:space="preserve"> capacity issues around financial literacy and money management</w:t>
      </w:r>
      <w:r>
        <w:t>:</w:t>
      </w:r>
      <w:r w:rsidR="00417B51" w:rsidRPr="00DF38B2">
        <w:t xml:space="preserve"> </w:t>
      </w:r>
    </w:p>
    <w:p w:rsidR="00417B51" w:rsidRPr="00DF38B2" w:rsidRDefault="00417B51" w:rsidP="006654AE">
      <w:pPr>
        <w:pStyle w:val="Quote2"/>
      </w:pPr>
      <w:r w:rsidRPr="00DF38B2">
        <w:t>Income management makes it harder for people to keep track of their money because it’s spread across different things – it’s hard to know when you’ve been underpaid. And the worst time to find out is in the supermarket queue</w:t>
      </w:r>
      <w:r w:rsidR="00130ADB">
        <w:t xml:space="preserve"> </w:t>
      </w:r>
      <w:r w:rsidRPr="00DF38B2">
        <w:t>…</w:t>
      </w:r>
      <w:r w:rsidR="00130ADB">
        <w:t xml:space="preserve">. </w:t>
      </w:r>
      <w:r w:rsidRPr="00DF38B2">
        <w:t xml:space="preserve">If people set it up for paying rent and they are working they don’t know how much is being paid by Centrelink and how much they need to set aside. </w:t>
      </w:r>
      <w:r w:rsidR="00693854">
        <w:t>(</w:t>
      </w:r>
      <w:r w:rsidRPr="00DF38B2">
        <w:t>Legal service</w:t>
      </w:r>
      <w:r w:rsidR="000C1A13">
        <w:t>)</w:t>
      </w:r>
    </w:p>
    <w:p w:rsidR="00417B51" w:rsidRPr="00DF38B2" w:rsidRDefault="00417B51" w:rsidP="006654AE">
      <w:pPr>
        <w:pStyle w:val="Quote2"/>
      </w:pPr>
      <w:r w:rsidRPr="00DF38B2">
        <w:t>The purpose of income management is to get people to be financially self-sufficient</w:t>
      </w:r>
      <w:r w:rsidR="00874B51">
        <w:t>,</w:t>
      </w:r>
      <w:r w:rsidRPr="00DF38B2">
        <w:t xml:space="preserve"> but it hasn’t changed. It’s only made people’s lives more difficult. There’s lots of saying what they think you want to hear. </w:t>
      </w:r>
      <w:r w:rsidR="00693854">
        <w:t>(</w:t>
      </w:r>
      <w:r w:rsidRPr="00DF38B2">
        <w:t>Centrelink Customer Service Officer</w:t>
      </w:r>
      <w:r w:rsidR="000C1A13">
        <w:t>)</w:t>
      </w:r>
    </w:p>
    <w:p w:rsidR="00417B51" w:rsidRPr="00DF38B2" w:rsidRDefault="00417B51" w:rsidP="006654AE">
      <w:pPr>
        <w:pStyle w:val="Quote2"/>
      </w:pPr>
      <w:r w:rsidRPr="00DF38B2">
        <w:t xml:space="preserve">We still get queries from people about where their money goes. It’s become an automated process where people don’t make payments themselves – it’s sort of “set and forget”. </w:t>
      </w:r>
      <w:r w:rsidR="00693854">
        <w:t>(</w:t>
      </w:r>
      <w:r w:rsidRPr="00DF38B2">
        <w:t>Legal service</w:t>
      </w:r>
      <w:r w:rsidR="000C1A13">
        <w:t>)</w:t>
      </w:r>
    </w:p>
    <w:p w:rsidR="00417B51" w:rsidRPr="00DF38B2" w:rsidRDefault="00417B51" w:rsidP="006654AE">
      <w:r w:rsidRPr="00DF38B2">
        <w:t>Income management was also seen as being something that limited people’s capacity to manage their own money in the longer term.</w:t>
      </w:r>
    </w:p>
    <w:p w:rsidR="00417B51" w:rsidRPr="00DF38B2" w:rsidRDefault="00417B51" w:rsidP="006654AE">
      <w:pPr>
        <w:pStyle w:val="Quote2"/>
      </w:pPr>
      <w:r w:rsidRPr="00DF38B2">
        <w:t>Are we just going to budget for people for the rest of their lives? If things don’t get paid they blame us [Centrelink]. It</w:t>
      </w:r>
      <w:r w:rsidR="00874B51">
        <w:t>’</w:t>
      </w:r>
      <w:r w:rsidRPr="00DF38B2">
        <w:t>s “you didn’t pay my rent”</w:t>
      </w:r>
      <w:r w:rsidR="00874B51">
        <w:t>;</w:t>
      </w:r>
      <w:r w:rsidRPr="00DF38B2">
        <w:t xml:space="preserve"> before income management it was “I didn’t pay my rent”. </w:t>
      </w:r>
      <w:r w:rsidR="00693854">
        <w:t>(</w:t>
      </w:r>
      <w:r w:rsidRPr="00DF38B2">
        <w:t>Centrelink Customer Service Officer</w:t>
      </w:r>
      <w:r w:rsidR="000C1A13">
        <w:t>)</w:t>
      </w:r>
    </w:p>
    <w:p w:rsidR="00417B51" w:rsidRPr="00DF38B2" w:rsidRDefault="00417B51" w:rsidP="006654AE">
      <w:pPr>
        <w:pStyle w:val="Heading3"/>
      </w:pPr>
      <w:bookmarkStart w:id="590" w:name="_Toc403739123"/>
      <w:r w:rsidRPr="00DF38B2">
        <w:t>Impacts of income management on financial exploitation</w:t>
      </w:r>
      <w:bookmarkEnd w:id="590"/>
    </w:p>
    <w:p w:rsidR="00417B51" w:rsidRPr="00DF38B2" w:rsidRDefault="00874B51" w:rsidP="006654AE">
      <w:r>
        <w:t>F</w:t>
      </w:r>
      <w:r w:rsidR="00417B51" w:rsidRPr="00DF38B2">
        <w:t xml:space="preserve">requently discussed in interviews </w:t>
      </w:r>
      <w:r w:rsidRPr="00DF38B2">
        <w:t xml:space="preserve">was </w:t>
      </w:r>
      <w:r>
        <w:t>the</w:t>
      </w:r>
      <w:r w:rsidRPr="00DF38B2">
        <w:t xml:space="preserve"> potential </w:t>
      </w:r>
      <w:r>
        <w:t>of i</w:t>
      </w:r>
      <w:r w:rsidRPr="00DF38B2">
        <w:t xml:space="preserve">ncome management </w:t>
      </w:r>
      <w:r w:rsidR="00417B51" w:rsidRPr="00DF38B2">
        <w:t>to minimise the occurrence or impacts of financial exploitation</w:t>
      </w:r>
      <w:r w:rsidR="00A1421A">
        <w:t xml:space="preserve">. </w:t>
      </w:r>
      <w:r w:rsidR="00417B51" w:rsidRPr="00DF38B2">
        <w:t>There was some support for the idea that income management has been able to address financial exploitation for some</w:t>
      </w:r>
      <w:r>
        <w:t xml:space="preserve"> </w:t>
      </w:r>
      <w:r w:rsidR="00417B51" w:rsidRPr="00DF38B2">
        <w:t>people. This was a particularly strong theme for DHS staff</w:t>
      </w:r>
      <w:r>
        <w:t>,</w:t>
      </w:r>
      <w:r w:rsidR="00417B51" w:rsidRPr="00DF38B2">
        <w:t xml:space="preserve"> </w:t>
      </w:r>
      <w:r w:rsidR="00417B51" w:rsidRPr="00DF38B2">
        <w:lastRenderedPageBreak/>
        <w:t>but some financial counselling and money management staff also noted that they had clients who liked income management for this reason</w:t>
      </w:r>
      <w:r>
        <w:t>:</w:t>
      </w:r>
    </w:p>
    <w:p w:rsidR="00417B51" w:rsidRPr="00DF38B2" w:rsidRDefault="00417B51" w:rsidP="006654AE">
      <w:pPr>
        <w:pStyle w:val="Quote2"/>
      </w:pPr>
      <w:r w:rsidRPr="00DF38B2">
        <w:t xml:space="preserve">I think it’s great. Fantastic! It’s the best thing that has happened to people in the NT. </w:t>
      </w:r>
      <w:proofErr w:type="gramStart"/>
      <w:r w:rsidRPr="00DF38B2">
        <w:t>It’s</w:t>
      </w:r>
      <w:proofErr w:type="gramEnd"/>
      <w:r w:rsidRPr="00DF38B2">
        <w:t xml:space="preserve"> given security to a lot of customers in relation to how money is being spent. And humbugging is a huge issue up here and a lot of customers voluntarily go onto income management to avoid that humbugging. I think it should be Australia</w:t>
      </w:r>
      <w:r w:rsidR="00A419CE">
        <w:t>-</w:t>
      </w:r>
      <w:r w:rsidRPr="00DF38B2">
        <w:t>wide for every welfare recipient</w:t>
      </w:r>
      <w:r w:rsidR="00874B51">
        <w:t>,</w:t>
      </w:r>
      <w:r w:rsidRPr="00DF38B2">
        <w:t xml:space="preserve"> with some exemptions. </w:t>
      </w:r>
      <w:r w:rsidR="00693854">
        <w:t>(</w:t>
      </w:r>
      <w:r w:rsidRPr="00DF38B2">
        <w:t>Centrelink Customer Services Officer</w:t>
      </w:r>
      <w:r w:rsidR="000C1A13">
        <w:t>)</w:t>
      </w:r>
    </w:p>
    <w:p w:rsidR="00417B51" w:rsidRPr="00DF38B2" w:rsidRDefault="00417B51" w:rsidP="006654AE">
      <w:pPr>
        <w:pStyle w:val="Quote2"/>
      </w:pPr>
      <w:r w:rsidRPr="00DF38B2">
        <w:t xml:space="preserve">Some of our vulnerable clients are being protected from humbug. </w:t>
      </w:r>
      <w:r w:rsidR="00693854">
        <w:t>(</w:t>
      </w:r>
      <w:r w:rsidRPr="00DF38B2">
        <w:t>Money management worker</w:t>
      </w:r>
      <w:r w:rsidR="000C1A13">
        <w:t>)</w:t>
      </w:r>
    </w:p>
    <w:p w:rsidR="00417B51" w:rsidRPr="00DF38B2" w:rsidRDefault="00417B51" w:rsidP="006654AE">
      <w:r w:rsidRPr="00DF38B2">
        <w:t xml:space="preserve">There was also an acknowledgement from many DHS staff </w:t>
      </w:r>
      <w:r w:rsidR="00874B51">
        <w:t xml:space="preserve">– </w:t>
      </w:r>
      <w:r w:rsidRPr="00DF38B2">
        <w:t>as well as most financial counselling and money management staff, child protection workers and legal services</w:t>
      </w:r>
      <w:r w:rsidR="00874B51">
        <w:t xml:space="preserve"> –</w:t>
      </w:r>
      <w:r w:rsidRPr="00DF38B2">
        <w:t xml:space="preserve"> that financial harassment and exploitation still occurred for people subject to income management. Data on this issue collected from people subject to income management </w:t>
      </w:r>
      <w:r w:rsidR="00874B51">
        <w:t>are</w:t>
      </w:r>
      <w:r w:rsidRPr="00DF38B2">
        <w:t xml:space="preserve"> reported in Chapter 7.</w:t>
      </w:r>
    </w:p>
    <w:p w:rsidR="00417B51" w:rsidRPr="00DF38B2" w:rsidRDefault="00417B51" w:rsidP="006654AE">
      <w:r w:rsidRPr="00DF38B2">
        <w:t>There were also concerns from some DHS staff as well as other intermediaries that income management could also negatively impact on cultural arrangements around sharing resources within families</w:t>
      </w:r>
      <w:r w:rsidR="00874B51">
        <w:t>,</w:t>
      </w:r>
      <w:r w:rsidRPr="00DF38B2">
        <w:t xml:space="preserve"> and that setting up income management for people in these circumstances can be complex, time consuming</w:t>
      </w:r>
      <w:r w:rsidR="00874B51">
        <w:t>,</w:t>
      </w:r>
      <w:r w:rsidRPr="00DF38B2">
        <w:t xml:space="preserve"> and disruptive to arrangements that are already working well</w:t>
      </w:r>
      <w:r w:rsidR="00874B51">
        <w:t>:</w:t>
      </w:r>
      <w:r w:rsidRPr="00DF38B2">
        <w:t xml:space="preserve"> </w:t>
      </w:r>
    </w:p>
    <w:p w:rsidR="00417B51" w:rsidRPr="00DF38B2" w:rsidRDefault="00417B51" w:rsidP="006654AE">
      <w:pPr>
        <w:pStyle w:val="Quote2"/>
      </w:pPr>
      <w:r w:rsidRPr="00DF38B2">
        <w:t xml:space="preserve">Income management can interfere with family arrangements where people pool money. </w:t>
      </w:r>
      <w:r w:rsidR="00693854">
        <w:t>(</w:t>
      </w:r>
      <w:r w:rsidRPr="00DF38B2">
        <w:t>Centrelink social worker</w:t>
      </w:r>
      <w:r w:rsidR="000C1A13">
        <w:t>)</w:t>
      </w:r>
    </w:p>
    <w:p w:rsidR="00417B51" w:rsidRPr="00DF38B2" w:rsidRDefault="00417B51" w:rsidP="006654AE">
      <w:pPr>
        <w:pStyle w:val="Quote2"/>
      </w:pPr>
      <w:r w:rsidRPr="00DF38B2">
        <w:t>The Aboriginal way is that when someone is in need and they have no tucker you help them out</w:t>
      </w:r>
      <w:r w:rsidR="00874B51">
        <w:t>,</w:t>
      </w:r>
      <w:r w:rsidRPr="00DF38B2">
        <w:t xml:space="preserve"> even if you are trying to do your matched savings. </w:t>
      </w:r>
      <w:r w:rsidR="00693854">
        <w:t>(</w:t>
      </w:r>
      <w:r w:rsidRPr="00DF38B2">
        <w:t>Money management worker</w:t>
      </w:r>
      <w:r w:rsidR="000C1A13">
        <w:t>)</w:t>
      </w:r>
    </w:p>
    <w:p w:rsidR="00417B51" w:rsidRPr="00DF38B2" w:rsidRDefault="00417B51" w:rsidP="006654AE">
      <w:pPr>
        <w:pStyle w:val="Quote2"/>
      </w:pPr>
      <w:r w:rsidRPr="00DF38B2">
        <w:t xml:space="preserve">You’re not just working with a nuclear family or an individual. </w:t>
      </w:r>
      <w:proofErr w:type="gramStart"/>
      <w:r w:rsidRPr="00DF38B2">
        <w:t>There’s</w:t>
      </w:r>
      <w:proofErr w:type="gramEnd"/>
      <w:r w:rsidRPr="00DF38B2">
        <w:t xml:space="preserve"> lots of people involved</w:t>
      </w:r>
      <w:r w:rsidR="00874B51">
        <w:t xml:space="preserve"> </w:t>
      </w:r>
      <w:r w:rsidRPr="00DF38B2">
        <w:t>…</w:t>
      </w:r>
      <w:r w:rsidR="00874B51">
        <w:t xml:space="preserve"> </w:t>
      </w:r>
      <w:r w:rsidRPr="00DF38B2">
        <w:t xml:space="preserve">the way people’s income is administered is very complex and it takes a huge amount of time to work out what is going on. </w:t>
      </w:r>
      <w:r w:rsidR="00693854">
        <w:t>(</w:t>
      </w:r>
      <w:r w:rsidRPr="00DF38B2">
        <w:t>Child Protection worker</w:t>
      </w:r>
      <w:r w:rsidR="000C1A13">
        <w:t>)</w:t>
      </w:r>
    </w:p>
    <w:p w:rsidR="00417B51" w:rsidRPr="00DF38B2" w:rsidRDefault="00417B51" w:rsidP="006654AE">
      <w:pPr>
        <w:pStyle w:val="Heading3"/>
      </w:pPr>
      <w:bookmarkStart w:id="591" w:name="_Toc403739124"/>
      <w:r w:rsidRPr="00DF38B2">
        <w:t>Perceived impacts of income management on individuals and communities</w:t>
      </w:r>
      <w:bookmarkEnd w:id="591"/>
    </w:p>
    <w:p w:rsidR="00417B51" w:rsidRPr="00DF38B2" w:rsidRDefault="00417B51" w:rsidP="006654AE">
      <w:r w:rsidRPr="00DF38B2">
        <w:rPr>
          <w:szCs w:val="19"/>
        </w:rPr>
        <w:t>Reflecting the findings presented elsewhere in this report from Centrelink administrative data and the LSNIM data, there was little support from intermediaries for the idea that income management ha</w:t>
      </w:r>
      <w:r w:rsidR="00874B51">
        <w:rPr>
          <w:szCs w:val="19"/>
        </w:rPr>
        <w:t>s</w:t>
      </w:r>
      <w:r w:rsidRPr="00DF38B2">
        <w:rPr>
          <w:szCs w:val="19"/>
        </w:rPr>
        <w:t xml:space="preserve"> led to community level change</w:t>
      </w:r>
      <w:r w:rsidR="00A1421A">
        <w:rPr>
          <w:szCs w:val="19"/>
        </w:rPr>
        <w:t xml:space="preserve">. </w:t>
      </w:r>
    </w:p>
    <w:p w:rsidR="00417B51" w:rsidRPr="00DF38B2" w:rsidRDefault="00417B51" w:rsidP="006654AE">
      <w:r w:rsidRPr="00DF38B2">
        <w:t>Most intermediaries across all of the different service types – DHS, money management and financial counselling, child protection and legal services</w:t>
      </w:r>
      <w:r w:rsidR="00874B51">
        <w:t xml:space="preserve"> –</w:t>
      </w:r>
      <w:r w:rsidRPr="00DF38B2">
        <w:t xml:space="preserve"> noted that income management has not stopped problems within communities such as drug and alcohol misuse, family violence and financial exploitation</w:t>
      </w:r>
      <w:r w:rsidR="00874B51">
        <w:t>:</w:t>
      </w:r>
      <w:r w:rsidRPr="00DF38B2">
        <w:t xml:space="preserve"> </w:t>
      </w:r>
    </w:p>
    <w:p w:rsidR="00417B51" w:rsidRPr="00DF38B2" w:rsidRDefault="00417B51" w:rsidP="006654AE">
      <w:pPr>
        <w:pStyle w:val="Quote2"/>
      </w:pPr>
      <w:r w:rsidRPr="00DF38B2">
        <w:t xml:space="preserve">One of the negative consequences is the perception that income management is the cure of all social ills. </w:t>
      </w:r>
      <w:r w:rsidR="00693854">
        <w:t>(</w:t>
      </w:r>
      <w:r w:rsidRPr="00DF38B2">
        <w:t>Centrelink social worker</w:t>
      </w:r>
      <w:r w:rsidR="000C1A13">
        <w:t>)</w:t>
      </w:r>
    </w:p>
    <w:p w:rsidR="00417B51" w:rsidRPr="00DF38B2" w:rsidRDefault="00417B51" w:rsidP="006654AE">
      <w:pPr>
        <w:pStyle w:val="Quote2"/>
      </w:pPr>
      <w:r w:rsidRPr="00DF38B2">
        <w:t xml:space="preserve">We’ve had income management for </w:t>
      </w:r>
      <w:r w:rsidR="00874B51">
        <w:t>seven</w:t>
      </w:r>
      <w:r w:rsidRPr="00DF38B2">
        <w:t xml:space="preserve"> years – homelessness, overcrowding, alcohol use haven’t been affected. </w:t>
      </w:r>
      <w:r w:rsidR="00693854">
        <w:t>(</w:t>
      </w:r>
      <w:r w:rsidRPr="00DF38B2">
        <w:t>Legal service</w:t>
      </w:r>
      <w:r w:rsidR="000C1A13">
        <w:t>)</w:t>
      </w:r>
    </w:p>
    <w:p w:rsidR="00417B51" w:rsidRPr="00DF38B2" w:rsidRDefault="00417B51" w:rsidP="006654AE">
      <w:r w:rsidRPr="00DF38B2">
        <w:t>Income management was not seen as having long</w:t>
      </w:r>
      <w:r w:rsidR="00874B51">
        <w:t>-</w:t>
      </w:r>
      <w:r w:rsidRPr="00DF38B2">
        <w:t>term or broader community impacts; rather, impacts were seen to have been quite specific benefits to individuals for the period of time that they are subject to income management</w:t>
      </w:r>
      <w:r w:rsidR="00874B51">
        <w:t>,</w:t>
      </w:r>
      <w:r w:rsidRPr="00DF38B2">
        <w:t xml:space="preserve"> but not necessarily something that led to long</w:t>
      </w:r>
      <w:r w:rsidR="00874B51">
        <w:t>-</w:t>
      </w:r>
      <w:r w:rsidRPr="00DF38B2">
        <w:t>term change. It was seen as a tool but not as something that was transformative or skill</w:t>
      </w:r>
      <w:r w:rsidR="00874B51">
        <w:t>-</w:t>
      </w:r>
      <w:r w:rsidRPr="00DF38B2">
        <w:t>building</w:t>
      </w:r>
      <w:r w:rsidR="00874B51">
        <w:t>:</w:t>
      </w:r>
    </w:p>
    <w:p w:rsidR="00417B51" w:rsidRPr="00DF38B2" w:rsidRDefault="00417B51" w:rsidP="006654AE">
      <w:pPr>
        <w:pStyle w:val="Quote2"/>
      </w:pPr>
      <w:r w:rsidRPr="00DF38B2">
        <w:t xml:space="preserve">What life skills are we giving customers? If they’re no longer vulnerable, if they’ve not done the money management courses, do we know they have grasped the fundamentals? </w:t>
      </w:r>
      <w:r w:rsidR="00693854">
        <w:t>(</w:t>
      </w:r>
      <w:r w:rsidRPr="00DF38B2">
        <w:t>Centrelink Social Worker</w:t>
      </w:r>
      <w:r w:rsidR="000C1A13">
        <w:t>)</w:t>
      </w:r>
    </w:p>
    <w:p w:rsidR="00417B51" w:rsidRPr="00DF38B2" w:rsidRDefault="00417B51" w:rsidP="006654AE">
      <w:pPr>
        <w:pStyle w:val="Quote2"/>
      </w:pPr>
      <w:r w:rsidRPr="00DF38B2">
        <w:t xml:space="preserve">Income management is simply a tool. It’s simply part of a bigger intervention. It’s not just reflecting skills of the individual. It’s about the communities around them – they haven’t changed. </w:t>
      </w:r>
      <w:r w:rsidR="00693854">
        <w:t>(</w:t>
      </w:r>
      <w:r w:rsidRPr="00DF38B2">
        <w:t>Centrelink Social Worker</w:t>
      </w:r>
      <w:r w:rsidR="000C1A13">
        <w:t>)</w:t>
      </w:r>
    </w:p>
    <w:p w:rsidR="000D104B" w:rsidRPr="00DF38B2" w:rsidRDefault="00417B51" w:rsidP="006654AE">
      <w:pPr>
        <w:pStyle w:val="Quote2"/>
      </w:pPr>
      <w:r w:rsidRPr="00DF38B2">
        <w:t xml:space="preserve">It’s not a behavioural modification tool for families in our area. </w:t>
      </w:r>
      <w:r w:rsidR="00693854">
        <w:t>(</w:t>
      </w:r>
      <w:r w:rsidRPr="00DF38B2">
        <w:t>Child protection worker</w:t>
      </w:r>
      <w:r w:rsidR="000C1A13">
        <w:t>)</w:t>
      </w:r>
    </w:p>
    <w:p w:rsidR="00417B51" w:rsidRPr="00DF38B2" w:rsidRDefault="00417B51" w:rsidP="006654AE">
      <w:pPr>
        <w:pStyle w:val="Quote2"/>
      </w:pPr>
      <w:r w:rsidRPr="00DF38B2">
        <w:lastRenderedPageBreak/>
        <w:t>Income management is a short</w:t>
      </w:r>
      <w:r w:rsidR="00874B51">
        <w:t>-</w:t>
      </w:r>
      <w:r w:rsidRPr="00DF38B2">
        <w:t xml:space="preserve">term tool to manage income and not a change agent. </w:t>
      </w:r>
      <w:r w:rsidR="00693854">
        <w:t>(</w:t>
      </w:r>
      <w:r w:rsidRPr="00DF38B2">
        <w:t>Child protection worker</w:t>
      </w:r>
      <w:r w:rsidR="000C1A13">
        <w:t>)</w:t>
      </w:r>
    </w:p>
    <w:p w:rsidR="00417B51" w:rsidRPr="00DF38B2" w:rsidRDefault="00417B51" w:rsidP="006654AE">
      <w:pPr>
        <w:pStyle w:val="Quote2"/>
      </w:pPr>
      <w:r w:rsidRPr="00DF38B2">
        <w:t xml:space="preserve">There’s some social impact but people know how to work the system, such as selling their BasicsCards. </w:t>
      </w:r>
      <w:r w:rsidR="00693854">
        <w:t>(</w:t>
      </w:r>
      <w:r w:rsidRPr="00DF38B2">
        <w:t>Financial counsellor</w:t>
      </w:r>
      <w:r w:rsidR="000C1A13">
        <w:t>)</w:t>
      </w:r>
    </w:p>
    <w:p w:rsidR="00417B51" w:rsidRPr="00DF38B2" w:rsidRDefault="00417B51" w:rsidP="006654AE">
      <w:r w:rsidRPr="00DF38B2">
        <w:t>The exception to this view was a small number of DHS Customer Service Officers who saw income management as a tool to address what they saw as a culture of entitlement to welfare – that is</w:t>
      </w:r>
      <w:r w:rsidR="00874B51">
        <w:t>,</w:t>
      </w:r>
      <w:r w:rsidRPr="00DF38B2">
        <w:t xml:space="preserve"> it acted as a disincentive to stay on income support</w:t>
      </w:r>
      <w:r w:rsidR="00874B51">
        <w:t>:</w:t>
      </w:r>
      <w:r w:rsidRPr="00DF38B2">
        <w:t xml:space="preserve"> </w:t>
      </w:r>
    </w:p>
    <w:p w:rsidR="00417B51" w:rsidRPr="00DF38B2" w:rsidRDefault="00417B51" w:rsidP="006654AE">
      <w:pPr>
        <w:pStyle w:val="Quote2"/>
      </w:pPr>
      <w:r w:rsidRPr="00DF38B2">
        <w:t xml:space="preserve">I think it’s the mindset that the Government has control over them. But it’s the Government’s money. If you don’t like it, get a job. </w:t>
      </w:r>
      <w:r w:rsidR="00693854">
        <w:t>(</w:t>
      </w:r>
      <w:r w:rsidRPr="00DF38B2">
        <w:t>Centrelink Customer Service Officer</w:t>
      </w:r>
      <w:r w:rsidR="000C1A13">
        <w:t>)</w:t>
      </w:r>
    </w:p>
    <w:p w:rsidR="00417B51" w:rsidRPr="00DF38B2" w:rsidRDefault="00417B51" w:rsidP="006654AE">
      <w:r w:rsidRPr="00DF38B2">
        <w:t>Income management was also reported to have become normalised for many people living in the Northern Territory. DHS staff in particular saw income management as becoming a way of life for many people. While some saw this as a sign of positive acceptance</w:t>
      </w:r>
      <w:r w:rsidR="00874B51">
        <w:t>,</w:t>
      </w:r>
      <w:r w:rsidRPr="00DF38B2">
        <w:t xml:space="preserve"> others saw it as a passive acceptance</w:t>
      </w:r>
      <w:r w:rsidR="00874B51">
        <w:t>,</w:t>
      </w:r>
      <w:r w:rsidRPr="00DF38B2">
        <w:t xml:space="preserve"> o</w:t>
      </w:r>
      <w:r w:rsidR="00622598">
        <w:t>f</w:t>
      </w:r>
      <w:r w:rsidRPr="00DF38B2">
        <w:t xml:space="preserve"> giving up or just a reflection of Indigenous people in the Northern Territory as being used to having to adapt to whatever ‘welfare’ is doing to them at any given time</w:t>
      </w:r>
      <w:r w:rsidR="00622598">
        <w:t>:</w:t>
      </w:r>
      <w:r w:rsidRPr="00DF38B2">
        <w:t xml:space="preserve"> </w:t>
      </w:r>
    </w:p>
    <w:p w:rsidR="00417B51" w:rsidRPr="00DF38B2" w:rsidRDefault="00417B51" w:rsidP="006654AE">
      <w:pPr>
        <w:pStyle w:val="Quote2"/>
      </w:pPr>
      <w:r w:rsidRPr="00DF38B2">
        <w:t xml:space="preserve">Income management is a way of life now. They know they’ve got money for food and priority needs. But people are going to share no matter what. </w:t>
      </w:r>
      <w:r w:rsidR="00693854">
        <w:t>(</w:t>
      </w:r>
      <w:r w:rsidRPr="00DF38B2">
        <w:t>Centrelink Customer Service Officer</w:t>
      </w:r>
      <w:r w:rsidR="000C1A13">
        <w:t>)</w:t>
      </w:r>
    </w:p>
    <w:p w:rsidR="00417B51" w:rsidRPr="00DF38B2" w:rsidRDefault="00417B51" w:rsidP="006654AE">
      <w:pPr>
        <w:pStyle w:val="Quote2"/>
      </w:pPr>
      <w:r w:rsidRPr="00DF38B2">
        <w:t>There’s an understanding that eventually you’ll go on it when your time comes</w:t>
      </w:r>
      <w:r w:rsidR="00622598">
        <w:t xml:space="preserve"> </w:t>
      </w:r>
      <w:r w:rsidRPr="00DF38B2">
        <w:t>…</w:t>
      </w:r>
      <w:r w:rsidR="00622598">
        <w:t>.</w:t>
      </w:r>
      <w:r w:rsidRPr="00DF38B2">
        <w:t xml:space="preserve"> There’s an expectation that eventually you’ll go on it in the NT. The young ones have seen their parents on it and they are fairly accepting of it. But that would be the nature of the people too. </w:t>
      </w:r>
      <w:r w:rsidR="00693854">
        <w:t>(</w:t>
      </w:r>
      <w:r w:rsidRPr="00DF38B2">
        <w:t>Centrelink Customer Service Officer, remote</w:t>
      </w:r>
      <w:r w:rsidR="000C1A13">
        <w:t>)</w:t>
      </w:r>
    </w:p>
    <w:p w:rsidR="00417B51" w:rsidRPr="00DF38B2" w:rsidRDefault="00417B51" w:rsidP="006654AE">
      <w:pPr>
        <w:pStyle w:val="Quote2"/>
      </w:pPr>
      <w:r w:rsidRPr="00DF38B2">
        <w:t>If they were to turn it off, they’d make themselves a laughing stock because they have no outcomes</w:t>
      </w:r>
      <w:r w:rsidR="00622598">
        <w:t xml:space="preserve"> </w:t>
      </w:r>
      <w:r w:rsidRPr="00DF38B2">
        <w:t xml:space="preserve">… they can’t just turn it off because they’ve achieved nothing. The Government needs to take the next step of making customers responsible for their money. </w:t>
      </w:r>
      <w:r w:rsidR="00693854">
        <w:t>(</w:t>
      </w:r>
      <w:r w:rsidRPr="00DF38B2">
        <w:t>Centrelink Customer Service Officer</w:t>
      </w:r>
      <w:r w:rsidR="000C1A13">
        <w:t>)</w:t>
      </w:r>
    </w:p>
    <w:p w:rsidR="00417B51" w:rsidRPr="00DF38B2" w:rsidRDefault="00417B51" w:rsidP="006654AE">
      <w:pPr>
        <w:pStyle w:val="Quote2"/>
      </w:pPr>
      <w:r w:rsidRPr="00DF38B2">
        <w:t xml:space="preserve">Income management isn’t attached in people’s minds as a reflection of social responsibility – it’s a condition of payment. </w:t>
      </w:r>
      <w:r w:rsidR="00693854">
        <w:t>(</w:t>
      </w:r>
      <w:r w:rsidRPr="00DF38B2">
        <w:t>Legal service</w:t>
      </w:r>
      <w:r w:rsidR="000C1A13">
        <w:t>)</w:t>
      </w:r>
    </w:p>
    <w:p w:rsidR="00417B51" w:rsidRPr="00DF38B2" w:rsidRDefault="00417B51" w:rsidP="006654AE">
      <w:r w:rsidRPr="00DF38B2">
        <w:t>Taking into account their perceived lack of a widespread community change in areas where income management had been rolled out, the value for money of income management was questioned</w:t>
      </w:r>
      <w:r w:rsidR="00622598">
        <w:t>,</w:t>
      </w:r>
      <w:r w:rsidRPr="00DF38B2">
        <w:t xml:space="preserve"> with people wondering if these same funds could be more effectively spent</w:t>
      </w:r>
      <w:r w:rsidR="00622598">
        <w:t>:</w:t>
      </w:r>
      <w:r w:rsidRPr="00DF38B2">
        <w:t xml:space="preserve"> </w:t>
      </w:r>
    </w:p>
    <w:p w:rsidR="00417B51" w:rsidRPr="00DF38B2" w:rsidRDefault="00417B51" w:rsidP="006654AE">
      <w:pPr>
        <w:pStyle w:val="Quote2"/>
      </w:pPr>
      <w:r w:rsidRPr="00DF38B2">
        <w:t xml:space="preserve">In the communities that I visit it’s widely acknowledged that there are low levels of financial literacy. Income management is such a huge program but it is only addressing such a small part of financial skills and issues. Comparing the size of income management to non-compulsory programs in these areas, just imagine if that money was spent on education and support in these issues. It would go a long way. At the end of the day the Commonwealth isn’t getting value for money. </w:t>
      </w:r>
      <w:r w:rsidR="00693854">
        <w:t>(</w:t>
      </w:r>
      <w:r w:rsidRPr="00DF38B2">
        <w:t>Legal service</w:t>
      </w:r>
      <w:r w:rsidR="000C1A13">
        <w:t>)</w:t>
      </w:r>
    </w:p>
    <w:p w:rsidR="00417B51" w:rsidRPr="00DF38B2" w:rsidRDefault="00417B51" w:rsidP="006654AE">
      <w:pPr>
        <w:pStyle w:val="Heading2"/>
      </w:pPr>
      <w:bookmarkStart w:id="592" w:name="_Toc403739125"/>
      <w:r w:rsidRPr="00DF38B2">
        <w:t>Summary</w:t>
      </w:r>
      <w:bookmarkEnd w:id="592"/>
    </w:p>
    <w:p w:rsidR="00417B51" w:rsidRPr="00DF38B2" w:rsidRDefault="00417B51" w:rsidP="006654AE">
      <w:r w:rsidRPr="00DF38B2">
        <w:t>Interviews with a range of intermediaries suggest that the aspects of the operation of income management have continued to be refined. This has led to changes to the way that referrals are undertaken to money management and financial counselling services and the ways that exemptions to Compulsory Income Management are applied for and considered</w:t>
      </w:r>
      <w:r w:rsidR="00622598">
        <w:t>;</w:t>
      </w:r>
      <w:r w:rsidRPr="00DF38B2">
        <w:t xml:space="preserve"> although</w:t>
      </w:r>
      <w:r w:rsidR="00622598">
        <w:t>,</w:t>
      </w:r>
      <w:r w:rsidRPr="00DF38B2">
        <w:t xml:space="preserve"> as the administrative data show</w:t>
      </w:r>
      <w:r w:rsidR="00622598">
        <w:t>,</w:t>
      </w:r>
      <w:r w:rsidRPr="00DF38B2">
        <w:t xml:space="preserve"> there has been no change in the exemption rate for Indigenous and a slight decrease in the exemption rate for non-Indigenous</w:t>
      </w:r>
      <w:r w:rsidR="00622598">
        <w:t xml:space="preserve"> people</w:t>
      </w:r>
      <w:r w:rsidRPr="00DF38B2">
        <w:t>.</w:t>
      </w:r>
    </w:p>
    <w:p w:rsidR="00417B51" w:rsidRPr="00DF38B2" w:rsidRDefault="00417B51" w:rsidP="006654AE">
      <w:r w:rsidRPr="00DF38B2">
        <w:t>Overall</w:t>
      </w:r>
      <w:r w:rsidR="00622598">
        <w:t>,</w:t>
      </w:r>
      <w:r w:rsidRPr="00DF38B2">
        <w:t xml:space="preserve"> while aspects of income management seem to be being implemented well from the perspective of many of the intermediaries interviewed, the challenges of working in the Northern Territory and particularly in remote communities </w:t>
      </w:r>
      <w:r w:rsidR="00622598">
        <w:t xml:space="preserve">has </w:t>
      </w:r>
      <w:r w:rsidRPr="00DF38B2">
        <w:t>meant that many intermediaries felt that the experiences of people subject to income management could be improved.</w:t>
      </w:r>
    </w:p>
    <w:p w:rsidR="00417B51" w:rsidRPr="00DF38B2" w:rsidRDefault="00417B51" w:rsidP="006654AE">
      <w:r w:rsidRPr="00DF38B2">
        <w:t xml:space="preserve">There were mixed views about the effectiveness of income management in assisting both individuals and communities. While many of the intermediaries felt that some people had benefited from income management, those who benefited tended to be people who had chosen to be on income management or </w:t>
      </w:r>
      <w:r w:rsidRPr="00DF38B2">
        <w:lastRenderedPageBreak/>
        <w:t>who were particularly vulnerable to financial exploitation or had limited capacity to manage their own money. Intermediaries generally agreed that for many other people income management was unneeded and something that made these people’s lives more difficult. The exception to this view came from a number of Centrelink Customer Service Officers who stated that in their view that anyone who receives “government money” should be subject to income management – either to ensure funds are properly spent or to create an incentive for them to move off income support.</w:t>
      </w:r>
    </w:p>
    <w:p w:rsidR="00417B51" w:rsidRPr="00DF38B2" w:rsidRDefault="00417B51" w:rsidP="006654AE">
      <w:r w:rsidRPr="00DF38B2">
        <w:t>Overall</w:t>
      </w:r>
      <w:r w:rsidR="006D34DF">
        <w:t>,</w:t>
      </w:r>
      <w:r w:rsidRPr="00DF38B2">
        <w:t xml:space="preserve"> </w:t>
      </w:r>
      <w:r w:rsidR="006D34DF" w:rsidRPr="00DF38B2">
        <w:t xml:space="preserve">all of the intermediary groups who took part in interviews </w:t>
      </w:r>
      <w:r w:rsidR="006D34DF">
        <w:t>saw</w:t>
      </w:r>
      <w:r w:rsidR="006D34DF" w:rsidRPr="00DF38B2">
        <w:t xml:space="preserve"> </w:t>
      </w:r>
      <w:r w:rsidRPr="00DF38B2">
        <w:t>community impacts as somewhat limited. There was a degree of frustration that little had changed at the community level. While income management seeks to limit financial exploitation and people’s ability to misuse alcohol and drugs, these problems are still being seen as being widespread within communities – with people simply learning to work around the restrictions that income management places on them.</w:t>
      </w:r>
    </w:p>
    <w:p w:rsidR="002B02A7" w:rsidRDefault="002B02A7" w:rsidP="006654AE">
      <w:pPr>
        <w:spacing w:line="276" w:lineRule="auto"/>
        <w:jc w:val="left"/>
      </w:pPr>
      <w:r>
        <w:br w:type="page"/>
      </w:r>
    </w:p>
    <w:p w:rsidR="002B02A7" w:rsidRDefault="002B02A7" w:rsidP="006654AE"/>
    <w:p w:rsidR="002B02A7" w:rsidRPr="00DF38B2" w:rsidRDefault="002B02A7" w:rsidP="006654AE">
      <w:pPr>
        <w:sectPr w:rsidR="002B02A7" w:rsidRPr="00DF38B2" w:rsidSect="00285084">
          <w:headerReference w:type="even" r:id="rId175"/>
          <w:headerReference w:type="default" r:id="rId176"/>
          <w:footerReference w:type="even" r:id="rId177"/>
          <w:footerReference w:type="default" r:id="rId178"/>
          <w:headerReference w:type="first" r:id="rId179"/>
          <w:footerReference w:type="first" r:id="rId180"/>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593" w:name="_Toc403739126"/>
      <w:r w:rsidRPr="00DF38B2">
        <w:lastRenderedPageBreak/>
        <w:t>Voluntary Income Management</w:t>
      </w:r>
      <w:bookmarkEnd w:id="593"/>
    </w:p>
    <w:p w:rsidR="00417B51" w:rsidRPr="00DF38B2" w:rsidRDefault="00417B51" w:rsidP="00F42BEE">
      <w:pPr>
        <w:spacing w:before="1134" w:after="210"/>
      </w:pPr>
      <w:r w:rsidRPr="00DF38B2">
        <w:t>This chapter is concerned with the Voluntary Income Management stream</w:t>
      </w:r>
      <w:r w:rsidR="00A1421A">
        <w:t xml:space="preserve">. </w:t>
      </w:r>
      <w:r w:rsidRPr="00DF38B2">
        <w:t>This was one of the elements of New Income Management</w:t>
      </w:r>
      <w:r w:rsidR="006D34DF">
        <w:t>,</w:t>
      </w:r>
      <w:r w:rsidRPr="00DF38B2">
        <w:t xml:space="preserve"> which distinguishes it from the former </w:t>
      </w:r>
      <w:r w:rsidR="00832E2A">
        <w:t>NTER</w:t>
      </w:r>
      <w:r w:rsidRPr="00DF38B2">
        <w:t xml:space="preserve"> Income Management. Voluntary Income Management provides an opportunity for people who are not subject to compulsory income management to choose to be income managed</w:t>
      </w:r>
      <w:r w:rsidR="00A1421A">
        <w:t xml:space="preserve">. </w:t>
      </w:r>
      <w:r w:rsidRPr="00DF38B2">
        <w:t xml:space="preserve">People who choose to go onto the measure are paid a Voluntary Income Management Incentive Payment of $250 for every 26 continuous weeks </w:t>
      </w:r>
      <w:r w:rsidR="006D34DF">
        <w:t xml:space="preserve">that </w:t>
      </w:r>
      <w:r w:rsidRPr="00DF38B2">
        <w:t xml:space="preserve">they remain on the program. </w:t>
      </w:r>
    </w:p>
    <w:p w:rsidR="00417B51" w:rsidRPr="00DF38B2" w:rsidRDefault="00417B51" w:rsidP="006654AE">
      <w:r w:rsidRPr="00DF38B2">
        <w:t>Under Voluntary Income Management an income management rate of 50 per cent of regular payments and 100 per cent of lump</w:t>
      </w:r>
      <w:r w:rsidR="006D34DF">
        <w:t>-</w:t>
      </w:r>
      <w:r w:rsidRPr="00DF38B2">
        <w:t>sum payments, including advances, applies. These lump</w:t>
      </w:r>
      <w:r w:rsidR="006D34DF">
        <w:t>-</w:t>
      </w:r>
      <w:r w:rsidRPr="00DF38B2">
        <w:t>sum payments include the Incentive Payment mentioned above.</w:t>
      </w:r>
    </w:p>
    <w:p w:rsidR="00417B51" w:rsidRPr="00DF38B2" w:rsidRDefault="00417B51" w:rsidP="006654AE">
      <w:r w:rsidRPr="00DF38B2">
        <w:t xml:space="preserve">At the time New Income Management was introduced, people who had been subject to </w:t>
      </w:r>
      <w:r w:rsidR="00832E2A">
        <w:t xml:space="preserve">NTER </w:t>
      </w:r>
      <w:r w:rsidRPr="00DF38B2">
        <w:t xml:space="preserve">Income Management but not targeted under the new program were given the option </w:t>
      </w:r>
      <w:r w:rsidR="006D34DF">
        <w:t>at their exit interview</w:t>
      </w:r>
      <w:r w:rsidR="006D34DF" w:rsidRPr="00DF38B2">
        <w:t xml:space="preserve"> </w:t>
      </w:r>
      <w:r w:rsidRPr="00DF38B2">
        <w:t>to transfer onto Voluntary Income Management</w:t>
      </w:r>
      <w:r w:rsidR="00A1421A">
        <w:t xml:space="preserve">. </w:t>
      </w:r>
      <w:r w:rsidRPr="00DF38B2">
        <w:t>It is not entirely clear as to what extent the choices made in this process were made with a clear understanding of the options available to people.</w:t>
      </w:r>
    </w:p>
    <w:p w:rsidR="00417B51" w:rsidRPr="00DF38B2" w:rsidRDefault="00417B51" w:rsidP="006654AE">
      <w:pPr>
        <w:pStyle w:val="Heading2"/>
      </w:pPr>
      <w:bookmarkStart w:id="594" w:name="_Toc403739127"/>
      <w:r w:rsidRPr="00DF38B2">
        <w:t>Overview of the program</w:t>
      </w:r>
      <w:bookmarkEnd w:id="594"/>
    </w:p>
    <w:p w:rsidR="00417B51" w:rsidRPr="00DF38B2" w:rsidRDefault="00417B51" w:rsidP="006654AE">
      <w:r w:rsidRPr="00DF38B2">
        <w:t>Extensive information on this program stream and the experience of participants has already been provided in earlier chapters of this report. Some of this is summarised here along with more specific analysis of the motivations and views of those participating in it.</w:t>
      </w:r>
    </w:p>
    <w:p w:rsidR="00417B51" w:rsidRPr="00DF38B2" w:rsidRDefault="00417B51" w:rsidP="006654AE">
      <w:r w:rsidRPr="00DF38B2">
        <w:t>In December 2013 there were 3,675 people on Voluntary Income Management in the Northern Territory, 20.1 per cent of the total population of people income managed in the territory</w:t>
      </w:r>
      <w:r w:rsidR="00A1421A">
        <w:t xml:space="preserve">. </w:t>
      </w:r>
      <w:r w:rsidRPr="00DF38B2">
        <w:t xml:space="preserve">The number on the </w:t>
      </w:r>
      <w:r w:rsidR="00FF7E12" w:rsidRPr="00DF38B2">
        <w:t xml:space="preserve">stream </w:t>
      </w:r>
      <w:r w:rsidRPr="00DF38B2">
        <w:t xml:space="preserve">at </w:t>
      </w:r>
      <w:r w:rsidR="006D34DF">
        <w:t xml:space="preserve">the </w:t>
      </w:r>
      <w:r w:rsidRPr="00DF38B2">
        <w:t xml:space="preserve">end </w:t>
      </w:r>
      <w:r w:rsidR="006D34DF">
        <w:t xml:space="preserve">of </w:t>
      </w:r>
      <w:r w:rsidRPr="00DF38B2">
        <w:t>December 2013 was</w:t>
      </w:r>
      <w:r w:rsidR="006D34DF">
        <w:t xml:space="preserve"> </w:t>
      </w:r>
      <w:r w:rsidRPr="00DF38B2">
        <w:t xml:space="preserve">a 21.9 per cent decline from the peak of 4,707 recorded three years earlier in December 2010 which occurred with the </w:t>
      </w:r>
      <w:r w:rsidR="00D76AEA">
        <w:t>rollout</w:t>
      </w:r>
      <w:r w:rsidRPr="00DF38B2">
        <w:t xml:space="preserve"> of New Income Management. At that time this represented 29.2 per cent of the income</w:t>
      </w:r>
      <w:r w:rsidR="00A04470">
        <w:t xml:space="preserve"> </w:t>
      </w:r>
      <w:r w:rsidRPr="00DF38B2">
        <w:t>managed population in the Northern Territory.</w:t>
      </w:r>
    </w:p>
    <w:p w:rsidR="00417B51" w:rsidRPr="00DF38B2" w:rsidRDefault="00417B51" w:rsidP="006654AE">
      <w:pPr>
        <w:pStyle w:val="Heading3"/>
      </w:pPr>
      <w:bookmarkStart w:id="595" w:name="_Toc403739128"/>
      <w:r w:rsidRPr="00DF38B2">
        <w:t>Population characteristics</w:t>
      </w:r>
      <w:bookmarkEnd w:id="595"/>
    </w:p>
    <w:p w:rsidR="00417B51" w:rsidRPr="00DF38B2" w:rsidRDefault="00417B51" w:rsidP="006654AE">
      <w:r w:rsidRPr="00DF38B2">
        <w:t xml:space="preserve">There are many demographic differences between the </w:t>
      </w:r>
      <w:proofErr w:type="gramStart"/>
      <w:r w:rsidRPr="00DF38B2">
        <w:t>population</w:t>
      </w:r>
      <w:proofErr w:type="gramEnd"/>
      <w:r w:rsidRPr="00DF38B2">
        <w:t xml:space="preserve"> on Voluntary Income Management compared to the population on other forms of income management.</w:t>
      </w:r>
    </w:p>
    <w:p w:rsidR="00417B51" w:rsidRPr="00DF38B2" w:rsidRDefault="00417B51" w:rsidP="006654AE">
      <w:r w:rsidRPr="00DF38B2">
        <w:t>Most significantly</w:t>
      </w:r>
      <w:r w:rsidR="006D34DF">
        <w:t>,</w:t>
      </w:r>
      <w:r w:rsidRPr="00DF38B2">
        <w:t xml:space="preserve"> population on the Voluntary measure is almost wholly Indigenous. Just 60 out of the 3,675 people on the program </w:t>
      </w:r>
      <w:r w:rsidR="00FF7E12" w:rsidRPr="00DF38B2">
        <w:t xml:space="preserve">in December 2013 did </w:t>
      </w:r>
      <w:r w:rsidRPr="00DF38B2">
        <w:t>not identify as Indigenous, and thus 98.4 per cent of those on Voluntary Income Management are Indigenous. This compares with 87.9 per cent across the other streams of New Income Management.</w:t>
      </w:r>
    </w:p>
    <w:p w:rsidR="00417B51" w:rsidRPr="00DF38B2" w:rsidRDefault="00417B51" w:rsidP="006654AE">
      <w:r w:rsidRPr="00DF38B2">
        <w:t>The population is largely composed of older people. Some have a partner, but relative to the compulsory measures few have dependent children. As discussed in section 4.3.4, 58.8 per cent of participants in this stream of income management are single, with a further 17.9 per cent living with a partner and no children</w:t>
      </w:r>
      <w:r w:rsidR="00A1421A">
        <w:t xml:space="preserve">. </w:t>
      </w:r>
      <w:r w:rsidRPr="00DF38B2">
        <w:t>These proportions compare with 34.9 per cent and 12.0 per cent across other streams. Just under a quarter have children</w:t>
      </w:r>
      <w:r w:rsidR="006D34DF">
        <w:t>,</w:t>
      </w:r>
      <w:r w:rsidRPr="00DF38B2">
        <w:t xml:space="preserve"> with these people mainly being a member of a couple. There is little difference between the </w:t>
      </w:r>
      <w:r w:rsidRPr="00DF38B2">
        <w:lastRenderedPageBreak/>
        <w:t>participants on Voluntary Income Management and other forms by gender. Women account for 58.5 per cent of those on Voluntary Income Management compared with 59.7 per cent of those on other streams.</w:t>
      </w:r>
    </w:p>
    <w:p w:rsidR="00417B51" w:rsidRPr="00DF38B2" w:rsidRDefault="00417B51" w:rsidP="006654AE">
      <w:r w:rsidRPr="00DF38B2">
        <w:t xml:space="preserve">The relative age distribution of people on Voluntary Income Management and other streams is shown in </w:t>
      </w:r>
      <w:r w:rsidRPr="00DF38B2">
        <w:fldChar w:fldCharType="begin"/>
      </w:r>
      <w:r w:rsidRPr="00DF38B2">
        <w:instrText xml:space="preserve"> REF _Ref392229049 \h </w:instrText>
      </w:r>
      <w:r w:rsidRPr="00DF38B2">
        <w:fldChar w:fldCharType="separate"/>
      </w:r>
      <w:r w:rsidR="00906D13" w:rsidRPr="00FE502F">
        <w:t xml:space="preserve">Figure </w:t>
      </w:r>
      <w:r w:rsidR="00906D13">
        <w:rPr>
          <w:noProof/>
        </w:rPr>
        <w:t>11</w:t>
      </w:r>
      <w:r w:rsidR="00906D13" w:rsidRPr="00DF38B2">
        <w:noBreakHyphen/>
      </w:r>
      <w:r w:rsidR="00906D13">
        <w:rPr>
          <w:noProof/>
        </w:rPr>
        <w:t>1</w:t>
      </w:r>
      <w:r w:rsidRPr="00DF38B2">
        <w:fldChar w:fldCharType="end"/>
      </w:r>
      <w:r w:rsidRPr="00DF38B2">
        <w:t>. While the distribution of people on the other streams peaks in the 25 to 34</w:t>
      </w:r>
      <w:r w:rsidR="006D34DF">
        <w:t xml:space="preserve"> </w:t>
      </w:r>
      <w:r w:rsidRPr="00DF38B2">
        <w:t>year age group, for Voluntary</w:t>
      </w:r>
      <w:r w:rsidRPr="00FE502F">
        <w:t xml:space="preserve"> Income Management the major age groups are older, with roughly equal proportions in the 45</w:t>
      </w:r>
      <w:r w:rsidR="006D34DF">
        <w:t xml:space="preserve"> to </w:t>
      </w:r>
      <w:r w:rsidRPr="00FE502F">
        <w:t>54 year, 55</w:t>
      </w:r>
      <w:r w:rsidR="00FF7E12" w:rsidRPr="009655C3">
        <w:t xml:space="preserve"> to </w:t>
      </w:r>
      <w:r w:rsidRPr="009655C3">
        <w:t>64 year</w:t>
      </w:r>
      <w:r w:rsidR="006D34DF">
        <w:t>,</w:t>
      </w:r>
      <w:r w:rsidRPr="009655C3">
        <w:t xml:space="preserve"> and 65 years and over age groups, each of which contains around 20 per cent of the population on the progr</w:t>
      </w:r>
      <w:r w:rsidRPr="00DF38B2">
        <w:t>am</w:t>
      </w:r>
      <w:r w:rsidR="00A1421A">
        <w:t xml:space="preserve">. </w:t>
      </w:r>
      <w:r w:rsidRPr="00DF38B2">
        <w:t xml:space="preserve">It is in the latter </w:t>
      </w:r>
      <w:r w:rsidR="008F282E">
        <w:t xml:space="preserve">two </w:t>
      </w:r>
      <w:r w:rsidRPr="00DF38B2">
        <w:t>age groups that the largest contrast is seen with the other forms of income management. In particular</w:t>
      </w:r>
      <w:r w:rsidR="00A65CFA">
        <w:t>,</w:t>
      </w:r>
      <w:r w:rsidRPr="00DF38B2">
        <w:t xml:space="preserve"> while 21.4 per cent of those on the voluntary measure are aged 65 years and over</w:t>
      </w:r>
      <w:r w:rsidR="00A65CFA">
        <w:t>,</w:t>
      </w:r>
      <w:r w:rsidRPr="00DF38B2">
        <w:t xml:space="preserve"> the proportion on the other streams is just 0.2 per cent</w:t>
      </w:r>
      <w:r w:rsidR="00A65CFA">
        <w:t>.</w:t>
      </w:r>
      <w:r w:rsidRPr="00DF38B2">
        <w:rPr>
          <w:rStyle w:val="FootnoteReference"/>
        </w:rPr>
        <w:footnoteReference w:id="136"/>
      </w:r>
      <w:r w:rsidRPr="00DF38B2">
        <w:t xml:space="preserve"> </w:t>
      </w:r>
    </w:p>
    <w:p w:rsidR="00417B51" w:rsidRPr="00DF38B2" w:rsidRDefault="00417B51" w:rsidP="006654AE">
      <w:pPr>
        <w:pStyle w:val="Caption"/>
      </w:pPr>
      <w:bookmarkStart w:id="596" w:name="_Ref392229049"/>
      <w:bookmarkStart w:id="597" w:name="_Toc403739582"/>
      <w:r w:rsidRPr="00FE502F">
        <w:t xml:space="preserve">Figure </w:t>
      </w:r>
      <w:fldSimple w:instr=" STYLEREF 1 \s ">
        <w:r w:rsidR="00906D13">
          <w:rPr>
            <w:noProof/>
          </w:rPr>
          <w:t>11</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596"/>
      <w:r w:rsidRPr="00DF38B2">
        <w:t xml:space="preserve"> </w:t>
      </w:r>
      <w:r w:rsidR="001D25DF">
        <w:tab/>
      </w:r>
      <w:r w:rsidRPr="00DF38B2">
        <w:t xml:space="preserve">Comparative age composition of people on Voluntary Income Management and other </w:t>
      </w:r>
      <w:r w:rsidR="00E327D5">
        <w:t>income management</w:t>
      </w:r>
      <w:r w:rsidRPr="00DF38B2">
        <w:t xml:space="preserve"> streams</w:t>
      </w:r>
      <w:r w:rsidR="00E327D5">
        <w:t xml:space="preserve"> in the Northern Territory</w:t>
      </w:r>
      <w:r w:rsidRPr="00DF38B2">
        <w:t>, December 2013</w:t>
      </w:r>
      <w:bookmarkEnd w:id="597"/>
    </w:p>
    <w:p w:rsidR="00417B51" w:rsidRPr="00DF38B2" w:rsidRDefault="00417B51" w:rsidP="006654AE">
      <w:pPr>
        <w:pStyle w:val="graphicpaste"/>
      </w:pPr>
      <w:r w:rsidRPr="008E4D9D">
        <w:rPr>
          <w:noProof/>
        </w:rPr>
        <w:drawing>
          <wp:inline distT="0" distB="0" distL="0" distR="0" wp14:anchorId="6806309B" wp14:editId="508387E5">
            <wp:extent cx="4572000" cy="2743200"/>
            <wp:effectExtent l="0" t="0" r="0" b="0"/>
            <wp:docPr id="126" name="Picture 126" descr="This barchart shows the relative proportions of non-VIM and VIM persons on income management in different age groups. The data is as follows, with the first figure being the proportion on non-VIM participants falling into the age group and the second figure being the proportion of VIM participants.&#10;Under 25 years: 29.2% /6.9%&#10;25-34 years: 33.2% /12.6%&#10;35-44 years: 21.9% /17.3%&#10;45-54 years: 10.9% /21.3%&#10;55-64 years: 4.5% /20.3%&#10;65+ years: 0.2% /21.3%&#10;Key characteristics are not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pPr>
      <w:r w:rsidRPr="00FE502F">
        <w:t>Source:</w:t>
      </w:r>
      <w:r w:rsidR="00305D80">
        <w:t xml:space="preserve"> </w:t>
      </w:r>
      <w:r w:rsidR="00305D80">
        <w:tab/>
        <w:t>Derived from DHS administrative</w:t>
      </w:r>
      <w:r w:rsidRPr="00FE502F">
        <w:t xml:space="preserve"> data provided for t</w:t>
      </w:r>
      <w:r w:rsidRPr="009655C3">
        <w:t>he purposes of the evaluation.</w:t>
      </w:r>
    </w:p>
    <w:p w:rsidR="00FE1A6A" w:rsidRPr="009655C3" w:rsidRDefault="00FE1A6A" w:rsidP="006654AE">
      <w:pPr>
        <w:pStyle w:val="tablefootnoteslastline"/>
      </w:pPr>
    </w:p>
    <w:p w:rsidR="00417B51" w:rsidRPr="00DF38B2" w:rsidRDefault="00417B51" w:rsidP="006654AE">
      <w:r w:rsidRPr="00DF38B2">
        <w:t>Because the criteria for the compulsory forms of income management are predominantly based on receipt of particular payments, the types of income support received by people on Voluntary Income Management differs from others on the program</w:t>
      </w:r>
      <w:r w:rsidR="00A1421A">
        <w:t xml:space="preserve">. </w:t>
      </w:r>
      <w:r w:rsidRPr="00DF38B2">
        <w:t>This is discussed in Section 4.4.1</w:t>
      </w:r>
      <w:r w:rsidR="00A1421A">
        <w:t xml:space="preserve">. </w:t>
      </w:r>
      <w:r w:rsidRPr="00DF38B2">
        <w:t>Some 65.7 per cent of all people on Voluntary Income Management in December 2013 were in receipt of a Disability Support Pension</w:t>
      </w:r>
      <w:r w:rsidR="00A65CFA">
        <w:t>,</w:t>
      </w:r>
      <w:r w:rsidRPr="00DF38B2">
        <w:t xml:space="preserve"> and a further 20.8 per cent were on an Age Pension.</w:t>
      </w:r>
    </w:p>
    <w:p w:rsidR="00417B51" w:rsidRPr="00DF38B2" w:rsidRDefault="00417B51" w:rsidP="006654AE">
      <w:pPr>
        <w:pStyle w:val="Heading4"/>
      </w:pPr>
      <w:r w:rsidRPr="00DF38B2">
        <w:t xml:space="preserve">Location </w:t>
      </w:r>
    </w:p>
    <w:p w:rsidR="00417B51" w:rsidRPr="00DF38B2" w:rsidRDefault="00417B51" w:rsidP="006654AE">
      <w:r w:rsidRPr="00DF38B2">
        <w:t>There are two quite marked variations in the geographic distribution across the Northern Territory of the population on Voluntary Income Management relative to other forms of income management</w:t>
      </w:r>
      <w:r w:rsidR="00A1421A">
        <w:t xml:space="preserve">. </w:t>
      </w:r>
      <w:r w:rsidRPr="00DF38B2">
        <w:t xml:space="preserve">As illustrated in </w:t>
      </w:r>
      <w:r w:rsidRPr="00DF38B2">
        <w:fldChar w:fldCharType="begin"/>
      </w:r>
      <w:r w:rsidRPr="00DF38B2">
        <w:instrText xml:space="preserve"> REF _Ref392335469 \h </w:instrText>
      </w:r>
      <w:r w:rsidRPr="00DF38B2">
        <w:fldChar w:fldCharType="separate"/>
      </w:r>
      <w:r w:rsidR="00906D13" w:rsidRPr="00FE502F">
        <w:t xml:space="preserve">Figure </w:t>
      </w:r>
      <w:r w:rsidR="00906D13">
        <w:rPr>
          <w:noProof/>
        </w:rPr>
        <w:t>11</w:t>
      </w:r>
      <w:r w:rsidR="00906D13" w:rsidRPr="00DF38B2">
        <w:noBreakHyphen/>
      </w:r>
      <w:r w:rsidR="00906D13">
        <w:rPr>
          <w:noProof/>
        </w:rPr>
        <w:t>2</w:t>
      </w:r>
      <w:r w:rsidRPr="00DF38B2">
        <w:fldChar w:fldCharType="end"/>
      </w:r>
      <w:r w:rsidR="00A65CFA">
        <w:t>,</w:t>
      </w:r>
      <w:r w:rsidRPr="00DF38B2">
        <w:t xml:space="preserve"> in most locations between 20 and 22 per cent of people on income management have chosen the voluntary form. In Alice Springs this proportion is higher</w:t>
      </w:r>
      <w:r w:rsidR="00A65CFA">
        <w:t>,</w:t>
      </w:r>
      <w:r w:rsidRPr="00DF38B2">
        <w:t xml:space="preserve"> at 26.0 per cent. In Darwin it is substantially lower</w:t>
      </w:r>
      <w:r w:rsidR="00A65CFA">
        <w:t>,</w:t>
      </w:r>
      <w:r w:rsidRPr="00DF38B2">
        <w:t xml:space="preserve"> at 9.1 per cent.</w:t>
      </w:r>
    </w:p>
    <w:p w:rsidR="00417B51" w:rsidRPr="00DF38B2" w:rsidRDefault="00417B51" w:rsidP="006654AE">
      <w:pPr>
        <w:pStyle w:val="Caption"/>
      </w:pPr>
      <w:bookmarkStart w:id="598" w:name="_Ref392335469"/>
      <w:bookmarkStart w:id="599" w:name="_Toc403739583"/>
      <w:r w:rsidRPr="00FE502F">
        <w:lastRenderedPageBreak/>
        <w:t xml:space="preserve">Figure </w:t>
      </w:r>
      <w:fldSimple w:instr=" STYLEREF 1 \s ">
        <w:r w:rsidR="00906D13">
          <w:rPr>
            <w:noProof/>
          </w:rPr>
          <w:t>11</w:t>
        </w:r>
      </w:fldSimple>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598"/>
      <w:r w:rsidRPr="00DF38B2">
        <w:tab/>
        <w:t xml:space="preserve">Proportion of people on </w:t>
      </w:r>
      <w:r w:rsidR="005E4CAC">
        <w:t>income management</w:t>
      </w:r>
      <w:r w:rsidRPr="00DF38B2">
        <w:t xml:space="preserve"> </w:t>
      </w:r>
      <w:r w:rsidR="00E327D5">
        <w:t xml:space="preserve">in the Northern Territory </w:t>
      </w:r>
      <w:r w:rsidRPr="00DF38B2">
        <w:t xml:space="preserve">on Voluntary Income Management by </w:t>
      </w:r>
      <w:r w:rsidR="00A65CFA">
        <w:t>r</w:t>
      </w:r>
      <w:r w:rsidRPr="00DF38B2">
        <w:t>egion, December 2013</w:t>
      </w:r>
      <w:bookmarkEnd w:id="599"/>
    </w:p>
    <w:p w:rsidR="00417B51" w:rsidRPr="00DF38B2" w:rsidRDefault="00417B51" w:rsidP="006654AE">
      <w:pPr>
        <w:pStyle w:val="graphicpaste"/>
      </w:pPr>
      <w:r w:rsidRPr="008E4D9D">
        <w:rPr>
          <w:noProof/>
        </w:rPr>
        <w:drawing>
          <wp:inline distT="0" distB="0" distL="0" distR="0" wp14:anchorId="61013102" wp14:editId="05C20B3F">
            <wp:extent cx="4572000" cy="2565400"/>
            <wp:effectExtent l="0" t="0" r="0" b="6350"/>
            <wp:docPr id="127" name="Picture 127" descr="This barchart shows the proportion of the income managed population that are on voluntary income management in different regions in the Northern Territory. The data are: &#10;Greater Darwin: 9%&#10;Alice Springs: 26%&#10;Katherine: 22%&#10;Barkly including Tennant Creek: 21.2%&#10;East Arnhem: 20.2%&#10;Top &amp; West Arnhem: 22.3%&#10;South East Desert: 20%&#10;Mid West Desert: 21.2%&#10;There is some commentary on this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72000" cy="2565400"/>
                    </a:xfrm>
                    <a:prstGeom prst="rect">
                      <a:avLst/>
                    </a:prstGeom>
                    <a:noFill/>
                    <a:ln>
                      <a:noFill/>
                    </a:ln>
                  </pic:spPr>
                </pic:pic>
              </a:graphicData>
            </a:graphic>
          </wp:inline>
        </w:drawing>
      </w:r>
    </w:p>
    <w:p w:rsidR="00417B51" w:rsidRDefault="00417B51" w:rsidP="006654AE">
      <w:pPr>
        <w:pStyle w:val="tablenotes"/>
        <w:keepNext w:val="0"/>
      </w:pPr>
      <w:r w:rsidRPr="00FE502F">
        <w:t>Source:</w:t>
      </w:r>
      <w:r w:rsidR="00305D80">
        <w:t xml:space="preserve"> </w:t>
      </w:r>
      <w:r w:rsidR="00305D80">
        <w:tab/>
        <w:t>Derived from DHS administrative</w:t>
      </w:r>
      <w:r w:rsidRPr="00FE502F">
        <w:t xml:space="preserve"> data provided for the purposes of the evaluation.</w:t>
      </w:r>
    </w:p>
    <w:p w:rsidR="00FE1A6A" w:rsidRPr="00FE502F" w:rsidRDefault="00FE1A6A" w:rsidP="006654AE">
      <w:pPr>
        <w:pStyle w:val="tablefootnoteslastline"/>
      </w:pPr>
    </w:p>
    <w:p w:rsidR="00417B51" w:rsidRPr="009655C3" w:rsidRDefault="00417B51" w:rsidP="006654AE">
      <w:r w:rsidRPr="009655C3">
        <w:t>These regional disparities continue even if only the Indigenous population on income management is considered. Analysed on this basis, the proportion</w:t>
      </w:r>
      <w:r w:rsidR="008F282E">
        <w:t xml:space="preserve"> of the Indigenous income managed population who were</w:t>
      </w:r>
      <w:r w:rsidRPr="009655C3">
        <w:t xml:space="preserve"> on Voluntary Income Management in Darwin increases to 15.5 per cent. That in Alice Springs increases to 29.9 per cent.</w:t>
      </w:r>
    </w:p>
    <w:p w:rsidR="00417B51" w:rsidRPr="00DF38B2" w:rsidRDefault="00417B51" w:rsidP="006654AE">
      <w:pPr>
        <w:pStyle w:val="Heading4"/>
      </w:pPr>
      <w:r w:rsidRPr="00DF38B2">
        <w:t>Interactions with other forms of income management</w:t>
      </w:r>
    </w:p>
    <w:p w:rsidR="00417B51" w:rsidRPr="00DF38B2" w:rsidRDefault="00417B51" w:rsidP="006654AE">
      <w:r w:rsidRPr="00DF38B2">
        <w:t xml:space="preserve">As well as having strong historical associations with the </w:t>
      </w:r>
      <w:r w:rsidR="00832E2A">
        <w:t>NTER</w:t>
      </w:r>
      <w:r w:rsidRPr="00DF38B2">
        <w:t xml:space="preserve"> Income Management, Voluntary Income Management has many interactions with other forms of </w:t>
      </w:r>
      <w:r w:rsidR="005E4CAC">
        <w:t>income management</w:t>
      </w:r>
      <w:r w:rsidR="00A1421A">
        <w:t xml:space="preserve">. </w:t>
      </w:r>
      <w:r w:rsidRPr="00DF38B2">
        <w:fldChar w:fldCharType="begin"/>
      </w:r>
      <w:r w:rsidRPr="00DF38B2">
        <w:instrText xml:space="preserve"> REF _Ref392232400 \h </w:instrText>
      </w:r>
      <w:r w:rsidRPr="00DF38B2">
        <w:fldChar w:fldCharType="separate"/>
      </w:r>
      <w:r w:rsidR="00906D13" w:rsidRPr="00DF38B2">
        <w:t xml:space="preserve">Table </w:t>
      </w:r>
      <w:r w:rsidR="00906D13">
        <w:rPr>
          <w:noProof/>
        </w:rPr>
        <w:t>11</w:t>
      </w:r>
      <w:r w:rsidR="00906D13">
        <w:noBreakHyphen/>
      </w:r>
      <w:r w:rsidR="00906D13">
        <w:rPr>
          <w:noProof/>
        </w:rPr>
        <w:t>1</w:t>
      </w:r>
      <w:r w:rsidRPr="00DF38B2">
        <w:fldChar w:fldCharType="end"/>
      </w:r>
      <w:r w:rsidRPr="00DF38B2">
        <w:t xml:space="preserve"> presents these.</w:t>
      </w:r>
      <w:r w:rsidR="004616EF" w:rsidRPr="004616EF">
        <w:t xml:space="preserve"> In part these interactions reflect the operation of the hierarchy of the measures and the fact that if a person on Voluntary Income Management becomes subject to another form of income management through the triggering of their targeting criteria they move off Voluntary Income Management to these measures.</w:t>
      </w:r>
    </w:p>
    <w:p w:rsidR="00417B51" w:rsidRPr="00DF38B2" w:rsidRDefault="00417B51" w:rsidP="006654AE">
      <w:r w:rsidRPr="00FE502F">
        <w:t>Since the introduction of the program</w:t>
      </w:r>
      <w:r w:rsidR="00A65CFA">
        <w:t>,</w:t>
      </w:r>
      <w:r w:rsidRPr="00FE502F">
        <w:t xml:space="preserve"> 8,485 people have been on Voluntary Income Management in the Northern Territory at some point. The majority of these (73.5 per cent) had originally been on income management under the </w:t>
      </w:r>
      <w:r w:rsidR="00832E2A">
        <w:t>NTER.</w:t>
      </w:r>
      <w:r w:rsidR="00A1421A">
        <w:t xml:space="preserve"> </w:t>
      </w:r>
      <w:r w:rsidRPr="009655C3">
        <w:t xml:space="preserve">Amongst those currently on Voluntary Income Management this proportion is higher, with 86.5 per cent of those people on Voluntary Income Management in December 2013 having originally been subject to income management under the </w:t>
      </w:r>
      <w:r w:rsidR="00832E2A">
        <w:t>NTER</w:t>
      </w:r>
      <w:r w:rsidRPr="00DF38B2">
        <w:t>.</w:t>
      </w:r>
    </w:p>
    <w:p w:rsidR="00417B51" w:rsidRPr="00DF38B2" w:rsidRDefault="00417B51" w:rsidP="006654AE">
      <w:r w:rsidRPr="00DF38B2">
        <w:t>As also shown in the table, many people who were on various compulsory streams had also been on Voluntary Income Management at some stage. In December 2013 this included 13.3 per cent of those on the Disengaged Youth stream, 9.0 per cent of those on L</w:t>
      </w:r>
      <w:r w:rsidR="00E327D5">
        <w:t>ong-Term Welfare Payment Recipient measure</w:t>
      </w:r>
      <w:r w:rsidRPr="00DF38B2">
        <w:t>, 19.3 per cent of those on Child Protection income management</w:t>
      </w:r>
      <w:r w:rsidR="00A65CFA">
        <w:t>,</w:t>
      </w:r>
      <w:r w:rsidRPr="00DF38B2">
        <w:t xml:space="preserve"> and 67.1 per cent of those on the assessed Vulnerable measure. In many cases</w:t>
      </w:r>
      <w:r w:rsidR="00A65CFA">
        <w:t>,</w:t>
      </w:r>
      <w:r w:rsidRPr="00DF38B2">
        <w:t xml:space="preserve"> however</w:t>
      </w:r>
      <w:r w:rsidR="00A65CFA">
        <w:t>,</w:t>
      </w:r>
      <w:r w:rsidRPr="00DF38B2">
        <w:t xml:space="preserve"> </w:t>
      </w:r>
      <w:r w:rsidR="00A65CFA">
        <w:t>only a short</w:t>
      </w:r>
      <w:r w:rsidRPr="00DF38B2">
        <w:t xml:space="preserve"> time </w:t>
      </w:r>
      <w:r w:rsidR="00A65CFA">
        <w:t xml:space="preserve">has been </w:t>
      </w:r>
      <w:r w:rsidRPr="00DF38B2">
        <w:t>spent on the Voluntary measure. For example</w:t>
      </w:r>
      <w:r w:rsidR="00A65CFA">
        <w:t>,</w:t>
      </w:r>
      <w:r w:rsidRPr="00DF38B2">
        <w:t xml:space="preserve"> 64.9 per cent of those on the Disengaged Youth measure in December 2013 who had been on Voluntary Income Management at some time had been on for less than </w:t>
      </w:r>
      <w:r w:rsidR="00A65CFA">
        <w:t>three</w:t>
      </w:r>
      <w:r w:rsidRPr="00DF38B2">
        <w:t xml:space="preserve"> months</w:t>
      </w:r>
      <w:r w:rsidR="00A65CFA">
        <w:t>,</w:t>
      </w:r>
      <w:r w:rsidR="00350406">
        <w:t xml:space="preserve"> and 89.6 per cent had been on for less than </w:t>
      </w:r>
      <w:r w:rsidR="00A65CFA">
        <w:t>six</w:t>
      </w:r>
      <w:r w:rsidR="00350406">
        <w:t xml:space="preserve"> months</w:t>
      </w:r>
      <w:r w:rsidRPr="00DF38B2">
        <w:t xml:space="preserve">. </w:t>
      </w:r>
      <w:r w:rsidR="00350406">
        <w:t>Durations of less than three months were also recorded by</w:t>
      </w:r>
      <w:r w:rsidRPr="00DF38B2">
        <w:t xml:space="preserve"> 32.3 per cent of those on the </w:t>
      </w:r>
      <w:r w:rsidR="00E327D5" w:rsidRPr="00E327D5">
        <w:t>Long-Term Welfare Payment Recipient measure</w:t>
      </w:r>
      <w:r w:rsidR="00A65CFA">
        <w:t>,</w:t>
      </w:r>
      <w:r w:rsidRPr="00DF38B2">
        <w:t xml:space="preserve"> and</w:t>
      </w:r>
      <w:r w:rsidR="00A65CFA">
        <w:t xml:space="preserve"> by</w:t>
      </w:r>
      <w:r w:rsidRPr="00DF38B2">
        <w:t xml:space="preserve"> a quarter of those on the Child Protection and Vulnerable assessed measures</w:t>
      </w:r>
      <w:r w:rsidR="00A65CFA">
        <w:t xml:space="preserve"> and</w:t>
      </w:r>
      <w:r w:rsidRPr="00DF38B2">
        <w:t xml:space="preserve"> who had also been on Voluntary Income Management.</w:t>
      </w:r>
    </w:p>
    <w:p w:rsidR="00417B51" w:rsidRPr="00DF38B2" w:rsidRDefault="00417B51" w:rsidP="006654AE"/>
    <w:p w:rsidR="00417B51" w:rsidRPr="00DF38B2" w:rsidRDefault="00417B51" w:rsidP="006654AE">
      <w:pPr>
        <w:pStyle w:val="Caption"/>
      </w:pPr>
      <w:bookmarkStart w:id="600" w:name="_Ref392232400"/>
      <w:bookmarkStart w:id="601" w:name="_Toc403739485"/>
      <w:r w:rsidRPr="00DF38B2">
        <w:lastRenderedPageBreak/>
        <w:t xml:space="preserve">Table </w:t>
      </w:r>
      <w:fldSimple w:instr=" STYLEREF 1 \s ">
        <w:r w:rsidR="00906D13">
          <w:rPr>
            <w:noProof/>
          </w:rPr>
          <w:t>11</w:t>
        </w:r>
      </w:fldSimple>
      <w:r w:rsidR="00D40B64">
        <w:noBreakHyphen/>
      </w:r>
      <w:fldSimple w:instr=" SEQ Table \* ARABIC \s 1 ">
        <w:r w:rsidR="00906D13">
          <w:rPr>
            <w:noProof/>
          </w:rPr>
          <w:t>1</w:t>
        </w:r>
      </w:fldSimple>
      <w:bookmarkEnd w:id="600"/>
      <w:r w:rsidRPr="00DF38B2">
        <w:tab/>
      </w:r>
      <w:r w:rsidR="00E327D5">
        <w:t>Persons who have been on Voluntary Income Management or are currently on income management in the Northern Territory,</w:t>
      </w:r>
      <w:r w:rsidRPr="00DF38B2">
        <w:t xml:space="preserve"> whether ever been on Voluntary Income Management and current income management status</w:t>
      </w:r>
      <w:r w:rsidR="00E327D5">
        <w:t>, December 2013</w:t>
      </w:r>
      <w:bookmarkEnd w:id="601"/>
    </w:p>
    <w:tbl>
      <w:tblPr>
        <w:tblW w:w="9372" w:type="dxa"/>
        <w:tblInd w:w="-601" w:type="dxa"/>
        <w:tblLook w:val="04A0" w:firstRow="1" w:lastRow="0" w:firstColumn="1" w:lastColumn="0" w:noHBand="0" w:noVBand="1"/>
        <w:tblDescription w:val="This table has a complex structure.  It has three horizontal panels, the first for people currently on income management in the Northern Territory the second is for people who have been on VIM but are currently not on income management in the Northern Territory while the third is a single line total of the population identified in the previous two panels.&#10;The first panel has 7 data columns. The first six of which (unless otherwise noted) are counts of the number of people in particular circumstances and the seventh which is a proportion of the income management population. The first three columns are for those who have been on VIM, firstly those who had been on NTER IM, secondly those who had not been and thirdly a total of these two groups. The next two columns are for those currently on IM in the NT but who have never been on VIM, the first of these is for people who had been on NTER IM the second for those who had not been.  The sixth column represents the total of all people in the previous columns of the panel.  The final column provides the proportion of the population who had ever been on VIM.&#10;The rows in this panel of the table initially reflect the 11 different Income Management program streams that people are currently on, followed by a total, then by a distribution of the population currently on income management by the different combinations detailed in the column titles and then the proportion of people who had ever been on VIM who are currently on income management – this data only is given for the first three columns as this is the only group that has been on VIM.&#10;The second panel again only contains data for the first three columns and details 10 different possible states that people could be in.&#10;The main features of the table are discussed in the text.&#10;"/>
      </w:tblPr>
      <w:tblGrid>
        <w:gridCol w:w="1135"/>
        <w:gridCol w:w="2169"/>
        <w:gridCol w:w="860"/>
        <w:gridCol w:w="707"/>
        <w:gridCol w:w="751"/>
        <w:gridCol w:w="220"/>
        <w:gridCol w:w="855"/>
        <w:gridCol w:w="736"/>
        <w:gridCol w:w="698"/>
        <w:gridCol w:w="230"/>
        <w:gridCol w:w="1011"/>
      </w:tblGrid>
      <w:tr w:rsidR="001F1187" w:rsidRPr="001F1187" w:rsidTr="001F1187">
        <w:trPr>
          <w:trHeight w:val="20"/>
          <w:tblHeader/>
        </w:trPr>
        <w:tc>
          <w:tcPr>
            <w:tcW w:w="1135" w:type="dxa"/>
            <w:tcBorders>
              <w:top w:val="single" w:sz="4" w:space="0" w:color="auto"/>
              <w:left w:val="nil"/>
              <w:bottom w:val="single" w:sz="4" w:space="0" w:color="auto"/>
              <w:right w:val="nil"/>
            </w:tcBorders>
          </w:tcPr>
          <w:p w:rsidR="001F1187" w:rsidRPr="001F1187" w:rsidRDefault="001F1187" w:rsidP="001F1187">
            <w:pPr>
              <w:pStyle w:val="tabletextleft"/>
              <w:jc w:val="right"/>
              <w:rPr>
                <w:rFonts w:eastAsia="Times New Roman"/>
                <w:sz w:val="16"/>
              </w:rPr>
            </w:pPr>
          </w:p>
        </w:tc>
        <w:tc>
          <w:tcPr>
            <w:tcW w:w="2169"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left"/>
              <w:jc w:val="right"/>
              <w:rPr>
                <w:rFonts w:eastAsia="Times New Roman"/>
                <w:sz w:val="16"/>
              </w:rPr>
            </w:pPr>
          </w:p>
        </w:tc>
        <w:tc>
          <w:tcPr>
            <w:tcW w:w="860"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right"/>
              <w:rPr>
                <w:rFonts w:eastAsia="Times New Roman"/>
                <w:sz w:val="16"/>
              </w:rPr>
            </w:pPr>
            <w:r w:rsidRPr="001F1187">
              <w:rPr>
                <w:rFonts w:eastAsia="Times New Roman"/>
                <w:sz w:val="16"/>
              </w:rPr>
              <w:t>Ever been on VIM – had  been on NTER IM</w:t>
            </w:r>
          </w:p>
        </w:tc>
        <w:tc>
          <w:tcPr>
            <w:tcW w:w="707"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 xml:space="preserve">Ever been on VIM – not </w:t>
            </w:r>
          </w:p>
          <w:p w:rsidR="001F1187" w:rsidRPr="001F1187" w:rsidRDefault="001F1187" w:rsidP="001F1187">
            <w:pPr>
              <w:pStyle w:val="tabletextright"/>
              <w:rPr>
                <w:rFonts w:eastAsia="Times New Roman"/>
                <w:sz w:val="16"/>
              </w:rPr>
            </w:pPr>
            <w:r w:rsidRPr="001F1187">
              <w:rPr>
                <w:rFonts w:eastAsia="Times New Roman"/>
                <w:sz w:val="16"/>
              </w:rPr>
              <w:t>NTER IM</w:t>
            </w:r>
          </w:p>
        </w:tc>
        <w:tc>
          <w:tcPr>
            <w:tcW w:w="751"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Ever been on VIM –  Total</w:t>
            </w:r>
          </w:p>
        </w:tc>
        <w:tc>
          <w:tcPr>
            <w:tcW w:w="220" w:type="dxa"/>
            <w:tcBorders>
              <w:top w:val="single" w:sz="4" w:space="0" w:color="auto"/>
              <w:left w:val="nil"/>
              <w:bottom w:val="single" w:sz="4" w:space="0" w:color="auto"/>
              <w:right w:val="nil"/>
            </w:tcBorders>
            <w:tcMar>
              <w:left w:w="28" w:type="dxa"/>
              <w:right w:w="28" w:type="dxa"/>
            </w:tcMar>
          </w:tcPr>
          <w:p w:rsidR="001F1187" w:rsidRPr="001F1187" w:rsidRDefault="001F1187" w:rsidP="001F1187">
            <w:pPr>
              <w:pStyle w:val="tabletextright"/>
              <w:rPr>
                <w:rFonts w:eastAsia="Times New Roman"/>
                <w:sz w:val="16"/>
              </w:rPr>
            </w:pPr>
          </w:p>
        </w:tc>
        <w:tc>
          <w:tcPr>
            <w:tcW w:w="855"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Current on IM but never on VIM – had been on NTER IM</w:t>
            </w:r>
          </w:p>
        </w:tc>
        <w:tc>
          <w:tcPr>
            <w:tcW w:w="736"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 xml:space="preserve">Current on IM but never on VIM – other  </w:t>
            </w:r>
          </w:p>
        </w:tc>
        <w:tc>
          <w:tcPr>
            <w:tcW w:w="698"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Total</w:t>
            </w:r>
          </w:p>
        </w:tc>
        <w:tc>
          <w:tcPr>
            <w:tcW w:w="230"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p>
        </w:tc>
        <w:tc>
          <w:tcPr>
            <w:tcW w:w="1011"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right"/>
              <w:rPr>
                <w:rFonts w:eastAsia="Times New Roman"/>
                <w:sz w:val="16"/>
              </w:rPr>
            </w:pPr>
            <w:r w:rsidRPr="001F1187">
              <w:rPr>
                <w:rFonts w:eastAsia="Times New Roman"/>
                <w:sz w:val="16"/>
              </w:rPr>
              <w:t xml:space="preserve">Proportion </w:t>
            </w:r>
            <w:proofErr w:type="gramStart"/>
            <w:r w:rsidRPr="001F1187">
              <w:rPr>
                <w:rFonts w:eastAsia="Times New Roman"/>
                <w:sz w:val="16"/>
              </w:rPr>
              <w:t>who</w:t>
            </w:r>
            <w:proofErr w:type="gramEnd"/>
            <w:r w:rsidRPr="001F1187">
              <w:rPr>
                <w:rFonts w:eastAsia="Times New Roman"/>
                <w:sz w:val="16"/>
              </w:rPr>
              <w:t xml:space="preserve"> have ever been on VIM (%)</w:t>
            </w:r>
          </w:p>
        </w:tc>
      </w:tr>
      <w:tr w:rsidR="001F1187" w:rsidRPr="00DF38B2" w:rsidTr="001F1187">
        <w:trPr>
          <w:trHeight w:val="20"/>
        </w:trPr>
        <w:tc>
          <w:tcPr>
            <w:tcW w:w="1135" w:type="dxa"/>
            <w:vMerge w:val="restart"/>
            <w:tcBorders>
              <w:top w:val="single" w:sz="4" w:space="0" w:color="auto"/>
              <w:left w:val="nil"/>
              <w:right w:val="nil"/>
            </w:tcBorders>
          </w:tcPr>
          <w:p w:rsidR="001F1187" w:rsidRPr="00DF38B2" w:rsidRDefault="001F1187" w:rsidP="006654AE">
            <w:pPr>
              <w:pStyle w:val="tabletextleft"/>
              <w:rPr>
                <w:rFonts w:eastAsia="Times New Roman"/>
              </w:rPr>
            </w:pPr>
            <w:r>
              <w:rPr>
                <w:rFonts w:eastAsia="Times New Roman"/>
              </w:rPr>
              <w:t>On IM in the NT</w:t>
            </w:r>
          </w:p>
        </w:tc>
        <w:tc>
          <w:tcPr>
            <w:tcW w:w="2169"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Disengaged Youth</w:t>
            </w:r>
          </w:p>
        </w:tc>
        <w:tc>
          <w:tcPr>
            <w:tcW w:w="860"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205</w:t>
            </w:r>
          </w:p>
        </w:tc>
        <w:tc>
          <w:tcPr>
            <w:tcW w:w="707"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322</w:t>
            </w:r>
          </w:p>
        </w:tc>
        <w:tc>
          <w:tcPr>
            <w:tcW w:w="751"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527</w:t>
            </w:r>
          </w:p>
        </w:tc>
        <w:tc>
          <w:tcPr>
            <w:tcW w:w="220" w:type="dxa"/>
            <w:tcBorders>
              <w:top w:val="single" w:sz="4" w:space="0" w:color="auto"/>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1,330</w:t>
            </w:r>
          </w:p>
        </w:tc>
        <w:tc>
          <w:tcPr>
            <w:tcW w:w="736"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2,120</w:t>
            </w:r>
          </w:p>
        </w:tc>
        <w:tc>
          <w:tcPr>
            <w:tcW w:w="698"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3,977</w:t>
            </w:r>
          </w:p>
        </w:tc>
        <w:tc>
          <w:tcPr>
            <w:tcW w:w="230"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13.3</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LTWPR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558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345</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903</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5,169</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3,996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10,068</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9.0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Child Protection</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45</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22</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83</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19.3</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Assessed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96</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114</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170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67.1</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Crisis Pay</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32</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43</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87</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UTLAH</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146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165</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4.2</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Spec. Benefit</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SPAR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24</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45.8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Nominee 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41</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12.2</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3,159</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491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3,650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3,650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 xml:space="preserve">Exempt </w:t>
            </w:r>
            <w:r>
              <w:rPr>
                <w:rFonts w:eastAsia="Times New Roman"/>
              </w:rPr>
              <w:t>–</w:t>
            </w:r>
            <w:r w:rsidRPr="00DF38B2">
              <w:rPr>
                <w:rFonts w:eastAsia="Times New Roman"/>
              </w:rPr>
              <w:t xml:space="preserve"> on VIM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b/>
                <w:i/>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b/>
                <w:i/>
              </w:rPr>
            </w:pPr>
            <w:r w:rsidRPr="00DF38B2">
              <w:rPr>
                <w:rFonts w:eastAsia="Times New Roman"/>
                <w:b/>
                <w:i/>
              </w:rPr>
              <w:t xml:space="preserve">Total </w:t>
            </w:r>
            <w:r>
              <w:rPr>
                <w:rFonts w:eastAsia="Times New Roman"/>
                <w:b/>
                <w:i/>
              </w:rPr>
              <w:t>–</w:t>
            </w:r>
            <w:r w:rsidRPr="00DF38B2">
              <w:rPr>
                <w:rFonts w:eastAsia="Times New Roman"/>
                <w:b/>
                <w:i/>
              </w:rPr>
              <w:t xml:space="preserve"> Current IM </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4,055</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1,211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5,266</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b/>
                <w:i/>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6,643</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6,380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18,289</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28.8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Distribution (%)</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22.2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28.8</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36.3</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34.9</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100.0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r>
      <w:tr w:rsidR="001F1187" w:rsidRPr="00DF38B2" w:rsidTr="001F1187">
        <w:trPr>
          <w:trHeight w:val="20"/>
        </w:trPr>
        <w:tc>
          <w:tcPr>
            <w:tcW w:w="1135" w:type="dxa"/>
            <w:vMerge/>
            <w:tcBorders>
              <w:left w:val="nil"/>
              <w:bottom w:val="single" w:sz="4" w:space="0" w:color="auto"/>
              <w:right w:val="nil"/>
            </w:tcBorders>
          </w:tcPr>
          <w:p w:rsidR="001F1187" w:rsidRPr="00DF38B2" w:rsidRDefault="001F1187" w:rsidP="006654AE">
            <w:pPr>
              <w:pStyle w:val="tabletextleft"/>
              <w:rPr>
                <w:rFonts w:eastAsia="Times New Roman"/>
              </w:rPr>
            </w:pPr>
          </w:p>
        </w:tc>
        <w:tc>
          <w:tcPr>
            <w:tcW w:w="2169"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Proportion ever VIM on IM</w:t>
            </w:r>
          </w:p>
        </w:tc>
        <w:tc>
          <w:tcPr>
            <w:tcW w:w="860"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65.0</w:t>
            </w:r>
          </w:p>
        </w:tc>
        <w:tc>
          <w:tcPr>
            <w:tcW w:w="707"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53.8</w:t>
            </w:r>
          </w:p>
        </w:tc>
        <w:tc>
          <w:tcPr>
            <w:tcW w:w="751"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62.1</w:t>
            </w:r>
          </w:p>
        </w:tc>
        <w:tc>
          <w:tcPr>
            <w:tcW w:w="220" w:type="dxa"/>
            <w:tcBorders>
              <w:top w:val="nil"/>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val="restart"/>
            <w:tcBorders>
              <w:top w:val="single" w:sz="4" w:space="0" w:color="auto"/>
              <w:left w:val="nil"/>
              <w:right w:val="nil"/>
            </w:tcBorders>
          </w:tcPr>
          <w:p w:rsidR="001F1187" w:rsidRPr="00DF38B2" w:rsidRDefault="001F1187" w:rsidP="006654AE">
            <w:pPr>
              <w:pStyle w:val="tabletextleft"/>
              <w:rPr>
                <w:rFonts w:eastAsia="Times New Roman"/>
              </w:rPr>
            </w:pPr>
            <w:r>
              <w:rPr>
                <w:rFonts w:eastAsia="Times New Roman"/>
              </w:rPr>
              <w:t>Not on IM in the NT</w:t>
            </w:r>
          </w:p>
        </w:tc>
        <w:tc>
          <w:tcPr>
            <w:tcW w:w="2169"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income manage</w:t>
            </w:r>
          </w:p>
        </w:tc>
        <w:tc>
          <w:tcPr>
            <w:tcW w:w="860"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39</w:t>
            </w:r>
          </w:p>
        </w:tc>
        <w:tc>
          <w:tcPr>
            <w:tcW w:w="707"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199</w:t>
            </w:r>
          </w:p>
        </w:tc>
        <w:tc>
          <w:tcPr>
            <w:tcW w:w="751"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238</w:t>
            </w:r>
          </w:p>
        </w:tc>
        <w:tc>
          <w:tcPr>
            <w:tcW w:w="220" w:type="dxa"/>
            <w:tcBorders>
              <w:top w:val="single" w:sz="4" w:space="0" w:color="auto"/>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OOS Exempt</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Exempt no 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Benefits &amp; PP</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129</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219</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Pension</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1,038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201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1,239</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FTB</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71</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97</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Income Supp.</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140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other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Dead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454</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493</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No record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365</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317</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682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bottom w:val="single" w:sz="4" w:space="0" w:color="auto"/>
              <w:right w:val="nil"/>
            </w:tcBorders>
          </w:tcPr>
          <w:p w:rsidR="001F1187" w:rsidRPr="00DF38B2" w:rsidRDefault="001F1187" w:rsidP="006654AE">
            <w:pPr>
              <w:pStyle w:val="tabletextleft"/>
              <w:rPr>
                <w:rFonts w:eastAsia="Times New Roman"/>
                <w:b/>
                <w:i/>
              </w:rPr>
            </w:pPr>
          </w:p>
        </w:tc>
        <w:tc>
          <w:tcPr>
            <w:tcW w:w="2169"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left"/>
              <w:rPr>
                <w:rFonts w:eastAsia="Times New Roman"/>
                <w:b/>
                <w:i/>
              </w:rPr>
            </w:pPr>
            <w:r w:rsidRPr="00DF38B2">
              <w:rPr>
                <w:rFonts w:eastAsia="Times New Roman"/>
                <w:b/>
                <w:i/>
              </w:rPr>
              <w:t xml:space="preserve">Not on IM </w:t>
            </w:r>
          </w:p>
        </w:tc>
        <w:tc>
          <w:tcPr>
            <w:tcW w:w="860"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2,181</w:t>
            </w:r>
          </w:p>
        </w:tc>
        <w:tc>
          <w:tcPr>
            <w:tcW w:w="707"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1,038</w:t>
            </w:r>
          </w:p>
        </w:tc>
        <w:tc>
          <w:tcPr>
            <w:tcW w:w="751"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3,219</w:t>
            </w:r>
          </w:p>
        </w:tc>
        <w:tc>
          <w:tcPr>
            <w:tcW w:w="220" w:type="dxa"/>
            <w:tcBorders>
              <w:top w:val="nil"/>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b/>
                <w:i/>
              </w:rPr>
            </w:pPr>
          </w:p>
        </w:tc>
        <w:tc>
          <w:tcPr>
            <w:tcW w:w="855"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736"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698"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230"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1011"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b/>
                <w:i/>
              </w:rPr>
            </w:pPr>
          </w:p>
        </w:tc>
      </w:tr>
      <w:tr w:rsidR="001F1187" w:rsidRPr="00DF38B2" w:rsidTr="00F612EF">
        <w:trPr>
          <w:trHeight w:val="20"/>
        </w:trPr>
        <w:tc>
          <w:tcPr>
            <w:tcW w:w="3304" w:type="dxa"/>
            <w:gridSpan w:val="2"/>
            <w:tcBorders>
              <w:top w:val="single" w:sz="4" w:space="0" w:color="auto"/>
              <w:left w:val="nil"/>
              <w:bottom w:val="single" w:sz="4" w:space="0" w:color="auto"/>
              <w:right w:val="nil"/>
            </w:tcBorders>
          </w:tcPr>
          <w:p w:rsidR="001F1187" w:rsidRPr="00DF38B2" w:rsidRDefault="001F1187" w:rsidP="006654AE">
            <w:pPr>
              <w:pStyle w:val="tabletextleft"/>
              <w:rPr>
                <w:rFonts w:eastAsia="Times New Roman"/>
              </w:rPr>
            </w:pPr>
            <w:r>
              <w:rPr>
                <w:rFonts w:eastAsia="Times New Roman"/>
              </w:rPr>
              <w:t>Total ever on VIM</w:t>
            </w:r>
          </w:p>
        </w:tc>
        <w:tc>
          <w:tcPr>
            <w:tcW w:w="860" w:type="dxa"/>
            <w:tcBorders>
              <w:top w:val="single" w:sz="4" w:space="0" w:color="auto"/>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6,236</w:t>
            </w:r>
          </w:p>
        </w:tc>
        <w:tc>
          <w:tcPr>
            <w:tcW w:w="707"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2,249</w:t>
            </w:r>
          </w:p>
        </w:tc>
        <w:tc>
          <w:tcPr>
            <w:tcW w:w="751"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8,485</w:t>
            </w:r>
          </w:p>
        </w:tc>
        <w:tc>
          <w:tcPr>
            <w:tcW w:w="220" w:type="dxa"/>
            <w:tcBorders>
              <w:top w:val="single" w:sz="4" w:space="0" w:color="auto"/>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single" w:sz="4" w:space="0" w:color="auto"/>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p>
        </w:tc>
      </w:tr>
    </w:tbl>
    <w:p w:rsidR="00E327D5" w:rsidRDefault="00E327D5" w:rsidP="006654AE">
      <w:pPr>
        <w:pStyle w:val="tablenotes"/>
      </w:pPr>
    </w:p>
    <w:p w:rsidR="00417B51" w:rsidRDefault="00417B51" w:rsidP="006654AE">
      <w:pPr>
        <w:pStyle w:val="tablenotes"/>
      </w:pPr>
      <w:r w:rsidRPr="00DF38B2">
        <w:t>Source:</w:t>
      </w:r>
      <w:r w:rsidR="00305D80">
        <w:t xml:space="preserve"> </w:t>
      </w:r>
      <w:r w:rsidR="00305D80">
        <w:tab/>
        <w:t>Derived from DHS administrative</w:t>
      </w:r>
      <w:r w:rsidRPr="00DF38B2">
        <w:t xml:space="preserve"> data provided for the purposes of the evaluation.</w:t>
      </w:r>
    </w:p>
    <w:p w:rsidR="00FE1A6A" w:rsidRPr="00DF38B2" w:rsidRDefault="00FE1A6A" w:rsidP="006654AE">
      <w:pPr>
        <w:pStyle w:val="tablefootnoteslastline"/>
      </w:pPr>
    </w:p>
    <w:p w:rsidR="00417B51" w:rsidRPr="00DF38B2" w:rsidRDefault="00417B51" w:rsidP="006654AE">
      <w:r w:rsidRPr="00DF38B2">
        <w:t xml:space="preserve">Turning to the group </w:t>
      </w:r>
      <w:r w:rsidR="00A65CFA">
        <w:t>that</w:t>
      </w:r>
      <w:r w:rsidRPr="00DF38B2">
        <w:t xml:space="preserve"> had originally been on NTER Income Management and had moved onto Voluntary Income Management, 50.8 per cent </w:t>
      </w:r>
      <w:r w:rsidR="00711BD2">
        <w:t xml:space="preserve">are </w:t>
      </w:r>
      <w:r w:rsidRPr="00DF38B2">
        <w:t xml:space="preserve">still on Voluntary Income Management and 14.2 per cent </w:t>
      </w:r>
      <w:r w:rsidR="00711BD2">
        <w:t>are</w:t>
      </w:r>
      <w:r w:rsidR="00711BD2" w:rsidRPr="00DF38B2">
        <w:t xml:space="preserve"> </w:t>
      </w:r>
      <w:r w:rsidRPr="00DF38B2">
        <w:t>on various forms of compulsory and targeted income management in the Northern Territory. Of the balance</w:t>
      </w:r>
      <w:r w:rsidR="00A65CFA">
        <w:t>,</w:t>
      </w:r>
      <w:r w:rsidRPr="00DF38B2">
        <w:t xml:space="preserve"> 16.6 per cent are on Pensions without being income managed, 7.2 per cent have died</w:t>
      </w:r>
      <w:r w:rsidR="00A65CFA">
        <w:t>,</w:t>
      </w:r>
      <w:r w:rsidRPr="00DF38B2">
        <w:t xml:space="preserve"> and 5.9 per cent are not on the Centrelink administrative data system.</w:t>
      </w:r>
    </w:p>
    <w:p w:rsidR="00417B51" w:rsidRPr="00DF38B2" w:rsidRDefault="00417B51" w:rsidP="006654AE">
      <w:r w:rsidRPr="00DF38B2">
        <w:t xml:space="preserve">As has been detailed in Section 4.5.4 the time spent on </w:t>
      </w:r>
      <w:r w:rsidR="005E4CAC">
        <w:t>income management</w:t>
      </w:r>
      <w:r w:rsidRPr="00DF38B2">
        <w:t xml:space="preserve"> by people on Voluntary Income Management is longer than that of other groups.</w:t>
      </w:r>
    </w:p>
    <w:p w:rsidR="00417B51" w:rsidRPr="00DF38B2" w:rsidRDefault="00417B51" w:rsidP="006654AE">
      <w:r w:rsidRPr="00DF38B2">
        <w:t>One very small group of people on Voluntary Income Management have gained an exemption from Compulsory Income Management and then chose</w:t>
      </w:r>
      <w:r w:rsidR="00A65CFA">
        <w:t>n</w:t>
      </w:r>
      <w:r w:rsidRPr="00DF38B2">
        <w:t xml:space="preserve"> to be on the voluntary measure. As discussed in Chapter 5, the motivation for this is likely to be that </w:t>
      </w:r>
      <w:r w:rsidR="00A65CFA">
        <w:t>it</w:t>
      </w:r>
      <w:r w:rsidRPr="00DF38B2">
        <w:t xml:space="preserve"> enables them to access the incentive payment made to those on the voluntary measure</w:t>
      </w:r>
      <w:r w:rsidR="00A1421A">
        <w:t xml:space="preserve">. </w:t>
      </w:r>
      <w:r w:rsidRPr="00DF38B2">
        <w:t xml:space="preserve">In December 2013 there were </w:t>
      </w:r>
      <w:r w:rsidR="00A65CFA">
        <w:t>only</w:t>
      </w:r>
      <w:r w:rsidRPr="00DF38B2">
        <w:t xml:space="preserve"> 21 people in this situation – just over half of whom had been on </w:t>
      </w:r>
      <w:r w:rsidR="005E4CAC">
        <w:t>income management</w:t>
      </w:r>
      <w:r w:rsidRPr="00DF38B2">
        <w:t xml:space="preserve"> under the NTER.</w:t>
      </w:r>
    </w:p>
    <w:p w:rsidR="00417B51" w:rsidRPr="00DF38B2" w:rsidRDefault="00417B51" w:rsidP="006654AE">
      <w:pPr>
        <w:pStyle w:val="Heading3"/>
      </w:pPr>
      <w:bookmarkStart w:id="602" w:name="_Toc403739129"/>
      <w:r w:rsidRPr="00DF38B2">
        <w:t>Behaviours and outcomes</w:t>
      </w:r>
      <w:bookmarkEnd w:id="602"/>
      <w:r w:rsidRPr="00DF38B2">
        <w:t xml:space="preserve"> </w:t>
      </w:r>
    </w:p>
    <w:p w:rsidR="00417B51" w:rsidRPr="00DF38B2" w:rsidRDefault="00417B51" w:rsidP="006654AE">
      <w:pPr>
        <w:spacing w:line="276" w:lineRule="auto"/>
        <w:rPr>
          <w:szCs w:val="19"/>
        </w:rPr>
      </w:pPr>
      <w:r w:rsidRPr="00DF38B2">
        <w:rPr>
          <w:szCs w:val="19"/>
        </w:rPr>
        <w:t>Outcomes of people on Voluntary Income Management have been identified in previous chapters, as have some of their views on income management</w:t>
      </w:r>
      <w:r w:rsidR="00A1421A">
        <w:rPr>
          <w:szCs w:val="19"/>
        </w:rPr>
        <w:t xml:space="preserve">. </w:t>
      </w:r>
      <w:r w:rsidRPr="00DF38B2">
        <w:rPr>
          <w:szCs w:val="19"/>
        </w:rPr>
        <w:t>In interpreting these results it should also be noted that on average those on Voluntary Income Management have higher incomes than those on other payments</w:t>
      </w:r>
      <w:r w:rsidR="008F282E">
        <w:rPr>
          <w:szCs w:val="19"/>
        </w:rPr>
        <w:t>. T</w:t>
      </w:r>
      <w:r w:rsidRPr="00DF38B2">
        <w:rPr>
          <w:szCs w:val="19"/>
        </w:rPr>
        <w:t xml:space="preserve">his </w:t>
      </w:r>
      <w:r w:rsidR="008F282E">
        <w:rPr>
          <w:szCs w:val="19"/>
        </w:rPr>
        <w:t xml:space="preserve">mainly </w:t>
      </w:r>
      <w:r w:rsidRPr="00DF38B2">
        <w:rPr>
          <w:szCs w:val="19"/>
        </w:rPr>
        <w:t>arises from the higher rate at which the Age Pension and the Disability Support Pension are paid relative to Parenting Payment Partnered, Newstart Allowance and Youth Allowance. These differences are large</w:t>
      </w:r>
      <w:r w:rsidR="00A1421A">
        <w:rPr>
          <w:szCs w:val="19"/>
        </w:rPr>
        <w:t xml:space="preserve">. </w:t>
      </w:r>
      <w:r w:rsidRPr="00DF38B2">
        <w:rPr>
          <w:szCs w:val="19"/>
        </w:rPr>
        <w:t>For example</w:t>
      </w:r>
      <w:r w:rsidR="00E62781">
        <w:rPr>
          <w:szCs w:val="19"/>
        </w:rPr>
        <w:t>,</w:t>
      </w:r>
      <w:r w:rsidRPr="00DF38B2">
        <w:rPr>
          <w:szCs w:val="19"/>
        </w:rPr>
        <w:t xml:space="preserve"> while a single person aged 40 years on Newstart would receive an allowance of </w:t>
      </w:r>
      <w:r w:rsidR="00350406">
        <w:rPr>
          <w:szCs w:val="19"/>
        </w:rPr>
        <w:t xml:space="preserve">around </w:t>
      </w:r>
      <w:r w:rsidRPr="00DF38B2">
        <w:rPr>
          <w:szCs w:val="19"/>
        </w:rPr>
        <w:lastRenderedPageBreak/>
        <w:t>$</w:t>
      </w:r>
      <w:r w:rsidR="00350406">
        <w:rPr>
          <w:szCs w:val="19"/>
        </w:rPr>
        <w:t>260</w:t>
      </w:r>
      <w:r w:rsidRPr="00DF38B2">
        <w:rPr>
          <w:szCs w:val="19"/>
        </w:rPr>
        <w:t> per week, a similar person on the Disability Support Pension would receive</w:t>
      </w:r>
      <w:r w:rsidR="00350406">
        <w:rPr>
          <w:szCs w:val="19"/>
        </w:rPr>
        <w:t xml:space="preserve"> some</w:t>
      </w:r>
      <w:r w:rsidRPr="00DF38B2">
        <w:rPr>
          <w:szCs w:val="19"/>
        </w:rPr>
        <w:t xml:space="preserve"> $</w:t>
      </w:r>
      <w:r w:rsidR="00350406">
        <w:rPr>
          <w:szCs w:val="19"/>
        </w:rPr>
        <w:t>415</w:t>
      </w:r>
      <w:r w:rsidR="00A1421A">
        <w:rPr>
          <w:szCs w:val="19"/>
        </w:rPr>
        <w:t xml:space="preserve">. </w:t>
      </w:r>
      <w:r w:rsidRPr="00DF38B2">
        <w:rPr>
          <w:szCs w:val="19"/>
        </w:rPr>
        <w:t xml:space="preserve">Annually the pensioner would receive </w:t>
      </w:r>
      <w:r w:rsidR="00350406">
        <w:rPr>
          <w:szCs w:val="19"/>
        </w:rPr>
        <w:t xml:space="preserve">over </w:t>
      </w:r>
      <w:r w:rsidRPr="00DF38B2">
        <w:rPr>
          <w:szCs w:val="19"/>
        </w:rPr>
        <w:t>$8,</w:t>
      </w:r>
      <w:r w:rsidR="00350406">
        <w:rPr>
          <w:szCs w:val="19"/>
        </w:rPr>
        <w:t>000</w:t>
      </w:r>
      <w:r w:rsidR="00350406" w:rsidRPr="00DF38B2">
        <w:rPr>
          <w:szCs w:val="19"/>
        </w:rPr>
        <w:t xml:space="preserve"> </w:t>
      </w:r>
      <w:r w:rsidRPr="00DF38B2">
        <w:rPr>
          <w:szCs w:val="19"/>
        </w:rPr>
        <w:t xml:space="preserve">more than the person on an allowance. </w:t>
      </w:r>
    </w:p>
    <w:p w:rsidR="00417B51" w:rsidRPr="00DF38B2" w:rsidRDefault="00417B51" w:rsidP="006654AE">
      <w:pPr>
        <w:pStyle w:val="Heading4"/>
      </w:pPr>
      <w:r w:rsidRPr="00DF38B2">
        <w:t xml:space="preserve">Expenditure and consumption </w:t>
      </w:r>
      <w:r w:rsidRPr="00E83100">
        <w:t>(Chapter 6)</w:t>
      </w:r>
    </w:p>
    <w:p w:rsidR="00417B51" w:rsidRPr="00DF38B2" w:rsidRDefault="00417B51" w:rsidP="006654AE">
      <w:pPr>
        <w:pStyle w:val="dot"/>
      </w:pPr>
      <w:r w:rsidRPr="00DF38B2">
        <w:t>People on Voluntary Income Management were less likely to allocate all of their funds to their BasicsCard. They had a relatively high incidence of allocations to housing and were also much more likely to be paying some bills directly though Centrepay as well as via income management.</w:t>
      </w:r>
    </w:p>
    <w:p w:rsidR="00417B51" w:rsidRPr="00DF38B2" w:rsidRDefault="00417B51" w:rsidP="006654AE">
      <w:pPr>
        <w:pStyle w:val="dot"/>
      </w:pPr>
      <w:r w:rsidRPr="00DF38B2">
        <w:t xml:space="preserve">They were more likely to have had multiple replacement BasicsCards. In part this is a result of their longer durations, but also </w:t>
      </w:r>
      <w:r w:rsidR="00E62781">
        <w:t>because the</w:t>
      </w:r>
      <w:r w:rsidRPr="00DF38B2">
        <w:t xml:space="preserve"> population has a disproportionate share of those who have had very high numbers of replacement cards. Over half of those who have had more than 50 replacement cards are on Voluntary Income Management. Statistical analysis suggested that in 2013 there was no difference in the number of BasicsCards issued to people on Voluntary Income Management relative to those on the LTWPR stream, once other population characteristics are taken into account.</w:t>
      </w:r>
    </w:p>
    <w:p w:rsidR="00417B51" w:rsidRPr="00DF38B2" w:rsidRDefault="00417B51" w:rsidP="006654AE">
      <w:pPr>
        <w:pStyle w:val="dot"/>
      </w:pPr>
      <w:r w:rsidRPr="00DF38B2">
        <w:t>Compared with other Indigenous people on income management, they were a little less likely to report sharing their BasicsCard with others while shopping</w:t>
      </w:r>
      <w:r w:rsidR="00E62781">
        <w:t>,</w:t>
      </w:r>
      <w:r w:rsidRPr="00DF38B2">
        <w:t xml:space="preserve"> as well as being less likely to report that various forms of abuse or avoidance of the constraints on the card were occurring in their family. The</w:t>
      </w:r>
      <w:r w:rsidR="008460B9" w:rsidRPr="00DF38B2">
        <w:t>y</w:t>
      </w:r>
      <w:r w:rsidRPr="00DF38B2">
        <w:t xml:space="preserve"> reported having much lower rates of having paid more for an item because they were using BasicsCard or having not being able to purchase an item because of the card.</w:t>
      </w:r>
    </w:p>
    <w:p w:rsidR="00417B51" w:rsidRPr="00DF38B2" w:rsidRDefault="00417B51" w:rsidP="006654AE">
      <w:pPr>
        <w:pStyle w:val="dot"/>
      </w:pPr>
      <w:r w:rsidRPr="00DF38B2">
        <w:t xml:space="preserve">The rate of failed BasicsCard transactions for people on Voluntary Income Management is 13.2 per cent. This is well above the average of the </w:t>
      </w:r>
      <w:r w:rsidR="005E4CAC">
        <w:t>income management</w:t>
      </w:r>
      <w:r w:rsidRPr="00DF38B2">
        <w:t xml:space="preserve"> population as a whole of </w:t>
      </w:r>
      <w:r w:rsidR="004B6B41">
        <w:t>10</w:t>
      </w:r>
      <w:r w:rsidRPr="00DF38B2">
        <w:t> per cent. When account is taken of the composition of the population on the measure the rate is similar to that of those on the LTWPR stream. The rate of failed transactions for people on Voluntary Income Management has not shown any major change over recent years relative to other</w:t>
      </w:r>
      <w:r w:rsidR="008F282E">
        <w:t xml:space="preserve"> </w:t>
      </w:r>
      <w:r w:rsidRPr="00DF38B2">
        <w:t>s</w:t>
      </w:r>
      <w:r w:rsidR="008F282E">
        <w:t>treams of income management</w:t>
      </w:r>
      <w:r w:rsidRPr="00DF38B2">
        <w:t>.</w:t>
      </w:r>
    </w:p>
    <w:p w:rsidR="00417B51" w:rsidRPr="00DF38B2" w:rsidRDefault="00417B51" w:rsidP="006654AE">
      <w:pPr>
        <w:pStyle w:val="dot"/>
      </w:pPr>
      <w:r w:rsidRPr="00DF38B2">
        <w:t xml:space="preserve">People on Voluntary Income Management tend to spend less time than other Indigenous people on </w:t>
      </w:r>
      <w:r w:rsidR="005E4CAC">
        <w:t>income management</w:t>
      </w:r>
      <w:r w:rsidRPr="00DF38B2">
        <w:t xml:space="preserve"> with very low balances in their accounts, although more than non-Indigenous people. One possible reason for this is their higher incomes. There is some suggestion of a slight improvement over time. The magnitude of this</w:t>
      </w:r>
      <w:r w:rsidR="00E83100">
        <w:t>,</w:t>
      </w:r>
      <w:r w:rsidRPr="00DF38B2">
        <w:t xml:space="preserve"> however</w:t>
      </w:r>
      <w:r w:rsidR="00E83100">
        <w:t>,</w:t>
      </w:r>
      <w:r w:rsidRPr="00DF38B2">
        <w:t xml:space="preserve"> is very small. For example, the proportion who have a minimum balance of less than $10 across their income management account and BasicsCard at some point in a fortnight fell from 74.5 per cent in 2011 to 72.9 per cent in 2013 – a decline of 1.6 percentage points. Similarly</w:t>
      </w:r>
      <w:r w:rsidR="00E83100">
        <w:t>,</w:t>
      </w:r>
      <w:r w:rsidRPr="00DF38B2">
        <w:t xml:space="preserve"> the proportion </w:t>
      </w:r>
      <w:proofErr w:type="gramStart"/>
      <w:r w:rsidRPr="00DF38B2">
        <w:t>who</w:t>
      </w:r>
      <w:proofErr w:type="gramEnd"/>
      <w:r w:rsidRPr="00DF38B2">
        <w:t xml:space="preserve"> had such a balance for more than half the time in the fortnight fell over the same period from 23.7 per cent to 20.8 per cent – a 2.9 percentage point change.</w:t>
      </w:r>
    </w:p>
    <w:p w:rsidR="00417B51" w:rsidRPr="00DF38B2" w:rsidRDefault="00417B51" w:rsidP="006654AE">
      <w:pPr>
        <w:pStyle w:val="dot"/>
      </w:pPr>
      <w:r w:rsidRPr="00DF38B2">
        <w:t xml:space="preserve">The analysis of consumption of particular goods cannot differentiate between </w:t>
      </w:r>
      <w:r w:rsidR="008460B9" w:rsidRPr="00DF38B2">
        <w:t xml:space="preserve">people on </w:t>
      </w:r>
      <w:r w:rsidRPr="00DF38B2">
        <w:t>different forms of income management</w:t>
      </w:r>
      <w:r w:rsidR="00E83100">
        <w:t>.</w:t>
      </w:r>
    </w:p>
    <w:p w:rsidR="00417B51" w:rsidRPr="00DF38B2" w:rsidRDefault="00417B51" w:rsidP="006654AE">
      <w:pPr>
        <w:pStyle w:val="Heading4"/>
      </w:pPr>
      <w:r w:rsidRPr="00DF38B2">
        <w:t>View and experience (Chapter 7)</w:t>
      </w:r>
    </w:p>
    <w:p w:rsidR="00417B51" w:rsidRPr="00DF38B2" w:rsidRDefault="00417B51" w:rsidP="006654AE">
      <w:pPr>
        <w:pStyle w:val="dot"/>
      </w:pPr>
      <w:r w:rsidRPr="00DF38B2">
        <w:t xml:space="preserve">People on Voluntary Income Management were much more likely </w:t>
      </w:r>
      <w:r w:rsidR="00E83100">
        <w:t xml:space="preserve">than those on </w:t>
      </w:r>
      <w:r w:rsidR="005927B9">
        <w:t xml:space="preserve">compulsory income management </w:t>
      </w:r>
      <w:r w:rsidRPr="00DF38B2">
        <w:t>to report feeling that income management had made things better for them</w:t>
      </w:r>
      <w:r w:rsidR="00E83100">
        <w:t>,</w:t>
      </w:r>
      <w:r w:rsidRPr="00DF38B2">
        <w:t xml:space="preserve"> and to express a desire to remain on the program.</w:t>
      </w:r>
    </w:p>
    <w:p w:rsidR="00417B51" w:rsidRPr="00DF38B2" w:rsidRDefault="00E83100" w:rsidP="006654AE">
      <w:pPr>
        <w:pStyle w:val="dot"/>
      </w:pPr>
      <w:r>
        <w:t xml:space="preserve">Of those on </w:t>
      </w:r>
      <w:r w:rsidRPr="00DF38B2">
        <w:t>Voluntary Income Management</w:t>
      </w:r>
      <w:r>
        <w:t>,</w:t>
      </w:r>
      <w:r w:rsidRPr="00DF38B2">
        <w:t xml:space="preserve"> </w:t>
      </w:r>
      <w:r w:rsidR="00417B51" w:rsidRPr="00DF38B2">
        <w:t>43.2 per cent report feeling more in control of their lives all or most of the time</w:t>
      </w:r>
      <w:r>
        <w:t>.</w:t>
      </w:r>
      <w:r w:rsidR="00417B51" w:rsidRPr="00DF38B2">
        <w:t xml:space="preserve"> Similarly</w:t>
      </w:r>
      <w:r>
        <w:t>,</w:t>
      </w:r>
      <w:r w:rsidR="00417B51" w:rsidRPr="00DF38B2">
        <w:t xml:space="preserve"> 49.4 per cent report feeling that things were better for themselves and their family all or most of the time. While most report that they hardly ever or never feel discriminated against or embarrassed by being on income management, around 15 per cent report feeling this way all or most of the time – along with 18.4 per cent who feel it is not fair. </w:t>
      </w:r>
      <w:r>
        <w:t>A</w:t>
      </w:r>
      <w:r w:rsidR="00417B51" w:rsidRPr="00DF38B2">
        <w:t xml:space="preserve">s has been noted </w:t>
      </w:r>
      <w:r>
        <w:t>earlier,</w:t>
      </w:r>
      <w:r w:rsidR="00417B51" w:rsidRPr="00DF38B2">
        <w:t xml:space="preserve"> one</w:t>
      </w:r>
      <w:r>
        <w:t>-</w:t>
      </w:r>
      <w:r w:rsidR="00417B51" w:rsidRPr="00DF38B2">
        <w:t>third of the respondents who were on Voluntary Income Management never felt this way</w:t>
      </w:r>
      <w:r>
        <w:t>; t</w:t>
      </w:r>
      <w:r w:rsidR="00417B51" w:rsidRPr="00DF38B2">
        <w:t>his suggests that while there is a group who on balance feel positive enough about the program to want to remain on it, there are nevertheless some aspects which impose costs on them.</w:t>
      </w:r>
    </w:p>
    <w:p w:rsidR="00417B51" w:rsidRPr="00DF38B2" w:rsidRDefault="00417B51" w:rsidP="006654AE">
      <w:pPr>
        <w:pStyle w:val="dot"/>
      </w:pPr>
      <w:r w:rsidRPr="00DF38B2">
        <w:t>Detailed analysis of outcomes, relative to the control group indicates that Indigenous people on Voluntary Income Management:</w:t>
      </w:r>
    </w:p>
    <w:p w:rsidR="00417B51" w:rsidRPr="00DF38B2" w:rsidRDefault="00417B51" w:rsidP="006654AE">
      <w:pPr>
        <w:pStyle w:val="dash"/>
      </w:pPr>
      <w:r w:rsidRPr="00DF38B2">
        <w:lastRenderedPageBreak/>
        <w:t>Report a reduction in alcohol as a problem for their family, although they report an increase in gambling problems. While they report that the family experience of any problems with alcohol, gambling and drugs has declined</w:t>
      </w:r>
      <w:r w:rsidR="00337106">
        <w:t>,</w:t>
      </w:r>
      <w:r w:rsidRPr="00DF38B2">
        <w:t xml:space="preserve"> the incidence of one or more of these as a severe problem has increased. All of these </w:t>
      </w:r>
      <w:r w:rsidR="00337106">
        <w:t xml:space="preserve">factors are </w:t>
      </w:r>
      <w:r w:rsidRPr="00DF38B2">
        <w:t>statistically significant.</w:t>
      </w:r>
    </w:p>
    <w:p w:rsidR="00417B51" w:rsidRPr="00DF38B2" w:rsidRDefault="00417B51" w:rsidP="006654AE">
      <w:pPr>
        <w:pStyle w:val="dash"/>
      </w:pPr>
      <w:r w:rsidRPr="00DF38B2">
        <w:t>Report no statistically significant changes at the community level in terms of children being looked after properly</w:t>
      </w:r>
      <w:r w:rsidR="00337106">
        <w:t>,</w:t>
      </w:r>
      <w:r w:rsidRPr="00DF38B2">
        <w:t xml:space="preserve"> too much drinking</w:t>
      </w:r>
      <w:r w:rsidR="00337106">
        <w:t>,</w:t>
      </w:r>
      <w:r w:rsidRPr="00DF38B2">
        <w:t xml:space="preserve"> financial harassment</w:t>
      </w:r>
      <w:r w:rsidR="00337106">
        <w:t>,</w:t>
      </w:r>
      <w:r w:rsidRPr="00DF38B2">
        <w:t xml:space="preserve"> or more generally over the two</w:t>
      </w:r>
      <w:r w:rsidR="00337106">
        <w:t>-</w:t>
      </w:r>
      <w:r w:rsidRPr="00DF38B2">
        <w:t>year period between the two waves of the survey</w:t>
      </w:r>
      <w:r w:rsidR="00A1421A">
        <w:t xml:space="preserve">. </w:t>
      </w:r>
    </w:p>
    <w:p w:rsidR="00417B51" w:rsidRPr="00DF38B2" w:rsidRDefault="00417B51" w:rsidP="006654AE">
      <w:pPr>
        <w:pStyle w:val="dash"/>
      </w:pPr>
      <w:r w:rsidRPr="00DF38B2">
        <w:t>Report a weakly significant decline</w:t>
      </w:r>
      <w:r w:rsidR="00B84AFE">
        <w:t xml:space="preserve"> </w:t>
      </w:r>
      <w:r w:rsidR="008460B9" w:rsidRPr="00DF38B2">
        <w:t xml:space="preserve">over the two years from 2011 to 2013 in their perception of whether </w:t>
      </w:r>
      <w:r w:rsidRPr="00DF38B2">
        <w:t xml:space="preserve">children </w:t>
      </w:r>
      <w:r w:rsidR="008460B9" w:rsidRPr="00DF38B2">
        <w:t>in their community/location attend school</w:t>
      </w:r>
      <w:r w:rsidRPr="00DF38B2">
        <w:t>.</w:t>
      </w:r>
    </w:p>
    <w:p w:rsidR="00417B51" w:rsidRPr="00DF38B2" w:rsidRDefault="00417B51" w:rsidP="006654AE">
      <w:pPr>
        <w:pStyle w:val="dash"/>
      </w:pPr>
      <w:r w:rsidRPr="00DF38B2">
        <w:t xml:space="preserve">Report, when compared with their situation prior to income management, weakly significant improvements with respect to having run out of money for food </w:t>
      </w:r>
      <w:r w:rsidR="00337106">
        <w:t>or</w:t>
      </w:r>
      <w:r w:rsidRPr="00DF38B2">
        <w:t xml:space="preserve"> having problems because they had given money to others, along with a more significant improvement in being able to pay bills</w:t>
      </w:r>
      <w:r w:rsidR="00337106">
        <w:t>;</w:t>
      </w:r>
      <w:r w:rsidRPr="00DF38B2">
        <w:t xml:space="preserve"> but at the same time report a highly significant increase in having to ask others for money to purchase essentials</w:t>
      </w:r>
      <w:r w:rsidR="00337106">
        <w:t>.</w:t>
      </w:r>
    </w:p>
    <w:p w:rsidR="00417B51" w:rsidRPr="00DF38B2" w:rsidRDefault="00417B51" w:rsidP="006654AE">
      <w:pPr>
        <w:pStyle w:val="dash"/>
      </w:pPr>
      <w:r w:rsidRPr="00DF38B2">
        <w:t xml:space="preserve">Are less likely </w:t>
      </w:r>
      <w:r w:rsidR="008460B9" w:rsidRPr="00DF38B2">
        <w:t>in 2013 than they were in 2011</w:t>
      </w:r>
      <w:r w:rsidRPr="00DF38B2">
        <w:t xml:space="preserve"> to consider that things are better for themselves and their family with income management, but are, very weakly, more positive about the program overall.</w:t>
      </w:r>
    </w:p>
    <w:p w:rsidR="00417B51" w:rsidRPr="00DF38B2" w:rsidRDefault="00417B51" w:rsidP="006654AE">
      <w:pPr>
        <w:pStyle w:val="Heading2"/>
      </w:pPr>
      <w:bookmarkStart w:id="603" w:name="_Toc403739130"/>
      <w:r w:rsidRPr="00DF38B2">
        <w:t>Motivation for being on Voluntary Income Management</w:t>
      </w:r>
      <w:bookmarkEnd w:id="603"/>
    </w:p>
    <w:p w:rsidR="00417B51" w:rsidRPr="00DF38B2" w:rsidRDefault="00417B51" w:rsidP="006654AE">
      <w:r w:rsidRPr="00DF38B2">
        <w:t xml:space="preserve">Overwhelmingly the ambition of those on Voluntary Income Management is to continue on the program, with 80.0 per cent of those surveyed indicating this, with a further 8.8 per cent </w:t>
      </w:r>
      <w:r w:rsidR="00337106">
        <w:t>saying</w:t>
      </w:r>
      <w:r w:rsidRPr="00DF38B2">
        <w:t xml:space="preserve"> that they were not sure.</w:t>
      </w:r>
    </w:p>
    <w:p w:rsidR="00417B51" w:rsidRPr="00DF38B2" w:rsidRDefault="00417B51" w:rsidP="006654AE">
      <w:r w:rsidRPr="00DF38B2">
        <w:t>Most (64.0 per cent) report that they can remember choosing to go onto Voluntary Income Management and a similar proportion report that they are aware of receiving the incentive payment for being on Voluntary Income Management</w:t>
      </w:r>
      <w:r w:rsidR="00A1421A">
        <w:t xml:space="preserve">. </w:t>
      </w:r>
      <w:r w:rsidRPr="00DF38B2">
        <w:t>This result is not surprising given the extent to which income management has become embedded in the structure of income support and, as has been noted, the difficulty many people have in distinguishing these policies. A further issue is the extent to which Indigenous people accept what they are told by government departments and in some cases do not have the confidence to question what they are told.</w:t>
      </w:r>
    </w:p>
    <w:p w:rsidR="00417B51" w:rsidRPr="00DF38B2" w:rsidRDefault="00417B51" w:rsidP="006654AE">
      <w:pPr>
        <w:spacing w:line="276" w:lineRule="auto"/>
        <w:rPr>
          <w:szCs w:val="19"/>
        </w:rPr>
      </w:pPr>
      <w:r w:rsidRPr="00DF38B2">
        <w:rPr>
          <w:szCs w:val="19"/>
        </w:rPr>
        <w:t>When asked for the reasons why they wish to remain on Voluntary Income Management</w:t>
      </w:r>
      <w:r w:rsidR="00337106">
        <w:rPr>
          <w:szCs w:val="19"/>
        </w:rPr>
        <w:t>,</w:t>
      </w:r>
      <w:r w:rsidRPr="00DF38B2">
        <w:rPr>
          <w:szCs w:val="19"/>
        </w:rPr>
        <w:t xml:space="preserve"> two responses dominate</w:t>
      </w:r>
      <w:r w:rsidR="00A1421A">
        <w:rPr>
          <w:szCs w:val="19"/>
        </w:rPr>
        <w:t xml:space="preserve">. </w:t>
      </w:r>
      <w:r w:rsidRPr="00DF38B2">
        <w:rPr>
          <w:szCs w:val="19"/>
        </w:rPr>
        <w:t xml:space="preserve">The first is that it is easier being on </w:t>
      </w:r>
      <w:r w:rsidR="005E4CAC">
        <w:rPr>
          <w:szCs w:val="19"/>
        </w:rPr>
        <w:t>income management</w:t>
      </w:r>
      <w:r w:rsidRPr="00DF38B2">
        <w:rPr>
          <w:szCs w:val="19"/>
        </w:rPr>
        <w:t>. The majority, 57.7 per cent of respondents, gave this as their main reason</w:t>
      </w:r>
      <w:r w:rsidR="00337106">
        <w:rPr>
          <w:szCs w:val="19"/>
        </w:rPr>
        <w:t>,</w:t>
      </w:r>
      <w:r w:rsidRPr="00DF38B2">
        <w:rPr>
          <w:szCs w:val="19"/>
        </w:rPr>
        <w:t xml:space="preserve"> and 73.1 per cent indicated that it was one of the reasons</w:t>
      </w:r>
      <w:r w:rsidR="00337106">
        <w:rPr>
          <w:szCs w:val="19"/>
        </w:rPr>
        <w:t xml:space="preserve"> (</w:t>
      </w:r>
      <w:r w:rsidRPr="00DF38B2">
        <w:rPr>
          <w:szCs w:val="19"/>
        </w:rPr>
        <w:t xml:space="preserve">see </w:t>
      </w:r>
      <w:r w:rsidRPr="00DF38B2">
        <w:rPr>
          <w:szCs w:val="19"/>
        </w:rPr>
        <w:fldChar w:fldCharType="begin"/>
      </w:r>
      <w:r w:rsidRPr="00DF38B2">
        <w:rPr>
          <w:szCs w:val="19"/>
        </w:rPr>
        <w:instrText xml:space="preserve"> REF _Ref392249454 \h </w:instrText>
      </w:r>
      <w:r w:rsidRPr="00DF38B2">
        <w:rPr>
          <w:szCs w:val="19"/>
        </w:rPr>
      </w:r>
      <w:r w:rsidRPr="00DF38B2">
        <w:rPr>
          <w:szCs w:val="19"/>
        </w:rPr>
        <w:fldChar w:fldCharType="separate"/>
      </w:r>
      <w:r w:rsidR="00906D13" w:rsidRPr="00DF38B2">
        <w:t xml:space="preserve">Figure </w:t>
      </w:r>
      <w:r w:rsidR="00906D13">
        <w:rPr>
          <w:noProof/>
        </w:rPr>
        <w:t>11</w:t>
      </w:r>
      <w:r w:rsidR="00906D13" w:rsidRPr="00DF38B2">
        <w:noBreakHyphen/>
      </w:r>
      <w:r w:rsidR="00906D13">
        <w:rPr>
          <w:noProof/>
        </w:rPr>
        <w:t>3</w:t>
      </w:r>
      <w:r w:rsidRPr="00DF38B2">
        <w:rPr>
          <w:szCs w:val="19"/>
        </w:rPr>
        <w:fldChar w:fldCharType="end"/>
      </w:r>
      <w:r w:rsidR="00337106">
        <w:rPr>
          <w:szCs w:val="19"/>
        </w:rPr>
        <w:t>)</w:t>
      </w:r>
      <w:r w:rsidRPr="00DF38B2">
        <w:rPr>
          <w:szCs w:val="19"/>
        </w:rPr>
        <w:t>.</w:t>
      </w:r>
    </w:p>
    <w:p w:rsidR="00417B51" w:rsidRPr="00DF38B2" w:rsidRDefault="00417B51" w:rsidP="006654AE">
      <w:pPr>
        <w:spacing w:line="276" w:lineRule="auto"/>
        <w:rPr>
          <w:szCs w:val="19"/>
        </w:rPr>
      </w:pPr>
      <w:r w:rsidRPr="00FE502F">
        <w:rPr>
          <w:szCs w:val="19"/>
        </w:rPr>
        <w:t>The second most frequent reason – both a</w:t>
      </w:r>
      <w:r w:rsidRPr="009655C3">
        <w:rPr>
          <w:szCs w:val="19"/>
        </w:rPr>
        <w:t>s a main reason and as any reason – was the BasicsCard</w:t>
      </w:r>
      <w:r w:rsidR="00A1421A">
        <w:rPr>
          <w:szCs w:val="19"/>
        </w:rPr>
        <w:t xml:space="preserve">. </w:t>
      </w:r>
      <w:r w:rsidRPr="009655C3">
        <w:rPr>
          <w:szCs w:val="19"/>
        </w:rPr>
        <w:t xml:space="preserve">As was discussed in the first report of the evaluation, a key reason for this is the way in which the card effectively provides </w:t>
      </w:r>
      <w:proofErr w:type="gramStart"/>
      <w:r w:rsidRPr="009655C3">
        <w:rPr>
          <w:szCs w:val="19"/>
        </w:rPr>
        <w:t>a banking</w:t>
      </w:r>
      <w:proofErr w:type="gramEnd"/>
      <w:r w:rsidRPr="009655C3">
        <w:rPr>
          <w:szCs w:val="19"/>
        </w:rPr>
        <w:t xml:space="preserve"> service which otherwise could be quite costly</w:t>
      </w:r>
      <w:r w:rsidR="00A1421A">
        <w:rPr>
          <w:szCs w:val="19"/>
        </w:rPr>
        <w:t xml:space="preserve">. </w:t>
      </w:r>
      <w:r w:rsidRPr="009655C3">
        <w:rPr>
          <w:szCs w:val="19"/>
        </w:rPr>
        <w:t>Although ther</w:t>
      </w:r>
      <w:r w:rsidRPr="00DF38B2">
        <w:rPr>
          <w:szCs w:val="19"/>
        </w:rPr>
        <w:t>e have been some improvements in access to ATMs and the cost of using these, the lack of charges for balance checking and the free replacement of cards associated with BasicsCard provide it with a number of advantages over those cards issued by banks, especially for consumers who may only use a very limited number of shopping outlets and where these all accept the card</w:t>
      </w:r>
      <w:r w:rsidR="00A1421A">
        <w:rPr>
          <w:szCs w:val="19"/>
        </w:rPr>
        <w:t xml:space="preserve">. </w:t>
      </w:r>
    </w:p>
    <w:p w:rsidR="00417B51" w:rsidRPr="00DF38B2" w:rsidRDefault="00417B51" w:rsidP="006654AE">
      <w:pPr>
        <w:spacing w:line="276" w:lineRule="auto"/>
        <w:rPr>
          <w:szCs w:val="19"/>
        </w:rPr>
      </w:pPr>
      <w:r w:rsidRPr="00DF38B2">
        <w:rPr>
          <w:szCs w:val="19"/>
        </w:rPr>
        <w:t>Beyond these two reasons the only other main reasons people gave for wi</w:t>
      </w:r>
      <w:r w:rsidR="005D1CC5">
        <w:rPr>
          <w:szCs w:val="19"/>
        </w:rPr>
        <w:t xml:space="preserve">shing to remain on the measure </w:t>
      </w:r>
      <w:r w:rsidRPr="00DF38B2">
        <w:rPr>
          <w:szCs w:val="19"/>
        </w:rPr>
        <w:t>were liking to have a kitty (7.7 per cent) and the fact that people are “used to it” (3.9 per cent)</w:t>
      </w:r>
      <w:r w:rsidR="00A1421A">
        <w:rPr>
          <w:szCs w:val="19"/>
        </w:rPr>
        <w:t xml:space="preserve">. </w:t>
      </w:r>
      <w:r w:rsidRPr="00DF38B2">
        <w:rPr>
          <w:szCs w:val="19"/>
        </w:rPr>
        <w:t>Turning to all of the reasons they gave</w:t>
      </w:r>
      <w:r w:rsidR="00746064">
        <w:rPr>
          <w:szCs w:val="19"/>
        </w:rPr>
        <w:t xml:space="preserve">, </w:t>
      </w:r>
      <w:r w:rsidRPr="00DF38B2">
        <w:rPr>
          <w:szCs w:val="19"/>
        </w:rPr>
        <w:t>as they could provide additional reasons to the main reason, being more in control, liking the extra money</w:t>
      </w:r>
      <w:r w:rsidR="00746064">
        <w:rPr>
          <w:szCs w:val="19"/>
        </w:rPr>
        <w:t>,</w:t>
      </w:r>
      <w:r w:rsidRPr="00DF38B2">
        <w:rPr>
          <w:szCs w:val="19"/>
        </w:rPr>
        <w:t xml:space="preserve"> and having a kitty all gained support at around the 40 per cent level, followed by “being used to it”</w:t>
      </w:r>
      <w:r w:rsidR="00A1421A">
        <w:rPr>
          <w:szCs w:val="19"/>
        </w:rPr>
        <w:t xml:space="preserve">. </w:t>
      </w:r>
      <w:r w:rsidRPr="00DF38B2">
        <w:rPr>
          <w:szCs w:val="19"/>
        </w:rPr>
        <w:t xml:space="preserve">The protection that </w:t>
      </w:r>
      <w:r w:rsidR="005E4CAC">
        <w:rPr>
          <w:szCs w:val="19"/>
        </w:rPr>
        <w:t>income management</w:t>
      </w:r>
      <w:r w:rsidRPr="00DF38B2">
        <w:rPr>
          <w:szCs w:val="19"/>
        </w:rPr>
        <w:t xml:space="preserve"> might provide from financial harassment was not cited by any respondent as a main reason, although just under a third identified not being harassed as one of the other reasons for remaining on income management.</w:t>
      </w:r>
    </w:p>
    <w:p w:rsidR="00417B51" w:rsidRPr="00DF38B2" w:rsidRDefault="00417B51" w:rsidP="006654AE">
      <w:pPr>
        <w:pStyle w:val="Caption"/>
        <w:rPr>
          <w:szCs w:val="19"/>
        </w:rPr>
      </w:pPr>
      <w:bookmarkStart w:id="604" w:name="_Ref392249454"/>
      <w:bookmarkStart w:id="605" w:name="_Toc40373958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11</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604"/>
      <w:r w:rsidRPr="00DF38B2">
        <w:t xml:space="preserve"> </w:t>
      </w:r>
      <w:r w:rsidR="001D25DF">
        <w:tab/>
      </w:r>
      <w:r w:rsidRPr="00DF38B2">
        <w:t>People on Voluntary Income Management, main and all reasons for wishing to remain on the program</w:t>
      </w:r>
      <w:r w:rsidR="00780951">
        <w:t>, LSNIM Wave 2</w:t>
      </w:r>
      <w:r w:rsidR="00395990">
        <w:t>,</w:t>
      </w:r>
      <w:r w:rsidR="00780951">
        <w:t xml:space="preserve"> 2013</w:t>
      </w:r>
      <w:bookmarkEnd w:id="605"/>
    </w:p>
    <w:p w:rsidR="00417B51" w:rsidRPr="00DF38B2" w:rsidRDefault="00417B51" w:rsidP="006654AE">
      <w:pPr>
        <w:pStyle w:val="graphicpaste"/>
        <w:rPr>
          <w:szCs w:val="19"/>
        </w:rPr>
      </w:pPr>
      <w:r w:rsidRPr="008E4D9D">
        <w:rPr>
          <w:noProof/>
        </w:rPr>
        <w:drawing>
          <wp:inline distT="0" distB="0" distL="0" distR="0" wp14:anchorId="00362A7C" wp14:editId="39088C2C">
            <wp:extent cx="4572000" cy="2743200"/>
            <wp:effectExtent l="0" t="0" r="0" b="0"/>
            <wp:docPr id="128" name="Picture 128" descr="This bar chart shows for each of seven reasons the proportion giving it as their main reason or as any reason for wishing to remain on income management. The data presented in the chart is as follows (first number is proportion giving it as a main reason and second as any reason):&#10;&quot;Easier being income managed: 57.6% /73%&quot;&#10;&quot;I am more in control: 0% /38.4%&quot;&#10;&quot;I like the extra money : 0% /38.4%&quot;&#10;&quot;I like the basics card: 30.7% /69.2%&quot;&#10;&quot;I am not harrassed : 0% /30.7%&quot;&#10;&quot;I am used to it now: 3.8% /34.6%&quot;&#10;&quot;I like having a kitty: 7.6% /38.4%&quot;&#10;These results are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pPr>
      <w:r w:rsidRPr="00FE502F">
        <w:t xml:space="preserve">Source: </w:t>
      </w:r>
      <w:r w:rsidR="00B01EB2">
        <w:tab/>
      </w:r>
      <w:r w:rsidRPr="00FE502F">
        <w:t>LSNIM</w:t>
      </w:r>
      <w:r w:rsidR="00B01EB2">
        <w:t xml:space="preserve"> Wave 2.</w:t>
      </w:r>
    </w:p>
    <w:p w:rsidR="00FE1A6A" w:rsidRPr="00FE502F" w:rsidRDefault="00FE1A6A" w:rsidP="006654AE">
      <w:pPr>
        <w:pStyle w:val="tablefootnoteslastline"/>
      </w:pPr>
    </w:p>
    <w:p w:rsidR="00417B51" w:rsidRPr="009655C3" w:rsidRDefault="00417B51" w:rsidP="006654AE">
      <w:pPr>
        <w:pStyle w:val="Heading2"/>
      </w:pPr>
      <w:bookmarkStart w:id="606" w:name="_Toc403739131"/>
      <w:r w:rsidRPr="009655C3">
        <w:t>Conclusion</w:t>
      </w:r>
      <w:bookmarkEnd w:id="606"/>
    </w:p>
    <w:p w:rsidR="00417B51" w:rsidRPr="00DF38B2" w:rsidRDefault="00417B51" w:rsidP="006654AE">
      <w:pPr>
        <w:spacing w:line="276" w:lineRule="auto"/>
        <w:rPr>
          <w:szCs w:val="19"/>
        </w:rPr>
      </w:pPr>
      <w:r w:rsidRPr="00DF38B2">
        <w:rPr>
          <w:szCs w:val="19"/>
        </w:rPr>
        <w:t xml:space="preserve">While there has been considerable movement </w:t>
      </w:r>
      <w:r w:rsidR="00746064">
        <w:rPr>
          <w:szCs w:val="19"/>
        </w:rPr>
        <w:t xml:space="preserve">by people </w:t>
      </w:r>
      <w:r w:rsidRPr="00DF38B2">
        <w:rPr>
          <w:szCs w:val="19"/>
        </w:rPr>
        <w:t>over time on</w:t>
      </w:r>
      <w:r w:rsidR="00746064">
        <w:rPr>
          <w:szCs w:val="19"/>
        </w:rPr>
        <w:t>to</w:t>
      </w:r>
      <w:r w:rsidRPr="00DF38B2">
        <w:rPr>
          <w:szCs w:val="19"/>
        </w:rPr>
        <w:t xml:space="preserve"> and off the program, overwhelmingly the population on Voluntary Income Management in December 2013 are Indigenous people who were originally on </w:t>
      </w:r>
      <w:r w:rsidR="005E4CAC">
        <w:rPr>
          <w:szCs w:val="19"/>
        </w:rPr>
        <w:t>income management</w:t>
      </w:r>
      <w:r w:rsidRPr="00DF38B2">
        <w:rPr>
          <w:szCs w:val="19"/>
        </w:rPr>
        <w:t xml:space="preserve"> under the </w:t>
      </w:r>
      <w:r w:rsidR="00832E2A">
        <w:rPr>
          <w:szCs w:val="19"/>
        </w:rPr>
        <w:t>NTER</w:t>
      </w:r>
      <w:r w:rsidRPr="00DF38B2">
        <w:rPr>
          <w:szCs w:val="19"/>
        </w:rPr>
        <w:t>.</w:t>
      </w:r>
    </w:p>
    <w:p w:rsidR="00417B51" w:rsidRPr="00DF38B2" w:rsidRDefault="00417B51" w:rsidP="006654AE">
      <w:pPr>
        <w:spacing w:line="276" w:lineRule="auto"/>
        <w:rPr>
          <w:szCs w:val="19"/>
        </w:rPr>
      </w:pPr>
      <w:r w:rsidRPr="00DF38B2">
        <w:rPr>
          <w:szCs w:val="19"/>
        </w:rPr>
        <w:t xml:space="preserve">This group appears </w:t>
      </w:r>
      <w:r w:rsidR="00746064" w:rsidRPr="00DF38B2">
        <w:rPr>
          <w:szCs w:val="19"/>
        </w:rPr>
        <w:t xml:space="preserve">to </w:t>
      </w:r>
      <w:r w:rsidRPr="00DF38B2">
        <w:rPr>
          <w:szCs w:val="19"/>
        </w:rPr>
        <w:t xml:space="preserve">be motivated </w:t>
      </w:r>
      <w:r w:rsidR="00746064" w:rsidRPr="00DF38B2">
        <w:rPr>
          <w:szCs w:val="19"/>
        </w:rPr>
        <w:t xml:space="preserve">primarily </w:t>
      </w:r>
      <w:r w:rsidRPr="00DF38B2">
        <w:rPr>
          <w:szCs w:val="19"/>
        </w:rPr>
        <w:t xml:space="preserve">by the perception that being on </w:t>
      </w:r>
      <w:r w:rsidR="005E4CAC">
        <w:rPr>
          <w:szCs w:val="19"/>
        </w:rPr>
        <w:t>income management</w:t>
      </w:r>
      <w:r w:rsidRPr="00DF38B2">
        <w:rPr>
          <w:szCs w:val="19"/>
        </w:rPr>
        <w:t xml:space="preserve"> makes their life easier, and that the BasicsCard provides them with some advantages, especially as a no-cost banking service.</w:t>
      </w:r>
    </w:p>
    <w:p w:rsidR="00417B51" w:rsidRPr="00DF38B2" w:rsidRDefault="00417B51" w:rsidP="006654AE">
      <w:pPr>
        <w:spacing w:line="276" w:lineRule="auto"/>
        <w:rPr>
          <w:szCs w:val="19"/>
        </w:rPr>
      </w:pPr>
      <w:r w:rsidRPr="00DF38B2">
        <w:rPr>
          <w:szCs w:val="19"/>
        </w:rPr>
        <w:t>There is scant evidence to suggest that being on Voluntary Income Management has any significant impact on outcomes. The data does not provide evidence of improving levels of financial capability when this is measured by metrics such as reduced failed transactions or replacement BasicsCard. Data on minimum balances suggest some minor change – but this is in the region of gains of one to three percentage points across the whole population. Drawing upon data reported by participants on their own and community level outcomes</w:t>
      </w:r>
      <w:r w:rsidR="00746064">
        <w:rPr>
          <w:szCs w:val="19"/>
        </w:rPr>
        <w:t>,</w:t>
      </w:r>
      <w:r w:rsidRPr="00DF38B2">
        <w:rPr>
          <w:szCs w:val="19"/>
        </w:rPr>
        <w:t xml:space="preserve"> the analysis provides mixed findings in several dimensions</w:t>
      </w:r>
      <w:r w:rsidR="00A1421A">
        <w:rPr>
          <w:szCs w:val="19"/>
        </w:rPr>
        <w:t xml:space="preserve">. </w:t>
      </w:r>
      <w:r w:rsidRPr="00DF38B2">
        <w:rPr>
          <w:szCs w:val="19"/>
        </w:rPr>
        <w:t>There is a reported decline in alcohol as a problem, but an increase in gambling</w:t>
      </w:r>
      <w:r w:rsidR="00746064">
        <w:rPr>
          <w:szCs w:val="19"/>
        </w:rPr>
        <w:t>;</w:t>
      </w:r>
      <w:r w:rsidRPr="00DF38B2">
        <w:rPr>
          <w:szCs w:val="19"/>
        </w:rPr>
        <w:t xml:space="preserve"> and while the incidence of any problems appears to have reduced, the incidence of severe problems has increased</w:t>
      </w:r>
      <w:r w:rsidR="00A1421A">
        <w:rPr>
          <w:szCs w:val="19"/>
        </w:rPr>
        <w:t xml:space="preserve">. </w:t>
      </w:r>
      <w:r w:rsidRPr="00DF38B2">
        <w:rPr>
          <w:szCs w:val="19"/>
        </w:rPr>
        <w:t>Similarly, while there has been an apparent improvement in being able to pay bills on time and potentially also in running out of money for food and having problems because they gave money to others, there has been an apparent increase in asking others for money so that they can buy essentials</w:t>
      </w:r>
      <w:r w:rsidR="00A1421A">
        <w:rPr>
          <w:szCs w:val="19"/>
        </w:rPr>
        <w:t xml:space="preserve">. </w:t>
      </w:r>
      <w:r w:rsidR="004616EF">
        <w:rPr>
          <w:szCs w:val="19"/>
        </w:rPr>
        <w:t>While on balance these data do not suggest a significant overall change in outcomes, they are nevertheless somewhat more positive for people on Voluntary Income Management than they are for those on the compulsory measures</w:t>
      </w:r>
      <w:r w:rsidR="0074694B">
        <w:rPr>
          <w:szCs w:val="19"/>
        </w:rPr>
        <w:t xml:space="preserve"> suggesting that for some in this group the program has led to some limited gains.</w:t>
      </w:r>
    </w:p>
    <w:p w:rsidR="00417B51" w:rsidRPr="00DF38B2" w:rsidRDefault="00417B51" w:rsidP="006654AE">
      <w:pPr>
        <w:rPr>
          <w:szCs w:val="19"/>
        </w:rPr>
      </w:pPr>
      <w:r w:rsidRPr="00DF38B2">
        <w:rPr>
          <w:szCs w:val="19"/>
        </w:rPr>
        <w:t>In summary</w:t>
      </w:r>
      <w:r w:rsidR="00746064">
        <w:rPr>
          <w:szCs w:val="19"/>
        </w:rPr>
        <w:t>,</w:t>
      </w:r>
      <w:r w:rsidRPr="00DF38B2">
        <w:rPr>
          <w:szCs w:val="19"/>
        </w:rPr>
        <w:t xml:space="preserve"> Voluntary Income Management in general is viewed positively by those on the program</w:t>
      </w:r>
      <w:r w:rsidR="00746064">
        <w:rPr>
          <w:szCs w:val="19"/>
        </w:rPr>
        <w:t>,</w:t>
      </w:r>
      <w:r w:rsidRPr="00DF38B2">
        <w:rPr>
          <w:szCs w:val="19"/>
        </w:rPr>
        <w:t xml:space="preserve"> as they perceive it </w:t>
      </w:r>
      <w:r w:rsidR="00746064">
        <w:rPr>
          <w:szCs w:val="19"/>
        </w:rPr>
        <w:t xml:space="preserve">as </w:t>
      </w:r>
      <w:r w:rsidRPr="00DF38B2">
        <w:rPr>
          <w:szCs w:val="19"/>
        </w:rPr>
        <w:t>making their lives easier and providing access to a free transaction card. It has</w:t>
      </w:r>
      <w:r w:rsidR="00746064">
        <w:rPr>
          <w:szCs w:val="19"/>
        </w:rPr>
        <w:t>,</w:t>
      </w:r>
      <w:r w:rsidRPr="00DF38B2">
        <w:rPr>
          <w:szCs w:val="19"/>
        </w:rPr>
        <w:t xml:space="preserve"> however</w:t>
      </w:r>
      <w:r w:rsidR="00746064">
        <w:rPr>
          <w:szCs w:val="19"/>
        </w:rPr>
        <w:t>,</w:t>
      </w:r>
      <w:r w:rsidRPr="00DF38B2">
        <w:rPr>
          <w:szCs w:val="19"/>
        </w:rPr>
        <w:t xml:space="preserve"> </w:t>
      </w:r>
      <w:r w:rsidR="00746064">
        <w:rPr>
          <w:szCs w:val="19"/>
        </w:rPr>
        <w:t xml:space="preserve">had </w:t>
      </w:r>
      <w:r w:rsidR="0074694B">
        <w:rPr>
          <w:szCs w:val="19"/>
        </w:rPr>
        <w:t>only a small, and somewhat uncertain,</w:t>
      </w:r>
      <w:r w:rsidRPr="00DF38B2">
        <w:rPr>
          <w:szCs w:val="19"/>
        </w:rPr>
        <w:t xml:space="preserve"> impact on outcomes and is likely to make people less likely to move off income support. Given the population is largely on the Disability Support Pension and Age Pension and living in circumstances where they are unlikely to gain employment, this </w:t>
      </w:r>
      <w:r w:rsidR="008460B9" w:rsidRPr="00DF38B2">
        <w:rPr>
          <w:szCs w:val="19"/>
        </w:rPr>
        <w:t xml:space="preserve">might be seen as having more </w:t>
      </w:r>
      <w:r w:rsidRPr="00DF38B2">
        <w:rPr>
          <w:szCs w:val="19"/>
        </w:rPr>
        <w:t>limited consequence.</w:t>
      </w:r>
    </w:p>
    <w:p w:rsidR="00417B51" w:rsidRPr="00DF38B2" w:rsidRDefault="00417B51" w:rsidP="006654AE">
      <w:r w:rsidRPr="00DF38B2">
        <w:br w:type="page"/>
      </w:r>
    </w:p>
    <w:p w:rsidR="00417B51" w:rsidRPr="00DF38B2" w:rsidRDefault="00417B51" w:rsidP="006654AE">
      <w:pPr>
        <w:rPr>
          <w:szCs w:val="19"/>
        </w:rPr>
      </w:pPr>
    </w:p>
    <w:p w:rsidR="00417B51" w:rsidRPr="00DF38B2" w:rsidRDefault="00417B51" w:rsidP="006654AE">
      <w:pPr>
        <w:sectPr w:rsidR="00417B51" w:rsidRPr="00DF38B2" w:rsidSect="00285084">
          <w:headerReference w:type="even" r:id="rId184"/>
          <w:headerReference w:type="default" r:id="rId185"/>
          <w:footerReference w:type="even" r:id="rId186"/>
          <w:footerReference w:type="default" r:id="rId187"/>
          <w:headerReference w:type="first" r:id="rId188"/>
          <w:footerReference w:type="first" r:id="rId189"/>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07" w:name="_Toc403739132"/>
      <w:r w:rsidRPr="00DF38B2">
        <w:lastRenderedPageBreak/>
        <w:t>Vulnerable Income Management</w:t>
      </w:r>
      <w:bookmarkEnd w:id="607"/>
    </w:p>
    <w:p w:rsidR="00417B51" w:rsidRPr="00DF38B2" w:rsidRDefault="00417B51" w:rsidP="00F42BEE">
      <w:pPr>
        <w:pStyle w:val="Heading2"/>
        <w:spacing w:before="1134"/>
        <w:ind w:left="855" w:hanging="855"/>
        <w:rPr>
          <w:szCs w:val="19"/>
        </w:rPr>
      </w:pPr>
      <w:bookmarkStart w:id="608" w:name="_Toc403739133"/>
      <w:r w:rsidRPr="001D25DF">
        <w:t>Introduction</w:t>
      </w:r>
      <w:bookmarkEnd w:id="608"/>
    </w:p>
    <w:p w:rsidR="00417B51" w:rsidRPr="00DF38B2" w:rsidRDefault="00417B51" w:rsidP="006654AE">
      <w:r w:rsidRPr="00DF38B2">
        <w:t xml:space="preserve">This chapter provides findings related to the </w:t>
      </w:r>
      <w:r w:rsidRPr="00DF38B2">
        <w:rPr>
          <w:szCs w:val="19"/>
        </w:rPr>
        <w:t>Vulnerable Income Management</w:t>
      </w:r>
      <w:r w:rsidRPr="00DF38B2">
        <w:rPr>
          <w:rStyle w:val="FootnoteReference"/>
        </w:rPr>
        <w:footnoteReference w:id="137"/>
      </w:r>
      <w:r w:rsidRPr="00DF38B2">
        <w:t xml:space="preserve"> measure. </w:t>
      </w:r>
      <w:r w:rsidR="009B651E">
        <w:t>T</w:t>
      </w:r>
      <w:r w:rsidR="00A30D5D" w:rsidRPr="00DF38B2">
        <w:t>he small number</w:t>
      </w:r>
      <w:r w:rsidR="009B651E">
        <w:t>s</w:t>
      </w:r>
      <w:r w:rsidR="00A30D5D" w:rsidRPr="00DF38B2">
        <w:t xml:space="preserve"> of people on this </w:t>
      </w:r>
      <w:proofErr w:type="gramStart"/>
      <w:r w:rsidR="00A30D5D" w:rsidRPr="00DF38B2">
        <w:t>measure,</w:t>
      </w:r>
      <w:proofErr w:type="gramEnd"/>
      <w:r w:rsidR="00A30D5D" w:rsidRPr="00DF38B2">
        <w:t xml:space="preserve"> </w:t>
      </w:r>
      <w:r w:rsidR="009B651E">
        <w:t xml:space="preserve">meant that it was not possible in the </w:t>
      </w:r>
      <w:r w:rsidRPr="00DF38B2">
        <w:t xml:space="preserve">First Evaluation Report </w:t>
      </w:r>
      <w:r w:rsidR="009B651E">
        <w:t xml:space="preserve">to </w:t>
      </w:r>
      <w:r w:rsidRPr="00DF38B2">
        <w:t>draw</w:t>
      </w:r>
      <w:r w:rsidRPr="00FE502F">
        <w:t xml:space="preserve"> conclusions about the impact of the Vulnerable Income Management measure on individuals and families</w:t>
      </w:r>
      <w:r w:rsidR="00A30D5D">
        <w:t>,</w:t>
      </w:r>
      <w:r w:rsidRPr="00FE502F">
        <w:t xml:space="preserve"> or to ascertain their views about the measure. In the second stage of the evaluation, additional information was gathere</w:t>
      </w:r>
      <w:r w:rsidRPr="009655C3">
        <w:t xml:space="preserve">d regarding the use of Vulnerable Income Management and </w:t>
      </w:r>
      <w:r w:rsidR="00A30D5D">
        <w:t xml:space="preserve">the </w:t>
      </w:r>
      <w:r w:rsidRPr="009655C3">
        <w:t xml:space="preserve">impact of the measure on individuals. Findings are based on focus groups with </w:t>
      </w:r>
      <w:r w:rsidR="00060511">
        <w:t>DHS</w:t>
      </w:r>
      <w:r w:rsidRPr="009655C3">
        <w:t xml:space="preserve"> social workers, a review of a sample of </w:t>
      </w:r>
      <w:r w:rsidR="00060511">
        <w:t>DHS</w:t>
      </w:r>
      <w:r w:rsidRPr="009655C3">
        <w:t xml:space="preserve"> social worker assessment reports, analyses of administrative data derived from the </w:t>
      </w:r>
      <w:r w:rsidR="00060511">
        <w:t>DHS</w:t>
      </w:r>
      <w:r w:rsidRPr="009655C3">
        <w:t xml:space="preserve"> administrative data system</w:t>
      </w:r>
      <w:r w:rsidR="00A30D5D">
        <w:t>,</w:t>
      </w:r>
      <w:r w:rsidRPr="009655C3">
        <w:t xml:space="preserve"> and interviews with a small number of people subject to Vulnerable Income Management who took part in the </w:t>
      </w:r>
      <w:r w:rsidR="00780951">
        <w:t>LSNIM</w:t>
      </w:r>
      <w:r w:rsidRPr="00DF38B2">
        <w:t xml:space="preserve"> (refer to Chapter 3: Methodology).</w:t>
      </w:r>
    </w:p>
    <w:p w:rsidR="00417B51" w:rsidRPr="00DF38B2" w:rsidRDefault="00417B51" w:rsidP="006654AE">
      <w:r w:rsidRPr="00DF38B2">
        <w:t>The analysis focused on the following themes:</w:t>
      </w:r>
    </w:p>
    <w:p w:rsidR="00417B51" w:rsidRPr="00DF38B2" w:rsidRDefault="00780951" w:rsidP="006654AE">
      <w:pPr>
        <w:pStyle w:val="dot"/>
        <w:numPr>
          <w:ilvl w:val="0"/>
          <w:numId w:val="9"/>
        </w:numPr>
        <w:ind w:left="357" w:hanging="357"/>
      </w:pPr>
      <w:r>
        <w:t>t</w:t>
      </w:r>
      <w:r w:rsidR="005D1CC5">
        <w:t xml:space="preserve">argeting of </w:t>
      </w:r>
      <w:r w:rsidR="00417B51" w:rsidRPr="00DF38B2">
        <w:t>Vulnerable Income Management measure</w:t>
      </w:r>
    </w:p>
    <w:p w:rsidR="00417B51" w:rsidRPr="00DF38B2" w:rsidRDefault="00780951" w:rsidP="006654AE">
      <w:pPr>
        <w:pStyle w:val="dot"/>
        <w:numPr>
          <w:ilvl w:val="0"/>
          <w:numId w:val="9"/>
        </w:numPr>
        <w:ind w:left="357" w:hanging="357"/>
      </w:pPr>
      <w:r>
        <w:t>c</w:t>
      </w:r>
      <w:r w:rsidR="00417B51" w:rsidRPr="00DF38B2">
        <w:t>hanges in decision</w:t>
      </w:r>
      <w:r w:rsidR="00D0429A">
        <w:t>-</w:t>
      </w:r>
      <w:r w:rsidR="00417B51" w:rsidRPr="00DF38B2">
        <w:t>making practice in relation to Vulnerable Income Management since phase one of the evaluation</w:t>
      </w:r>
    </w:p>
    <w:p w:rsidR="00417B51" w:rsidRPr="00DF38B2" w:rsidRDefault="00780951" w:rsidP="006654AE">
      <w:pPr>
        <w:pStyle w:val="dot"/>
        <w:numPr>
          <w:ilvl w:val="0"/>
          <w:numId w:val="9"/>
        </w:numPr>
        <w:ind w:left="357" w:hanging="357"/>
      </w:pPr>
      <w:r>
        <w:t>s</w:t>
      </w:r>
      <w:r w:rsidR="00417B51" w:rsidRPr="00DF38B2">
        <w:t xml:space="preserve">ources of referrals </w:t>
      </w:r>
      <w:r>
        <w:t>to</w:t>
      </w:r>
      <w:r w:rsidR="00417B51" w:rsidRPr="00DF38B2">
        <w:t xml:space="preserve"> Vulnerable Income Management measure</w:t>
      </w:r>
    </w:p>
    <w:p w:rsidR="00417B51" w:rsidRPr="00DF38B2" w:rsidRDefault="00780951" w:rsidP="006654AE">
      <w:pPr>
        <w:pStyle w:val="dot"/>
        <w:numPr>
          <w:ilvl w:val="0"/>
          <w:numId w:val="9"/>
        </w:numPr>
        <w:ind w:left="357" w:hanging="357"/>
      </w:pPr>
      <w:r>
        <w:t>a</w:t>
      </w:r>
      <w:r w:rsidR="00417B51" w:rsidRPr="00DF38B2">
        <w:t>ssessment and review processes</w:t>
      </w:r>
    </w:p>
    <w:p w:rsidR="00417B51" w:rsidRPr="00DF38B2" w:rsidRDefault="00780951" w:rsidP="006654AE">
      <w:pPr>
        <w:pStyle w:val="dot"/>
        <w:numPr>
          <w:ilvl w:val="0"/>
          <w:numId w:val="9"/>
        </w:numPr>
        <w:ind w:left="357" w:hanging="357"/>
      </w:pPr>
      <w:r>
        <w:t>v</w:t>
      </w:r>
      <w:r w:rsidR="00417B51" w:rsidRPr="00DF38B2">
        <w:t>iews of</w:t>
      </w:r>
      <w:r>
        <w:t xml:space="preserve"> those persons subject to V</w:t>
      </w:r>
      <w:r w:rsidR="00417B51" w:rsidRPr="00DF38B2">
        <w:t xml:space="preserve">ulnerable </w:t>
      </w:r>
      <w:r>
        <w:t>Income Management</w:t>
      </w:r>
    </w:p>
    <w:p w:rsidR="00417B51" w:rsidRPr="00DF38B2" w:rsidRDefault="00780951" w:rsidP="006654AE">
      <w:pPr>
        <w:pStyle w:val="dot"/>
        <w:numPr>
          <w:ilvl w:val="0"/>
          <w:numId w:val="9"/>
        </w:numPr>
        <w:ind w:left="357" w:hanging="357"/>
      </w:pPr>
      <w:r>
        <w:t>o</w:t>
      </w:r>
      <w:r w:rsidR="00417B51" w:rsidRPr="00DF38B2">
        <w:t xml:space="preserve">utcomes for </w:t>
      </w:r>
      <w:r>
        <w:t>people placed on Vulnerable Income Management</w:t>
      </w:r>
    </w:p>
    <w:p w:rsidR="00417B51" w:rsidRPr="00DF38B2" w:rsidRDefault="00780951" w:rsidP="006654AE">
      <w:pPr>
        <w:pStyle w:val="dot"/>
        <w:numPr>
          <w:ilvl w:val="0"/>
          <w:numId w:val="9"/>
        </w:numPr>
        <w:ind w:left="357" w:hanging="357"/>
      </w:pPr>
      <w:r>
        <w:t>s</w:t>
      </w:r>
      <w:r w:rsidR="00417B51" w:rsidRPr="00DF38B2">
        <w:t>ervices and supports available to people on Vulnerable Income Management</w:t>
      </w:r>
    </w:p>
    <w:p w:rsidR="00417B51" w:rsidRPr="00DF38B2" w:rsidRDefault="00780951" w:rsidP="006654AE">
      <w:pPr>
        <w:pStyle w:val="dot"/>
        <w:numPr>
          <w:ilvl w:val="0"/>
          <w:numId w:val="9"/>
        </w:numPr>
        <w:ind w:left="357" w:hanging="357"/>
      </w:pPr>
      <w:proofErr w:type="gramStart"/>
      <w:r>
        <w:t>p</w:t>
      </w:r>
      <w:r w:rsidR="00417B51" w:rsidRPr="00DF38B2">
        <w:t>athways</w:t>
      </w:r>
      <w:proofErr w:type="gramEnd"/>
      <w:r w:rsidR="00417B51" w:rsidRPr="00DF38B2">
        <w:t xml:space="preserve"> off Vulnerable Income Management</w:t>
      </w:r>
      <w:r>
        <w:t>.</w:t>
      </w:r>
    </w:p>
    <w:p w:rsidR="00417B51" w:rsidRPr="00DF38B2" w:rsidRDefault="00417B51" w:rsidP="006654AE">
      <w:pPr>
        <w:pStyle w:val="Heading2"/>
      </w:pPr>
      <w:bookmarkStart w:id="609" w:name="_Toc403739134"/>
      <w:r w:rsidRPr="00DF38B2">
        <w:t>Context</w:t>
      </w:r>
      <w:bookmarkEnd w:id="609"/>
    </w:p>
    <w:p w:rsidR="00417B51" w:rsidRPr="00FE502F" w:rsidRDefault="00417B51" w:rsidP="006654AE">
      <w:pPr>
        <w:rPr>
          <w:rStyle w:val="Heading9Char"/>
          <w:rFonts w:ascii="Garamond" w:eastAsiaTheme="minorEastAsia" w:hAnsi="Garamond" w:cstheme="minorBidi"/>
          <w:i w:val="0"/>
          <w:iCs w:val="0"/>
          <w:color w:val="auto"/>
          <w:sz w:val="19"/>
          <w:szCs w:val="19"/>
        </w:rPr>
      </w:pPr>
      <w:r w:rsidRPr="00DF38B2">
        <w:rPr>
          <w:szCs w:val="19"/>
        </w:rPr>
        <w:t xml:space="preserve">As outlined in Chapter 2, the </w:t>
      </w:r>
      <w:r w:rsidRPr="00DF38B2">
        <w:t>Vulnerable Income Management measure</w:t>
      </w:r>
      <w:r w:rsidRPr="00DF38B2">
        <w:rPr>
          <w:szCs w:val="19"/>
        </w:rPr>
        <w:t xml:space="preserve"> is another compulsory form of income management</w:t>
      </w:r>
      <w:r w:rsidR="00A1421A">
        <w:rPr>
          <w:szCs w:val="19"/>
        </w:rPr>
        <w:t xml:space="preserve">. </w:t>
      </w:r>
      <w:r w:rsidRPr="00DF38B2">
        <w:rPr>
          <w:szCs w:val="19"/>
        </w:rPr>
        <w:t>Initially there was a single form of Vulnerable Income Management; however, from July 2013 additional streams of Vulnerable Income Management were introduced. The initial form was designed to provide Centrelink social workers with an additional tool to use in providing their services to individuals who are vulnerable and/or at risk</w:t>
      </w:r>
      <w:r w:rsidR="00FD62CF">
        <w:rPr>
          <w:szCs w:val="19"/>
        </w:rPr>
        <w:t xml:space="preserve">; </w:t>
      </w:r>
      <w:r w:rsidRPr="00DF38B2">
        <w:rPr>
          <w:szCs w:val="19"/>
        </w:rPr>
        <w:t xml:space="preserve">for example, individuals on an Age Pension or Disability Support Pension who are subject to financial harassment, or who have an impaired capacity to manage their finances. Being placed on this form of income management requires an assessment of vulnerability by </w:t>
      </w:r>
      <w:r w:rsidRPr="00DF38B2">
        <w:rPr>
          <w:szCs w:val="19"/>
        </w:rPr>
        <w:lastRenderedPageBreak/>
        <w:t xml:space="preserve">a </w:t>
      </w:r>
      <w:r w:rsidR="00060511">
        <w:rPr>
          <w:szCs w:val="19"/>
        </w:rPr>
        <w:t>DHS</w:t>
      </w:r>
      <w:r w:rsidRPr="00DF38B2">
        <w:rPr>
          <w:szCs w:val="19"/>
        </w:rPr>
        <w:t xml:space="preserve"> social worker, referred to in this report as assessed Vulnerable Income Management. This remains the main form of Vulnerable Income Management</w:t>
      </w:r>
      <w:r w:rsidR="00060511">
        <w:rPr>
          <w:szCs w:val="19"/>
        </w:rPr>
        <w:t>.</w:t>
      </w:r>
      <w:r w:rsidR="008460B9" w:rsidRPr="00DF38B2">
        <w:rPr>
          <w:rStyle w:val="FootnoteReference"/>
          <w:szCs w:val="19"/>
        </w:rPr>
        <w:footnoteReference w:id="138"/>
      </w:r>
    </w:p>
    <w:p w:rsidR="00417B51" w:rsidRPr="00DF38B2" w:rsidRDefault="00417B51" w:rsidP="006654AE">
      <w:pPr>
        <w:rPr>
          <w:szCs w:val="19"/>
        </w:rPr>
      </w:pPr>
      <w:r w:rsidRPr="009655C3">
        <w:rPr>
          <w:szCs w:val="19"/>
        </w:rPr>
        <w:t xml:space="preserve">In deciding whether a customer should be income managed under the assessed Vulnerable Income Management measure, Centrelink is required by the </w:t>
      </w:r>
      <w:r w:rsidRPr="00DF38B2">
        <w:rPr>
          <w:i/>
          <w:szCs w:val="19"/>
        </w:rPr>
        <w:t>Social Security (Administration) Act 1999 (</w:t>
      </w:r>
      <w:proofErr w:type="spellStart"/>
      <w:r w:rsidRPr="00DF38B2">
        <w:rPr>
          <w:i/>
          <w:szCs w:val="19"/>
        </w:rPr>
        <w:t>Cwth</w:t>
      </w:r>
      <w:proofErr w:type="spellEnd"/>
      <w:r w:rsidRPr="00DF38B2">
        <w:rPr>
          <w:i/>
          <w:szCs w:val="19"/>
        </w:rPr>
        <w:t>)</w:t>
      </w:r>
      <w:r w:rsidRPr="00DF38B2">
        <w:rPr>
          <w:szCs w:val="19"/>
        </w:rPr>
        <w:t xml:space="preserve"> to consider:</w:t>
      </w:r>
    </w:p>
    <w:p w:rsidR="00417B51" w:rsidRPr="00DF38B2" w:rsidRDefault="008460B9" w:rsidP="006654AE">
      <w:pPr>
        <w:pStyle w:val="dot"/>
        <w:ind w:left="720" w:hanging="360"/>
      </w:pPr>
      <w:r w:rsidRPr="00DF38B2">
        <w:t>“</w:t>
      </w:r>
      <w:r w:rsidR="00417B51" w:rsidRPr="00DF38B2">
        <w:t xml:space="preserve">whether the person is experiencing an indicator of vulnerability </w:t>
      </w:r>
    </w:p>
    <w:p w:rsidR="00417B51" w:rsidRPr="00DF38B2" w:rsidRDefault="00417B51" w:rsidP="006654AE">
      <w:pPr>
        <w:pStyle w:val="dot"/>
        <w:ind w:left="720" w:hanging="360"/>
      </w:pPr>
      <w:r w:rsidRPr="00DF38B2">
        <w:t>whether the person is meeting their priority needs and the priority needs of their partner, children or other dependants</w:t>
      </w:r>
    </w:p>
    <w:p w:rsidR="00417B51" w:rsidRPr="00DF38B2" w:rsidRDefault="00417B51" w:rsidP="006654AE">
      <w:pPr>
        <w:pStyle w:val="dot"/>
        <w:ind w:left="720" w:hanging="360"/>
      </w:pPr>
      <w:proofErr w:type="gramStart"/>
      <w:r w:rsidRPr="00DF38B2">
        <w:t>whether</w:t>
      </w:r>
      <w:proofErr w:type="gramEnd"/>
      <w:r w:rsidRPr="00DF38B2">
        <w:t xml:space="preserve"> income management is an appropriate support for the person experiencing vulnerability to meet their responsibilities, to build and maintain self-care and to manage their money.</w:t>
      </w:r>
      <w:r w:rsidR="008460B9" w:rsidRPr="00DF38B2">
        <w:t>”</w:t>
      </w:r>
      <w:r w:rsidRPr="00DF38B2">
        <w:t xml:space="preserve"> (Australian Government, 201</w:t>
      </w:r>
      <w:r w:rsidR="00D7119A">
        <w:t>4</w:t>
      </w:r>
      <w:r w:rsidRPr="00DF38B2">
        <w:t xml:space="preserve">, Section 11.4.2.10). </w:t>
      </w:r>
    </w:p>
    <w:p w:rsidR="00417B51" w:rsidRPr="00DF38B2" w:rsidRDefault="00417B51" w:rsidP="006654AE">
      <w:pPr>
        <w:rPr>
          <w:szCs w:val="19"/>
        </w:rPr>
      </w:pPr>
      <w:r w:rsidRPr="00DF38B2">
        <w:rPr>
          <w:szCs w:val="19"/>
        </w:rPr>
        <w:t xml:space="preserve">The specified ‘Indicators of Vulnerability’ are: </w:t>
      </w:r>
    </w:p>
    <w:p w:rsidR="00417B51" w:rsidRPr="00DF38B2" w:rsidRDefault="008460B9" w:rsidP="006654AE">
      <w:pPr>
        <w:pStyle w:val="dot"/>
        <w:ind w:left="720" w:hanging="360"/>
      </w:pPr>
      <w:r w:rsidRPr="00DF38B2">
        <w:t>“</w:t>
      </w:r>
      <w:r w:rsidR="00417B51" w:rsidRPr="00DF38B2">
        <w:t xml:space="preserve">Financial hardship: A person is defined as experiencing financial hardship where they are unable to access or engage in activities that meet their priority needs due to a lack of financial resources. The receipt of income support in itself does not define a person as experiencing financial </w:t>
      </w:r>
      <w:proofErr w:type="gramStart"/>
      <w:r w:rsidR="00417B51" w:rsidRPr="00DF38B2">
        <w:t>hardship,</w:t>
      </w:r>
      <w:proofErr w:type="gramEnd"/>
      <w:r w:rsidR="00417B51" w:rsidRPr="00DF38B2">
        <w:t xml:space="preserve"> rather a lack of skills or an ability to manage limited resources may result in financial hardship.</w:t>
      </w:r>
    </w:p>
    <w:p w:rsidR="00417B51" w:rsidRPr="00DF38B2" w:rsidRDefault="00417B51" w:rsidP="006654AE">
      <w:pPr>
        <w:pStyle w:val="dot"/>
        <w:ind w:left="720" w:hanging="360"/>
      </w:pPr>
      <w:r w:rsidRPr="00DF38B2">
        <w:t>Financial exploitation: This is considered to occur when a person is subject to undue pressure, harassment, violence, abuse, deception or exploitation for resources by another person or people, including other family members and community members.</w:t>
      </w:r>
    </w:p>
    <w:p w:rsidR="00417B51" w:rsidRPr="00DF38B2" w:rsidRDefault="00417B51" w:rsidP="006654AE">
      <w:pPr>
        <w:pStyle w:val="dot"/>
        <w:ind w:left="720" w:hanging="360"/>
      </w:pPr>
      <w:r w:rsidRPr="00DF38B2">
        <w:t>Failure to undertake reasonable self-care: This may be due to factors including, but not limited to, substance abuse issues, problem gambling, and mental health issues.</w:t>
      </w:r>
    </w:p>
    <w:p w:rsidR="00417B51" w:rsidRPr="00DF38B2" w:rsidRDefault="00417B51" w:rsidP="006654AE">
      <w:pPr>
        <w:pStyle w:val="dot"/>
        <w:ind w:left="720" w:hanging="360"/>
      </w:pPr>
      <w:r w:rsidRPr="00DF38B2">
        <w:t>Homelessness or risk of homelessness: Where the person does not have, or is at risk of not having, access to safe, secure and adequate housing</w:t>
      </w:r>
      <w:r w:rsidR="008460B9" w:rsidRPr="00DF38B2">
        <w:t>”.</w:t>
      </w:r>
      <w:r w:rsidRPr="00DF38B2">
        <w:t xml:space="preserve"> (Australian Government, 201</w:t>
      </w:r>
      <w:r w:rsidR="00D7119A">
        <w:t>4</w:t>
      </w:r>
      <w:r w:rsidRPr="00DF38B2">
        <w:t>, Section 11.4.2.20).</w:t>
      </w:r>
    </w:p>
    <w:p w:rsidR="00417B51" w:rsidRPr="00DF38B2" w:rsidRDefault="00417B51" w:rsidP="006654AE">
      <w:pPr>
        <w:rPr>
          <w:rFonts w:eastAsiaTheme="minorHAnsi"/>
          <w:lang w:eastAsia="en-US"/>
        </w:rPr>
      </w:pPr>
      <w:r w:rsidRPr="00DF38B2">
        <w:rPr>
          <w:szCs w:val="19"/>
        </w:rPr>
        <w:t>People are placed on this measure for a maximum duration of 12 months</w:t>
      </w:r>
      <w:r w:rsidR="0074694B">
        <w:rPr>
          <w:szCs w:val="19"/>
        </w:rPr>
        <w:t xml:space="preserve"> at a time</w:t>
      </w:r>
      <w:r w:rsidR="00A1421A">
        <w:rPr>
          <w:szCs w:val="19"/>
        </w:rPr>
        <w:t xml:space="preserve">. </w:t>
      </w:r>
      <w:r w:rsidRPr="00DF38B2">
        <w:rPr>
          <w:szCs w:val="19"/>
        </w:rPr>
        <w:t xml:space="preserve">After this period a </w:t>
      </w:r>
      <w:r w:rsidR="00060511">
        <w:rPr>
          <w:szCs w:val="19"/>
        </w:rPr>
        <w:t>DHS</w:t>
      </w:r>
      <w:r w:rsidRPr="00DF38B2">
        <w:rPr>
          <w:szCs w:val="19"/>
        </w:rPr>
        <w:t xml:space="preserve"> social worker must conduct a further assessment</w:t>
      </w:r>
      <w:r w:rsidR="00A1421A">
        <w:rPr>
          <w:szCs w:val="19"/>
        </w:rPr>
        <w:t xml:space="preserve">. </w:t>
      </w:r>
      <w:r w:rsidRPr="00DF38B2">
        <w:rPr>
          <w:szCs w:val="19"/>
        </w:rPr>
        <w:t>If the person is assessed as continuing to meet the criteria for the Vulnerable Income Management measure, they are placed on the measure for a further period of up to 12 months</w:t>
      </w:r>
      <w:r w:rsidR="00A1421A">
        <w:rPr>
          <w:szCs w:val="19"/>
        </w:rPr>
        <w:t xml:space="preserve">. </w:t>
      </w:r>
      <w:r w:rsidRPr="00DF38B2">
        <w:rPr>
          <w:szCs w:val="19"/>
        </w:rPr>
        <w:t>There is no limit to the number of times a person can be reassessed or to the number of extensions to their being placed on the measure.</w:t>
      </w:r>
    </w:p>
    <w:p w:rsidR="00417B51" w:rsidRPr="00DF38B2" w:rsidRDefault="00417B51" w:rsidP="006654AE">
      <w:pPr>
        <w:rPr>
          <w:rFonts w:eastAsiaTheme="minorHAnsi"/>
          <w:lang w:eastAsia="en-US"/>
        </w:rPr>
      </w:pPr>
      <w:r w:rsidRPr="00DF38B2">
        <w:rPr>
          <w:rFonts w:eastAsiaTheme="minorHAnsi"/>
          <w:lang w:eastAsia="en-US"/>
        </w:rPr>
        <w:t>Since the first report of the evaluation of New Income Management (NIM) in the Northern Territory, there have been a number of changes in relation to decision-making practice with regard to people on the Vulnerable Income Management measure</w:t>
      </w:r>
      <w:r w:rsidR="00A1421A">
        <w:rPr>
          <w:rFonts w:eastAsiaTheme="minorHAnsi"/>
          <w:lang w:eastAsia="en-US"/>
        </w:rPr>
        <w:t xml:space="preserve">. </w:t>
      </w:r>
      <w:r w:rsidRPr="00DF38B2">
        <w:rPr>
          <w:rFonts w:eastAsiaTheme="minorHAnsi"/>
          <w:lang w:eastAsia="en-US"/>
        </w:rPr>
        <w:t xml:space="preserve">In 2012 the Commonwealth Ombudsman began a review of the decisions made when applying income management to people who have been assessed by </w:t>
      </w:r>
      <w:r w:rsidR="00060511">
        <w:rPr>
          <w:rFonts w:eastAsiaTheme="minorHAnsi"/>
          <w:lang w:eastAsia="en-US"/>
        </w:rPr>
        <w:t>DHS</w:t>
      </w:r>
      <w:r w:rsidRPr="00DF38B2">
        <w:rPr>
          <w:rFonts w:eastAsiaTheme="minorHAnsi"/>
          <w:lang w:eastAsia="en-US"/>
        </w:rPr>
        <w:t xml:space="preserve"> social workers as eligible for Vulnerable Income Management</w:t>
      </w:r>
      <w:r w:rsidR="00A1421A">
        <w:rPr>
          <w:rFonts w:eastAsiaTheme="minorHAnsi"/>
          <w:lang w:eastAsia="en-US"/>
        </w:rPr>
        <w:t xml:space="preserve">. </w:t>
      </w:r>
      <w:r w:rsidRPr="00DF38B2">
        <w:rPr>
          <w:rFonts w:eastAsiaTheme="minorHAnsi"/>
          <w:lang w:eastAsia="en-US"/>
        </w:rPr>
        <w:t>In response to a number of criticisms of the way decisions were made, as outlined in the Ombudsman’s Interim Report, a taskforce was established to examine the decision-making process</w:t>
      </w:r>
      <w:r w:rsidR="00A1421A">
        <w:rPr>
          <w:rFonts w:eastAsiaTheme="minorHAnsi"/>
          <w:lang w:eastAsia="en-US"/>
        </w:rPr>
        <w:t xml:space="preserve">. </w:t>
      </w:r>
    </w:p>
    <w:p w:rsidR="00417B51" w:rsidRPr="00DF38B2" w:rsidRDefault="00417B51" w:rsidP="006654AE">
      <w:pPr>
        <w:rPr>
          <w:rFonts w:eastAsiaTheme="minorHAnsi"/>
          <w:lang w:eastAsia="en-US"/>
        </w:rPr>
      </w:pPr>
      <w:r w:rsidRPr="00DF38B2">
        <w:rPr>
          <w:rFonts w:eastAsiaTheme="minorHAnsi"/>
          <w:lang w:eastAsia="en-US"/>
        </w:rPr>
        <w:t>The Taskforce raised a number of issues to be addressed, including:</w:t>
      </w:r>
    </w:p>
    <w:p w:rsidR="00417B51" w:rsidRPr="00DF38B2" w:rsidRDefault="00780951" w:rsidP="006654AE">
      <w:pPr>
        <w:pStyle w:val="dot"/>
        <w:numPr>
          <w:ilvl w:val="0"/>
          <w:numId w:val="9"/>
        </w:numPr>
        <w:ind w:left="357" w:hanging="357"/>
        <w:rPr>
          <w:lang w:eastAsia="en-US"/>
        </w:rPr>
      </w:pPr>
      <w:r>
        <w:rPr>
          <w:lang w:eastAsia="en-US"/>
        </w:rPr>
        <w:t>A n</w:t>
      </w:r>
      <w:r w:rsidR="00417B51" w:rsidRPr="00DF38B2">
        <w:rPr>
          <w:lang w:eastAsia="en-US"/>
        </w:rPr>
        <w:t>eed for better management of the social workers responsible for Vulnerable Income Management decisions.</w:t>
      </w:r>
    </w:p>
    <w:p w:rsidR="00417B51" w:rsidRPr="00DF38B2" w:rsidRDefault="00417B51" w:rsidP="006654AE">
      <w:pPr>
        <w:pStyle w:val="dot"/>
        <w:numPr>
          <w:ilvl w:val="0"/>
          <w:numId w:val="9"/>
        </w:numPr>
        <w:ind w:left="357" w:hanging="357"/>
        <w:rPr>
          <w:lang w:eastAsia="en-US"/>
        </w:rPr>
      </w:pPr>
      <w:r w:rsidRPr="00DF38B2">
        <w:rPr>
          <w:lang w:eastAsia="en-US"/>
        </w:rPr>
        <w:t>Inadequate training of social workers responsible for making Vulnerable Income Management decisions.</w:t>
      </w:r>
    </w:p>
    <w:p w:rsidR="00417B51" w:rsidRPr="00DF38B2" w:rsidRDefault="00417B51" w:rsidP="006654AE">
      <w:pPr>
        <w:pStyle w:val="dot"/>
        <w:numPr>
          <w:ilvl w:val="0"/>
          <w:numId w:val="9"/>
        </w:numPr>
        <w:ind w:left="357" w:hanging="357"/>
        <w:rPr>
          <w:lang w:eastAsia="en-US"/>
        </w:rPr>
      </w:pPr>
      <w:r w:rsidRPr="00DF38B2">
        <w:rPr>
          <w:lang w:eastAsia="en-US"/>
        </w:rPr>
        <w:lastRenderedPageBreak/>
        <w:t>Lack of documented customer wellbeing assessments.</w:t>
      </w:r>
    </w:p>
    <w:p w:rsidR="00417B51" w:rsidRPr="00DF38B2" w:rsidRDefault="00417B51" w:rsidP="006654AE">
      <w:pPr>
        <w:pStyle w:val="dot"/>
        <w:numPr>
          <w:ilvl w:val="0"/>
          <w:numId w:val="9"/>
        </w:numPr>
        <w:ind w:left="357" w:hanging="357"/>
        <w:rPr>
          <w:lang w:eastAsia="en-US"/>
        </w:rPr>
      </w:pPr>
      <w:r w:rsidRPr="00DF38B2">
        <w:rPr>
          <w:lang w:eastAsia="en-US"/>
        </w:rPr>
        <w:t>Lack of documentation of the customer’s relevant personal circumstances or referrals to other sources for assistance.</w:t>
      </w:r>
    </w:p>
    <w:p w:rsidR="00417B51" w:rsidRPr="00DF38B2" w:rsidRDefault="00780951" w:rsidP="006654AE">
      <w:pPr>
        <w:pStyle w:val="dot"/>
        <w:numPr>
          <w:ilvl w:val="0"/>
          <w:numId w:val="9"/>
        </w:numPr>
        <w:ind w:left="357" w:hanging="357"/>
        <w:rPr>
          <w:lang w:eastAsia="en-US"/>
        </w:rPr>
      </w:pPr>
      <w:r>
        <w:rPr>
          <w:lang w:eastAsia="en-US"/>
        </w:rPr>
        <w:t>The n</w:t>
      </w:r>
      <w:r w:rsidR="00417B51" w:rsidRPr="00DF38B2">
        <w:rPr>
          <w:lang w:eastAsia="en-US"/>
        </w:rPr>
        <w:t>eed for greater use of interpreters during the decision-making process.</w:t>
      </w:r>
    </w:p>
    <w:p w:rsidR="00417B51" w:rsidRPr="00DF38B2" w:rsidRDefault="00417B51" w:rsidP="006654AE">
      <w:pPr>
        <w:pStyle w:val="dot"/>
        <w:numPr>
          <w:ilvl w:val="0"/>
          <w:numId w:val="9"/>
        </w:numPr>
        <w:ind w:left="357" w:hanging="357"/>
        <w:rPr>
          <w:lang w:eastAsia="en-US"/>
        </w:rPr>
      </w:pPr>
      <w:r w:rsidRPr="00DF38B2">
        <w:rPr>
          <w:lang w:eastAsia="en-US"/>
        </w:rPr>
        <w:t>Problems with the design of the Vulnerable Income Management process, including hidden parts and segmented processes affecting quality, timing and transparency.</w:t>
      </w:r>
    </w:p>
    <w:p w:rsidR="00417B51" w:rsidRPr="00DF38B2" w:rsidRDefault="00780951" w:rsidP="006654AE">
      <w:pPr>
        <w:pStyle w:val="dot"/>
        <w:numPr>
          <w:ilvl w:val="0"/>
          <w:numId w:val="9"/>
        </w:numPr>
        <w:ind w:left="357" w:hanging="357"/>
        <w:rPr>
          <w:lang w:eastAsia="en-US"/>
        </w:rPr>
      </w:pPr>
      <w:r>
        <w:rPr>
          <w:lang w:eastAsia="en-US"/>
        </w:rPr>
        <w:t>A n</w:t>
      </w:r>
      <w:r w:rsidR="00417B51" w:rsidRPr="00DF38B2">
        <w:rPr>
          <w:lang w:eastAsia="en-US"/>
        </w:rPr>
        <w:t xml:space="preserve">eed for a quality assurance framework, in particular a requirement for a report for each Vulnerable Income Management decision, to be completed within five working days </w:t>
      </w:r>
      <w:r w:rsidR="00417B51" w:rsidRPr="003D75FE">
        <w:rPr>
          <w:lang w:eastAsia="en-US"/>
        </w:rPr>
        <w:fldChar w:fldCharType="begin"/>
      </w:r>
      <w:r w:rsidR="00417B51" w:rsidRPr="00DF38B2">
        <w:rPr>
          <w:lang w:eastAsia="en-US"/>
        </w:rPr>
        <w:instrText xml:space="preserve"> ADDIN EN.CITE &lt;EndNote&gt;&lt;Cite&gt;&lt;Author&gt;Commonwealth Ombudsman&lt;/Author&gt;&lt;Year&gt;2012&lt;/Year&gt;&lt;RecNum&gt;1448&lt;/RecNum&gt;&lt;Prefix&gt;see pages 37-38 &lt;/Prefix&gt;&lt;DisplayText&gt;(see pages 37-38 Commonwealth Ombudsman 2012)&lt;/DisplayText&gt;&lt;record&gt;&lt;rec-number&gt;1448&lt;/rec-number&gt;&lt;foreign-keys&gt;&lt;key app="EN" db-id="fzxz902vkw92ave9arb5apzjx0v9a5ttvff0"&gt;1448&lt;/key&gt;&lt;/foreign-keys&gt;&lt;ref-type name="Report"&gt;27&lt;/ref-type&gt;&lt;contributors&gt;&lt;authors&gt;&lt;author&gt;Commonwealth Ombudsman,&lt;/author&gt;&lt;/authors&gt;&lt;/contributors&gt;&lt;titles&gt;&lt;title&gt;Review of Centrelink Income Management Decisions in the Northern Territory: Financial Vulnerability Exemption and Vulnerable Welfare Payment Recipient Decisions&lt;/title&gt;&lt;/titles&gt;&lt;dates&gt;&lt;year&gt;2012&lt;/year&gt;&lt;/dates&gt;&lt;pub-location&gt;Canberra&lt;/pub-location&gt;&lt;publisher&gt;Commonwealth Ombudsman&lt;/publisher&gt;&lt;urls&gt;&lt;/urls&gt;&lt;/record&gt;&lt;/Cite&gt;&lt;/EndNote&gt;</w:instrText>
      </w:r>
      <w:r w:rsidR="00417B51" w:rsidRPr="003D75FE">
        <w:rPr>
          <w:lang w:eastAsia="en-US"/>
        </w:rPr>
        <w:fldChar w:fldCharType="separate"/>
      </w:r>
      <w:r w:rsidR="00417B51" w:rsidRPr="00DF38B2">
        <w:rPr>
          <w:lang w:eastAsia="en-US"/>
        </w:rPr>
        <w:t>(</w:t>
      </w:r>
      <w:hyperlink w:anchor="_ENREF_2" w:tooltip="Commonwealth Ombudsman, 2012 #1448" w:history="1">
        <w:r w:rsidR="00417B51" w:rsidRPr="00DF38B2">
          <w:rPr>
            <w:lang w:eastAsia="en-US"/>
          </w:rPr>
          <w:t>Commonwealth Ombudsman</w:t>
        </w:r>
        <w:r w:rsidR="00F86F88">
          <w:rPr>
            <w:lang w:eastAsia="en-US"/>
          </w:rPr>
          <w:t>,</w:t>
        </w:r>
        <w:r w:rsidR="00417B51" w:rsidRPr="00DF38B2">
          <w:rPr>
            <w:lang w:eastAsia="en-US"/>
          </w:rPr>
          <w:t xml:space="preserve"> 2012</w:t>
        </w:r>
      </w:hyperlink>
      <w:r w:rsidR="00F86F88">
        <w:rPr>
          <w:lang w:eastAsia="en-US"/>
        </w:rPr>
        <w:t>a: pp. 37-38</w:t>
      </w:r>
      <w:r w:rsidR="00417B51" w:rsidRPr="00DF38B2">
        <w:rPr>
          <w:lang w:eastAsia="en-US"/>
        </w:rPr>
        <w:t>)</w:t>
      </w:r>
      <w:r w:rsidR="00417B51" w:rsidRPr="003D75FE">
        <w:rPr>
          <w:lang w:eastAsia="en-US"/>
        </w:rPr>
        <w:fldChar w:fldCharType="end"/>
      </w:r>
      <w:r w:rsidR="00417B51" w:rsidRPr="00DF38B2">
        <w:rPr>
          <w:lang w:eastAsia="en-US"/>
        </w:rPr>
        <w:t>.</w:t>
      </w:r>
    </w:p>
    <w:p w:rsidR="00417B51" w:rsidRPr="00DF38B2" w:rsidRDefault="00417B51" w:rsidP="006654AE">
      <w:pPr>
        <w:rPr>
          <w:rFonts w:eastAsiaTheme="minorHAnsi"/>
          <w:lang w:eastAsia="en-US"/>
        </w:rPr>
      </w:pPr>
      <w:r w:rsidRPr="00DF38B2">
        <w:rPr>
          <w:rFonts w:eastAsiaTheme="minorHAnsi"/>
          <w:lang w:eastAsia="en-US"/>
        </w:rPr>
        <w:t>Following the release of the Ombudsman’s report, rules around the recording of the social workers’ decisions to place people on the vulnerable measure and to renew the measure for another period were tightened.</w:t>
      </w:r>
    </w:p>
    <w:p w:rsidR="00417B51" w:rsidRPr="00DF38B2" w:rsidRDefault="00417B51" w:rsidP="006654AE">
      <w:pPr>
        <w:rPr>
          <w:rFonts w:eastAsiaTheme="minorHAnsi"/>
          <w:lang w:eastAsia="en-US"/>
        </w:rPr>
      </w:pPr>
      <w:r w:rsidRPr="00DF38B2">
        <w:rPr>
          <w:rFonts w:eastAsiaTheme="minorHAnsi"/>
          <w:lang w:eastAsia="en-US"/>
        </w:rPr>
        <w:t>The second major change to the Vulnerable Income Management measure was the introduction of a number of new streams in July 2013</w:t>
      </w:r>
      <w:r w:rsidR="00A1421A">
        <w:rPr>
          <w:rFonts w:eastAsiaTheme="minorHAnsi"/>
          <w:lang w:eastAsia="en-US"/>
        </w:rPr>
        <w:t xml:space="preserve">. </w:t>
      </w:r>
      <w:r w:rsidRPr="00DF38B2">
        <w:rPr>
          <w:rFonts w:eastAsiaTheme="minorHAnsi"/>
          <w:lang w:eastAsia="en-US"/>
        </w:rPr>
        <w:t>The new streams of Vulnerable Income Management applied automatically to young people who were not full</w:t>
      </w:r>
      <w:r w:rsidR="00B91ACE">
        <w:rPr>
          <w:rFonts w:eastAsiaTheme="minorHAnsi"/>
          <w:lang w:eastAsia="en-US"/>
        </w:rPr>
        <w:t>-</w:t>
      </w:r>
      <w:r w:rsidRPr="00DF38B2">
        <w:rPr>
          <w:rFonts w:eastAsiaTheme="minorHAnsi"/>
          <w:lang w:eastAsia="en-US"/>
        </w:rPr>
        <w:t xml:space="preserve">time students or apprentices, were not currently on </w:t>
      </w:r>
      <w:r w:rsidR="005E4CAC">
        <w:rPr>
          <w:rFonts w:eastAsiaTheme="minorHAnsi"/>
          <w:lang w:eastAsia="en-US"/>
        </w:rPr>
        <w:t>Compulsory</w:t>
      </w:r>
      <w:r w:rsidR="005E4CAC" w:rsidRPr="00DF38B2">
        <w:rPr>
          <w:rFonts w:eastAsiaTheme="minorHAnsi"/>
          <w:lang w:eastAsia="en-US"/>
        </w:rPr>
        <w:t xml:space="preserve"> </w:t>
      </w:r>
      <w:r w:rsidRPr="00DF38B2">
        <w:rPr>
          <w:rFonts w:eastAsiaTheme="minorHAnsi"/>
          <w:lang w:eastAsia="en-US"/>
        </w:rPr>
        <w:t>Income Management, and were:</w:t>
      </w:r>
    </w:p>
    <w:p w:rsidR="00417B51" w:rsidRPr="00DF38B2" w:rsidRDefault="00417B51" w:rsidP="006654AE">
      <w:pPr>
        <w:pStyle w:val="dot"/>
        <w:numPr>
          <w:ilvl w:val="0"/>
          <w:numId w:val="9"/>
        </w:numPr>
        <w:ind w:left="357" w:hanging="357"/>
        <w:rPr>
          <w:lang w:eastAsia="en-US"/>
        </w:rPr>
      </w:pPr>
      <w:r w:rsidRPr="00DF38B2">
        <w:rPr>
          <w:lang w:eastAsia="en-US"/>
        </w:rPr>
        <w:t xml:space="preserve">Granted the Unreasonable </w:t>
      </w:r>
      <w:proofErr w:type="gramStart"/>
      <w:r w:rsidRPr="00DF38B2">
        <w:rPr>
          <w:lang w:eastAsia="en-US"/>
        </w:rPr>
        <w:t>To</w:t>
      </w:r>
      <w:proofErr w:type="gramEnd"/>
      <w:r w:rsidRPr="00DF38B2">
        <w:rPr>
          <w:lang w:eastAsia="en-US"/>
        </w:rPr>
        <w:t xml:space="preserve"> Live At Home (UTLAH) rate of payment by a </w:t>
      </w:r>
      <w:r w:rsidR="00060511">
        <w:rPr>
          <w:lang w:eastAsia="en-US"/>
        </w:rPr>
        <w:t>DHS</w:t>
      </w:r>
      <w:r w:rsidRPr="00DF38B2">
        <w:rPr>
          <w:lang w:eastAsia="en-US"/>
        </w:rPr>
        <w:t xml:space="preserve"> social worker.</w:t>
      </w:r>
    </w:p>
    <w:p w:rsidR="00417B51" w:rsidRPr="00DF38B2" w:rsidRDefault="00417B51" w:rsidP="006654AE">
      <w:pPr>
        <w:pStyle w:val="dot"/>
        <w:numPr>
          <w:ilvl w:val="0"/>
          <w:numId w:val="9"/>
        </w:numPr>
        <w:ind w:left="357" w:hanging="357"/>
        <w:rPr>
          <w:lang w:eastAsia="en-US"/>
        </w:rPr>
      </w:pPr>
      <w:r w:rsidRPr="00DF38B2">
        <w:rPr>
          <w:lang w:eastAsia="en-US"/>
        </w:rPr>
        <w:t xml:space="preserve">Under the age of 16 </w:t>
      </w:r>
      <w:r w:rsidR="00522675" w:rsidRPr="00DF38B2">
        <w:rPr>
          <w:lang w:eastAsia="en-US"/>
        </w:rPr>
        <w:t xml:space="preserve">years </w:t>
      </w:r>
      <w:r w:rsidRPr="00DF38B2">
        <w:rPr>
          <w:lang w:eastAsia="en-US"/>
        </w:rPr>
        <w:t xml:space="preserve">and were granted a Special Benefit Payment by a </w:t>
      </w:r>
      <w:r w:rsidR="00060511">
        <w:rPr>
          <w:lang w:eastAsia="en-US"/>
        </w:rPr>
        <w:t>DHS</w:t>
      </w:r>
      <w:r w:rsidRPr="00DF38B2">
        <w:rPr>
          <w:lang w:eastAsia="en-US"/>
        </w:rPr>
        <w:t xml:space="preserve"> social worker.</w:t>
      </w:r>
    </w:p>
    <w:p w:rsidR="00417B51" w:rsidRPr="00DF38B2" w:rsidRDefault="00417B51" w:rsidP="006654AE">
      <w:pPr>
        <w:pStyle w:val="dot"/>
        <w:numPr>
          <w:ilvl w:val="0"/>
          <w:numId w:val="9"/>
        </w:numPr>
        <w:ind w:left="357" w:hanging="357"/>
        <w:rPr>
          <w:lang w:eastAsia="en-US"/>
        </w:rPr>
      </w:pPr>
      <w:r w:rsidRPr="00DF38B2">
        <w:rPr>
          <w:lang w:eastAsia="en-US"/>
        </w:rPr>
        <w:t>Under the age of 25</w:t>
      </w:r>
      <w:r w:rsidR="00522675" w:rsidRPr="00DF38B2">
        <w:rPr>
          <w:lang w:eastAsia="en-US"/>
        </w:rPr>
        <w:t xml:space="preserve"> years</w:t>
      </w:r>
      <w:r w:rsidRPr="00DF38B2">
        <w:rPr>
          <w:lang w:eastAsia="en-US"/>
        </w:rPr>
        <w:t xml:space="preserve"> and released from prison and had received a Crisis Payment within the last 13 weeks.</w:t>
      </w:r>
    </w:p>
    <w:p w:rsidR="00417B51" w:rsidRPr="00DF38B2" w:rsidRDefault="00417B51" w:rsidP="006654AE">
      <w:pPr>
        <w:rPr>
          <w:rFonts w:eastAsiaTheme="minorHAnsi"/>
          <w:lang w:eastAsia="en-US"/>
        </w:rPr>
      </w:pPr>
      <w:r w:rsidRPr="00DF38B2">
        <w:rPr>
          <w:rFonts w:eastAsiaTheme="minorHAnsi"/>
          <w:lang w:eastAsia="en-US"/>
        </w:rPr>
        <w:t>The new streams were therefore different to the assessed Vulnerable Income Management measure in that they were not subject to assessment by a social worker; rather</w:t>
      </w:r>
      <w:r w:rsidR="00B91ACE">
        <w:rPr>
          <w:rFonts w:eastAsiaTheme="minorHAnsi"/>
          <w:lang w:eastAsia="en-US"/>
        </w:rPr>
        <w:t>, they</w:t>
      </w:r>
      <w:r w:rsidRPr="00DF38B2">
        <w:rPr>
          <w:rFonts w:eastAsiaTheme="minorHAnsi"/>
          <w:lang w:eastAsia="en-US"/>
        </w:rPr>
        <w:t xml:space="preserve"> were initiated by </w:t>
      </w:r>
      <w:r w:rsidR="00B91ACE">
        <w:rPr>
          <w:rFonts w:eastAsiaTheme="minorHAnsi"/>
          <w:lang w:eastAsia="en-US"/>
        </w:rPr>
        <w:t>the</w:t>
      </w:r>
      <w:r w:rsidRPr="00DF38B2">
        <w:rPr>
          <w:rFonts w:eastAsiaTheme="minorHAnsi"/>
          <w:lang w:eastAsia="en-US"/>
        </w:rPr>
        <w:t xml:space="preserve"> ‘trigger’</w:t>
      </w:r>
      <w:r w:rsidR="00B91ACE">
        <w:rPr>
          <w:rFonts w:eastAsiaTheme="minorHAnsi"/>
          <w:lang w:eastAsia="en-US"/>
        </w:rPr>
        <w:t xml:space="preserve"> criteria specified above</w:t>
      </w:r>
      <w:r w:rsidRPr="00DF38B2">
        <w:rPr>
          <w:rFonts w:eastAsiaTheme="minorHAnsi"/>
          <w:lang w:eastAsia="en-US"/>
        </w:rPr>
        <w:t>. The</w:t>
      </w:r>
      <w:r w:rsidR="00B91ACE">
        <w:rPr>
          <w:rFonts w:eastAsiaTheme="minorHAnsi"/>
          <w:lang w:eastAsia="en-US"/>
        </w:rPr>
        <w:t>se</w:t>
      </w:r>
      <w:r w:rsidRPr="00DF38B2">
        <w:rPr>
          <w:rFonts w:eastAsiaTheme="minorHAnsi"/>
          <w:lang w:eastAsia="en-US"/>
        </w:rPr>
        <w:t xml:space="preserve"> automatic measures also applied to a rather different demographic </w:t>
      </w:r>
      <w:r w:rsidR="00B91ACE">
        <w:rPr>
          <w:rFonts w:eastAsiaTheme="minorHAnsi"/>
          <w:lang w:eastAsia="en-US"/>
        </w:rPr>
        <w:t>to that of</w:t>
      </w:r>
      <w:r w:rsidRPr="00DF38B2">
        <w:rPr>
          <w:rFonts w:eastAsiaTheme="minorHAnsi"/>
          <w:lang w:eastAsia="en-US"/>
        </w:rPr>
        <w:t xml:space="preserve"> the assessed Vulnerable Income Management measure. </w:t>
      </w:r>
    </w:p>
    <w:p w:rsidR="00417B51" w:rsidRPr="00DF38B2" w:rsidRDefault="00417B51" w:rsidP="006654AE">
      <w:r w:rsidRPr="00DF38B2">
        <w:rPr>
          <w:rFonts w:eastAsiaTheme="minorHAnsi"/>
          <w:lang w:eastAsia="en-US"/>
        </w:rPr>
        <w:t xml:space="preserve">As the primary data collection relating to the Vulnerable Income Management measure for the evaluation was conducted in mid to late 2013 and involved discussions with </w:t>
      </w:r>
      <w:r w:rsidR="00060511">
        <w:rPr>
          <w:rFonts w:eastAsiaTheme="minorHAnsi"/>
          <w:lang w:eastAsia="en-US"/>
        </w:rPr>
        <w:t>DHS</w:t>
      </w:r>
      <w:r w:rsidRPr="00DF38B2">
        <w:rPr>
          <w:rFonts w:eastAsiaTheme="minorHAnsi"/>
          <w:lang w:eastAsia="en-US"/>
        </w:rPr>
        <w:t xml:space="preserve"> social workers, the analysis in this chapter has focused on the assessed Vulnerable Income Management measure</w:t>
      </w:r>
      <w:r w:rsidR="00B91ACE">
        <w:rPr>
          <w:rFonts w:eastAsiaTheme="minorHAnsi"/>
          <w:lang w:eastAsia="en-US"/>
        </w:rPr>
        <w:t xml:space="preserve">, which </w:t>
      </w:r>
      <w:r w:rsidRPr="00DF38B2">
        <w:rPr>
          <w:rFonts w:eastAsiaTheme="minorHAnsi"/>
          <w:lang w:eastAsia="en-US"/>
        </w:rPr>
        <w:t xml:space="preserve">was familiar to </w:t>
      </w:r>
      <w:r w:rsidR="00060511">
        <w:rPr>
          <w:rFonts w:eastAsiaTheme="minorHAnsi"/>
          <w:lang w:eastAsia="en-US"/>
        </w:rPr>
        <w:t>DHS</w:t>
      </w:r>
      <w:r w:rsidRPr="00DF38B2">
        <w:rPr>
          <w:rFonts w:eastAsiaTheme="minorHAnsi"/>
          <w:lang w:eastAsia="en-US"/>
        </w:rPr>
        <w:t xml:space="preserve"> social workers. </w:t>
      </w:r>
    </w:p>
    <w:p w:rsidR="00417B51" w:rsidRPr="00DF38B2" w:rsidRDefault="00417B51" w:rsidP="006654AE">
      <w:pPr>
        <w:pStyle w:val="Heading2"/>
      </w:pPr>
      <w:bookmarkStart w:id="610" w:name="_Toc403739135"/>
      <w:r w:rsidRPr="001D25DF">
        <w:t>Methodology</w:t>
      </w:r>
      <w:bookmarkEnd w:id="610"/>
    </w:p>
    <w:p w:rsidR="00417B51" w:rsidRPr="009655C3" w:rsidRDefault="00417B51" w:rsidP="006654AE">
      <w:r w:rsidRPr="00DF38B2">
        <w:t xml:space="preserve">This chapter is based on focus groups with </w:t>
      </w:r>
      <w:r w:rsidR="00060511">
        <w:t>DHS</w:t>
      </w:r>
      <w:r w:rsidRPr="00DF38B2">
        <w:t xml:space="preserve"> social workers, a review of </w:t>
      </w:r>
      <w:r w:rsidR="00060511">
        <w:t>DHS</w:t>
      </w:r>
      <w:r w:rsidRPr="00DF38B2">
        <w:t xml:space="preserve"> social work Vulnerable Income Management assessment reports, analysis of </w:t>
      </w:r>
      <w:r w:rsidR="00060511">
        <w:t>DHS</w:t>
      </w:r>
      <w:r w:rsidRPr="00DF38B2">
        <w:t xml:space="preserve"> administrative data to profile people receiving the Vulnerable Income Management measure</w:t>
      </w:r>
      <w:r w:rsidR="00B91ACE">
        <w:t>,</w:t>
      </w:r>
      <w:r w:rsidRPr="00DF38B2">
        <w:t xml:space="preserve"> and a small number of interviews with people on</w:t>
      </w:r>
      <w:r w:rsidR="00B91ACE">
        <w:t xml:space="preserve"> the</w:t>
      </w:r>
      <w:r w:rsidRPr="00DF38B2">
        <w:t xml:space="preserve"> assessed Vulnerable Income Management measure conducted as part of the LSNIM. These methods are outlined in detail in Chapter 3. </w:t>
      </w:r>
      <w:r w:rsidR="00522675" w:rsidRPr="00FE502F">
        <w:fldChar w:fldCharType="begin"/>
      </w:r>
      <w:r w:rsidR="00522675" w:rsidRPr="00DF38B2">
        <w:instrText xml:space="preserve"> REF _Ref393899323 \h </w:instrText>
      </w:r>
      <w:r w:rsidR="00522675" w:rsidRPr="00FE502F">
        <w:fldChar w:fldCharType="separate"/>
      </w:r>
      <w:r w:rsidR="00906D13" w:rsidRPr="009655C3">
        <w:t xml:space="preserve">Table </w:t>
      </w:r>
      <w:r w:rsidR="00906D13">
        <w:rPr>
          <w:noProof/>
        </w:rPr>
        <w:t>12</w:t>
      </w:r>
      <w:r w:rsidR="00906D13">
        <w:noBreakHyphen/>
      </w:r>
      <w:r w:rsidR="00906D13">
        <w:rPr>
          <w:noProof/>
        </w:rPr>
        <w:t>1</w:t>
      </w:r>
      <w:r w:rsidR="00522675" w:rsidRPr="00FE502F">
        <w:fldChar w:fldCharType="end"/>
      </w:r>
      <w:r w:rsidR="00522675" w:rsidRPr="00DF38B2">
        <w:t xml:space="preserve"> </w:t>
      </w:r>
      <w:r w:rsidRPr="009655C3">
        <w:t>provides a breakdown of data collection by method.</w:t>
      </w:r>
    </w:p>
    <w:p w:rsidR="00417B51" w:rsidRPr="00DF38B2" w:rsidRDefault="00522675" w:rsidP="006654AE">
      <w:pPr>
        <w:pStyle w:val="Caption"/>
      </w:pPr>
      <w:bookmarkStart w:id="611" w:name="_Ref393899323"/>
      <w:bookmarkStart w:id="612" w:name="_Toc403739486"/>
      <w:r w:rsidRPr="009655C3">
        <w:t xml:space="preserve">Table </w:t>
      </w:r>
      <w:fldSimple w:instr=" STYLEREF 1 \s ">
        <w:r w:rsidR="00906D13">
          <w:rPr>
            <w:noProof/>
          </w:rPr>
          <w:t>12</w:t>
        </w:r>
      </w:fldSimple>
      <w:r w:rsidR="00D40B64">
        <w:noBreakHyphen/>
      </w:r>
      <w:fldSimple w:instr=" SEQ Table \* ARABIC \s 1 ">
        <w:r w:rsidR="00906D13">
          <w:rPr>
            <w:noProof/>
          </w:rPr>
          <w:t>1</w:t>
        </w:r>
      </w:fldSimple>
      <w:bookmarkEnd w:id="611"/>
      <w:r w:rsidRPr="00DF38B2">
        <w:t xml:space="preserve"> </w:t>
      </w:r>
      <w:r w:rsidR="001D25DF">
        <w:tab/>
      </w:r>
      <w:r w:rsidR="00417B51" w:rsidRPr="00DF38B2">
        <w:t xml:space="preserve">Types of data collected about the assessed </w:t>
      </w:r>
      <w:r w:rsidR="003F73A8">
        <w:t>V</w:t>
      </w:r>
      <w:r w:rsidR="00417B51" w:rsidRPr="00DF38B2">
        <w:t xml:space="preserve">ulnerable </w:t>
      </w:r>
      <w:r w:rsidR="003F73A8">
        <w:t xml:space="preserve">Income Management </w:t>
      </w:r>
      <w:r w:rsidR="00417B51" w:rsidRPr="00DF38B2">
        <w:t>measure</w:t>
      </w:r>
      <w:bookmarkEnd w:id="612"/>
      <w:r w:rsidR="00417B51" w:rsidRPr="00DF38B2">
        <w:t xml:space="preserve"> </w:t>
      </w:r>
    </w:p>
    <w:tbl>
      <w:tblPr>
        <w:tblStyle w:val="TableGrid"/>
        <w:tblW w:w="4717" w:type="pct"/>
        <w:jc w:val="center"/>
        <w:tblInd w:w="-297" w:type="dxa"/>
        <w:tblLook w:val="04A0" w:firstRow="1" w:lastRow="0" w:firstColumn="1" w:lastColumn="0" w:noHBand="0" w:noVBand="1"/>
        <w:tblDescription w:val="This table notes that there were  30 DHS social work vulnerable assessment report reviews, 8 DHS social work focus groups involving 26 social workers  and 6  interviews with people on assessed Vulnerable Income Management."/>
      </w:tblPr>
      <w:tblGrid>
        <w:gridCol w:w="5272"/>
        <w:gridCol w:w="2794"/>
      </w:tblGrid>
      <w:tr w:rsidR="002B4EC4" w:rsidRPr="00DF38B2" w:rsidTr="002B4EC4">
        <w:trPr>
          <w:tblHeader/>
          <w:jc w:val="center"/>
        </w:trPr>
        <w:tc>
          <w:tcPr>
            <w:tcW w:w="3268" w:type="pct"/>
            <w:tcBorders>
              <w:left w:val="nil"/>
              <w:bottom w:val="single" w:sz="4" w:space="0" w:color="auto"/>
              <w:right w:val="nil"/>
            </w:tcBorders>
          </w:tcPr>
          <w:p w:rsidR="00417B51" w:rsidRPr="00DF38B2" w:rsidRDefault="00417B51" w:rsidP="006654AE">
            <w:pPr>
              <w:pStyle w:val="tabletextleft"/>
            </w:pPr>
            <w:r w:rsidRPr="00DF38B2">
              <w:t>Methodology</w:t>
            </w:r>
          </w:p>
        </w:tc>
        <w:tc>
          <w:tcPr>
            <w:tcW w:w="1732" w:type="pct"/>
            <w:tcBorders>
              <w:left w:val="nil"/>
              <w:bottom w:val="single" w:sz="4" w:space="0" w:color="auto"/>
              <w:right w:val="nil"/>
            </w:tcBorders>
          </w:tcPr>
          <w:p w:rsidR="00417B51" w:rsidRPr="00DF38B2" w:rsidRDefault="00417B51" w:rsidP="006654AE">
            <w:pPr>
              <w:pStyle w:val="tabletextleft"/>
              <w:jc w:val="right"/>
            </w:pPr>
            <w:r w:rsidRPr="00DF38B2">
              <w:t>Total</w:t>
            </w:r>
          </w:p>
        </w:tc>
      </w:tr>
      <w:tr w:rsidR="002B4EC4" w:rsidRPr="00DF38B2" w:rsidTr="002B4EC4">
        <w:trPr>
          <w:jc w:val="center"/>
        </w:trPr>
        <w:tc>
          <w:tcPr>
            <w:tcW w:w="3268" w:type="pct"/>
            <w:tcBorders>
              <w:left w:val="nil"/>
              <w:bottom w:val="nil"/>
              <w:right w:val="nil"/>
            </w:tcBorders>
          </w:tcPr>
          <w:p w:rsidR="00417B51" w:rsidRPr="00DF38B2" w:rsidRDefault="00060511" w:rsidP="006654AE">
            <w:pPr>
              <w:pStyle w:val="tabletextleft"/>
              <w:jc w:val="left"/>
            </w:pPr>
            <w:r>
              <w:t>DHS</w:t>
            </w:r>
            <w:r w:rsidR="00417B51" w:rsidRPr="00DF38B2">
              <w:t xml:space="preserve"> social work vulnerable assessment report reviews</w:t>
            </w:r>
          </w:p>
        </w:tc>
        <w:tc>
          <w:tcPr>
            <w:tcW w:w="1732" w:type="pct"/>
            <w:tcBorders>
              <w:left w:val="nil"/>
              <w:bottom w:val="nil"/>
              <w:right w:val="nil"/>
            </w:tcBorders>
            <w:vAlign w:val="bottom"/>
          </w:tcPr>
          <w:p w:rsidR="00417B51" w:rsidRPr="00DF38B2" w:rsidRDefault="00417B51" w:rsidP="006654AE">
            <w:pPr>
              <w:pStyle w:val="tabletextright"/>
            </w:pPr>
            <w:r w:rsidRPr="00DF38B2">
              <w:t>30</w:t>
            </w:r>
          </w:p>
        </w:tc>
      </w:tr>
      <w:tr w:rsidR="002B4EC4" w:rsidRPr="00DF38B2" w:rsidTr="002B4EC4">
        <w:trPr>
          <w:jc w:val="center"/>
        </w:trPr>
        <w:tc>
          <w:tcPr>
            <w:tcW w:w="3268" w:type="pct"/>
            <w:tcBorders>
              <w:top w:val="nil"/>
              <w:left w:val="nil"/>
              <w:bottom w:val="nil"/>
              <w:right w:val="nil"/>
            </w:tcBorders>
          </w:tcPr>
          <w:p w:rsidR="00417B51" w:rsidRPr="00DF38B2" w:rsidRDefault="00060511" w:rsidP="006654AE">
            <w:pPr>
              <w:pStyle w:val="tabletextleft"/>
              <w:jc w:val="left"/>
            </w:pPr>
            <w:r>
              <w:t>DHS</w:t>
            </w:r>
            <w:r w:rsidR="00417B51" w:rsidRPr="00DF38B2">
              <w:t xml:space="preserve"> social work focus groups</w:t>
            </w:r>
          </w:p>
        </w:tc>
        <w:tc>
          <w:tcPr>
            <w:tcW w:w="1732" w:type="pct"/>
            <w:tcBorders>
              <w:top w:val="nil"/>
              <w:left w:val="nil"/>
              <w:bottom w:val="nil"/>
              <w:right w:val="nil"/>
            </w:tcBorders>
            <w:vAlign w:val="bottom"/>
          </w:tcPr>
          <w:p w:rsidR="00417B51" w:rsidRPr="00DF38B2" w:rsidRDefault="00417B51" w:rsidP="002B4EC4">
            <w:pPr>
              <w:pStyle w:val="tabletextright"/>
            </w:pPr>
            <w:r w:rsidRPr="00DF38B2">
              <w:t>8</w:t>
            </w:r>
            <w:r w:rsidR="002B4EC4">
              <w:t xml:space="preserve"> </w:t>
            </w:r>
            <w:r w:rsidRPr="00DF38B2">
              <w:t>(26 social workers involved)</w:t>
            </w:r>
          </w:p>
        </w:tc>
      </w:tr>
      <w:tr w:rsidR="002B4EC4" w:rsidRPr="00DF38B2" w:rsidTr="002B4EC4">
        <w:trPr>
          <w:jc w:val="center"/>
        </w:trPr>
        <w:tc>
          <w:tcPr>
            <w:tcW w:w="3268" w:type="pct"/>
            <w:tcBorders>
              <w:top w:val="nil"/>
              <w:left w:val="nil"/>
              <w:bottom w:val="single" w:sz="4" w:space="0" w:color="auto"/>
              <w:right w:val="nil"/>
            </w:tcBorders>
          </w:tcPr>
          <w:p w:rsidR="00417B51" w:rsidRPr="00DF38B2" w:rsidRDefault="00417B51" w:rsidP="006654AE">
            <w:pPr>
              <w:pStyle w:val="tabletextleft"/>
              <w:jc w:val="left"/>
            </w:pPr>
            <w:r w:rsidRPr="00DF38B2">
              <w:t>Interviews with people on assessed Vulnerable Income Management</w:t>
            </w:r>
          </w:p>
        </w:tc>
        <w:tc>
          <w:tcPr>
            <w:tcW w:w="1732" w:type="pct"/>
            <w:tcBorders>
              <w:top w:val="nil"/>
              <w:left w:val="nil"/>
              <w:bottom w:val="single" w:sz="4" w:space="0" w:color="auto"/>
              <w:right w:val="nil"/>
            </w:tcBorders>
            <w:vAlign w:val="bottom"/>
          </w:tcPr>
          <w:p w:rsidR="00417B51" w:rsidRPr="00DF38B2" w:rsidRDefault="00417B51" w:rsidP="006654AE">
            <w:pPr>
              <w:pStyle w:val="tabletextright"/>
            </w:pPr>
            <w:r w:rsidRPr="00DF38B2">
              <w:t>6</w:t>
            </w:r>
          </w:p>
        </w:tc>
      </w:tr>
    </w:tbl>
    <w:p w:rsidR="00417B51" w:rsidRPr="00DF38B2" w:rsidRDefault="00417B51" w:rsidP="006654AE">
      <w:pPr>
        <w:pStyle w:val="tablefootnoteslastline"/>
      </w:pPr>
    </w:p>
    <w:p w:rsidR="00417B51" w:rsidRPr="00DF38B2" w:rsidRDefault="00417B51" w:rsidP="006654AE">
      <w:r w:rsidRPr="00DF38B2">
        <w:t>The focus group questions (</w:t>
      </w:r>
      <w:r w:rsidR="00522675" w:rsidRPr="00DF38B2">
        <w:t>Appendix F</w:t>
      </w:r>
      <w:r w:rsidRPr="00DF38B2">
        <w:t>) and file review tool (</w:t>
      </w:r>
      <w:r w:rsidR="00522675" w:rsidRPr="00DF38B2">
        <w:t>Appendix G</w:t>
      </w:r>
      <w:r w:rsidRPr="00DF38B2">
        <w:t xml:space="preserve">) were designed to capture information relating to the characteristics and circumstances of people on the measure, decision-making practices of social workers when determining the range of circumstances under which people are deemed suitable to enter or exit the measure, the impact of the measure on those subject to it, and what additional interventions or supports assist in addressing or minimising vulnerability. </w:t>
      </w:r>
    </w:p>
    <w:p w:rsidR="00417B51" w:rsidRPr="009655C3" w:rsidRDefault="00417B51" w:rsidP="006654AE">
      <w:r w:rsidRPr="00DF38B2">
        <w:lastRenderedPageBreak/>
        <w:t xml:space="preserve">The focus groups involved most of the </w:t>
      </w:r>
      <w:r w:rsidR="00060511">
        <w:t>DHS</w:t>
      </w:r>
      <w:r w:rsidRPr="00DF38B2">
        <w:t xml:space="preserve"> social workers working in the Northern Territory. While </w:t>
      </w:r>
      <w:r w:rsidR="00060511">
        <w:t>DHS</w:t>
      </w:r>
      <w:r w:rsidRPr="00DF38B2">
        <w:t xml:space="preserve"> management encouraged staff to speak openly</w:t>
      </w:r>
      <w:r w:rsidR="00E65F56">
        <w:t>,</w:t>
      </w:r>
      <w:r w:rsidRPr="00DF38B2">
        <w:t xml:space="preserve"> and the discussions within the groups appeared to be candid</w:t>
      </w:r>
      <w:r w:rsidR="00E65F56">
        <w:t>,</w:t>
      </w:r>
      <w:r w:rsidRPr="00DF38B2">
        <w:t xml:space="preserve"> with a diversity of views expressed, the fact that the interviews took place at work and among colleagues means participants may have felt con</w:t>
      </w:r>
      <w:r w:rsidR="00E65F56">
        <w:t>str</w:t>
      </w:r>
      <w:r w:rsidRPr="00DF38B2">
        <w:t>ained in their remarks</w:t>
      </w:r>
      <w:r w:rsidR="00A1421A">
        <w:t xml:space="preserve">. </w:t>
      </w:r>
      <w:r w:rsidRPr="00DF38B2">
        <w:t>The assessment report review is of a sample of assessments only</w:t>
      </w:r>
      <w:r w:rsidR="008F282E">
        <w:t>, and these</w:t>
      </w:r>
      <w:r w:rsidRPr="00DF38B2">
        <w:t xml:space="preserve"> were selected for the evaluation by the </w:t>
      </w:r>
      <w:r w:rsidR="00060511">
        <w:t>DHS</w:t>
      </w:r>
      <w:r w:rsidRPr="00DF38B2">
        <w:t xml:space="preserve">. This means that there are limits to the </w:t>
      </w:r>
      <w:r w:rsidR="00E65F56">
        <w:t xml:space="preserve">extent to which </w:t>
      </w:r>
      <w:r w:rsidR="00115F4A">
        <w:t>these data</w:t>
      </w:r>
      <w:r w:rsidRPr="00DF38B2">
        <w:t xml:space="preserve"> </w:t>
      </w:r>
      <w:r w:rsidR="00E65F56">
        <w:t xml:space="preserve">may be </w:t>
      </w:r>
      <w:r w:rsidR="00E65F56" w:rsidRPr="00DF38B2">
        <w:t>generalis</w:t>
      </w:r>
      <w:r w:rsidR="00E65F56">
        <w:t>ed</w:t>
      </w:r>
      <w:r w:rsidR="00E65F56" w:rsidRPr="00DF38B2">
        <w:t xml:space="preserve"> </w:t>
      </w:r>
      <w:r w:rsidRPr="00DF38B2">
        <w:t xml:space="preserve">as we are unable to ascertain the extent to which this sample represents the collection of assessments as a whole. </w:t>
      </w:r>
      <w:r w:rsidR="002604C3" w:rsidRPr="00DF38B2">
        <w:fldChar w:fldCharType="begin"/>
      </w:r>
      <w:r w:rsidR="002604C3" w:rsidRPr="00DF38B2">
        <w:instrText xml:space="preserve"> REF _Ref393899823 \h </w:instrText>
      </w:r>
      <w:r w:rsidR="002604C3" w:rsidRPr="00DF38B2">
        <w:fldChar w:fldCharType="separate"/>
      </w:r>
      <w:r w:rsidR="00906D13" w:rsidRPr="009655C3">
        <w:t xml:space="preserve">Table </w:t>
      </w:r>
      <w:r w:rsidR="00906D13">
        <w:rPr>
          <w:noProof/>
        </w:rPr>
        <w:t>12</w:t>
      </w:r>
      <w:r w:rsidR="00906D13">
        <w:noBreakHyphen/>
      </w:r>
      <w:r w:rsidR="00906D13">
        <w:rPr>
          <w:noProof/>
        </w:rPr>
        <w:t>2</w:t>
      </w:r>
      <w:r w:rsidR="002604C3" w:rsidRPr="00DF38B2">
        <w:fldChar w:fldCharType="end"/>
      </w:r>
      <w:r w:rsidR="002604C3" w:rsidRPr="00DF38B2">
        <w:t xml:space="preserve"> </w:t>
      </w:r>
      <w:r w:rsidRPr="00FE502F">
        <w:t>outlines the demographic information available for people who were the subject of the assessment reports included i</w:t>
      </w:r>
      <w:r w:rsidRPr="009655C3">
        <w:t xml:space="preserve">n this sample. </w:t>
      </w:r>
    </w:p>
    <w:p w:rsidR="00417B51" w:rsidRPr="00DF38B2" w:rsidRDefault="002604C3" w:rsidP="006654AE">
      <w:pPr>
        <w:pStyle w:val="Caption"/>
      </w:pPr>
      <w:bookmarkStart w:id="613" w:name="_Ref393899823"/>
      <w:bookmarkStart w:id="614" w:name="_Toc403739487"/>
      <w:r w:rsidRPr="009655C3">
        <w:t xml:space="preserve">Table </w:t>
      </w:r>
      <w:fldSimple w:instr=" STYLEREF 1 \s ">
        <w:r w:rsidR="00906D13">
          <w:rPr>
            <w:noProof/>
          </w:rPr>
          <w:t>12</w:t>
        </w:r>
      </w:fldSimple>
      <w:r w:rsidR="00D40B64">
        <w:noBreakHyphen/>
      </w:r>
      <w:fldSimple w:instr=" SEQ Table \* ARABIC \s 1 ">
        <w:r w:rsidR="00906D13">
          <w:rPr>
            <w:noProof/>
          </w:rPr>
          <w:t>2</w:t>
        </w:r>
      </w:fldSimple>
      <w:bookmarkEnd w:id="613"/>
      <w:r w:rsidRPr="00DF38B2">
        <w:tab/>
      </w:r>
      <w:r w:rsidR="00417B51" w:rsidRPr="00DF38B2">
        <w:t>Demographic characteristics of the assessment report review sample</w:t>
      </w:r>
      <w:bookmarkEnd w:id="614"/>
      <w:r w:rsidR="00417B51" w:rsidRPr="00DF38B2">
        <w:t xml:space="preserve"> </w:t>
      </w:r>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Description w:val="This table reports that 43.3 per cent were males, that the average age was 50.5 years and that 60.0 per cent were remote, 26.7 per cent were in towns and 13.3 per cent were mobile between locations."/>
      </w:tblPr>
      <w:tblGrid>
        <w:gridCol w:w="2330"/>
        <w:gridCol w:w="2490"/>
        <w:gridCol w:w="1559"/>
      </w:tblGrid>
      <w:tr w:rsidR="007F5F9B" w:rsidRPr="00DF38B2" w:rsidTr="0060639D">
        <w:trPr>
          <w:tblHeader/>
        </w:trPr>
        <w:tc>
          <w:tcPr>
            <w:tcW w:w="2330" w:type="dxa"/>
            <w:tcBorders>
              <w:bottom w:val="single" w:sz="4" w:space="0" w:color="auto"/>
            </w:tcBorders>
          </w:tcPr>
          <w:p w:rsidR="007F5F9B" w:rsidRPr="007F5F9B" w:rsidRDefault="007F5F9B" w:rsidP="007F5F9B">
            <w:pPr>
              <w:pStyle w:val="tabletextleft"/>
              <w:ind w:left="317"/>
              <w:jc w:val="left"/>
            </w:pPr>
            <w:r w:rsidRPr="007F5F9B">
              <w:t>Characteristics</w:t>
            </w:r>
            <w:r>
              <w:t xml:space="preserve"> (sample)</w:t>
            </w:r>
          </w:p>
        </w:tc>
        <w:tc>
          <w:tcPr>
            <w:tcW w:w="2490" w:type="dxa"/>
            <w:tcBorders>
              <w:bottom w:val="single" w:sz="4" w:space="0" w:color="auto"/>
            </w:tcBorders>
          </w:tcPr>
          <w:p w:rsidR="007F5F9B" w:rsidRPr="00DF38B2" w:rsidRDefault="007F5F9B" w:rsidP="007F5F9B">
            <w:pPr>
              <w:pStyle w:val="tabletextleft"/>
              <w:ind w:left="317"/>
              <w:rPr>
                <w:b/>
              </w:rPr>
            </w:pPr>
          </w:p>
        </w:tc>
        <w:tc>
          <w:tcPr>
            <w:tcW w:w="1559" w:type="dxa"/>
            <w:tcBorders>
              <w:bottom w:val="single" w:sz="4" w:space="0" w:color="auto"/>
            </w:tcBorders>
          </w:tcPr>
          <w:p w:rsidR="007F5F9B" w:rsidRPr="00DF38B2" w:rsidRDefault="007F5F9B" w:rsidP="007F5F9B">
            <w:pPr>
              <w:pStyle w:val="tabletextleft"/>
              <w:ind w:left="317"/>
              <w:jc w:val="right"/>
            </w:pPr>
          </w:p>
        </w:tc>
      </w:tr>
      <w:tr w:rsidR="00EB5275" w:rsidRPr="00DF38B2" w:rsidTr="0060639D">
        <w:tc>
          <w:tcPr>
            <w:tcW w:w="2330" w:type="dxa"/>
            <w:vMerge w:val="restart"/>
          </w:tcPr>
          <w:p w:rsidR="00EB5275" w:rsidRPr="00DF38B2" w:rsidRDefault="00EB5275" w:rsidP="007F5F9B">
            <w:pPr>
              <w:pStyle w:val="tabletextleft"/>
              <w:ind w:left="317"/>
              <w:jc w:val="left"/>
            </w:pPr>
            <w:r>
              <w:t>Sex (n=30)</w:t>
            </w:r>
          </w:p>
        </w:tc>
        <w:tc>
          <w:tcPr>
            <w:tcW w:w="2490" w:type="dxa"/>
            <w:tcBorders>
              <w:bottom w:val="nil"/>
            </w:tcBorders>
          </w:tcPr>
          <w:p w:rsidR="00EB5275" w:rsidRPr="00DF38B2" w:rsidRDefault="00EB5275" w:rsidP="007F5F9B">
            <w:pPr>
              <w:pStyle w:val="tabletextleft"/>
              <w:ind w:left="317"/>
            </w:pPr>
            <w:r w:rsidRPr="00DF38B2">
              <w:t>Male</w:t>
            </w:r>
          </w:p>
        </w:tc>
        <w:tc>
          <w:tcPr>
            <w:tcW w:w="1559" w:type="dxa"/>
            <w:tcBorders>
              <w:bottom w:val="nil"/>
            </w:tcBorders>
          </w:tcPr>
          <w:p w:rsidR="00EB5275" w:rsidRPr="00DF38B2" w:rsidRDefault="00EB5275" w:rsidP="007F5F9B">
            <w:pPr>
              <w:pStyle w:val="tabletextright"/>
              <w:ind w:left="317"/>
            </w:pPr>
            <w:r w:rsidRPr="00DF38B2">
              <w:t>43.3</w:t>
            </w:r>
            <w:r>
              <w:t xml:space="preserve"> %</w:t>
            </w:r>
          </w:p>
        </w:tc>
      </w:tr>
      <w:tr w:rsidR="00EB5275" w:rsidRPr="00DF38B2" w:rsidTr="0060639D">
        <w:tc>
          <w:tcPr>
            <w:tcW w:w="2330" w:type="dxa"/>
            <w:vMerge/>
          </w:tcPr>
          <w:p w:rsidR="00EB5275" w:rsidRPr="00DF38B2" w:rsidRDefault="00EB5275" w:rsidP="007F5F9B">
            <w:pPr>
              <w:pStyle w:val="tabletextleft"/>
              <w:ind w:left="317"/>
              <w:jc w:val="left"/>
            </w:pPr>
          </w:p>
        </w:tc>
        <w:tc>
          <w:tcPr>
            <w:tcW w:w="2490" w:type="dxa"/>
            <w:tcBorders>
              <w:top w:val="nil"/>
            </w:tcBorders>
          </w:tcPr>
          <w:p w:rsidR="00EB5275" w:rsidRPr="00DF38B2" w:rsidRDefault="00EB5275" w:rsidP="007F5F9B">
            <w:pPr>
              <w:pStyle w:val="tabletextleft"/>
              <w:ind w:left="317"/>
            </w:pPr>
            <w:r w:rsidRPr="00DF38B2">
              <w:t>Female</w:t>
            </w:r>
          </w:p>
        </w:tc>
        <w:tc>
          <w:tcPr>
            <w:tcW w:w="1559" w:type="dxa"/>
            <w:tcBorders>
              <w:top w:val="nil"/>
            </w:tcBorders>
          </w:tcPr>
          <w:p w:rsidR="00EB5275" w:rsidRPr="00DF38B2" w:rsidRDefault="00EB5275" w:rsidP="007F5F9B">
            <w:pPr>
              <w:pStyle w:val="tabletextright"/>
              <w:ind w:left="317"/>
            </w:pPr>
            <w:r w:rsidRPr="00DF38B2">
              <w:t>56.7</w:t>
            </w:r>
            <w:r>
              <w:t xml:space="preserve"> %</w:t>
            </w:r>
          </w:p>
        </w:tc>
      </w:tr>
      <w:tr w:rsidR="007F5F9B" w:rsidRPr="00DF38B2" w:rsidTr="0060639D">
        <w:tc>
          <w:tcPr>
            <w:tcW w:w="2330" w:type="dxa"/>
          </w:tcPr>
          <w:p w:rsidR="007F5F9B" w:rsidRPr="007F5F9B" w:rsidRDefault="007F5F9B" w:rsidP="007F5F9B">
            <w:pPr>
              <w:pStyle w:val="tabletextleft"/>
              <w:ind w:left="317"/>
              <w:jc w:val="left"/>
            </w:pPr>
            <w:r w:rsidRPr="007F5F9B">
              <w:t>Age (n=23)</w:t>
            </w:r>
          </w:p>
        </w:tc>
        <w:tc>
          <w:tcPr>
            <w:tcW w:w="2490" w:type="dxa"/>
          </w:tcPr>
          <w:p w:rsidR="007F5F9B" w:rsidRPr="00DF38B2" w:rsidRDefault="007F5F9B" w:rsidP="007F5F9B">
            <w:pPr>
              <w:pStyle w:val="tabletextleft"/>
              <w:ind w:left="317"/>
            </w:pPr>
            <w:r w:rsidRPr="00DF38B2">
              <w:t xml:space="preserve">Mean </w:t>
            </w:r>
          </w:p>
        </w:tc>
        <w:tc>
          <w:tcPr>
            <w:tcW w:w="1559" w:type="dxa"/>
          </w:tcPr>
          <w:p w:rsidR="007F5F9B" w:rsidRPr="00DF38B2" w:rsidRDefault="007F5F9B" w:rsidP="007F5F9B">
            <w:pPr>
              <w:pStyle w:val="tabletextright"/>
              <w:ind w:left="317"/>
            </w:pPr>
            <w:r w:rsidRPr="00DF38B2">
              <w:t>50.5</w:t>
            </w:r>
            <w:r>
              <w:t xml:space="preserve"> years</w:t>
            </w:r>
            <w:r w:rsidRPr="00DF38B2">
              <w:t xml:space="preserve"> </w:t>
            </w:r>
          </w:p>
        </w:tc>
      </w:tr>
      <w:tr w:rsidR="00EB5275" w:rsidRPr="00DF38B2" w:rsidTr="0060639D">
        <w:tc>
          <w:tcPr>
            <w:tcW w:w="2330" w:type="dxa"/>
            <w:vMerge w:val="restart"/>
          </w:tcPr>
          <w:p w:rsidR="00EB5275" w:rsidRPr="00DF38B2" w:rsidRDefault="00EB5275" w:rsidP="007F5F9B">
            <w:pPr>
              <w:pStyle w:val="tabletextleft"/>
              <w:ind w:left="317"/>
              <w:jc w:val="left"/>
              <w:rPr>
                <w:rFonts w:ascii="Arial" w:eastAsia="Times New Roman" w:hAnsi="Arial" w:cs="Times New Roman"/>
                <w:sz w:val="16"/>
                <w:szCs w:val="16"/>
              </w:rPr>
            </w:pPr>
            <w:r>
              <w:rPr>
                <w:rFonts w:ascii="Arial" w:eastAsia="Times New Roman" w:hAnsi="Arial" w:cs="Times New Roman"/>
                <w:sz w:val="16"/>
                <w:szCs w:val="16"/>
              </w:rPr>
              <w:t>Location (n=30)</w:t>
            </w:r>
          </w:p>
        </w:tc>
        <w:tc>
          <w:tcPr>
            <w:tcW w:w="2490" w:type="dxa"/>
            <w:tcBorders>
              <w:bottom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sidRPr="00DF38B2">
              <w:rPr>
                <w:rFonts w:ascii="Arial" w:eastAsia="Times New Roman" w:hAnsi="Arial" w:cs="Times New Roman"/>
                <w:sz w:val="16"/>
                <w:szCs w:val="16"/>
              </w:rPr>
              <w:t>Remote</w:t>
            </w:r>
          </w:p>
        </w:tc>
        <w:tc>
          <w:tcPr>
            <w:tcW w:w="1559" w:type="dxa"/>
            <w:tcBorders>
              <w:bottom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60.0</w:t>
            </w:r>
            <w:r>
              <w:rPr>
                <w:rFonts w:ascii="Arial" w:eastAsia="Times New Roman" w:hAnsi="Arial" w:cs="Times New Roman"/>
                <w:sz w:val="16"/>
                <w:szCs w:val="16"/>
              </w:rPr>
              <w:t xml:space="preserve"> %</w:t>
            </w:r>
          </w:p>
        </w:tc>
      </w:tr>
      <w:tr w:rsidR="00EB5275" w:rsidRPr="00DF38B2" w:rsidTr="0060639D">
        <w:tc>
          <w:tcPr>
            <w:tcW w:w="2330" w:type="dxa"/>
            <w:vMerge/>
          </w:tcPr>
          <w:p w:rsidR="00EB5275" w:rsidRPr="00DF38B2" w:rsidRDefault="00EB5275" w:rsidP="007F5F9B">
            <w:pPr>
              <w:pStyle w:val="tabletextleft"/>
              <w:ind w:left="317"/>
              <w:jc w:val="left"/>
              <w:rPr>
                <w:rFonts w:ascii="Arial" w:eastAsia="Times New Roman" w:hAnsi="Arial" w:cs="Times New Roman"/>
                <w:sz w:val="16"/>
                <w:szCs w:val="16"/>
              </w:rPr>
            </w:pPr>
          </w:p>
        </w:tc>
        <w:tc>
          <w:tcPr>
            <w:tcW w:w="2490" w:type="dxa"/>
            <w:tcBorders>
              <w:top w:val="nil"/>
              <w:bottom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sidRPr="00DF38B2">
              <w:rPr>
                <w:rFonts w:ascii="Arial" w:eastAsia="Times New Roman" w:hAnsi="Arial" w:cs="Times New Roman"/>
                <w:sz w:val="16"/>
                <w:szCs w:val="16"/>
              </w:rPr>
              <w:t>Town</w:t>
            </w:r>
          </w:p>
        </w:tc>
        <w:tc>
          <w:tcPr>
            <w:tcW w:w="1559" w:type="dxa"/>
            <w:tcBorders>
              <w:top w:val="nil"/>
              <w:bottom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26.7</w:t>
            </w:r>
            <w:r>
              <w:rPr>
                <w:rFonts w:ascii="Arial" w:eastAsia="Times New Roman" w:hAnsi="Arial" w:cs="Times New Roman"/>
                <w:sz w:val="16"/>
                <w:szCs w:val="16"/>
              </w:rPr>
              <w:t xml:space="preserve"> %</w:t>
            </w:r>
          </w:p>
        </w:tc>
      </w:tr>
      <w:tr w:rsidR="00EB5275" w:rsidRPr="00DF38B2" w:rsidTr="0060639D">
        <w:tc>
          <w:tcPr>
            <w:tcW w:w="2330" w:type="dxa"/>
            <w:vMerge/>
          </w:tcPr>
          <w:p w:rsidR="00EB5275" w:rsidRDefault="00EB5275" w:rsidP="007F5F9B">
            <w:pPr>
              <w:pStyle w:val="tabletextleft"/>
              <w:ind w:left="317"/>
              <w:jc w:val="left"/>
              <w:rPr>
                <w:rFonts w:ascii="Arial" w:eastAsia="Times New Roman" w:hAnsi="Arial" w:cs="Times New Roman"/>
                <w:sz w:val="16"/>
                <w:szCs w:val="16"/>
              </w:rPr>
            </w:pPr>
          </w:p>
        </w:tc>
        <w:tc>
          <w:tcPr>
            <w:tcW w:w="2490" w:type="dxa"/>
            <w:tcBorders>
              <w:top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Pr>
                <w:rFonts w:ascii="Arial" w:eastAsia="Times New Roman" w:hAnsi="Arial" w:cs="Times New Roman"/>
                <w:sz w:val="16"/>
                <w:szCs w:val="16"/>
              </w:rPr>
              <w:t>Mobile between locations</w:t>
            </w:r>
          </w:p>
        </w:tc>
        <w:tc>
          <w:tcPr>
            <w:tcW w:w="1559" w:type="dxa"/>
            <w:tcBorders>
              <w:top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13.3</w:t>
            </w:r>
            <w:r>
              <w:rPr>
                <w:rFonts w:ascii="Arial" w:eastAsia="Times New Roman" w:hAnsi="Arial" w:cs="Times New Roman"/>
                <w:sz w:val="16"/>
                <w:szCs w:val="16"/>
              </w:rPr>
              <w:t xml:space="preserve"> %</w:t>
            </w:r>
          </w:p>
        </w:tc>
      </w:tr>
    </w:tbl>
    <w:p w:rsidR="00417B51" w:rsidRPr="00DF38B2" w:rsidRDefault="00417B51" w:rsidP="006654AE">
      <w:pPr>
        <w:pStyle w:val="tablefootnoteslastline"/>
      </w:pPr>
    </w:p>
    <w:p w:rsidR="00417B51" w:rsidRPr="00DF38B2" w:rsidRDefault="00417B51" w:rsidP="006654AE">
      <w:r w:rsidRPr="00DF38B2">
        <w:t xml:space="preserve">Difficulties in establishing contact with many of the people on the assessed </w:t>
      </w:r>
      <w:r w:rsidR="0074694B" w:rsidRPr="00DF38B2">
        <w:t>V</w:t>
      </w:r>
      <w:r w:rsidR="0074694B">
        <w:t xml:space="preserve">ulnerable </w:t>
      </w:r>
      <w:r w:rsidRPr="00DF38B2">
        <w:t xml:space="preserve">Income Management measure in the LSNIM sample were experienced by those involved in conducting the qualitative interviews with people on the measure. Barriers to making contact with potential interview participants included people having no fixed address or no longer residing in the township or community where they were registered with Centrelink. Some participants in this group also presented with a number of cognitive and mental health issues </w:t>
      </w:r>
      <w:r w:rsidR="00E65F56">
        <w:t>that</w:t>
      </w:r>
      <w:r w:rsidRPr="00DF38B2">
        <w:t xml:space="preserve"> could make it difficult for them to participate in interviews, even with assistance. The six people on the assessed </w:t>
      </w:r>
      <w:r w:rsidR="0074694B" w:rsidRPr="00DF38B2">
        <w:t>V</w:t>
      </w:r>
      <w:r w:rsidR="0074694B">
        <w:t>ulnerable</w:t>
      </w:r>
      <w:r w:rsidR="0074694B" w:rsidRPr="00DF38B2">
        <w:t xml:space="preserve"> </w:t>
      </w:r>
      <w:r w:rsidRPr="00DF38B2">
        <w:t xml:space="preserve">Income Management measure who participated in a qualitative interview were Indigenous and lived predominantly in urban areas. The number of interviews conducted was low and therefore the views and experience described may not be representative of all people on the assessed </w:t>
      </w:r>
      <w:r w:rsidR="002604C3" w:rsidRPr="00DF38B2">
        <w:t xml:space="preserve">Vulnerable </w:t>
      </w:r>
      <w:r w:rsidRPr="00DF38B2">
        <w:t xml:space="preserve">Income Management measure. However, they do provide an indication of some of the context behind the experiences reported within the survey. </w:t>
      </w:r>
    </w:p>
    <w:p w:rsidR="00417B51" w:rsidRPr="00DF38B2" w:rsidRDefault="00417B51" w:rsidP="006654AE">
      <w:pPr>
        <w:pStyle w:val="Heading2"/>
      </w:pPr>
      <w:bookmarkStart w:id="615" w:name="_Toc403739136"/>
      <w:r w:rsidRPr="001D25DF">
        <w:t>Findings</w:t>
      </w:r>
      <w:bookmarkEnd w:id="615"/>
      <w:r w:rsidRPr="00DF38B2">
        <w:t xml:space="preserve"> </w:t>
      </w:r>
    </w:p>
    <w:p w:rsidR="00417B51" w:rsidRPr="00DF38B2" w:rsidRDefault="00417B51" w:rsidP="006654AE">
      <w:r w:rsidRPr="00DF38B2">
        <w:rPr>
          <w:rFonts w:eastAsiaTheme="minorHAnsi"/>
          <w:lang w:eastAsia="en-US"/>
        </w:rPr>
        <w:t xml:space="preserve">As previously outlined, the following analysis has focused on assessed Vulnerable Income Management and does not include analysis of the ‘youth triggers’ forms of the measure </w:t>
      </w:r>
      <w:r w:rsidR="00E65F56">
        <w:rPr>
          <w:rFonts w:eastAsiaTheme="minorHAnsi"/>
          <w:lang w:eastAsia="en-US"/>
        </w:rPr>
        <w:t>that</w:t>
      </w:r>
      <w:r w:rsidRPr="00DF38B2">
        <w:rPr>
          <w:rFonts w:eastAsiaTheme="minorHAnsi"/>
          <w:lang w:eastAsia="en-US"/>
        </w:rPr>
        <w:t xml:space="preserve"> were introduced in July 2013.</w:t>
      </w:r>
    </w:p>
    <w:p w:rsidR="00417B51" w:rsidRPr="00DF38B2" w:rsidRDefault="00417B51" w:rsidP="006654AE">
      <w:pPr>
        <w:pStyle w:val="Heading3"/>
      </w:pPr>
      <w:bookmarkStart w:id="616" w:name="_Toc403739137"/>
      <w:r w:rsidRPr="00DF38B2">
        <w:rPr>
          <w:lang w:eastAsia="en-US"/>
        </w:rPr>
        <w:t>People on the Vulnerable Income Management measure</w:t>
      </w:r>
      <w:bookmarkEnd w:id="616"/>
    </w:p>
    <w:p w:rsidR="00417B51" w:rsidRPr="009655C3" w:rsidRDefault="002604C3" w:rsidP="006654AE">
      <w:pPr>
        <w:rPr>
          <w:rFonts w:eastAsiaTheme="minorHAnsi"/>
          <w:lang w:eastAsia="en-US"/>
        </w:rPr>
      </w:pPr>
      <w:r w:rsidRPr="00DF38B2">
        <w:rPr>
          <w:rFonts w:eastAsiaTheme="minorHAnsi"/>
          <w:lang w:eastAsia="en-US"/>
        </w:rPr>
        <w:fldChar w:fldCharType="begin"/>
      </w:r>
      <w:r w:rsidRPr="00DF38B2">
        <w:rPr>
          <w:rFonts w:eastAsiaTheme="minorHAnsi"/>
          <w:lang w:eastAsia="en-US"/>
        </w:rPr>
        <w:instrText xml:space="preserve"> REF _Ref393899880 \h </w:instrText>
      </w:r>
      <w:r w:rsidRPr="00DF38B2">
        <w:rPr>
          <w:rFonts w:eastAsiaTheme="minorHAnsi"/>
          <w:lang w:eastAsia="en-US"/>
        </w:rPr>
      </w:r>
      <w:r w:rsidRPr="00DF38B2">
        <w:rPr>
          <w:rFonts w:eastAsiaTheme="minorHAnsi"/>
          <w:lang w:eastAsia="en-US"/>
        </w:rPr>
        <w:fldChar w:fldCharType="separate"/>
      </w:r>
      <w:r w:rsidR="00906D13" w:rsidRPr="00DF38B2">
        <w:t xml:space="preserve">Figure </w:t>
      </w:r>
      <w:r w:rsidR="00906D13">
        <w:rPr>
          <w:noProof/>
        </w:rPr>
        <w:t>12</w:t>
      </w:r>
      <w:r w:rsidR="00906D13" w:rsidRPr="00DF38B2">
        <w:noBreakHyphen/>
      </w:r>
      <w:r w:rsidR="00906D13">
        <w:rPr>
          <w:noProof/>
        </w:rPr>
        <w:t>1</w:t>
      </w:r>
      <w:r w:rsidRPr="00DF38B2">
        <w:rPr>
          <w:rFonts w:eastAsiaTheme="minorHAnsi"/>
          <w:lang w:eastAsia="en-US"/>
        </w:rPr>
        <w:fldChar w:fldCharType="end"/>
      </w:r>
      <w:r w:rsidRPr="00DF38B2">
        <w:rPr>
          <w:rFonts w:eastAsiaTheme="minorHAnsi"/>
          <w:lang w:eastAsia="en-US"/>
        </w:rPr>
        <w:t xml:space="preserve"> </w:t>
      </w:r>
      <w:r w:rsidR="00417B51" w:rsidRPr="00FE502F">
        <w:rPr>
          <w:rFonts w:eastAsiaTheme="minorHAnsi"/>
          <w:lang w:eastAsia="en-US"/>
        </w:rPr>
        <w:t>shows the number of pe</w:t>
      </w:r>
      <w:r w:rsidR="00417B51" w:rsidRPr="009655C3">
        <w:rPr>
          <w:rFonts w:eastAsiaTheme="minorHAnsi"/>
          <w:lang w:eastAsia="en-US"/>
        </w:rPr>
        <w:t xml:space="preserve">ople on all Vulnerable Income Management measures in the Northern Territory from September 2010 to </w:t>
      </w:r>
      <w:r w:rsidR="00350406">
        <w:rPr>
          <w:rFonts w:eastAsiaTheme="minorHAnsi"/>
          <w:lang w:eastAsia="en-US"/>
        </w:rPr>
        <w:t>December 2013</w:t>
      </w:r>
      <w:r w:rsidR="00A1421A">
        <w:rPr>
          <w:rFonts w:eastAsiaTheme="minorHAnsi"/>
          <w:lang w:eastAsia="en-US"/>
        </w:rPr>
        <w:t xml:space="preserve">. </w:t>
      </w:r>
      <w:r w:rsidR="00417B51" w:rsidRPr="009655C3">
        <w:rPr>
          <w:rFonts w:eastAsiaTheme="minorHAnsi"/>
          <w:lang w:eastAsia="en-US"/>
        </w:rPr>
        <w:t>The figure shows a significant rise in numbers after July 2013 because of the addition of the new</w:t>
      </w:r>
      <w:r w:rsidR="003F73A8">
        <w:rPr>
          <w:rFonts w:eastAsiaTheme="minorHAnsi"/>
          <w:lang w:eastAsia="en-US"/>
        </w:rPr>
        <w:t xml:space="preserve"> forms of automatic Vulnerable Income Management</w:t>
      </w:r>
      <w:r w:rsidR="00417B51" w:rsidRPr="009655C3">
        <w:rPr>
          <w:rFonts w:eastAsiaTheme="minorHAnsi"/>
          <w:lang w:eastAsia="en-US"/>
        </w:rPr>
        <w:t>.</w:t>
      </w:r>
    </w:p>
    <w:p w:rsidR="00417B51" w:rsidRPr="00DF38B2" w:rsidRDefault="00417B51" w:rsidP="006654AE">
      <w:pPr>
        <w:pStyle w:val="Caption"/>
        <w:rPr>
          <w:rFonts w:eastAsiaTheme="minorHAnsi"/>
          <w:sz w:val="22"/>
        </w:rPr>
      </w:pPr>
      <w:bookmarkStart w:id="617" w:name="_Ref393899880"/>
      <w:bookmarkStart w:id="618" w:name="_Toc403739585"/>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12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617"/>
      <w:r w:rsidRPr="00DF38B2">
        <w:rPr>
          <w:rFonts w:eastAsiaTheme="minorHAnsi"/>
          <w:lang w:eastAsia="en-US"/>
        </w:rPr>
        <w:tab/>
        <w:t>Number</w:t>
      </w:r>
      <w:r w:rsidR="005D1CC5">
        <w:rPr>
          <w:rFonts w:eastAsiaTheme="minorHAnsi"/>
          <w:lang w:eastAsia="en-US"/>
        </w:rPr>
        <w:t xml:space="preserve"> of people</w:t>
      </w:r>
      <w:r w:rsidRPr="00DF38B2">
        <w:rPr>
          <w:rFonts w:eastAsiaTheme="minorHAnsi"/>
          <w:lang w:eastAsia="en-US"/>
        </w:rPr>
        <w:t xml:space="preserve"> on </w:t>
      </w:r>
      <w:r w:rsidR="003F73A8">
        <w:rPr>
          <w:rFonts w:eastAsiaTheme="minorHAnsi"/>
          <w:lang w:eastAsia="en-US"/>
        </w:rPr>
        <w:t>Vulnerable Income Management in the</w:t>
      </w:r>
      <w:r w:rsidRPr="00DF38B2">
        <w:rPr>
          <w:rFonts w:eastAsiaTheme="minorHAnsi"/>
          <w:lang w:eastAsia="en-US"/>
        </w:rPr>
        <w:t xml:space="preserve"> Northern Territory by </w:t>
      </w:r>
      <w:r w:rsidR="003F73A8">
        <w:rPr>
          <w:rFonts w:eastAsiaTheme="minorHAnsi"/>
          <w:lang w:eastAsia="en-US"/>
        </w:rPr>
        <w:t xml:space="preserve">type of </w:t>
      </w:r>
      <w:r w:rsidRPr="00DF38B2">
        <w:rPr>
          <w:rFonts w:eastAsiaTheme="minorHAnsi"/>
          <w:lang w:eastAsia="en-US"/>
        </w:rPr>
        <w:t>measure</w:t>
      </w:r>
      <w:r w:rsidR="003F73A8" w:rsidRPr="003F73A8">
        <w:rPr>
          <w:rFonts w:eastAsiaTheme="minorHAnsi"/>
          <w:lang w:eastAsia="en-US"/>
        </w:rPr>
        <w:t>, September 2010 to December 2013</w:t>
      </w:r>
      <w:bookmarkEnd w:id="618"/>
    </w:p>
    <w:p w:rsidR="00417B51" w:rsidRPr="00DF38B2" w:rsidRDefault="00417B51" w:rsidP="006654AE">
      <w:pPr>
        <w:pStyle w:val="graphicpaste"/>
        <w:rPr>
          <w:rFonts w:asciiTheme="minorHAnsi" w:eastAsiaTheme="minorHAnsi" w:hAnsiTheme="minorHAnsi"/>
          <w:sz w:val="22"/>
        </w:rPr>
      </w:pPr>
      <w:r w:rsidRPr="008E4D9D">
        <w:rPr>
          <w:noProof/>
        </w:rPr>
        <w:drawing>
          <wp:inline distT="0" distB="0" distL="0" distR="0" wp14:anchorId="17F64583" wp14:editId="5DD56610">
            <wp:extent cx="5082540" cy="2976880"/>
            <wp:effectExtent l="0" t="0" r="3810" b="0"/>
            <wp:docPr id="130" name="Picture 130" descr="This is a stacked area chart showing the numbers of people on the various measures (Special Benefit, Crisis Payment, Unreasonable to live at home and assessed) over the period September 2010 to December 2013. Up to July 2013 only the assessed group is plotted as the other elements had not yet been introduce.  There is some discussion of the chart in the text (above) along with some more details on the numbers on particular elements in Chapte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082540" cy="2976880"/>
                    </a:xfrm>
                    <a:prstGeom prst="rect">
                      <a:avLst/>
                    </a:prstGeom>
                    <a:noFill/>
                    <a:ln>
                      <a:noFill/>
                    </a:ln>
                  </pic:spPr>
                </pic:pic>
              </a:graphicData>
            </a:graphic>
          </wp:inline>
        </w:drawing>
      </w:r>
    </w:p>
    <w:p w:rsidR="00417B51" w:rsidRDefault="00417B51" w:rsidP="006654AE">
      <w:pPr>
        <w:pStyle w:val="tablenotes"/>
        <w:rPr>
          <w:rFonts w:eastAsiaTheme="minorHAnsi"/>
          <w:lang w:eastAsia="en-US"/>
        </w:rPr>
      </w:pPr>
      <w:r w:rsidRPr="00FE502F">
        <w:rPr>
          <w:rFonts w:eastAsiaTheme="minorHAnsi"/>
          <w:lang w:eastAsia="en-US"/>
        </w:rPr>
        <w:t>Source:</w:t>
      </w:r>
      <w:r w:rsidR="00305D80">
        <w:rPr>
          <w:rFonts w:eastAsiaTheme="minorHAnsi"/>
          <w:lang w:eastAsia="en-US"/>
        </w:rPr>
        <w:tab/>
        <w:t>Derived from DHS administrative</w:t>
      </w:r>
      <w:r w:rsidRPr="00FE502F">
        <w:rPr>
          <w:rFonts w:eastAsiaTheme="minorHAnsi"/>
          <w:lang w:eastAsia="en-US"/>
        </w:rPr>
        <w:t xml:space="preserve"> data</w:t>
      </w:r>
      <w:r w:rsidR="003F73A8">
        <w:rPr>
          <w:rFonts w:eastAsiaTheme="minorHAnsi"/>
          <w:lang w:eastAsia="en-US"/>
        </w:rPr>
        <w:t xml:space="preserve"> provided for the purposes of the evaluation</w:t>
      </w:r>
      <w:r w:rsidR="00E65F56">
        <w:rPr>
          <w:rFonts w:eastAsiaTheme="minorHAnsi"/>
          <w:lang w:eastAsia="en-US"/>
        </w:rPr>
        <w:t>.</w:t>
      </w:r>
    </w:p>
    <w:p w:rsidR="00FE1A6A" w:rsidRPr="00FE502F" w:rsidRDefault="00FE1A6A" w:rsidP="006654AE">
      <w:pPr>
        <w:pStyle w:val="tablefootnoteslastline"/>
      </w:pPr>
    </w:p>
    <w:p w:rsidR="00417B51" w:rsidRPr="00DF38B2" w:rsidRDefault="00417B51" w:rsidP="006654AE">
      <w:pPr>
        <w:rPr>
          <w:rFonts w:eastAsiaTheme="minorHAnsi"/>
          <w:lang w:eastAsia="en-US"/>
        </w:rPr>
      </w:pPr>
      <w:r w:rsidRPr="009655C3">
        <w:rPr>
          <w:rFonts w:eastAsiaTheme="minorHAnsi"/>
          <w:lang w:eastAsia="en-US"/>
        </w:rPr>
        <w:t xml:space="preserve">The numbers of people on the </w:t>
      </w:r>
      <w:r w:rsidR="00A8053C">
        <w:rPr>
          <w:rFonts w:eastAsiaTheme="minorHAnsi"/>
          <w:lang w:eastAsia="en-US"/>
        </w:rPr>
        <w:t>A</w:t>
      </w:r>
      <w:r w:rsidRPr="009655C3">
        <w:rPr>
          <w:rFonts w:eastAsiaTheme="minorHAnsi"/>
          <w:lang w:eastAsia="en-US"/>
        </w:rPr>
        <w:t xml:space="preserve">ssessed Vulnerable </w:t>
      </w:r>
      <w:r w:rsidR="00A8053C">
        <w:rPr>
          <w:rFonts w:eastAsiaTheme="minorHAnsi"/>
          <w:lang w:eastAsia="en-US"/>
        </w:rPr>
        <w:t>I</w:t>
      </w:r>
      <w:r w:rsidRPr="009655C3">
        <w:rPr>
          <w:rFonts w:eastAsiaTheme="minorHAnsi"/>
          <w:lang w:eastAsia="en-US"/>
        </w:rPr>
        <w:t xml:space="preserve">ncome </w:t>
      </w:r>
      <w:r w:rsidR="00A8053C">
        <w:rPr>
          <w:rFonts w:eastAsiaTheme="minorHAnsi"/>
          <w:lang w:eastAsia="en-US"/>
        </w:rPr>
        <w:t>M</w:t>
      </w:r>
      <w:r w:rsidRPr="009655C3">
        <w:rPr>
          <w:rFonts w:eastAsiaTheme="minorHAnsi"/>
          <w:lang w:eastAsia="en-US"/>
        </w:rPr>
        <w:t>anagement measure show a rather different pattern</w:t>
      </w:r>
      <w:r w:rsidR="0074694B">
        <w:rPr>
          <w:rFonts w:eastAsiaTheme="minorHAnsi"/>
          <w:lang w:eastAsia="en-US"/>
        </w:rPr>
        <w:t xml:space="preserve"> to the total number of people on the vulnerable measures from mid 2013 on</w:t>
      </w:r>
      <w:r w:rsidR="00086970">
        <w:rPr>
          <w:rFonts w:eastAsiaTheme="minorHAnsi"/>
          <w:lang w:eastAsia="en-US"/>
        </w:rPr>
        <w:t xml:space="preserve">. </w:t>
      </w:r>
      <w:r w:rsidRPr="00DF38B2">
        <w:rPr>
          <w:rFonts w:eastAsiaTheme="minorHAnsi"/>
          <w:lang w:eastAsia="en-US"/>
        </w:rPr>
        <w:t>In the first year after its introduction in mid-2010, numbers on the measure rose rapidly to a maximum of 243 in August 2011</w:t>
      </w:r>
      <w:r w:rsidR="00A1421A">
        <w:rPr>
          <w:rFonts w:eastAsiaTheme="minorHAnsi"/>
          <w:lang w:eastAsia="en-US"/>
        </w:rPr>
        <w:t xml:space="preserve">. </w:t>
      </w:r>
      <w:r w:rsidRPr="00DF38B2">
        <w:rPr>
          <w:rFonts w:eastAsiaTheme="minorHAnsi"/>
          <w:lang w:eastAsia="en-US"/>
        </w:rPr>
        <w:t>Numbers then fell to settle at around 130</w:t>
      </w:r>
      <w:r w:rsidR="00E65F56">
        <w:rPr>
          <w:rFonts w:eastAsiaTheme="minorHAnsi"/>
          <w:lang w:eastAsia="en-US"/>
        </w:rPr>
        <w:t>–</w:t>
      </w:r>
      <w:r w:rsidRPr="00DF38B2">
        <w:rPr>
          <w:rFonts w:eastAsiaTheme="minorHAnsi"/>
          <w:lang w:eastAsia="en-US"/>
        </w:rPr>
        <w:t>140 in 2012 until mid</w:t>
      </w:r>
      <w:r w:rsidR="00E65F56">
        <w:rPr>
          <w:rFonts w:eastAsiaTheme="minorHAnsi"/>
          <w:lang w:eastAsia="en-US"/>
        </w:rPr>
        <w:t>-</w:t>
      </w:r>
      <w:r w:rsidRPr="009655C3">
        <w:rPr>
          <w:rFonts w:eastAsiaTheme="minorHAnsi"/>
          <w:lang w:eastAsia="en-US"/>
        </w:rPr>
        <w:t>2013</w:t>
      </w:r>
      <w:r w:rsidR="00E65F56">
        <w:rPr>
          <w:rFonts w:eastAsiaTheme="minorHAnsi"/>
          <w:lang w:eastAsia="en-US"/>
        </w:rPr>
        <w:t>,</w:t>
      </w:r>
      <w:r w:rsidRPr="009655C3">
        <w:rPr>
          <w:rFonts w:eastAsiaTheme="minorHAnsi"/>
          <w:lang w:eastAsia="en-US"/>
        </w:rPr>
        <w:t xml:space="preserve"> after which they have slowly risen </w:t>
      </w:r>
      <w:r w:rsidR="003F73A8" w:rsidRPr="003F73A8">
        <w:rPr>
          <w:rFonts w:eastAsiaTheme="minorHAnsi"/>
          <w:lang w:eastAsia="en-US"/>
        </w:rPr>
        <w:t>again, reaching around 165 in December 2013</w:t>
      </w:r>
    </w:p>
    <w:p w:rsidR="00417B51" w:rsidRPr="00DF38B2" w:rsidRDefault="00417B51" w:rsidP="006654AE">
      <w:pPr>
        <w:pStyle w:val="Caption"/>
        <w:ind w:left="1439" w:hanging="1155"/>
        <w:rPr>
          <w:rFonts w:eastAsiaTheme="minorHAnsi"/>
          <w:lang w:eastAsia="en-US"/>
        </w:rPr>
      </w:pPr>
      <w:bookmarkStart w:id="619" w:name="_Toc403739586"/>
      <w:r w:rsidRPr="00DF38B2">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2</w:t>
      </w:r>
      <w:r w:rsidRPr="00F157EE">
        <w:rPr>
          <w:rFonts w:eastAsiaTheme="minorHAnsi"/>
          <w:lang w:eastAsia="en-US"/>
        </w:rPr>
        <w:fldChar w:fldCharType="end"/>
      </w:r>
      <w:r w:rsidRPr="00DF38B2">
        <w:rPr>
          <w:rFonts w:eastAsiaTheme="minorHAnsi"/>
          <w:lang w:eastAsia="en-US"/>
        </w:rPr>
        <w:t xml:space="preserve"> </w:t>
      </w:r>
      <w:r w:rsidRPr="00DF38B2">
        <w:rPr>
          <w:rFonts w:eastAsiaTheme="minorHAnsi"/>
          <w:lang w:eastAsia="en-US"/>
        </w:rPr>
        <w:tab/>
      </w:r>
      <w:r w:rsidR="00A87530">
        <w:rPr>
          <w:rFonts w:eastAsiaTheme="minorHAnsi"/>
          <w:lang w:eastAsia="en-US"/>
        </w:rPr>
        <w:t xml:space="preserve">Number of </w:t>
      </w:r>
      <w:r w:rsidR="003F73A8">
        <w:rPr>
          <w:rFonts w:eastAsiaTheme="minorHAnsi"/>
          <w:lang w:eastAsia="en-US"/>
        </w:rPr>
        <w:t>people on</w:t>
      </w:r>
      <w:r w:rsidR="003F73A8" w:rsidRPr="00DF38B2">
        <w:rPr>
          <w:rFonts w:eastAsiaTheme="minorHAnsi"/>
          <w:lang w:eastAsia="en-US"/>
        </w:rPr>
        <w:t xml:space="preserve"> </w:t>
      </w:r>
      <w:r w:rsidR="00A8053C">
        <w:rPr>
          <w:rFonts w:eastAsiaTheme="minorHAnsi"/>
          <w:lang w:eastAsia="en-US"/>
        </w:rPr>
        <w:t>A</w:t>
      </w:r>
      <w:r w:rsidRPr="00DF38B2">
        <w:rPr>
          <w:rFonts w:eastAsiaTheme="minorHAnsi"/>
          <w:lang w:eastAsia="en-US"/>
        </w:rPr>
        <w:t>ssessed Vulnerable Income Management</w:t>
      </w:r>
      <w:r w:rsidR="00395990">
        <w:rPr>
          <w:rFonts w:eastAsiaTheme="minorHAnsi"/>
          <w:lang w:eastAsia="en-US"/>
        </w:rPr>
        <w:t xml:space="preserve"> in the Northern Territory,</w:t>
      </w:r>
      <w:r w:rsidRPr="00DF38B2">
        <w:rPr>
          <w:rFonts w:eastAsiaTheme="minorHAnsi"/>
          <w:lang w:eastAsia="en-US"/>
        </w:rPr>
        <w:t xml:space="preserve"> September</w:t>
      </w:r>
      <w:r w:rsidR="003F73A8">
        <w:rPr>
          <w:rFonts w:eastAsiaTheme="minorHAnsi"/>
          <w:lang w:eastAsia="en-US"/>
        </w:rPr>
        <w:t> </w:t>
      </w:r>
      <w:r w:rsidRPr="00DF38B2">
        <w:rPr>
          <w:rFonts w:eastAsiaTheme="minorHAnsi"/>
          <w:lang w:eastAsia="en-US"/>
        </w:rPr>
        <w:t>2010 to December 2013</w:t>
      </w:r>
      <w:bookmarkEnd w:id="619"/>
    </w:p>
    <w:p w:rsidR="00417B51" w:rsidRPr="00DF38B2" w:rsidRDefault="00417B51" w:rsidP="006654AE">
      <w:pPr>
        <w:pStyle w:val="graphicpaste"/>
        <w:rPr>
          <w:rFonts w:asciiTheme="minorHAnsi" w:eastAsiaTheme="minorHAnsi" w:hAnsiTheme="minorHAnsi"/>
          <w:sz w:val="22"/>
          <w:lang w:eastAsia="en-US"/>
        </w:rPr>
      </w:pPr>
      <w:r w:rsidRPr="008E4D9D">
        <w:rPr>
          <w:noProof/>
        </w:rPr>
        <w:drawing>
          <wp:inline distT="0" distB="0" distL="0" distR="0" wp14:anchorId="5EB96BD9" wp14:editId="0A6B3D3A">
            <wp:extent cx="4584700" cy="2628265"/>
            <wp:effectExtent l="0" t="0" r="6350" b="635"/>
            <wp:docPr id="131" name="Picture 131" descr="This is a line chart showing the numbers on the assessed vulnerable component over the period September 2010 to December 2013. The key figures from this chart are given and discuss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84700" cy="2628265"/>
                    </a:xfrm>
                    <a:prstGeom prst="rect">
                      <a:avLst/>
                    </a:prstGeom>
                    <a:noFill/>
                    <a:ln>
                      <a:noFill/>
                    </a:ln>
                  </pic:spPr>
                </pic:pic>
              </a:graphicData>
            </a:graphic>
          </wp:inline>
        </w:drawing>
      </w:r>
    </w:p>
    <w:p w:rsidR="00417B51" w:rsidRDefault="00417B51" w:rsidP="006654AE">
      <w:pPr>
        <w:pStyle w:val="tablenotes"/>
        <w:keepNext w:val="0"/>
        <w:rPr>
          <w:rFonts w:eastAsiaTheme="minorHAnsi"/>
          <w:lang w:eastAsia="en-US"/>
        </w:rPr>
      </w:pPr>
      <w:bookmarkStart w:id="620" w:name="_Ref385405125"/>
      <w:r w:rsidRPr="00FE502F">
        <w:rPr>
          <w:rFonts w:eastAsiaTheme="minorHAnsi"/>
          <w:lang w:eastAsia="en-US"/>
        </w:rPr>
        <w:t>Source:</w:t>
      </w:r>
      <w:r w:rsidR="00305D80">
        <w:rPr>
          <w:rFonts w:eastAsiaTheme="minorHAnsi"/>
          <w:lang w:eastAsia="en-US"/>
        </w:rPr>
        <w:tab/>
        <w:t>Derived from DHS administrative</w:t>
      </w:r>
      <w:r w:rsidRPr="00FE502F">
        <w:rPr>
          <w:rFonts w:eastAsiaTheme="minorHAnsi"/>
          <w:lang w:eastAsia="en-US"/>
        </w:rPr>
        <w:t xml:space="preserve"> data</w:t>
      </w:r>
      <w:r w:rsidR="003F73A8">
        <w:rPr>
          <w:rFonts w:eastAsiaTheme="minorHAnsi"/>
          <w:lang w:eastAsia="en-US"/>
        </w:rPr>
        <w:t xml:space="preserve"> provided for the purposes of the evaluation</w:t>
      </w:r>
      <w:r w:rsidR="00B01EB2">
        <w:rPr>
          <w:rFonts w:eastAsiaTheme="minorHAnsi"/>
          <w:lang w:eastAsia="en-US"/>
        </w:rPr>
        <w:t>.</w:t>
      </w:r>
    </w:p>
    <w:p w:rsidR="00FE1A6A" w:rsidRPr="00FE502F" w:rsidRDefault="00FE1A6A" w:rsidP="006654AE">
      <w:pPr>
        <w:pStyle w:val="tablefootnoteslastline"/>
      </w:pPr>
    </w:p>
    <w:bookmarkEnd w:id="620"/>
    <w:p w:rsidR="002B02A7" w:rsidRPr="00DF38B2" w:rsidRDefault="002B02A7" w:rsidP="006654AE">
      <w:pPr>
        <w:rPr>
          <w:rFonts w:eastAsiaTheme="minorHAnsi"/>
          <w:lang w:eastAsia="en-US"/>
        </w:rPr>
      </w:pPr>
      <w:r>
        <w:rPr>
          <w:rFonts w:eastAsiaTheme="minorHAnsi"/>
          <w:lang w:eastAsia="en-US"/>
        </w:rPr>
        <w:t>The m</w:t>
      </w:r>
      <w:r w:rsidRPr="00DF38B2">
        <w:rPr>
          <w:rFonts w:eastAsiaTheme="minorHAnsi"/>
          <w:lang w:eastAsia="en-US"/>
        </w:rPr>
        <w:t xml:space="preserve">ajority of people on the </w:t>
      </w:r>
      <w:r w:rsidR="003F73A8">
        <w:rPr>
          <w:rFonts w:eastAsiaTheme="minorHAnsi"/>
          <w:lang w:eastAsia="en-US"/>
        </w:rPr>
        <w:t xml:space="preserve">assessed vulnerable </w:t>
      </w:r>
      <w:r w:rsidRPr="00DF38B2">
        <w:rPr>
          <w:rFonts w:eastAsiaTheme="minorHAnsi"/>
          <w:lang w:eastAsia="en-US"/>
        </w:rPr>
        <w:t>measure are women (55.3 per cent in December</w:t>
      </w:r>
      <w:r>
        <w:rPr>
          <w:rFonts w:eastAsiaTheme="minorHAnsi"/>
          <w:lang w:eastAsia="en-US"/>
        </w:rPr>
        <w:t xml:space="preserve"> 2013</w:t>
      </w:r>
      <w:r w:rsidRPr="00DF38B2">
        <w:rPr>
          <w:rFonts w:eastAsiaTheme="minorHAnsi"/>
          <w:lang w:eastAsia="en-US"/>
        </w:rPr>
        <w:t>)</w:t>
      </w:r>
      <w:r>
        <w:rPr>
          <w:rFonts w:eastAsiaTheme="minorHAnsi"/>
          <w:lang w:eastAsia="en-US"/>
        </w:rPr>
        <w:t xml:space="preserve">. </w:t>
      </w:r>
      <w:r w:rsidRPr="00FE502F">
        <w:rPr>
          <w:rFonts w:eastAsiaTheme="minorHAnsi"/>
          <w:lang w:eastAsia="en-US"/>
        </w:rPr>
        <w:t xml:space="preserve">The vast majority of people </w:t>
      </w:r>
      <w:r>
        <w:rPr>
          <w:rFonts w:eastAsiaTheme="minorHAnsi"/>
          <w:lang w:eastAsia="en-US"/>
        </w:rPr>
        <w:t xml:space="preserve">who </w:t>
      </w:r>
      <w:r w:rsidRPr="009655C3">
        <w:rPr>
          <w:rFonts w:eastAsiaTheme="minorHAnsi"/>
          <w:lang w:eastAsia="en-US"/>
        </w:rPr>
        <w:t xml:space="preserve">have been </w:t>
      </w:r>
      <w:r w:rsidRPr="00FE502F">
        <w:rPr>
          <w:rFonts w:eastAsiaTheme="minorHAnsi"/>
          <w:lang w:eastAsia="en-US"/>
        </w:rPr>
        <w:t>on</w:t>
      </w:r>
      <w:r w:rsidRPr="009655C3">
        <w:rPr>
          <w:rFonts w:eastAsiaTheme="minorHAnsi"/>
          <w:lang w:eastAsia="en-US"/>
        </w:rPr>
        <w:t xml:space="preserve"> assessed Vulnerable Income Management </w:t>
      </w:r>
      <w:r>
        <w:rPr>
          <w:rFonts w:eastAsiaTheme="minorHAnsi"/>
          <w:lang w:eastAsia="en-US"/>
        </w:rPr>
        <w:t xml:space="preserve">are </w:t>
      </w:r>
      <w:r w:rsidRPr="009655C3">
        <w:rPr>
          <w:rFonts w:eastAsiaTheme="minorHAnsi"/>
          <w:lang w:eastAsia="en-US"/>
        </w:rPr>
        <w:t>Indigenous</w:t>
      </w:r>
      <w:r>
        <w:rPr>
          <w:rFonts w:eastAsiaTheme="minorHAnsi"/>
          <w:lang w:eastAsia="en-US"/>
        </w:rPr>
        <w:t xml:space="preserve">. </w:t>
      </w:r>
      <w:r w:rsidRPr="009655C3">
        <w:rPr>
          <w:rFonts w:eastAsiaTheme="minorHAnsi"/>
          <w:lang w:eastAsia="en-US"/>
        </w:rPr>
        <w:t xml:space="preserve">A maximum of </w:t>
      </w:r>
      <w:r>
        <w:rPr>
          <w:rFonts w:eastAsiaTheme="minorHAnsi"/>
          <w:lang w:eastAsia="en-US"/>
        </w:rPr>
        <w:t>four</w:t>
      </w:r>
      <w:r w:rsidRPr="009655C3">
        <w:rPr>
          <w:rFonts w:eastAsiaTheme="minorHAnsi"/>
          <w:lang w:eastAsia="en-US"/>
        </w:rPr>
        <w:t xml:space="preserve"> non-Indigenous people have been on the measure at any one time, and as of December 2013</w:t>
      </w:r>
      <w:r w:rsidRPr="00DF38B2">
        <w:rPr>
          <w:rFonts w:eastAsiaTheme="minorHAnsi"/>
          <w:lang w:eastAsia="en-US"/>
        </w:rPr>
        <w:t xml:space="preserve"> there were </w:t>
      </w:r>
      <w:r>
        <w:rPr>
          <w:rFonts w:eastAsiaTheme="minorHAnsi"/>
          <w:lang w:eastAsia="en-US"/>
        </w:rPr>
        <w:t>three</w:t>
      </w:r>
      <w:r w:rsidRPr="00DF38B2">
        <w:rPr>
          <w:rFonts w:eastAsiaTheme="minorHAnsi"/>
          <w:lang w:eastAsia="en-US"/>
        </w:rPr>
        <w:t xml:space="preserve"> non-Indigenous people on the measure out of a total of 170 (1.</w:t>
      </w:r>
      <w:r>
        <w:rPr>
          <w:rFonts w:eastAsiaTheme="minorHAnsi"/>
          <w:lang w:eastAsia="en-US"/>
        </w:rPr>
        <w:t>7</w:t>
      </w:r>
      <w:r w:rsidRPr="00DF38B2">
        <w:rPr>
          <w:rFonts w:eastAsiaTheme="minorHAnsi"/>
          <w:lang w:eastAsia="en-US"/>
        </w:rPr>
        <w:t xml:space="preserve"> per cent)</w:t>
      </w:r>
      <w:r>
        <w:rPr>
          <w:rFonts w:eastAsiaTheme="minorHAnsi"/>
          <w:lang w:eastAsia="en-US"/>
        </w:rPr>
        <w:t xml:space="preserve">. </w:t>
      </w:r>
      <w:r w:rsidRPr="00DF38B2">
        <w:rPr>
          <w:rFonts w:eastAsiaTheme="minorHAnsi"/>
          <w:lang w:eastAsia="en-US"/>
        </w:rPr>
        <w:t>This is despite the fact that, compared to other welfare payments, there are higher numbers of non-Indigenous people receiving the Age Pension and the Disability Support Pension (the payments most associated with the Vulnerable measure) than on most other payment types, but very low numbers of non-Indigenous people receiving these payments on income management</w:t>
      </w:r>
      <w:r>
        <w:rPr>
          <w:rFonts w:eastAsiaTheme="minorHAnsi"/>
          <w:lang w:eastAsia="en-US"/>
        </w:rPr>
        <w:t xml:space="preserve">. </w:t>
      </w:r>
    </w:p>
    <w:p w:rsidR="00417B51" w:rsidRPr="00DF38B2" w:rsidRDefault="00417B51" w:rsidP="006654AE">
      <w:pPr>
        <w:rPr>
          <w:rFonts w:eastAsiaTheme="minorHAnsi"/>
          <w:lang w:eastAsia="en-US"/>
        </w:rPr>
      </w:pPr>
      <w:r w:rsidRPr="009655C3">
        <w:rPr>
          <w:rFonts w:eastAsiaTheme="minorHAnsi"/>
          <w:lang w:eastAsia="en-US"/>
        </w:rPr>
        <w:lastRenderedPageBreak/>
        <w:t xml:space="preserve">Most of people on the measure are between 25 and 64 years old, as indicated in </w:t>
      </w:r>
      <w:r w:rsidRPr="00DF38B2">
        <w:rPr>
          <w:rFonts w:eastAsiaTheme="minorHAnsi"/>
          <w:lang w:eastAsia="en-US"/>
        </w:rPr>
        <w:fldChar w:fldCharType="begin"/>
      </w:r>
      <w:r w:rsidRPr="00DF38B2">
        <w:rPr>
          <w:rFonts w:eastAsiaTheme="minorHAnsi"/>
          <w:lang w:eastAsia="en-US"/>
        </w:rPr>
        <w:instrText xml:space="preserve"> REF _Ref385406706 \h  \* MERGEFORMAT </w:instrText>
      </w:r>
      <w:r w:rsidRPr="00DF38B2">
        <w:rPr>
          <w:rFonts w:eastAsiaTheme="minorHAnsi"/>
          <w:lang w:eastAsia="en-US"/>
        </w:rPr>
      </w:r>
      <w:r w:rsidRPr="00DF38B2">
        <w:rPr>
          <w:rFonts w:eastAsiaTheme="minorHAnsi"/>
          <w:lang w:eastAsia="en-US"/>
        </w:rPr>
        <w:fldChar w:fldCharType="separate"/>
      </w:r>
      <w:r w:rsidR="00906D13" w:rsidRPr="00FE502F">
        <w:rPr>
          <w:rFonts w:eastAsiaTheme="minorHAnsi"/>
          <w:lang w:eastAsia="en-US"/>
        </w:rPr>
        <w:t xml:space="preserve">Figure </w:t>
      </w:r>
      <w:r w:rsidR="00906D13">
        <w:rPr>
          <w:rFonts w:eastAsiaTheme="minorHAnsi"/>
          <w:lang w:eastAsia="en-US"/>
        </w:rPr>
        <w:t>12</w:t>
      </w:r>
      <w:r w:rsidR="00906D13" w:rsidRPr="00DF38B2">
        <w:rPr>
          <w:rFonts w:eastAsiaTheme="minorHAnsi"/>
          <w:lang w:eastAsia="en-US"/>
        </w:rPr>
        <w:noBreakHyphen/>
      </w:r>
      <w:r w:rsidR="00906D13">
        <w:rPr>
          <w:rFonts w:eastAsiaTheme="minorHAnsi"/>
          <w:lang w:eastAsia="en-US"/>
        </w:rPr>
        <w:t>3</w:t>
      </w:r>
      <w:r w:rsidRPr="00DF38B2">
        <w:rPr>
          <w:rFonts w:eastAsiaTheme="minorHAnsi"/>
          <w:lang w:eastAsia="en-US"/>
        </w:rPr>
        <w:fldChar w:fldCharType="end"/>
      </w:r>
      <w:r w:rsidRPr="00DF38B2">
        <w:rPr>
          <w:rFonts w:eastAsiaTheme="minorHAnsi"/>
          <w:lang w:eastAsia="en-US"/>
        </w:rPr>
        <w:t xml:space="preserve"> below.</w:t>
      </w:r>
    </w:p>
    <w:p w:rsidR="00417B51" w:rsidRPr="00DF38B2" w:rsidRDefault="00417B51" w:rsidP="006654AE">
      <w:pPr>
        <w:pStyle w:val="Caption"/>
        <w:rPr>
          <w:rFonts w:eastAsiaTheme="minorHAnsi"/>
          <w:lang w:eastAsia="en-US"/>
        </w:rPr>
      </w:pPr>
      <w:bookmarkStart w:id="621" w:name="_Ref385406706"/>
      <w:bookmarkStart w:id="622" w:name="_Toc403739587"/>
      <w:r w:rsidRPr="00FE502F">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3</w:t>
      </w:r>
      <w:r w:rsidRPr="00F157EE">
        <w:rPr>
          <w:rFonts w:eastAsiaTheme="minorHAnsi"/>
          <w:lang w:eastAsia="en-US"/>
        </w:rPr>
        <w:fldChar w:fldCharType="end"/>
      </w:r>
      <w:bookmarkEnd w:id="621"/>
      <w:r w:rsidRPr="00DF38B2">
        <w:rPr>
          <w:rFonts w:eastAsiaTheme="minorHAnsi"/>
          <w:lang w:eastAsia="en-US"/>
        </w:rPr>
        <w:t xml:space="preserve"> </w:t>
      </w:r>
      <w:r w:rsidRPr="00DF38B2">
        <w:rPr>
          <w:rFonts w:eastAsiaTheme="minorHAnsi"/>
          <w:lang w:eastAsia="en-US"/>
        </w:rPr>
        <w:tab/>
        <w:t xml:space="preserve">Age </w:t>
      </w:r>
      <w:r w:rsidRPr="00DF38B2">
        <w:t>distribution of people</w:t>
      </w:r>
      <w:r w:rsidRPr="00DF38B2">
        <w:rPr>
          <w:rFonts w:eastAsiaTheme="minorHAnsi"/>
          <w:lang w:eastAsia="en-US"/>
        </w:rPr>
        <w:t xml:space="preserve"> on assessed Vulnerable Income Management</w:t>
      </w:r>
      <w:r w:rsidR="00395990">
        <w:rPr>
          <w:rFonts w:eastAsiaTheme="minorHAnsi"/>
          <w:lang w:eastAsia="en-US"/>
        </w:rPr>
        <w:t xml:space="preserve"> in the Northern Territory</w:t>
      </w:r>
      <w:r w:rsidRPr="00DF38B2">
        <w:rPr>
          <w:rFonts w:eastAsiaTheme="minorHAnsi"/>
          <w:lang w:eastAsia="en-US"/>
        </w:rPr>
        <w:t xml:space="preserve">, December </w:t>
      </w:r>
      <w:r w:rsidRPr="001D25DF">
        <w:t>2013</w:t>
      </w:r>
      <w:bookmarkEnd w:id="622"/>
    </w:p>
    <w:p w:rsidR="00417B51" w:rsidRPr="00DF38B2" w:rsidRDefault="00417B51" w:rsidP="006654AE">
      <w:pPr>
        <w:pStyle w:val="graphicpaste"/>
        <w:rPr>
          <w:rFonts w:asciiTheme="minorHAnsi" w:eastAsiaTheme="minorHAnsi" w:hAnsiTheme="minorHAnsi"/>
          <w:sz w:val="22"/>
          <w:lang w:eastAsia="en-US"/>
        </w:rPr>
      </w:pPr>
      <w:r w:rsidRPr="008E4D9D">
        <w:rPr>
          <w:noProof/>
        </w:rPr>
        <w:drawing>
          <wp:inline distT="0" distB="0" distL="0" distR="0" wp14:anchorId="4F1881EE" wp14:editId="7A3D7993">
            <wp:extent cx="4457065" cy="2369185"/>
            <wp:effectExtent l="0" t="0" r="635" b="0"/>
            <wp:docPr id="132" name="Picture 132" descr="This barchart shows the number of persons on the assessed vulnerable measure by age group in December 2013. 11 were aged under 25 years, 69 aged 25 to 44 years, 58 aged 45-64 years and 32 aged 65 years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57065" cy="2369185"/>
                    </a:xfrm>
                    <a:prstGeom prst="rect">
                      <a:avLst/>
                    </a:prstGeom>
                    <a:noFill/>
                    <a:ln>
                      <a:noFill/>
                    </a:ln>
                  </pic:spPr>
                </pic:pic>
              </a:graphicData>
            </a:graphic>
          </wp:inline>
        </w:drawing>
      </w:r>
    </w:p>
    <w:p w:rsidR="00417B51" w:rsidRDefault="00417B51" w:rsidP="006654AE">
      <w:pPr>
        <w:pStyle w:val="tablenotes"/>
        <w:rPr>
          <w:rFonts w:eastAsiaTheme="minorHAnsi"/>
          <w:lang w:eastAsia="en-US"/>
        </w:rPr>
      </w:pPr>
      <w:r w:rsidRPr="00FE502F">
        <w:rPr>
          <w:rFonts w:eastAsiaTheme="minorHAnsi"/>
          <w:lang w:eastAsia="en-US"/>
        </w:rPr>
        <w:t>Source:</w:t>
      </w:r>
      <w:r w:rsidR="00305D80">
        <w:rPr>
          <w:rFonts w:eastAsiaTheme="minorHAnsi"/>
          <w:lang w:eastAsia="en-US"/>
        </w:rPr>
        <w:tab/>
        <w:t>Derived from DHS administrative</w:t>
      </w:r>
      <w:r w:rsidRPr="009655C3">
        <w:rPr>
          <w:rFonts w:eastAsiaTheme="minorHAnsi"/>
          <w:lang w:eastAsia="en-US"/>
        </w:rPr>
        <w:t xml:space="preserve"> data</w:t>
      </w:r>
      <w:r w:rsidR="003F73A8">
        <w:rPr>
          <w:rFonts w:eastAsiaTheme="minorHAnsi"/>
          <w:lang w:eastAsia="en-US"/>
        </w:rPr>
        <w:t xml:space="preserve"> provided for the purposes of the evaluation</w:t>
      </w:r>
      <w:r w:rsidR="00B01EB2">
        <w:rPr>
          <w:rFonts w:eastAsiaTheme="minorHAnsi"/>
          <w:lang w:eastAsia="en-US"/>
        </w:rPr>
        <w:t>.</w:t>
      </w:r>
    </w:p>
    <w:p w:rsidR="00FE1A6A" w:rsidRPr="009655C3" w:rsidRDefault="00FE1A6A" w:rsidP="006654AE">
      <w:pPr>
        <w:pStyle w:val="tablefootnoteslastline"/>
      </w:pPr>
    </w:p>
    <w:p w:rsidR="00417B51" w:rsidRPr="00DF38B2" w:rsidRDefault="00417B51" w:rsidP="006654AE">
      <w:pPr>
        <w:rPr>
          <w:lang w:eastAsia="en-US"/>
        </w:rPr>
      </w:pPr>
      <w:r w:rsidRPr="00DF38B2">
        <w:rPr>
          <w:lang w:eastAsia="en-US"/>
        </w:rPr>
        <w:t xml:space="preserve">In relation to the type of benefit received, the vast majority of people have been Disability Support Pension recipients, accounting for around 80 per cent over the years since the measure was introduced. The Age Pension has consistently accounted for </w:t>
      </w:r>
      <w:r w:rsidR="00350406">
        <w:rPr>
          <w:lang w:eastAsia="en-US"/>
        </w:rPr>
        <w:t xml:space="preserve">just </w:t>
      </w:r>
      <w:proofErr w:type="gramStart"/>
      <w:r w:rsidR="00350406">
        <w:rPr>
          <w:lang w:eastAsia="en-US"/>
        </w:rPr>
        <w:t>under</w:t>
      </w:r>
      <w:proofErr w:type="gramEnd"/>
      <w:r w:rsidR="00350406" w:rsidRPr="00DF38B2">
        <w:rPr>
          <w:lang w:eastAsia="en-US"/>
        </w:rPr>
        <w:t xml:space="preserve"> </w:t>
      </w:r>
      <w:r w:rsidRPr="00DF38B2">
        <w:rPr>
          <w:lang w:eastAsia="en-US"/>
        </w:rPr>
        <w:t xml:space="preserve">20 per </w:t>
      </w:r>
      <w:r w:rsidRPr="00DF38B2">
        <w:t>cent</w:t>
      </w:r>
      <w:r w:rsidR="00A87530">
        <w:t>,</w:t>
      </w:r>
      <w:r w:rsidRPr="00DF38B2">
        <w:rPr>
          <w:lang w:eastAsia="en-US"/>
        </w:rPr>
        <w:t xml:space="preserve"> with </w:t>
      </w:r>
      <w:r w:rsidR="00A87530">
        <w:rPr>
          <w:lang w:eastAsia="en-US"/>
        </w:rPr>
        <w:t xml:space="preserve">one to three </w:t>
      </w:r>
      <w:r w:rsidRPr="00DF38B2">
        <w:rPr>
          <w:lang w:eastAsia="en-US"/>
        </w:rPr>
        <w:t xml:space="preserve">per cent on a range of other benefits, as indicated in </w:t>
      </w:r>
      <w:r w:rsidRPr="00DF38B2">
        <w:rPr>
          <w:lang w:eastAsia="en-US"/>
        </w:rPr>
        <w:fldChar w:fldCharType="begin"/>
      </w:r>
      <w:r w:rsidRPr="00DF38B2">
        <w:rPr>
          <w:lang w:eastAsia="en-US"/>
        </w:rPr>
        <w:instrText xml:space="preserve"> REF _Ref385426620 \h </w:instrText>
      </w:r>
      <w:r w:rsidRPr="00DF38B2">
        <w:rPr>
          <w:lang w:eastAsia="en-US"/>
        </w:rPr>
      </w:r>
      <w:r w:rsidRPr="00DF38B2">
        <w:rPr>
          <w:lang w:eastAsia="en-US"/>
        </w:rPr>
        <w:fldChar w:fldCharType="separate"/>
      </w:r>
      <w:r w:rsidR="00906D13" w:rsidRPr="00DF38B2">
        <w:rPr>
          <w:rFonts w:eastAsiaTheme="minorHAnsi"/>
          <w:lang w:eastAsia="en-US"/>
        </w:rPr>
        <w:t xml:space="preserve">Figure </w:t>
      </w:r>
      <w:r w:rsidR="00906D13">
        <w:rPr>
          <w:rFonts w:eastAsiaTheme="minorHAnsi"/>
          <w:noProof/>
          <w:lang w:eastAsia="en-US"/>
        </w:rPr>
        <w:t>12</w:t>
      </w:r>
      <w:r w:rsidR="00906D13" w:rsidRPr="00DF38B2">
        <w:rPr>
          <w:rFonts w:eastAsiaTheme="minorHAnsi"/>
          <w:lang w:eastAsia="en-US"/>
        </w:rPr>
        <w:noBreakHyphen/>
      </w:r>
      <w:r w:rsidR="00906D13">
        <w:rPr>
          <w:rFonts w:eastAsiaTheme="minorHAnsi"/>
          <w:noProof/>
          <w:lang w:eastAsia="en-US"/>
        </w:rPr>
        <w:t>4</w:t>
      </w:r>
      <w:r w:rsidRPr="00DF38B2">
        <w:rPr>
          <w:lang w:eastAsia="en-US"/>
        </w:rPr>
        <w:fldChar w:fldCharType="end"/>
      </w:r>
      <w:r w:rsidRPr="00DF38B2">
        <w:rPr>
          <w:lang w:eastAsia="en-US"/>
        </w:rPr>
        <w:t>.</w:t>
      </w:r>
    </w:p>
    <w:p w:rsidR="00417B51" w:rsidRPr="00DF38B2" w:rsidRDefault="00417B51" w:rsidP="006654AE">
      <w:pPr>
        <w:pStyle w:val="Caption"/>
        <w:rPr>
          <w:rFonts w:eastAsiaTheme="minorHAnsi"/>
          <w:lang w:eastAsia="en-US"/>
        </w:rPr>
      </w:pPr>
      <w:bookmarkStart w:id="623" w:name="_Ref385426620"/>
      <w:bookmarkStart w:id="624" w:name="_Toc403739588"/>
      <w:r w:rsidRPr="00DF38B2">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4</w:t>
      </w:r>
      <w:r w:rsidRPr="00F157EE">
        <w:rPr>
          <w:rFonts w:eastAsiaTheme="minorHAnsi"/>
          <w:lang w:eastAsia="en-US"/>
        </w:rPr>
        <w:fldChar w:fldCharType="end"/>
      </w:r>
      <w:bookmarkEnd w:id="623"/>
      <w:r w:rsidRPr="00DF38B2">
        <w:rPr>
          <w:rFonts w:eastAsiaTheme="minorHAnsi"/>
          <w:lang w:eastAsia="en-US"/>
        </w:rPr>
        <w:t xml:space="preserve"> </w:t>
      </w:r>
      <w:r w:rsidR="003F73A8">
        <w:rPr>
          <w:rFonts w:eastAsiaTheme="minorHAnsi"/>
          <w:lang w:eastAsia="en-US"/>
        </w:rPr>
        <w:t>Income support payment</w:t>
      </w:r>
      <w:r w:rsidRPr="00DF38B2">
        <w:rPr>
          <w:rFonts w:eastAsiaTheme="minorHAnsi"/>
          <w:lang w:eastAsia="en-US"/>
        </w:rPr>
        <w:t xml:space="preserve"> type of people on assessed Vulnerable Income Management</w:t>
      </w:r>
      <w:r w:rsidR="00395990">
        <w:rPr>
          <w:rFonts w:eastAsiaTheme="minorHAnsi"/>
          <w:lang w:eastAsia="en-US"/>
        </w:rPr>
        <w:t xml:space="preserve"> in the Northern Territory</w:t>
      </w:r>
      <w:r w:rsidR="003F73A8">
        <w:rPr>
          <w:rFonts w:eastAsiaTheme="minorHAnsi"/>
          <w:lang w:eastAsia="en-US"/>
        </w:rPr>
        <w:t xml:space="preserve">, </w:t>
      </w:r>
      <w:r w:rsidR="003F73A8" w:rsidRPr="00DF38B2">
        <w:rPr>
          <w:rFonts w:eastAsiaTheme="minorHAnsi"/>
          <w:lang w:eastAsia="en-US"/>
        </w:rPr>
        <w:t>September</w:t>
      </w:r>
      <w:r w:rsidR="003F73A8">
        <w:rPr>
          <w:rFonts w:eastAsiaTheme="minorHAnsi"/>
          <w:lang w:eastAsia="en-US"/>
        </w:rPr>
        <w:t> </w:t>
      </w:r>
      <w:r w:rsidR="003F73A8" w:rsidRPr="00DF38B2">
        <w:rPr>
          <w:rFonts w:eastAsiaTheme="minorHAnsi"/>
          <w:lang w:eastAsia="en-US"/>
        </w:rPr>
        <w:t>2010 to December 2013</w:t>
      </w:r>
      <w:bookmarkEnd w:id="624"/>
    </w:p>
    <w:p w:rsidR="00417B51" w:rsidRPr="00DF38B2" w:rsidRDefault="00417B51" w:rsidP="006654AE">
      <w:pPr>
        <w:pStyle w:val="graphicpaste"/>
        <w:rPr>
          <w:rFonts w:eastAsiaTheme="minorHAnsi"/>
          <w:szCs w:val="16"/>
          <w:lang w:eastAsia="en-US"/>
        </w:rPr>
      </w:pPr>
      <w:r w:rsidRPr="008E4D9D">
        <w:rPr>
          <w:noProof/>
        </w:rPr>
        <w:drawing>
          <wp:inline distT="0" distB="0" distL="0" distR="0" wp14:anchorId="236DEEBF" wp14:editId="4B6CCFE8">
            <wp:extent cx="4572000" cy="2743200"/>
            <wp:effectExtent l="0" t="0" r="0" b="0"/>
            <wp:docPr id="133" name="Picture 133" descr="This is a stacked area chart showing the income support payment received by people on this measure over time.  3 types of income support are plotted: Disability Support Pension, Age Pension and other payments. The main characteristics highlighted in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rPr>
          <w:lang w:eastAsia="en-US"/>
        </w:rPr>
      </w:pPr>
      <w:r w:rsidRPr="00FE502F">
        <w:rPr>
          <w:lang w:eastAsia="en-US"/>
        </w:rPr>
        <w:t>Source:</w:t>
      </w:r>
      <w:r w:rsidR="00305D80">
        <w:rPr>
          <w:lang w:eastAsia="en-US"/>
        </w:rPr>
        <w:tab/>
        <w:t>Derived from DHS administrative</w:t>
      </w:r>
      <w:r w:rsidRPr="00FE502F">
        <w:rPr>
          <w:lang w:eastAsia="en-US"/>
        </w:rPr>
        <w:t xml:space="preserve"> </w:t>
      </w:r>
      <w:r w:rsidR="00A8053C" w:rsidRPr="00FE502F">
        <w:rPr>
          <w:lang w:eastAsia="en-US"/>
        </w:rPr>
        <w:t>data</w:t>
      </w:r>
      <w:r w:rsidR="003F73A8" w:rsidRPr="003F73A8">
        <w:rPr>
          <w:rFonts w:eastAsiaTheme="minorHAnsi"/>
          <w:lang w:eastAsia="en-US"/>
        </w:rPr>
        <w:t xml:space="preserve"> </w:t>
      </w:r>
      <w:r w:rsidR="003F73A8">
        <w:rPr>
          <w:rFonts w:eastAsiaTheme="minorHAnsi"/>
          <w:lang w:eastAsia="en-US"/>
        </w:rPr>
        <w:t>provided for the purposes of the evaluation</w:t>
      </w:r>
      <w:r w:rsidR="00B01EB2">
        <w:rPr>
          <w:lang w:eastAsia="en-US"/>
        </w:rPr>
        <w:t>.</w:t>
      </w:r>
    </w:p>
    <w:p w:rsidR="00FE1A6A" w:rsidRPr="00FE502F" w:rsidRDefault="00FE1A6A" w:rsidP="006654AE">
      <w:pPr>
        <w:pStyle w:val="tablefootnoteslastline"/>
      </w:pPr>
    </w:p>
    <w:p w:rsidR="00417B51" w:rsidRPr="009655C3" w:rsidRDefault="00417B51" w:rsidP="006654AE">
      <w:pPr>
        <w:pStyle w:val="Heading3"/>
      </w:pPr>
      <w:bookmarkStart w:id="625" w:name="_Toc403739138"/>
      <w:r w:rsidRPr="001D25DF">
        <w:t>Targeting</w:t>
      </w:r>
      <w:bookmarkEnd w:id="625"/>
      <w:r w:rsidRPr="009655C3">
        <w:t xml:space="preserve"> </w:t>
      </w:r>
    </w:p>
    <w:p w:rsidR="00417B51" w:rsidRPr="00DF38B2" w:rsidRDefault="00417B51" w:rsidP="006654AE">
      <w:r w:rsidRPr="00DF38B2">
        <w:t xml:space="preserve">The assessed Vulnerable Income Management measure was designed to provide </w:t>
      </w:r>
      <w:r w:rsidR="00060511">
        <w:t>DHS</w:t>
      </w:r>
      <w:r w:rsidRPr="00DF38B2">
        <w:t xml:space="preserve"> social workers with an additional tool to help individuals who were vulnerable and/or at risk</w:t>
      </w:r>
      <w:r w:rsidR="00A87530">
        <w:t>; f</w:t>
      </w:r>
      <w:r w:rsidRPr="00DF38B2">
        <w:t>or example, individuals on a</w:t>
      </w:r>
      <w:r w:rsidR="00A87530">
        <w:t>n</w:t>
      </w:r>
      <w:r w:rsidRPr="00DF38B2">
        <w:t xml:space="preserve"> Age Pension or Disability Support Pension who were subject to financial harassment, or who have impaired capacity to manage their finances. </w:t>
      </w:r>
    </w:p>
    <w:p w:rsidR="00417B51" w:rsidRPr="00DF38B2" w:rsidRDefault="00417B51" w:rsidP="006654AE">
      <w:r w:rsidRPr="00DF38B2">
        <w:t xml:space="preserve">The review of the 30 Vulnerable Income Management social work assessment reports revealed that of the 30 people in the sample, 23 had either mental illness or disability, with four people experiencing both. People with disability (n=19) were commonly described as having an intellectual disability (n=16), although </w:t>
      </w:r>
      <w:r w:rsidRPr="00DF38B2">
        <w:lastRenderedPageBreak/>
        <w:t xml:space="preserve">some also had physical disabilities (n=9). There were also five people who had issues related to aging, such as physical frailty or cognitive decline, which resulted in them being classified as vulnerable. A high proportion of people experienced substance abuse issues (n=21). These factors regularly made people more susceptible to financial harassment and exploitation, and reduced self-care, even with the introduction of income management. </w:t>
      </w:r>
    </w:p>
    <w:p w:rsidR="00417B51" w:rsidRPr="00DF38B2" w:rsidRDefault="00417B51" w:rsidP="006654AE">
      <w:r w:rsidRPr="00DF38B2">
        <w:t xml:space="preserve">The measure was commonly described in the focus group interviews and in the assessment reports as a </w:t>
      </w:r>
      <w:r w:rsidR="00A87530">
        <w:t>“</w:t>
      </w:r>
      <w:r w:rsidRPr="00DF38B2">
        <w:t>harm minimisation measure</w:t>
      </w:r>
      <w:r w:rsidR="00A87530">
        <w:t>”</w:t>
      </w:r>
      <w:r w:rsidRPr="00DF38B2">
        <w:t xml:space="preserve"> that ensured people had money available to meet their most basic needs such as food and shelter. People subject to the Vulnerable Income Management measure were described by social workers as being </w:t>
      </w:r>
      <w:r w:rsidR="00A87530">
        <w:t>“</w:t>
      </w:r>
      <w:r w:rsidRPr="00DF38B2">
        <w:rPr>
          <w:iCs/>
        </w:rPr>
        <w:t>people without other protections</w:t>
      </w:r>
      <w:r w:rsidR="00A87530">
        <w:rPr>
          <w:iCs/>
        </w:rPr>
        <w:t>”</w:t>
      </w:r>
      <w:r w:rsidRPr="00DF38B2">
        <w:t xml:space="preserve"> and </w:t>
      </w:r>
      <w:r w:rsidR="00A87530">
        <w:t xml:space="preserve">as </w:t>
      </w:r>
      <w:r w:rsidRPr="00DF38B2">
        <w:t>a group which:</w:t>
      </w:r>
    </w:p>
    <w:p w:rsidR="00417B51" w:rsidRPr="00DF38B2" w:rsidRDefault="00417B51" w:rsidP="006654AE">
      <w:pPr>
        <w:pStyle w:val="Quote2"/>
        <w:rPr>
          <w:iCs/>
        </w:rPr>
      </w:pPr>
      <w:r w:rsidRPr="00DF38B2">
        <w:t>…</w:t>
      </w:r>
      <w:r w:rsidR="00A87530">
        <w:t xml:space="preserve"> </w:t>
      </w:r>
      <w:proofErr w:type="gramStart"/>
      <w:r w:rsidRPr="00DF38B2">
        <w:t>falls</w:t>
      </w:r>
      <w:proofErr w:type="gramEnd"/>
      <w:r w:rsidRPr="00DF38B2">
        <w:t xml:space="preserve"> through the gaps in the other service system</w:t>
      </w:r>
      <w:r w:rsidR="00A87530">
        <w:t xml:space="preserve"> </w:t>
      </w:r>
      <w:r w:rsidRPr="00DF38B2">
        <w:t>… and because they are people with diminished capacity they are vulnerable to exploitation. (</w:t>
      </w:r>
      <w:r w:rsidR="00060511">
        <w:t>DHS</w:t>
      </w:r>
      <w:r w:rsidRPr="00DF38B2">
        <w:t xml:space="preserve"> Social Worker)</w:t>
      </w:r>
    </w:p>
    <w:p w:rsidR="00417B51" w:rsidRPr="00DF38B2" w:rsidRDefault="00417B51" w:rsidP="006654AE">
      <w:pPr>
        <w:pStyle w:val="Heading3"/>
      </w:pPr>
      <w:bookmarkStart w:id="626" w:name="_Toc403739139"/>
      <w:r w:rsidRPr="00DF38B2">
        <w:t>Changes in decision-making practice since Stage One of the evaluation</w:t>
      </w:r>
      <w:bookmarkEnd w:id="626"/>
    </w:p>
    <w:p w:rsidR="00417B51" w:rsidRPr="009655C3" w:rsidRDefault="00417B51" w:rsidP="006654AE">
      <w:r w:rsidRPr="00DF38B2">
        <w:t xml:space="preserve">Within the focus groups there was a clear shift in the description of how the Vulnerable Income Management measure was being implemented compared with the description provided in interviews during the first stage of the evaluation </w:t>
      </w:r>
      <w:r w:rsidRPr="00FE502F">
        <w:fldChar w:fldCharType="begin"/>
      </w:r>
      <w:r w:rsidRPr="00DF38B2">
        <w:instrText xml:space="preserve"> ADDIN EN.CITE &lt;EndNote&gt;&lt;Cite&gt;&lt;Author&gt;Bray&lt;/Author&gt;&lt;Year&gt;2012&lt;/Year&gt;&lt;RecNum&gt;57&lt;/RecNum&gt;&lt;DisplayText&gt;(Bray, Gray et al. 2012)&lt;/DisplayText&gt;&lt;record&gt;&lt;rec-number&gt;57&lt;/rec-number&gt;&lt;foreign-keys&gt;&lt;key app="EN" db-id="zpa55de51tspetevspaxav03d2vzxrstpw2v"&gt;57&lt;/key&gt;&lt;/foreign-keys&gt;&lt;ref-type name="Report"&gt;27&lt;/ref-type&gt;&lt;contributors&gt;&lt;authors&gt;&lt;author&gt;Bray, J R., &lt;/author&gt;&lt;author&gt;Gray, M,  &lt;/author&gt;&lt;author&gt;Hand, K., &lt;/author&gt;&lt;author&gt;Bradbury, B., &lt;/author&gt;&lt;author&gt;Eastman, C. &lt;/author&gt;&lt;author&gt;Katz, I. &lt;/author&gt;&lt;/authors&gt;&lt;/contributors&gt;&lt;titles&gt;&lt;title&gt;Evaluating New Income Management in the Northern Territory: First Evaluation Report&lt;/title&gt;&lt;/titles&gt;&lt;dates&gt;&lt;year&gt;2012&lt;/year&gt;&lt;/dates&gt;&lt;pub-location&gt;Canberra&lt;/pub-location&gt;&lt;publisher&gt;Department of Families, Housing, Community Services and Indigenous Affairs &lt;/publisher&gt;&lt;urls&gt;&lt;related-urls&gt;&lt;url&gt;http://www.fahcsia.gov.au/sites/default/files/documents/11_2012/nim_first_evaluation_report.pdf &lt;/url&gt;&lt;/related-urls&gt;&lt;/urls&gt;&lt;/record&gt;&lt;/Cite&gt;&lt;/EndNote&gt;</w:instrText>
      </w:r>
      <w:r w:rsidRPr="00FE502F">
        <w:fldChar w:fldCharType="separate"/>
      </w:r>
      <w:r w:rsidRPr="00FE502F">
        <w:t>(</w:t>
      </w:r>
      <w:hyperlink w:anchor="_ENREF_1" w:tooltip="Bray, 2012 #57" w:history="1">
        <w:r w:rsidR="00461D2F">
          <w:t>Bray</w:t>
        </w:r>
        <w:r w:rsidRPr="009655C3">
          <w:t xml:space="preserve"> et al.</w:t>
        </w:r>
        <w:r w:rsidR="00A87530">
          <w:t>,</w:t>
        </w:r>
        <w:r w:rsidRPr="009655C3">
          <w:t xml:space="preserve"> 2012</w:t>
        </w:r>
      </w:hyperlink>
      <w:r w:rsidRPr="00FE502F">
        <w:t>)</w:t>
      </w:r>
      <w:r w:rsidRPr="00FE502F">
        <w:fldChar w:fldCharType="end"/>
      </w:r>
      <w:r w:rsidR="00A1421A">
        <w:t xml:space="preserve">. </w:t>
      </w:r>
      <w:r w:rsidRPr="00DF38B2">
        <w:t>In particular, social workers described a change in their decision-making process</w:t>
      </w:r>
      <w:r w:rsidR="00A1421A">
        <w:t xml:space="preserve">. </w:t>
      </w:r>
      <w:r w:rsidRPr="00DF38B2">
        <w:t>In the first stage interviews, many social workers had expressed a preference for people to choose Voluntary</w:t>
      </w:r>
      <w:r w:rsidRPr="00FE502F">
        <w:t xml:space="preserve"> Income Management rather than being placed on Vulnerable Income Management, as the voluntary measure was perceived to enable the person to have a greater sense of control over their lives. Participants in the focus groups</w:t>
      </w:r>
      <w:r w:rsidRPr="009655C3">
        <w:t xml:space="preserve"> in Stage 2 of the evaluation also reflected on this change in approach. As one participant explained</w:t>
      </w:r>
      <w:r w:rsidR="0002698C">
        <w:t>:</w:t>
      </w:r>
    </w:p>
    <w:p w:rsidR="00417B51" w:rsidRPr="009655C3" w:rsidRDefault="00417B51" w:rsidP="006654AE">
      <w:pPr>
        <w:pStyle w:val="Quote2"/>
      </w:pPr>
      <w:r w:rsidRPr="009655C3">
        <w:t>Initially if someone chose to go on Voluntary Income Management we saw them as demonstrating skills to meet their priority needs</w:t>
      </w:r>
      <w:r w:rsidR="00A87530">
        <w:t>,</w:t>
      </w:r>
      <w:r w:rsidRPr="009655C3">
        <w:t xml:space="preserve"> so they didn’t need the vulnerable measure. (</w:t>
      </w:r>
      <w:r w:rsidR="00060511">
        <w:t>DHS</w:t>
      </w:r>
      <w:r w:rsidRPr="009655C3">
        <w:t xml:space="preserve"> Social Worker)</w:t>
      </w:r>
    </w:p>
    <w:p w:rsidR="00417B51" w:rsidRPr="00DF38B2" w:rsidRDefault="00417B51" w:rsidP="006654AE">
      <w:r w:rsidRPr="00DF38B2">
        <w:t>However, social workers in the second stage reported that people had tended to come off Voluntary Income Management at high rates when, in the social workers’ view</w:t>
      </w:r>
      <w:r w:rsidR="00A87530">
        <w:t>s</w:t>
      </w:r>
      <w:r w:rsidRPr="00DF38B2">
        <w:t>, many continued to require income management</w:t>
      </w:r>
      <w:r w:rsidR="00A1421A">
        <w:t xml:space="preserve">. </w:t>
      </w:r>
      <w:r w:rsidRPr="00DF38B2">
        <w:t xml:space="preserve">As reported above, the Ombudsman’s review in mid-2012 led to the development of revised guidelines for social workers on recording assessments. The guidelines provided advice to social workers on how </w:t>
      </w:r>
      <w:r w:rsidR="00A87530">
        <w:t>they could</w:t>
      </w:r>
      <w:r w:rsidRPr="00DF38B2">
        <w:t xml:space="preserve"> </w:t>
      </w:r>
      <w:r w:rsidRPr="00DF38B2">
        <w:rPr>
          <w:iCs/>
        </w:rPr>
        <w:t>‘better use the voluntary and vulnerable measures’ (</w:t>
      </w:r>
      <w:r w:rsidR="00060511">
        <w:rPr>
          <w:iCs/>
        </w:rPr>
        <w:t>DHS</w:t>
      </w:r>
      <w:r w:rsidRPr="00DF38B2">
        <w:rPr>
          <w:iCs/>
        </w:rPr>
        <w:t xml:space="preserve"> Social Worker)</w:t>
      </w:r>
      <w:r w:rsidRPr="00DF38B2">
        <w:t xml:space="preserve">. The guidelines reiterated the policy that if a person met the defined criteria for vulnerability, they should be placed on Vulnerable Income Management, regardless of whether or not they volunteered for income management, but that if a person is already on income management, then they are not required to be assessed for Vulnerable Income Management. Most focus group participants viewed the tightening of guidelines around assessment as a positive change, although this was not a universal perspective. Some social workers still felt that best practice should involve giving people the chance to make changes voluntarily through going on to Voluntary Income Management. </w:t>
      </w:r>
    </w:p>
    <w:p w:rsidR="00417B51" w:rsidRPr="00DF38B2" w:rsidRDefault="00417B51" w:rsidP="006654AE">
      <w:r w:rsidRPr="00DF38B2">
        <w:t xml:space="preserve">Another area of change in practice </w:t>
      </w:r>
      <w:proofErr w:type="gramStart"/>
      <w:r w:rsidRPr="00DF38B2">
        <w:t>raised</w:t>
      </w:r>
      <w:proofErr w:type="gramEnd"/>
      <w:r w:rsidRPr="00DF38B2">
        <w:t xml:space="preserve"> during the focus groups related to contacting third parties during the assessment or review process for Vulnerable Income Management</w:t>
      </w:r>
      <w:r w:rsidR="00A1421A">
        <w:t xml:space="preserve">. </w:t>
      </w:r>
      <w:r w:rsidRPr="00DF38B2">
        <w:t xml:space="preserve">Social workers reported that it was now deemed acceptable to contact a third party without the </w:t>
      </w:r>
      <w:r w:rsidR="00EA06AA" w:rsidRPr="00DF38B2">
        <w:t xml:space="preserve">consent </w:t>
      </w:r>
      <w:r w:rsidR="00EA06AA">
        <w:t xml:space="preserve">of the </w:t>
      </w:r>
      <w:r w:rsidRPr="00DF38B2">
        <w:t xml:space="preserve">person who is being assessed when information was required for the purposes of assessment or review. This was seen as a particularly important development in the context of the Northern Territory where many of the people subject to Vulnerable Income Management were difficult to locate for the purposes of assessment and review. </w:t>
      </w:r>
    </w:p>
    <w:p w:rsidR="00417B51" w:rsidRPr="00DF38B2" w:rsidRDefault="00417B51" w:rsidP="006654AE">
      <w:pPr>
        <w:pStyle w:val="Heading3"/>
      </w:pPr>
      <w:bookmarkStart w:id="627" w:name="_Toc403739140"/>
      <w:r w:rsidRPr="00DF38B2">
        <w:t>Sources of referrals for Vulnerable Income Management</w:t>
      </w:r>
      <w:bookmarkEnd w:id="627"/>
    </w:p>
    <w:p w:rsidR="00417B51" w:rsidRPr="00DF38B2" w:rsidRDefault="00417B51" w:rsidP="006654AE">
      <w:r w:rsidRPr="00DF38B2">
        <w:t xml:space="preserve">Referrals were reported during the focus groups to primarily come from within the </w:t>
      </w:r>
      <w:r w:rsidR="00060511">
        <w:t>DHS</w:t>
      </w:r>
      <w:r w:rsidRPr="00DF38B2">
        <w:t xml:space="preserve"> through the Customer Service Officers</w:t>
      </w:r>
      <w:r w:rsidR="00A1421A">
        <w:t xml:space="preserve">. </w:t>
      </w:r>
      <w:r w:rsidRPr="00DF38B2">
        <w:t xml:space="preserve">Many of the social workers participating in the focus groups noted that Customer Service Officers tended not to refer people already on other compulsory income management measures. In addition, referrals could also be received from third parties, such as aged care facilities and community stores, and from other social workers within the </w:t>
      </w:r>
      <w:r w:rsidR="00060511">
        <w:t>DHS</w:t>
      </w:r>
      <w:r w:rsidRPr="00DF38B2">
        <w:t xml:space="preserve">. Participants in the focus groups felt that most of the people referred were people who displayed clear signs of being vulnerable: </w:t>
      </w:r>
    </w:p>
    <w:p w:rsidR="00417B51" w:rsidRPr="00DF38B2" w:rsidRDefault="00417B51" w:rsidP="006654AE">
      <w:pPr>
        <w:pStyle w:val="Quote2"/>
      </w:pPr>
      <w:r w:rsidRPr="00DF38B2">
        <w:lastRenderedPageBreak/>
        <w:t>The vulnerabilities are visually apparent when people are referred and are instantly recognisable. Where people are less visibly vulnerable they are not being referred. (</w:t>
      </w:r>
      <w:r w:rsidR="00060511">
        <w:t>DHS</w:t>
      </w:r>
      <w:r w:rsidRPr="00DF38B2">
        <w:t xml:space="preserve"> Social Worker)</w:t>
      </w:r>
    </w:p>
    <w:p w:rsidR="00417B51" w:rsidRPr="00DF38B2" w:rsidRDefault="00417B51" w:rsidP="006654AE">
      <w:pPr>
        <w:pStyle w:val="Quote2"/>
      </w:pPr>
      <w:r w:rsidRPr="00DF38B2">
        <w:t>The main trigger for local staff is someone always coming in and asking for food because they are hungry. (</w:t>
      </w:r>
      <w:r w:rsidR="00060511">
        <w:t>DHS</w:t>
      </w:r>
      <w:r w:rsidRPr="00DF38B2">
        <w:t xml:space="preserve"> Social Worker)</w:t>
      </w:r>
    </w:p>
    <w:p w:rsidR="00417B51" w:rsidRPr="00DF38B2" w:rsidRDefault="00417B51" w:rsidP="006654AE">
      <w:r w:rsidRPr="00DF38B2">
        <w:t>At the time of the focus groups (late 2013), there was also a sense that most of the people who were suitable for the vulnerable measure had been identified and much of the work had shifted to reviews rather than new assessments</w:t>
      </w:r>
      <w:r w:rsidR="00EA06AA">
        <w:t>:</w:t>
      </w:r>
    </w:p>
    <w:p w:rsidR="00417B51" w:rsidRPr="00DF38B2" w:rsidRDefault="00417B51" w:rsidP="006654AE">
      <w:pPr>
        <w:pStyle w:val="Quote2"/>
      </w:pPr>
      <w:r w:rsidRPr="00DF38B2">
        <w:t xml:space="preserve">We are seeing fewer people who have never been on the Vulnerable Welfare Payment Recipient measure – there is more of a focus on reassessment </w:t>
      </w:r>
      <w:r w:rsidR="00EA06AA">
        <w:t>…</w:t>
      </w:r>
      <w:r w:rsidRPr="00DF38B2">
        <w:t xml:space="preserve"> most new Vulnerable Welfare Payment Recipient clients are moving from Voluntary Income Management</w:t>
      </w:r>
      <w:r w:rsidR="005D50A5">
        <w:t>.</w:t>
      </w:r>
      <w:r w:rsidRPr="00DF38B2">
        <w:t xml:space="preserve"> (</w:t>
      </w:r>
      <w:r w:rsidR="00060511">
        <w:t>DHS</w:t>
      </w:r>
      <w:r w:rsidRPr="00DF38B2">
        <w:t xml:space="preserve"> Social Worker)</w:t>
      </w:r>
    </w:p>
    <w:p w:rsidR="00417B51" w:rsidRPr="00DF38B2" w:rsidRDefault="00417B51" w:rsidP="006654AE">
      <w:r w:rsidRPr="00DF38B2">
        <w:t>However, it was also acknowledged that the presence of both Compulsory Income Management and Voluntary Income Management in the Northern Territory was likely to impact the rates of referrals to Vulnerable Income Management</w:t>
      </w:r>
      <w:r w:rsidR="00EA06AA">
        <w:t>,</w:t>
      </w:r>
      <w:r w:rsidRPr="00DF38B2">
        <w:t xml:space="preserve"> with more people likely to be suitable for the measure than those referred</w:t>
      </w:r>
      <w:r w:rsidR="00A1421A">
        <w:t xml:space="preserve">. </w:t>
      </w:r>
      <w:r w:rsidRPr="00DF38B2">
        <w:t>This is especially the case because those on other income measures are not required to be assessed for Vulnerable Income Management, even if they appear to meet the criteria</w:t>
      </w:r>
      <w:r w:rsidR="00EA06AA">
        <w:t>:</w:t>
      </w:r>
    </w:p>
    <w:p w:rsidR="00417B51" w:rsidRPr="00DF38B2" w:rsidRDefault="00417B51" w:rsidP="006654AE">
      <w:pPr>
        <w:pStyle w:val="Quote2"/>
      </w:pPr>
      <w:r w:rsidRPr="00DF38B2">
        <w:t>It [Compulsory Income Management] obviates the need. It masks and hides it. So does Voluntary Income Management. Any income management measure takes people off the radar</w:t>
      </w:r>
      <w:r w:rsidR="005D50A5">
        <w:t>.</w:t>
      </w:r>
      <w:r w:rsidRPr="00DF38B2">
        <w:t xml:space="preserve"> (</w:t>
      </w:r>
      <w:r w:rsidR="00060511">
        <w:t>DHS</w:t>
      </w:r>
      <w:r w:rsidRPr="00DF38B2">
        <w:t xml:space="preserve"> Social Worker)</w:t>
      </w:r>
    </w:p>
    <w:p w:rsidR="00417B51" w:rsidRPr="00DF38B2" w:rsidRDefault="00417B51" w:rsidP="006654AE">
      <w:pPr>
        <w:pStyle w:val="Heading3"/>
      </w:pPr>
      <w:bookmarkStart w:id="628" w:name="_Toc403739141"/>
      <w:r w:rsidRPr="00DF38B2">
        <w:t>Assessment and review processes</w:t>
      </w:r>
      <w:bookmarkEnd w:id="628"/>
    </w:p>
    <w:p w:rsidR="00417B51" w:rsidRPr="00DF38B2" w:rsidRDefault="00417B51" w:rsidP="006654AE">
      <w:pPr>
        <w:rPr>
          <w:szCs w:val="19"/>
        </w:rPr>
      </w:pPr>
      <w:r w:rsidRPr="00DF38B2">
        <w:t xml:space="preserve">Being placed on this form of income management requires an assessment of vulnerability by </w:t>
      </w:r>
      <w:r w:rsidR="00EA06AA">
        <w:t xml:space="preserve">a </w:t>
      </w:r>
      <w:r w:rsidR="00060511">
        <w:t>DHS</w:t>
      </w:r>
      <w:r w:rsidRPr="00DF38B2">
        <w:t xml:space="preserve"> social worker. Social workers are required by the </w:t>
      </w:r>
      <w:r w:rsidRPr="00DF38B2">
        <w:rPr>
          <w:i/>
          <w:szCs w:val="19"/>
        </w:rPr>
        <w:t>Social Security (Administration) Act 1999 (</w:t>
      </w:r>
      <w:proofErr w:type="spellStart"/>
      <w:r w:rsidRPr="00DF38B2">
        <w:rPr>
          <w:i/>
          <w:szCs w:val="19"/>
        </w:rPr>
        <w:t>Cwlth</w:t>
      </w:r>
      <w:proofErr w:type="spellEnd"/>
      <w:r w:rsidRPr="00DF38B2">
        <w:rPr>
          <w:i/>
          <w:szCs w:val="19"/>
        </w:rPr>
        <w:t>)</w:t>
      </w:r>
      <w:r w:rsidRPr="00DF38B2">
        <w:rPr>
          <w:szCs w:val="19"/>
        </w:rPr>
        <w:t xml:space="preserve"> to determine whether a person is eligible for Vulnerable Income Management based on set criteria as outlined in Chapter 2</w:t>
      </w:r>
      <w:r w:rsidR="00A1421A">
        <w:rPr>
          <w:szCs w:val="19"/>
        </w:rPr>
        <w:t xml:space="preserve">. </w:t>
      </w:r>
      <w:r w:rsidRPr="00DF38B2">
        <w:rPr>
          <w:szCs w:val="19"/>
        </w:rPr>
        <w:t>This includes considering whether a person is experiencing one of four specified indicators of vulnerability: financial hardship; financial exploitation; failure to take reasonable self</w:t>
      </w:r>
      <w:r w:rsidR="00EA06AA">
        <w:rPr>
          <w:szCs w:val="19"/>
        </w:rPr>
        <w:t>-</w:t>
      </w:r>
      <w:r w:rsidRPr="00DF38B2">
        <w:rPr>
          <w:szCs w:val="19"/>
        </w:rPr>
        <w:t xml:space="preserve">care; and homelessness or risk of homelessness. </w:t>
      </w:r>
    </w:p>
    <w:p w:rsidR="00417B51" w:rsidRPr="009655C3" w:rsidRDefault="00417B51" w:rsidP="006654AE">
      <w:r w:rsidRPr="00DF38B2">
        <w:t xml:space="preserve">The review of the 30 </w:t>
      </w:r>
      <w:r w:rsidR="00060511">
        <w:t>DHS</w:t>
      </w:r>
      <w:r w:rsidRPr="00DF38B2">
        <w:t xml:space="preserve"> social work assessment reports identified which of these indicators were recorded by social workers for assessing people as vulnerable</w:t>
      </w:r>
      <w:r w:rsidR="00A1421A">
        <w:t xml:space="preserve">. </w:t>
      </w:r>
      <w:r w:rsidRPr="00DF38B2">
        <w:t xml:space="preserve">These are outlined in </w:t>
      </w:r>
      <w:r w:rsidR="002604C3" w:rsidRPr="00DF38B2">
        <w:fldChar w:fldCharType="begin"/>
      </w:r>
      <w:r w:rsidR="002604C3" w:rsidRPr="00DF38B2">
        <w:instrText xml:space="preserve"> REF _Ref385406706 \h </w:instrText>
      </w:r>
      <w:r w:rsidR="002604C3" w:rsidRPr="00DF38B2">
        <w:fldChar w:fldCharType="separate"/>
      </w:r>
      <w:r w:rsidR="00906D13" w:rsidRPr="00FE502F">
        <w:rPr>
          <w:rFonts w:eastAsiaTheme="minorHAnsi"/>
          <w:lang w:eastAsia="en-US"/>
        </w:rPr>
        <w:t xml:space="preserve">Figure </w:t>
      </w:r>
      <w:r w:rsidR="00906D13">
        <w:rPr>
          <w:rFonts w:eastAsiaTheme="minorHAnsi"/>
          <w:noProof/>
          <w:lang w:eastAsia="en-US"/>
        </w:rPr>
        <w:t>12</w:t>
      </w:r>
      <w:r w:rsidR="00906D13" w:rsidRPr="00DF38B2">
        <w:rPr>
          <w:rFonts w:eastAsiaTheme="minorHAnsi"/>
          <w:lang w:eastAsia="en-US"/>
        </w:rPr>
        <w:noBreakHyphen/>
      </w:r>
      <w:r w:rsidR="00906D13">
        <w:rPr>
          <w:rFonts w:eastAsiaTheme="minorHAnsi"/>
          <w:noProof/>
          <w:lang w:eastAsia="en-US"/>
        </w:rPr>
        <w:t>3</w:t>
      </w:r>
      <w:r w:rsidR="002604C3" w:rsidRPr="00DF38B2">
        <w:fldChar w:fldCharType="end"/>
      </w:r>
      <w:r w:rsidRPr="00DF38B2">
        <w:t>. Ongoing financial exploitation, difficulties with money management</w:t>
      </w:r>
      <w:r w:rsidR="00EA06AA">
        <w:t>,</w:t>
      </w:r>
      <w:r w:rsidRPr="00DF38B2">
        <w:t xml:space="preserve"> and reduced self-care were the primary reasons cited by social </w:t>
      </w:r>
      <w:r w:rsidRPr="00FE502F">
        <w:t>workers in the reports for a person continuing on the measure. Reduced self-care was mainly, but not always, a result of continued substance abuse. Homelessness or risk of homelessness was present for almost half but was m</w:t>
      </w:r>
      <w:r w:rsidRPr="009655C3">
        <w:t xml:space="preserve">ostly not raised as the primary concern. Continued Vulnerable Income Management was deemed the most appropriate measure in all but two of the assessment reports reviewed, and in those two cases the client was taken off the </w:t>
      </w:r>
      <w:proofErr w:type="gramStart"/>
      <w:r w:rsidRPr="009655C3">
        <w:t>Vulnerable</w:t>
      </w:r>
      <w:proofErr w:type="gramEnd"/>
      <w:r w:rsidRPr="009655C3">
        <w:t xml:space="preserve"> measure because of administrative issues to do with nominee status, not because their vulnerability had diminished. </w:t>
      </w:r>
    </w:p>
    <w:p w:rsidR="00417B51" w:rsidRPr="00DF38B2" w:rsidRDefault="002604C3" w:rsidP="006654AE">
      <w:pPr>
        <w:pStyle w:val="Caption"/>
      </w:pPr>
      <w:bookmarkStart w:id="629" w:name="_Toc403739488"/>
      <w:r w:rsidRPr="00DF38B2">
        <w:t xml:space="preserve">Table </w:t>
      </w:r>
      <w:fldSimple w:instr=" STYLEREF 1 \s ">
        <w:r w:rsidR="00906D13">
          <w:rPr>
            <w:noProof/>
          </w:rPr>
          <w:t>12</w:t>
        </w:r>
      </w:fldSimple>
      <w:r w:rsidR="00D40B64">
        <w:noBreakHyphen/>
      </w:r>
      <w:fldSimple w:instr=" SEQ Table \* ARABIC \s 1 ">
        <w:r w:rsidR="00906D13">
          <w:rPr>
            <w:noProof/>
          </w:rPr>
          <w:t>3</w:t>
        </w:r>
      </w:fldSimple>
      <w:r w:rsidRPr="00DF38B2">
        <w:tab/>
      </w:r>
      <w:r w:rsidR="00417B51" w:rsidRPr="00DF38B2">
        <w:t>Vulnerabilities identified for people subject to assessments as part of the assessment review</w:t>
      </w:r>
      <w:bookmarkEnd w:id="629"/>
    </w:p>
    <w:tbl>
      <w:tblPr>
        <w:tblStyle w:val="TableGrid"/>
        <w:tblW w:w="5921" w:type="dxa"/>
        <w:jc w:val="center"/>
        <w:tblLook w:val="04A0" w:firstRow="1" w:lastRow="0" w:firstColumn="1" w:lastColumn="0" w:noHBand="0" w:noVBand="1"/>
        <w:tblDescription w:val="This table reports that 43.3 per cent had a financial hardship vulnerability, 66.7 per cent were vulnerable to Financial exploitation, half were identified as vulnerable due to a failure to take reasonable self-care and 43.3 per cent because of homeless or risk of homelessness.&#10;&#10;"/>
      </w:tblPr>
      <w:tblGrid>
        <w:gridCol w:w="3369"/>
        <w:gridCol w:w="1134"/>
        <w:gridCol w:w="1418"/>
      </w:tblGrid>
      <w:tr w:rsidR="00417B51" w:rsidRPr="00DF38B2" w:rsidTr="003E68A5">
        <w:trPr>
          <w:trHeight w:val="255"/>
          <w:tblHeader/>
          <w:jc w:val="center"/>
        </w:trPr>
        <w:tc>
          <w:tcPr>
            <w:tcW w:w="3369" w:type="dxa"/>
            <w:tcBorders>
              <w:left w:val="nil"/>
              <w:bottom w:val="single" w:sz="4" w:space="0" w:color="auto"/>
              <w:right w:val="nil"/>
            </w:tcBorders>
            <w:noWrap/>
            <w:hideMark/>
          </w:tcPr>
          <w:p w:rsidR="00417B51" w:rsidRPr="00DF38B2" w:rsidRDefault="00417B51" w:rsidP="006654AE">
            <w:pPr>
              <w:pStyle w:val="tabletextleft"/>
            </w:pPr>
            <w:r w:rsidRPr="00DF38B2">
              <w:t>Identified as vulnerable using DHS criteria</w:t>
            </w:r>
          </w:p>
        </w:tc>
        <w:tc>
          <w:tcPr>
            <w:tcW w:w="1134" w:type="dxa"/>
            <w:tcBorders>
              <w:left w:val="nil"/>
              <w:bottom w:val="single" w:sz="4" w:space="0" w:color="auto"/>
              <w:right w:val="nil"/>
            </w:tcBorders>
          </w:tcPr>
          <w:p w:rsidR="00417B51" w:rsidRPr="00DF38B2" w:rsidRDefault="00417B51" w:rsidP="007F5F9B">
            <w:pPr>
              <w:pStyle w:val="tabletextright"/>
            </w:pPr>
            <w:r w:rsidRPr="00DF38B2">
              <w:t>Response (</w:t>
            </w:r>
            <w:r w:rsidR="007F5F9B">
              <w:t>n</w:t>
            </w:r>
            <w:r w:rsidRPr="00DF38B2">
              <w:t>)</w:t>
            </w:r>
          </w:p>
        </w:tc>
        <w:tc>
          <w:tcPr>
            <w:tcW w:w="1418" w:type="dxa"/>
            <w:tcBorders>
              <w:left w:val="nil"/>
              <w:bottom w:val="single" w:sz="4" w:space="0" w:color="auto"/>
              <w:right w:val="nil"/>
            </w:tcBorders>
            <w:noWrap/>
            <w:hideMark/>
          </w:tcPr>
          <w:p w:rsidR="00417B51" w:rsidRPr="00DF38B2" w:rsidRDefault="00417B51" w:rsidP="007F5F9B">
            <w:pPr>
              <w:pStyle w:val="tabletextright"/>
            </w:pPr>
            <w:r w:rsidRPr="00DF38B2">
              <w:t>Response</w:t>
            </w:r>
            <w:r w:rsidRPr="00DF38B2">
              <w:br/>
              <w:t xml:space="preserve"> </w:t>
            </w:r>
            <w:r w:rsidR="007F5F9B">
              <w:t>(%)</w:t>
            </w:r>
          </w:p>
        </w:tc>
      </w:tr>
      <w:tr w:rsidR="00417B51" w:rsidRPr="00DF38B2" w:rsidTr="00FB0FB9">
        <w:trPr>
          <w:trHeight w:val="255"/>
          <w:jc w:val="center"/>
        </w:trPr>
        <w:tc>
          <w:tcPr>
            <w:tcW w:w="3369" w:type="dxa"/>
            <w:tcBorders>
              <w:left w:val="nil"/>
              <w:bottom w:val="nil"/>
              <w:right w:val="nil"/>
            </w:tcBorders>
            <w:noWrap/>
            <w:hideMark/>
          </w:tcPr>
          <w:p w:rsidR="00417B51" w:rsidRPr="00DF38B2" w:rsidRDefault="00417B51" w:rsidP="006654AE">
            <w:pPr>
              <w:pStyle w:val="tabletextleft"/>
            </w:pPr>
            <w:r w:rsidRPr="00DF38B2">
              <w:t>Financial hardship</w:t>
            </w:r>
          </w:p>
        </w:tc>
        <w:tc>
          <w:tcPr>
            <w:tcW w:w="1134" w:type="dxa"/>
            <w:tcBorders>
              <w:left w:val="nil"/>
              <w:bottom w:val="nil"/>
              <w:right w:val="nil"/>
            </w:tcBorders>
          </w:tcPr>
          <w:p w:rsidR="00417B51" w:rsidRPr="00DF38B2" w:rsidRDefault="00417B51" w:rsidP="006654AE">
            <w:pPr>
              <w:pStyle w:val="tabletextright"/>
            </w:pPr>
            <w:r w:rsidRPr="00DF38B2">
              <w:t>13</w:t>
            </w:r>
          </w:p>
        </w:tc>
        <w:tc>
          <w:tcPr>
            <w:tcW w:w="1418" w:type="dxa"/>
            <w:tcBorders>
              <w:left w:val="nil"/>
              <w:bottom w:val="nil"/>
              <w:right w:val="nil"/>
            </w:tcBorders>
            <w:noWrap/>
            <w:hideMark/>
          </w:tcPr>
          <w:p w:rsidR="00417B51" w:rsidRPr="00DF38B2" w:rsidRDefault="00417B51" w:rsidP="006654AE">
            <w:pPr>
              <w:pStyle w:val="tabletextright"/>
            </w:pPr>
            <w:r w:rsidRPr="00DF38B2">
              <w:t>43.3</w:t>
            </w:r>
          </w:p>
        </w:tc>
      </w:tr>
      <w:tr w:rsidR="00417B51" w:rsidRPr="00DF38B2" w:rsidTr="00FB0FB9">
        <w:trPr>
          <w:trHeight w:val="255"/>
          <w:jc w:val="center"/>
        </w:trPr>
        <w:tc>
          <w:tcPr>
            <w:tcW w:w="3369" w:type="dxa"/>
            <w:tcBorders>
              <w:top w:val="nil"/>
              <w:left w:val="nil"/>
              <w:bottom w:val="nil"/>
              <w:right w:val="nil"/>
            </w:tcBorders>
            <w:noWrap/>
            <w:hideMark/>
          </w:tcPr>
          <w:p w:rsidR="00417B51" w:rsidRPr="00DF38B2" w:rsidRDefault="00417B51" w:rsidP="006654AE">
            <w:pPr>
              <w:pStyle w:val="tabletextleft"/>
            </w:pPr>
            <w:r w:rsidRPr="00DF38B2">
              <w:t>Financial exploitation</w:t>
            </w:r>
          </w:p>
        </w:tc>
        <w:tc>
          <w:tcPr>
            <w:tcW w:w="1134" w:type="dxa"/>
            <w:tcBorders>
              <w:top w:val="nil"/>
              <w:left w:val="nil"/>
              <w:bottom w:val="nil"/>
              <w:right w:val="nil"/>
            </w:tcBorders>
          </w:tcPr>
          <w:p w:rsidR="00417B51" w:rsidRPr="00DF38B2" w:rsidRDefault="00417B51" w:rsidP="006654AE">
            <w:pPr>
              <w:pStyle w:val="tabletextright"/>
            </w:pPr>
            <w:r w:rsidRPr="00DF38B2">
              <w:t>20</w:t>
            </w:r>
          </w:p>
        </w:tc>
        <w:tc>
          <w:tcPr>
            <w:tcW w:w="1418" w:type="dxa"/>
            <w:tcBorders>
              <w:top w:val="nil"/>
              <w:left w:val="nil"/>
              <w:bottom w:val="nil"/>
              <w:right w:val="nil"/>
            </w:tcBorders>
            <w:noWrap/>
            <w:hideMark/>
          </w:tcPr>
          <w:p w:rsidR="00417B51" w:rsidRPr="00DF38B2" w:rsidRDefault="00417B51" w:rsidP="006654AE">
            <w:pPr>
              <w:pStyle w:val="tabletextright"/>
            </w:pPr>
            <w:r w:rsidRPr="00DF38B2">
              <w:t>66.7</w:t>
            </w:r>
          </w:p>
        </w:tc>
      </w:tr>
      <w:tr w:rsidR="00417B51" w:rsidRPr="00DF38B2" w:rsidTr="00FB0FB9">
        <w:trPr>
          <w:trHeight w:val="255"/>
          <w:jc w:val="center"/>
        </w:trPr>
        <w:tc>
          <w:tcPr>
            <w:tcW w:w="3369" w:type="dxa"/>
            <w:tcBorders>
              <w:top w:val="nil"/>
              <w:left w:val="nil"/>
              <w:bottom w:val="nil"/>
              <w:right w:val="nil"/>
            </w:tcBorders>
            <w:noWrap/>
            <w:hideMark/>
          </w:tcPr>
          <w:p w:rsidR="00417B51" w:rsidRPr="00DF38B2" w:rsidRDefault="00417B51" w:rsidP="006654AE">
            <w:pPr>
              <w:pStyle w:val="tabletextleft"/>
            </w:pPr>
            <w:r w:rsidRPr="00DF38B2">
              <w:t>Failure to take reasonable self-care</w:t>
            </w:r>
          </w:p>
        </w:tc>
        <w:tc>
          <w:tcPr>
            <w:tcW w:w="1134" w:type="dxa"/>
            <w:tcBorders>
              <w:top w:val="nil"/>
              <w:left w:val="nil"/>
              <w:bottom w:val="nil"/>
              <w:right w:val="nil"/>
            </w:tcBorders>
          </w:tcPr>
          <w:p w:rsidR="00417B51" w:rsidRPr="00DF38B2" w:rsidRDefault="00417B51" w:rsidP="006654AE">
            <w:pPr>
              <w:pStyle w:val="tabletextright"/>
            </w:pPr>
            <w:r w:rsidRPr="00DF38B2">
              <w:t>15</w:t>
            </w:r>
          </w:p>
        </w:tc>
        <w:tc>
          <w:tcPr>
            <w:tcW w:w="1418" w:type="dxa"/>
            <w:tcBorders>
              <w:top w:val="nil"/>
              <w:left w:val="nil"/>
              <w:bottom w:val="nil"/>
              <w:right w:val="nil"/>
            </w:tcBorders>
            <w:noWrap/>
            <w:hideMark/>
          </w:tcPr>
          <w:p w:rsidR="00417B51" w:rsidRPr="00DF38B2" w:rsidRDefault="00417B51" w:rsidP="006654AE">
            <w:pPr>
              <w:pStyle w:val="tabletextright"/>
            </w:pPr>
            <w:r w:rsidRPr="00DF38B2">
              <w:t>50.0</w:t>
            </w:r>
          </w:p>
        </w:tc>
      </w:tr>
      <w:tr w:rsidR="00417B51" w:rsidRPr="00DF38B2" w:rsidTr="00FB0FB9">
        <w:trPr>
          <w:trHeight w:val="255"/>
          <w:jc w:val="center"/>
        </w:trPr>
        <w:tc>
          <w:tcPr>
            <w:tcW w:w="3369" w:type="dxa"/>
            <w:tcBorders>
              <w:top w:val="nil"/>
              <w:left w:val="nil"/>
              <w:bottom w:val="single" w:sz="4" w:space="0" w:color="auto"/>
              <w:right w:val="nil"/>
            </w:tcBorders>
            <w:noWrap/>
            <w:hideMark/>
          </w:tcPr>
          <w:p w:rsidR="00417B51" w:rsidRPr="00DF38B2" w:rsidRDefault="00417B51" w:rsidP="006654AE">
            <w:pPr>
              <w:pStyle w:val="tabletextleft"/>
            </w:pPr>
            <w:r w:rsidRPr="00DF38B2">
              <w:t>Homeless or risk of homelessness</w:t>
            </w:r>
          </w:p>
        </w:tc>
        <w:tc>
          <w:tcPr>
            <w:tcW w:w="1134" w:type="dxa"/>
            <w:tcBorders>
              <w:top w:val="nil"/>
              <w:left w:val="nil"/>
              <w:bottom w:val="single" w:sz="4" w:space="0" w:color="auto"/>
              <w:right w:val="nil"/>
            </w:tcBorders>
          </w:tcPr>
          <w:p w:rsidR="00417B51" w:rsidRPr="00DF38B2" w:rsidRDefault="00417B51" w:rsidP="006654AE">
            <w:pPr>
              <w:pStyle w:val="tabletextright"/>
            </w:pPr>
            <w:r w:rsidRPr="00DF38B2">
              <w:t>13</w:t>
            </w:r>
          </w:p>
        </w:tc>
        <w:tc>
          <w:tcPr>
            <w:tcW w:w="1418" w:type="dxa"/>
            <w:tcBorders>
              <w:top w:val="nil"/>
              <w:left w:val="nil"/>
              <w:bottom w:val="single" w:sz="4" w:space="0" w:color="auto"/>
              <w:right w:val="nil"/>
            </w:tcBorders>
            <w:noWrap/>
            <w:hideMark/>
          </w:tcPr>
          <w:p w:rsidR="00417B51" w:rsidRPr="00DF38B2" w:rsidRDefault="00417B51" w:rsidP="006654AE">
            <w:pPr>
              <w:pStyle w:val="tabletextright"/>
            </w:pPr>
            <w:r w:rsidRPr="00DF38B2">
              <w:t>43.3</w:t>
            </w:r>
          </w:p>
        </w:tc>
      </w:tr>
    </w:tbl>
    <w:p w:rsidR="003F73A8" w:rsidRDefault="00B01EB2" w:rsidP="006654AE">
      <w:pPr>
        <w:pStyle w:val="tablenotes"/>
      </w:pPr>
      <w:r w:rsidRPr="00FE1A6A">
        <w:t xml:space="preserve">Note: </w:t>
      </w:r>
      <w:r w:rsidRPr="00FE1A6A">
        <w:tab/>
        <w:t>n=30</w:t>
      </w:r>
    </w:p>
    <w:p w:rsidR="00B01EB2" w:rsidRPr="00FE1A6A" w:rsidRDefault="003F73A8" w:rsidP="006654AE">
      <w:pPr>
        <w:pStyle w:val="tablenotes"/>
      </w:pPr>
      <w:r>
        <w:tab/>
      </w:r>
      <w:r>
        <w:tab/>
      </w:r>
      <w:proofErr w:type="gramStart"/>
      <w:r>
        <w:t>M</w:t>
      </w:r>
      <w:r w:rsidR="00B01EB2" w:rsidRPr="00FE1A6A">
        <w:t>ore than one vulnerability</w:t>
      </w:r>
      <w:proofErr w:type="gramEnd"/>
      <w:r w:rsidR="00B01EB2" w:rsidRPr="00FE1A6A">
        <w:t xml:space="preserve"> could be selected. </w:t>
      </w:r>
    </w:p>
    <w:p w:rsidR="00417B51" w:rsidRPr="00FE1A6A" w:rsidRDefault="00417B51" w:rsidP="006654AE">
      <w:pPr>
        <w:pStyle w:val="tablenotes"/>
      </w:pPr>
      <w:r w:rsidRPr="00FE1A6A">
        <w:t xml:space="preserve">Source: </w:t>
      </w:r>
      <w:r w:rsidR="00B01EB2">
        <w:tab/>
      </w:r>
      <w:r w:rsidRPr="00FE1A6A">
        <w:t>Authors’ audit of DHS social work files</w:t>
      </w:r>
      <w:r w:rsidR="00EA06AA">
        <w:t>.</w:t>
      </w:r>
    </w:p>
    <w:p w:rsidR="00FE1A6A" w:rsidRPr="00DF38B2" w:rsidRDefault="00FE1A6A" w:rsidP="006654AE">
      <w:pPr>
        <w:pStyle w:val="tablefootnoteslastline"/>
      </w:pPr>
    </w:p>
    <w:p w:rsidR="00417B51" w:rsidRPr="00DF38B2" w:rsidRDefault="00417B51" w:rsidP="006654AE">
      <w:r w:rsidRPr="00DF38B2">
        <w:t>The assessment process was described by social workers as being very detailed and labour</w:t>
      </w:r>
      <w:r w:rsidR="00EA06AA">
        <w:t>-</w:t>
      </w:r>
      <w:r w:rsidRPr="00DF38B2">
        <w:t>intensive. Assessments occur both at the time of deciding whether or not someone meets the vulnerability criteria and again towards the end of each period that they are subject to the measure (usually 12 months) – an end of notice review. Reviews can also be undertaken on request</w:t>
      </w:r>
      <w:r w:rsidR="009968AA">
        <w:t xml:space="preserve"> </w:t>
      </w:r>
      <w:r w:rsidR="009968AA" w:rsidRPr="009968AA">
        <w:t>unless a review has been requested in the past 90 days</w:t>
      </w:r>
      <w:r w:rsidRPr="00DF38B2">
        <w:t xml:space="preserve">. </w:t>
      </w:r>
    </w:p>
    <w:p w:rsidR="00417B51" w:rsidRPr="00DF38B2" w:rsidRDefault="00417B51" w:rsidP="006654AE">
      <w:r w:rsidRPr="00DF38B2">
        <w:lastRenderedPageBreak/>
        <w:t>Assessment reports were described as being highly structured tools</w:t>
      </w:r>
      <w:r w:rsidR="00EA06AA">
        <w:t>,</w:t>
      </w:r>
      <w:r w:rsidRPr="00DF38B2">
        <w:t xml:space="preserve"> with the rationale for the decision as to whether someone was suitable for the measure needing to be clearly supported by the information collected as part of the assessment or review process. Social workers participating in the focus groups were generally supportive of this structured approach to assessments and reviews:</w:t>
      </w:r>
    </w:p>
    <w:p w:rsidR="00417B51" w:rsidRPr="00DF38B2" w:rsidRDefault="00417B51" w:rsidP="006654AE">
      <w:pPr>
        <w:pStyle w:val="Quote2"/>
      </w:pPr>
      <w:r w:rsidRPr="00DF38B2">
        <w:t>Now we have more of a framework. Before we did [assessments] without much direction. (</w:t>
      </w:r>
      <w:r w:rsidR="00060511">
        <w:t>DHS</w:t>
      </w:r>
      <w:r w:rsidRPr="00DF38B2">
        <w:t xml:space="preserve"> Social Worker)</w:t>
      </w:r>
    </w:p>
    <w:p w:rsidR="00417B51" w:rsidRPr="00DF38B2" w:rsidRDefault="00417B51" w:rsidP="006654AE">
      <w:r w:rsidRPr="00DF38B2">
        <w:t>Some focus group participants did, however, question the value of the time required to undertake the assessment or review process and the extent to which this detracted from time working to assist vulnerable people. As one social worker noted:</w:t>
      </w:r>
    </w:p>
    <w:p w:rsidR="00417B51" w:rsidRPr="00DF38B2" w:rsidRDefault="00417B51" w:rsidP="006654AE">
      <w:pPr>
        <w:pStyle w:val="Quote2"/>
      </w:pPr>
      <w:r w:rsidRPr="00DF38B2">
        <w:t>It’s become about the paperwork rather than developing interventions to help people. (</w:t>
      </w:r>
      <w:r w:rsidR="00060511">
        <w:t>DHS</w:t>
      </w:r>
      <w:r w:rsidRPr="00DF38B2">
        <w:t xml:space="preserve"> Social Worker)</w:t>
      </w:r>
    </w:p>
    <w:p w:rsidR="00417B51" w:rsidRPr="00DF38B2" w:rsidRDefault="00417B51" w:rsidP="006654AE">
      <w:r w:rsidRPr="00DF38B2">
        <w:t>This was particularly the case when speaking about people with long-term vulnerabilities, such as people with acquired brain injury, which were unlikely to change. A number of social workers commented that regular reviews were time</w:t>
      </w:r>
      <w:r w:rsidR="00EA06AA">
        <w:t>-</w:t>
      </w:r>
      <w:r w:rsidRPr="00DF38B2">
        <w:t xml:space="preserve">intensive, and that it was clear during the review that the situation would remain unchanged. However, other social workers disagreed with this perspective and noted that while the vulnerability might not change, the supports around people may differ and hence regular reviews remained important and worthwhile. </w:t>
      </w:r>
    </w:p>
    <w:p w:rsidR="00417B51" w:rsidRPr="00DF38B2" w:rsidRDefault="00417B51" w:rsidP="006654AE">
      <w:r w:rsidRPr="00DF38B2">
        <w:t>Of the social work assessment reports reviewed, six assessments were completed face-to-face with the person</w:t>
      </w:r>
      <w:r w:rsidR="00EA06AA">
        <w:t>,</w:t>
      </w:r>
      <w:r w:rsidRPr="00DF38B2">
        <w:t xml:space="preserve"> and ten were completed with the person via telephone. The remaining 14 assessments were completed based on available information in the person’s </w:t>
      </w:r>
      <w:r w:rsidR="00060511">
        <w:t>DHS</w:t>
      </w:r>
      <w:r w:rsidRPr="00DF38B2">
        <w:t xml:space="preserve"> file and/or discussion with one or more third parties. Five of these assessments were based on a review of the person’s file only. A common reason cited for people not being involved in the assessment process was the lack of available contact details. An assessment based solely on review of a person’s file was seen by many of the social workers interviewed as necessary in order to progress a referral, but was acknowledged to have limitations. Some social workers expressed concern about undertaking assessments and reviews based on a person’s file notes only. As one explained:</w:t>
      </w:r>
    </w:p>
    <w:p w:rsidR="00417B51" w:rsidRPr="00DF38B2" w:rsidRDefault="00417B51" w:rsidP="006654AE">
      <w:pPr>
        <w:pStyle w:val="Quote2"/>
      </w:pPr>
      <w:r w:rsidRPr="00DF38B2">
        <w:t xml:space="preserve">I struggle to do file reviews because I feel like </w:t>
      </w:r>
      <w:proofErr w:type="gramStart"/>
      <w:r w:rsidRPr="00DF38B2">
        <w:t>a detective</w:t>
      </w:r>
      <w:proofErr w:type="gramEnd"/>
      <w:r w:rsidRPr="00DF38B2">
        <w:t xml:space="preserve"> rifling through someone’s lifestyle. It sits uncomfortably with me because I am making assumptions about people’s lives</w:t>
      </w:r>
      <w:r w:rsidR="00A1421A">
        <w:t xml:space="preserve">. </w:t>
      </w:r>
      <w:r w:rsidRPr="00DF38B2">
        <w:t>You’re doing a file assessment based on your own values and beliefs. (</w:t>
      </w:r>
      <w:r w:rsidR="00060511">
        <w:t>DHS</w:t>
      </w:r>
      <w:r w:rsidRPr="00DF38B2">
        <w:t xml:space="preserve"> Social Worker)</w:t>
      </w:r>
    </w:p>
    <w:p w:rsidR="00417B51" w:rsidRPr="00DF38B2" w:rsidRDefault="00417B51" w:rsidP="006654AE">
      <w:r w:rsidRPr="00DF38B2">
        <w:t xml:space="preserve">Eleven of the assessments in the assessment report review involved consultations with third parties. Focus group participants explained that the key to involving third parties in the assessment process was finding </w:t>
      </w:r>
      <w:r w:rsidR="00167037">
        <w:t>“</w:t>
      </w:r>
      <w:r w:rsidRPr="00DF38B2">
        <w:t>the right person</w:t>
      </w:r>
      <w:r w:rsidR="00167037">
        <w:t>”</w:t>
      </w:r>
      <w:r w:rsidR="00A1421A">
        <w:t xml:space="preserve">. </w:t>
      </w:r>
      <w:r w:rsidRPr="00DF38B2">
        <w:t>This person was described as someone who knows the person being assessed and who has the appropriate levels of experience and knowledge to comment:</w:t>
      </w:r>
    </w:p>
    <w:p w:rsidR="00417B51" w:rsidRPr="00DF38B2" w:rsidRDefault="00417B51" w:rsidP="006654AE">
      <w:pPr>
        <w:pStyle w:val="Quote2"/>
      </w:pPr>
      <w:r w:rsidRPr="00DF38B2">
        <w:t xml:space="preserve">When you are getting </w:t>
      </w:r>
      <w:proofErr w:type="gramStart"/>
      <w:r w:rsidRPr="00DF38B2">
        <w:t>a third</w:t>
      </w:r>
      <w:proofErr w:type="gramEnd"/>
      <w:r w:rsidR="00167037">
        <w:t>-</w:t>
      </w:r>
      <w:r w:rsidRPr="00DF38B2">
        <w:t>party verification you need to take into account the third party’s experience, how long they’ve been there. (</w:t>
      </w:r>
      <w:r w:rsidR="00060511">
        <w:t>DHS</w:t>
      </w:r>
      <w:r w:rsidRPr="00DF38B2">
        <w:t xml:space="preserve"> Social Worker)</w:t>
      </w:r>
    </w:p>
    <w:p w:rsidR="00417B51" w:rsidRPr="00DF38B2" w:rsidRDefault="00417B51" w:rsidP="006654AE">
      <w:pPr>
        <w:pStyle w:val="Quote2"/>
      </w:pPr>
      <w:r w:rsidRPr="00DF38B2">
        <w:t>You need to talk to experienced service providers and make sure the Vulnerable Welfare Payment Recipient measure is not interfering with good arrangements. (</w:t>
      </w:r>
      <w:r w:rsidR="00060511">
        <w:t>DHS</w:t>
      </w:r>
      <w:r w:rsidRPr="00DF38B2">
        <w:t xml:space="preserve"> Social Worker)</w:t>
      </w:r>
    </w:p>
    <w:p w:rsidR="00417B51" w:rsidRPr="00DF38B2" w:rsidRDefault="00417B51" w:rsidP="006654AE">
      <w:r w:rsidRPr="00DF38B2">
        <w:t>Overall it appears that the assessments, although burdensome for some workers, are an essential part of the process</w:t>
      </w:r>
      <w:r w:rsidR="00A1421A">
        <w:t xml:space="preserve">. </w:t>
      </w:r>
      <w:r w:rsidRPr="00DF38B2">
        <w:t>They ensure that these clients have at least some regular contact with Centrelink, and that changes in their circumstances are recorded and assessed</w:t>
      </w:r>
      <w:r w:rsidR="00A1421A">
        <w:t xml:space="preserve">. </w:t>
      </w:r>
      <w:r w:rsidRPr="00DF38B2">
        <w:t>The rigid criteria for vulnerability have the advantage that they facilitate consistency and fairness, but the disadvantage is that they limit the ability of the assessment to focus on the specific needs of the individual</w:t>
      </w:r>
      <w:r w:rsidR="00A1421A">
        <w:t xml:space="preserve">. </w:t>
      </w:r>
      <w:r w:rsidRPr="00DF38B2">
        <w:t>Nevertheless</w:t>
      </w:r>
      <w:r w:rsidR="00167037">
        <w:t>,</w:t>
      </w:r>
      <w:r w:rsidRPr="00DF38B2">
        <w:t xml:space="preserve"> overall the system appears to be working well</w:t>
      </w:r>
      <w:r w:rsidR="00A1421A">
        <w:t xml:space="preserve">. </w:t>
      </w:r>
      <w:r w:rsidRPr="00DF38B2">
        <w:t>However</w:t>
      </w:r>
      <w:r w:rsidR="00167037">
        <w:t>,</w:t>
      </w:r>
      <w:r w:rsidRPr="00DF38B2">
        <w:t xml:space="preserve"> the fact that many assessments are c</w:t>
      </w:r>
      <w:r w:rsidR="00167037">
        <w:t>onducted</w:t>
      </w:r>
      <w:r w:rsidRPr="00DF38B2">
        <w:t xml:space="preserve"> without a </w:t>
      </w:r>
      <w:r w:rsidR="00484A16">
        <w:t>face-to-face</w:t>
      </w:r>
      <w:r w:rsidRPr="00DF38B2">
        <w:t xml:space="preserve"> meeting, and are often only able to draw on information provided by third parties, is considered by all stakeholders to be unfortunate</w:t>
      </w:r>
      <w:r w:rsidR="00A1421A">
        <w:t xml:space="preserve">. </w:t>
      </w:r>
      <w:r w:rsidRPr="00DF38B2">
        <w:t>This means that clients are not able to have their views and wishes recorded</w:t>
      </w:r>
      <w:r w:rsidR="00A1421A">
        <w:t xml:space="preserve">. </w:t>
      </w:r>
    </w:p>
    <w:p w:rsidR="00417B51" w:rsidRPr="00DF38B2" w:rsidRDefault="00417B51" w:rsidP="006654AE">
      <w:pPr>
        <w:pStyle w:val="Heading3"/>
      </w:pPr>
      <w:bookmarkStart w:id="630" w:name="_Toc403739142"/>
      <w:r w:rsidRPr="00DF38B2">
        <w:t>Outcomes for people on the vulnerable measure</w:t>
      </w:r>
      <w:bookmarkEnd w:id="630"/>
      <w:r w:rsidRPr="00DF38B2">
        <w:t xml:space="preserve"> </w:t>
      </w:r>
    </w:p>
    <w:p w:rsidR="00417B51" w:rsidRPr="00DF38B2" w:rsidRDefault="00417B51" w:rsidP="006654AE">
      <w:r w:rsidRPr="00DF38B2">
        <w:t xml:space="preserve">Most of the </w:t>
      </w:r>
      <w:r w:rsidR="00060511">
        <w:t>DHS</w:t>
      </w:r>
      <w:r w:rsidRPr="00DF38B2">
        <w:t xml:space="preserve"> social workers who took part in the focus groups viewed the </w:t>
      </w:r>
      <w:proofErr w:type="gramStart"/>
      <w:r w:rsidRPr="00DF38B2">
        <w:t>Vulnerable</w:t>
      </w:r>
      <w:proofErr w:type="gramEnd"/>
      <w:r w:rsidRPr="00DF38B2">
        <w:t xml:space="preserve"> measure as having a limited but important impact on people subject to Vulnerable Income Management. Social workers frequently used the term “harm minimisation”, acknowledging that while the measure did not </w:t>
      </w:r>
      <w:r w:rsidRPr="00DF38B2">
        <w:lastRenderedPageBreak/>
        <w:t>resolve the issues or vulnerabilities experienced by people</w:t>
      </w:r>
      <w:r w:rsidR="00167037">
        <w:t>,</w:t>
      </w:r>
      <w:r w:rsidRPr="00DF38B2">
        <w:t xml:space="preserve"> it did assist with providing for people’s basic needs:</w:t>
      </w:r>
    </w:p>
    <w:p w:rsidR="00417B51" w:rsidRPr="00DF38B2" w:rsidRDefault="00167037" w:rsidP="006654AE">
      <w:pPr>
        <w:pStyle w:val="Quote2"/>
      </w:pPr>
      <w:r w:rsidRPr="00DF38B2">
        <w:t>It</w:t>
      </w:r>
      <w:r>
        <w:t>’</w:t>
      </w:r>
      <w:r w:rsidRPr="00DF38B2">
        <w:t xml:space="preserve">s </w:t>
      </w:r>
      <w:r w:rsidR="00417B51" w:rsidRPr="00DF38B2">
        <w:t xml:space="preserve">a </w:t>
      </w:r>
      <w:proofErr w:type="spellStart"/>
      <w:r w:rsidR="00417B51" w:rsidRPr="00DF38B2">
        <w:t>bandaid</w:t>
      </w:r>
      <w:proofErr w:type="spellEnd"/>
      <w:r w:rsidR="00417B51" w:rsidRPr="00DF38B2">
        <w:t>. (</w:t>
      </w:r>
      <w:r w:rsidR="00060511">
        <w:t>DHS</w:t>
      </w:r>
      <w:r w:rsidR="00417B51" w:rsidRPr="00DF38B2">
        <w:t xml:space="preserve"> Social Worker)</w:t>
      </w:r>
    </w:p>
    <w:p w:rsidR="00417B51" w:rsidRPr="00DF38B2" w:rsidRDefault="00417B51" w:rsidP="006654AE">
      <w:pPr>
        <w:pStyle w:val="Quote2"/>
      </w:pPr>
      <w:r w:rsidRPr="00DF38B2">
        <w:t>We see people looking healthier, putting on weight. (</w:t>
      </w:r>
      <w:r w:rsidR="00060511">
        <w:t>DHS</w:t>
      </w:r>
      <w:r w:rsidRPr="00DF38B2">
        <w:t xml:space="preserve"> Social Worker)</w:t>
      </w:r>
    </w:p>
    <w:p w:rsidR="00417B51" w:rsidRPr="00DF38B2" w:rsidRDefault="00417B51" w:rsidP="006654AE">
      <w:pPr>
        <w:pStyle w:val="Quote2"/>
      </w:pPr>
      <w:r w:rsidRPr="00DF38B2">
        <w:t>You look at what was the trajectory before income management and if the Vulnerable Welfare Payment Recipient measure stops it, that’s a success. (</w:t>
      </w:r>
      <w:r w:rsidR="00060511">
        <w:t>DHS</w:t>
      </w:r>
      <w:r w:rsidRPr="00DF38B2">
        <w:t xml:space="preserve"> Social Worker)</w:t>
      </w:r>
    </w:p>
    <w:p w:rsidR="00417B51" w:rsidRPr="00DF38B2" w:rsidRDefault="00417B51" w:rsidP="006654AE">
      <w:r w:rsidRPr="00DF38B2">
        <w:t xml:space="preserve">This is consistent with the feedback from third parties which was noted in the </w:t>
      </w:r>
      <w:r w:rsidR="00060511">
        <w:t>DHS</w:t>
      </w:r>
      <w:r w:rsidRPr="00DF38B2">
        <w:t xml:space="preserve"> social work assessment reports. Third</w:t>
      </w:r>
      <w:r w:rsidR="00167037">
        <w:t>-</w:t>
      </w:r>
      <w:r w:rsidRPr="00DF38B2">
        <w:t>party consultants consistently identified the measure as making a positive contribution to the wellbeing of these clients</w:t>
      </w:r>
      <w:r w:rsidR="00A1421A">
        <w:t xml:space="preserve">. </w:t>
      </w:r>
      <w:r w:rsidRPr="00DF38B2">
        <w:t xml:space="preserve">This included contributing to a reduction in alcohol or drug consumption, stabilisation of the person’s living situation, or ensuring access to community support services, such as Home and Community Care (HACC) and Meals on Wheels. </w:t>
      </w:r>
    </w:p>
    <w:p w:rsidR="00417B51" w:rsidRPr="00DF38B2" w:rsidRDefault="00417B51" w:rsidP="006654AE">
      <w:r w:rsidRPr="00DF38B2">
        <w:t>The social worker assessment report review also indicated that 11 of the 16 clients who were involved in their assessment process believed that income management had been beneficial</w:t>
      </w:r>
      <w:r w:rsidR="00A1421A">
        <w:t xml:space="preserve">. </w:t>
      </w:r>
      <w:r w:rsidRPr="00DF38B2">
        <w:t>Identified benefits included ensuring that money was available for the purchase of food and other essential items, and assisting people to refuse requests from others for money (financial harassment). However, several people subject to assessments were also noted in the reports as having expressed the opinion that they wished</w:t>
      </w:r>
      <w:r w:rsidR="00167037">
        <w:t xml:space="preserve"> for</w:t>
      </w:r>
      <w:r w:rsidRPr="00DF38B2">
        <w:t xml:space="preserve"> greater control over management of their own funds, but as reported above, these views were overridden by the assessor. </w:t>
      </w:r>
    </w:p>
    <w:p w:rsidR="00417B51" w:rsidRPr="00DF38B2" w:rsidRDefault="00417B51" w:rsidP="006654AE">
      <w:r w:rsidRPr="00DF38B2">
        <w:t xml:space="preserve">This mix of positive and negative views was also reflected in the interviews with the six people subject to Vulnerable Income Management who took part in the qualitative component of the </w:t>
      </w:r>
      <w:r w:rsidR="00CD4C0B">
        <w:t>LSNIM</w:t>
      </w:r>
      <w:r w:rsidRPr="00DF38B2">
        <w:t>, and from comments made by 19 of the 21 participants when completing the survey. For example, one interview participant initially disliked the measure and the restrictions it placed on how she spent her money. However, over time she had come to recognise the benefits of having been placed on the measure:</w:t>
      </w:r>
    </w:p>
    <w:p w:rsidR="00417B51" w:rsidRPr="00DF38B2" w:rsidRDefault="00417B51" w:rsidP="006654AE">
      <w:pPr>
        <w:pStyle w:val="Quote2"/>
      </w:pPr>
      <w:r w:rsidRPr="00DF38B2">
        <w:t>Now when I get my BasicsCard money I buy nice food, like yoghurt</w:t>
      </w:r>
      <w:r w:rsidR="00A1421A">
        <w:t xml:space="preserve">. </w:t>
      </w:r>
      <w:proofErr w:type="gramStart"/>
      <w:r w:rsidRPr="00DF38B2">
        <w:t>Really improving my health and attitude</w:t>
      </w:r>
      <w:r w:rsidR="00A1421A">
        <w:t>.</w:t>
      </w:r>
      <w:proofErr w:type="gramEnd"/>
      <w:r w:rsidR="00A1421A">
        <w:t xml:space="preserve"> </w:t>
      </w:r>
      <w:r w:rsidRPr="00DF38B2">
        <w:t>That’s because I’m homeless and don’t have my kids</w:t>
      </w:r>
      <w:r w:rsidR="00A1421A">
        <w:t xml:space="preserve">. </w:t>
      </w:r>
      <w:r w:rsidRPr="00DF38B2">
        <w:t>BasicsCard has helped me to change the path I’m on</w:t>
      </w:r>
      <w:r w:rsidR="00A1421A">
        <w:t xml:space="preserve">. </w:t>
      </w:r>
      <w:r w:rsidRPr="00DF38B2">
        <w:t>Three years [ago] I wasn’t on BasicsCard</w:t>
      </w:r>
      <w:r w:rsidR="00A1421A">
        <w:t xml:space="preserve">. </w:t>
      </w:r>
      <w:r w:rsidRPr="00DF38B2">
        <w:t>I can’t even remember because I was drinking and smoking too much. (Indigenous female living in an urban area, interview)</w:t>
      </w:r>
    </w:p>
    <w:p w:rsidR="00417B51" w:rsidRPr="00DF38B2" w:rsidRDefault="00417B51" w:rsidP="006654AE">
      <w:r w:rsidRPr="00DF38B2">
        <w:t xml:space="preserve">Eight of the 21 </w:t>
      </w:r>
      <w:r w:rsidR="00CD4C0B">
        <w:t>LSNIM</w:t>
      </w:r>
      <w:r w:rsidRPr="00DF38B2">
        <w:t xml:space="preserve"> participants subject to the measure (including three people who also spoke about benefits of the measure in the qualitative interviews) identified benefits of the measure in terms of assisting with money management and ensuring sufficient funds were available for the purchase of food and other essential items:</w:t>
      </w:r>
    </w:p>
    <w:p w:rsidR="00417B51" w:rsidRPr="00DF38B2" w:rsidRDefault="00417B51" w:rsidP="006654AE">
      <w:pPr>
        <w:pStyle w:val="Quote2"/>
      </w:pPr>
      <w:r w:rsidRPr="00DF38B2">
        <w:t>Income management has made my life better and safer for me and I can easy look after myself and my family</w:t>
      </w:r>
      <w:r w:rsidR="00A1421A">
        <w:t xml:space="preserve">. </w:t>
      </w:r>
      <w:r w:rsidRPr="00DF38B2">
        <w:t>I wanted to go on because when we get cash we spend it really quick and then have to wait until next payday to see some cash</w:t>
      </w:r>
      <w:r w:rsidR="00A1421A">
        <w:t xml:space="preserve">. </w:t>
      </w:r>
      <w:r w:rsidRPr="00DF38B2">
        <w:t>By that time we run out of food and go hungry</w:t>
      </w:r>
      <w:r w:rsidR="00A1421A">
        <w:t xml:space="preserve">. </w:t>
      </w:r>
      <w:r w:rsidRPr="00DF38B2">
        <w:t>I wanted to go on income management because I was struggling. (Indigenous female living in an urban area, interview)</w:t>
      </w:r>
    </w:p>
    <w:p w:rsidR="00417B51" w:rsidRPr="00DF38B2" w:rsidRDefault="00417B51" w:rsidP="006654AE">
      <w:pPr>
        <w:pStyle w:val="Quote2"/>
      </w:pPr>
      <w:r w:rsidRPr="00DF38B2">
        <w:t xml:space="preserve">Because before I used to spend all my money on gambling and now I always have money on my </w:t>
      </w:r>
      <w:r w:rsidR="008463A4">
        <w:t>B</w:t>
      </w:r>
      <w:r w:rsidRPr="00DF38B2">
        <w:t>asics</w:t>
      </w:r>
      <w:r w:rsidR="008463A4">
        <w:t>C</w:t>
      </w:r>
      <w:r w:rsidRPr="00DF38B2">
        <w:t>ard for food. (Indigenous female living in remote area, survey response)</w:t>
      </w:r>
    </w:p>
    <w:p w:rsidR="00417B51" w:rsidRPr="00DF38B2" w:rsidRDefault="00417B51" w:rsidP="006654AE">
      <w:pPr>
        <w:pStyle w:val="Quote2"/>
      </w:pPr>
      <w:r w:rsidRPr="00DF38B2">
        <w:t xml:space="preserve">I used to be real frivolous with my money but now I think about tomorrow and not just today. It’s helped me understand the value of money. (Indigenous female living in urban area, survey response) </w:t>
      </w:r>
    </w:p>
    <w:p w:rsidR="00417B51" w:rsidRPr="00DF38B2" w:rsidRDefault="00417B51" w:rsidP="006654AE">
      <w:r w:rsidRPr="00DF38B2">
        <w:t xml:space="preserve">However, one interview participant was very critical of Vulnerable Income Management and spoke of experiencing greater hardship as a result of being placed on the measure: </w:t>
      </w:r>
    </w:p>
    <w:p w:rsidR="00417B51" w:rsidRPr="00DF38B2" w:rsidRDefault="00417B51" w:rsidP="006654AE">
      <w:pPr>
        <w:pStyle w:val="Quote2"/>
      </w:pPr>
      <w:r w:rsidRPr="00DF38B2">
        <w:t xml:space="preserve">I was forced on </w:t>
      </w:r>
      <w:proofErr w:type="gramStart"/>
      <w:r w:rsidRPr="00DF38B2">
        <w:t>this</w:t>
      </w:r>
      <w:proofErr w:type="gramEnd"/>
      <w:r w:rsidR="006D0A23">
        <w:t xml:space="preserve"> three</w:t>
      </w:r>
      <w:r w:rsidRPr="00DF38B2">
        <w:t xml:space="preserve"> years ago. I’m on disability [support pension] and it has caused me a lot of problems. I was homeless for some time because I was on the BasicsCard and income management. (Indigenous female living in an urban area)</w:t>
      </w:r>
    </w:p>
    <w:p w:rsidR="00417B51" w:rsidRPr="00DF38B2" w:rsidRDefault="00417B51" w:rsidP="006654AE">
      <w:r w:rsidRPr="00DF38B2">
        <w:t>This person acknowledged that the measure could be useful for certain people in ensuring that food and other essential items were available for children. In her own situation, however, she felt capable of managing her own finances and did not like th</w:t>
      </w:r>
      <w:r w:rsidR="006D0A23">
        <w:t>e</w:t>
      </w:r>
      <w:r w:rsidRPr="00DF38B2">
        <w:t xml:space="preserve"> lack of financial control she experienced while on income </w:t>
      </w:r>
      <w:r w:rsidRPr="00DF38B2">
        <w:lastRenderedPageBreak/>
        <w:t>management. In both the qualitative interviews and the survey she spoke of attempting to gain an exemption on a number of occasions but had not been successful:</w:t>
      </w:r>
    </w:p>
    <w:p w:rsidR="00417B51" w:rsidRPr="00DF38B2" w:rsidRDefault="00417B51" w:rsidP="006654AE">
      <w:pPr>
        <w:pStyle w:val="Quote2"/>
      </w:pPr>
      <w:r w:rsidRPr="00DF38B2">
        <w:t>I’ve tried several times</w:t>
      </w:r>
      <w:r w:rsidR="00A1421A">
        <w:t xml:space="preserve">. </w:t>
      </w:r>
      <w:proofErr w:type="gramStart"/>
      <w:r w:rsidRPr="00DF38B2">
        <w:t>Haven’t been given an exemption because I’m on Vulnerable</w:t>
      </w:r>
      <w:r w:rsidR="00A1421A">
        <w:t>.</w:t>
      </w:r>
      <w:proofErr w:type="gramEnd"/>
      <w:r w:rsidR="00A1421A">
        <w:t xml:space="preserve"> </w:t>
      </w:r>
      <w:r w:rsidRPr="00DF38B2">
        <w:t>They are very invasive and don’t want to take me off it. (</w:t>
      </w:r>
      <w:proofErr w:type="gramStart"/>
      <w:r w:rsidRPr="00DF38B2">
        <w:t>interview</w:t>
      </w:r>
      <w:proofErr w:type="gramEnd"/>
      <w:r w:rsidRPr="00DF38B2">
        <w:t>)</w:t>
      </w:r>
    </w:p>
    <w:p w:rsidR="00417B51" w:rsidRPr="00DF38B2" w:rsidDel="00CA047D" w:rsidRDefault="00417B51" w:rsidP="006654AE">
      <w:pPr>
        <w:pStyle w:val="Quote2"/>
      </w:pPr>
      <w:r w:rsidRPr="00DF38B2" w:rsidDel="00CA047D">
        <w:t>I used to have a drug habit and have been sober for over 12 months and feel like I should be reviewed now. I’m doing the right things and have shown full improvement. (</w:t>
      </w:r>
      <w:proofErr w:type="gramStart"/>
      <w:r w:rsidRPr="00DF38B2" w:rsidDel="00CA047D">
        <w:t>survey</w:t>
      </w:r>
      <w:proofErr w:type="gramEnd"/>
      <w:r w:rsidRPr="00DF38B2" w:rsidDel="00CA047D">
        <w:t xml:space="preserve"> response)</w:t>
      </w:r>
    </w:p>
    <w:p w:rsidR="00417B51" w:rsidRPr="00DF38B2" w:rsidRDefault="00417B51" w:rsidP="006654AE">
      <w:pPr>
        <w:rPr>
          <w:bCs/>
        </w:rPr>
      </w:pPr>
      <w:r w:rsidRPr="00DF38B2">
        <w:t xml:space="preserve">While there were examples discussed in the focus groups of cases </w:t>
      </w:r>
      <w:r w:rsidR="009968AA">
        <w:t>such as those noted above where people report consequential change</w:t>
      </w:r>
      <w:r w:rsidRPr="00DF38B2">
        <w:t xml:space="preserve">, </w:t>
      </w:r>
      <w:r w:rsidR="009968AA">
        <w:t xml:space="preserve">as cited at the beginning of this section </w:t>
      </w:r>
      <w:r w:rsidRPr="00DF38B2">
        <w:t xml:space="preserve">social workers </w:t>
      </w:r>
      <w:r w:rsidR="006D0A23" w:rsidRPr="00DF38B2">
        <w:t xml:space="preserve">overall </w:t>
      </w:r>
      <w:r w:rsidRPr="00DF38B2">
        <w:t>did not view the measure as being able</w:t>
      </w:r>
      <w:r w:rsidR="009968AA">
        <w:t xml:space="preserve">, in and of itself, </w:t>
      </w:r>
      <w:r w:rsidRPr="00DF38B2">
        <w:t>to support broader change in personal circumstances or behaviour:</w:t>
      </w:r>
    </w:p>
    <w:p w:rsidR="00417B51" w:rsidRPr="00DF38B2" w:rsidRDefault="00417B51" w:rsidP="006654AE">
      <w:pPr>
        <w:pStyle w:val="Quote2"/>
      </w:pPr>
      <w:r w:rsidRPr="00DF38B2">
        <w:t>All the allocations in the world aren’t going to resolve homelessness, lack of services and vulnerabilities. (</w:t>
      </w:r>
      <w:r w:rsidR="00060511">
        <w:t>DHS</w:t>
      </w:r>
      <w:r w:rsidRPr="00DF38B2">
        <w:t xml:space="preserve"> Social Worker)</w:t>
      </w:r>
    </w:p>
    <w:p w:rsidR="00417B51" w:rsidRPr="00DF38B2" w:rsidRDefault="00417B51" w:rsidP="006654AE">
      <w:pPr>
        <w:pStyle w:val="Heading4"/>
      </w:pPr>
      <w:r w:rsidRPr="00DF38B2">
        <w:t>Substance abuse</w:t>
      </w:r>
    </w:p>
    <w:p w:rsidR="00417B51" w:rsidRPr="00DF38B2" w:rsidRDefault="00417B51" w:rsidP="006654AE">
      <w:r w:rsidRPr="00DF38B2">
        <w:t>Social workers participating in the focus groups reported that most of the people they ended up assessing as being eligible for Vulnerable Income Management experienced some form of drug or alcohol misuse</w:t>
      </w:r>
      <w:r w:rsidR="00A1421A">
        <w:t xml:space="preserve">. </w:t>
      </w:r>
      <w:r w:rsidRPr="00DF38B2">
        <w:t>This was reflected in the analyses of the social work assessment reports</w:t>
      </w:r>
      <w:r w:rsidR="00935124">
        <w:t>,</w:t>
      </w:r>
      <w:r w:rsidRPr="00DF38B2">
        <w:t xml:space="preserve"> which found that two</w:t>
      </w:r>
      <w:r w:rsidR="00935124">
        <w:t>-</w:t>
      </w:r>
      <w:r w:rsidRPr="00DF38B2">
        <w:t xml:space="preserve">thirds (n=21) of the reviewed reports indicated that the person being assessed experienced some level of drug </w:t>
      </w:r>
      <w:r w:rsidR="0002698C">
        <w:t>or</w:t>
      </w:r>
      <w:r w:rsidRPr="00DF38B2">
        <w:t xml:space="preserve"> alcohol dependency, and in eight assessment reports this was cited by the social work assessor as one of the primary reasons for the continuation of the measure. Three of the people assessed were reported to have spoken positively about the measure in terms of helping to reduce their drug or alcohol dependence. This was achieved primarily through reducing the amount of discretionary funds available for the purchase of drugs or alcohol. However, for at least five others, drug and alcohol dependence continued, with one person reportedly speaking openly during her assessment about bartering her BasicsCard at petrol stations in order to gain funds to purchase drugs. </w:t>
      </w:r>
    </w:p>
    <w:p w:rsidR="00417B51" w:rsidRPr="00DF38B2" w:rsidRDefault="00417B51" w:rsidP="006654AE">
      <w:r w:rsidRPr="00DF38B2">
        <w:t xml:space="preserve">The assessment report reviews indicated that five people had engaged with, or were in the process of engaging in drug and alcohol rehabilitation programs, either on a voluntary </w:t>
      </w:r>
      <w:r w:rsidR="00935124">
        <w:t>or</w:t>
      </w:r>
      <w:r w:rsidRPr="00DF38B2">
        <w:t xml:space="preserve"> mandatory basis. However, mixed success was noted, with </w:t>
      </w:r>
      <w:r w:rsidR="00935124">
        <w:t>two</w:t>
      </w:r>
      <w:r w:rsidRPr="00DF38B2">
        <w:t xml:space="preserve"> people reportedly returning to heavy alcohol consumption on completion of their rehabilitation program. Two </w:t>
      </w:r>
      <w:r w:rsidR="00935124">
        <w:t xml:space="preserve">other </w:t>
      </w:r>
      <w:r w:rsidRPr="00DF38B2">
        <w:t>people were noted to have successfully reduced their alcohol consumption over the twelve</w:t>
      </w:r>
      <w:r w:rsidR="00935124">
        <w:t>-</w:t>
      </w:r>
      <w:r w:rsidRPr="00DF38B2">
        <w:t xml:space="preserve">month period prior to their assessment. However, it was reported that other factors may make it difficult for </w:t>
      </w:r>
      <w:r w:rsidR="00935124">
        <w:t>a</w:t>
      </w:r>
      <w:r w:rsidRPr="00DF38B2">
        <w:t xml:space="preserve"> person to maintain this reduction in alcohol consumption. In these instances the measure was extended for a further twelve months in order to determine whether the behaviour change was temporary or permanent. This reflects findings from the focus groups with social workers</w:t>
      </w:r>
      <w:r w:rsidR="00935124">
        <w:t>,</w:t>
      </w:r>
      <w:r w:rsidRPr="00DF38B2">
        <w:t xml:space="preserve"> where i</w:t>
      </w:r>
      <w:r w:rsidR="00935124">
        <w:t>t</w:t>
      </w:r>
      <w:r w:rsidRPr="00DF38B2">
        <w:t xml:space="preserve"> was also noted that few of the people subject to the measure had successfully addressed alcohol problems in the longer term. Focus group participants also noted that many people subject to Vulnerable Income Management were suffering from the effects </w:t>
      </w:r>
      <w:r w:rsidR="00935124">
        <w:t>of</w:t>
      </w:r>
      <w:r w:rsidR="00935124" w:rsidRPr="00DF38B2">
        <w:t xml:space="preserve"> </w:t>
      </w:r>
      <w:r w:rsidRPr="00DF38B2">
        <w:t>neurological damage brought on by alcohol or substance misuse</w:t>
      </w:r>
      <w:r w:rsidR="00A1421A">
        <w:t xml:space="preserve">. </w:t>
      </w:r>
    </w:p>
    <w:p w:rsidR="00417B51" w:rsidRPr="00DF38B2" w:rsidRDefault="00417B51" w:rsidP="006654AE">
      <w:pPr>
        <w:pStyle w:val="Heading4"/>
      </w:pPr>
      <w:r w:rsidRPr="00DF38B2">
        <w:t>Financial harassment</w:t>
      </w:r>
    </w:p>
    <w:p w:rsidR="00417B51" w:rsidRPr="00DF38B2" w:rsidRDefault="00417B51" w:rsidP="006654AE">
      <w:r w:rsidRPr="00DF38B2">
        <w:t xml:space="preserve">The social work assessment report reviews highlighted that financial harassment or exploitation was a significant issue for people subject to Vulnerable Income Management. Financial exploitation was an identified vulnerability, according to </w:t>
      </w:r>
      <w:r w:rsidR="00060511">
        <w:t>DHS</w:t>
      </w:r>
      <w:r w:rsidRPr="00DF38B2">
        <w:t xml:space="preserve"> criteria, in two</w:t>
      </w:r>
      <w:r w:rsidR="00935124">
        <w:t>-</w:t>
      </w:r>
      <w:r w:rsidRPr="00DF38B2">
        <w:t>thirds of the assessment reports reviewed. Assessment findings indicated that both family members and community members were the instigators of financial harassment, depending on each person’s circumstances. Social work assessment reports noted that the measure assisted in reducing the impact of financial harassment and exploitation</w:t>
      </w:r>
      <w:r w:rsidR="00935124">
        <w:t>,</w:t>
      </w:r>
      <w:r w:rsidRPr="00DF38B2">
        <w:t xml:space="preserve"> but did not completely eliminate it</w:t>
      </w:r>
      <w:r w:rsidR="00A1421A">
        <w:t xml:space="preserve">. </w:t>
      </w:r>
      <w:r w:rsidRPr="00DF38B2">
        <w:t>This was consistent with feedback from social workers during the focus groups. As one social worker explained:</w:t>
      </w:r>
    </w:p>
    <w:p w:rsidR="00417B51" w:rsidRPr="00DF38B2" w:rsidRDefault="00417B51" w:rsidP="006654AE">
      <w:pPr>
        <w:pStyle w:val="Quote2"/>
      </w:pPr>
      <w:r w:rsidRPr="00DF38B2">
        <w:t>It</w:t>
      </w:r>
      <w:r w:rsidR="002604C3" w:rsidRPr="00DF38B2">
        <w:t>’</w:t>
      </w:r>
      <w:r w:rsidRPr="00DF38B2">
        <w:t>s containing the worst of [financial] exploitation but it doesn’t stop it</w:t>
      </w:r>
      <w:r w:rsidR="00935124">
        <w:t xml:space="preserve"> </w:t>
      </w:r>
      <w:r w:rsidRPr="00DF38B2">
        <w:t>… the BasicsCard can become the point of vulnerability. (</w:t>
      </w:r>
      <w:r w:rsidR="00060511">
        <w:t>DHS</w:t>
      </w:r>
      <w:r w:rsidRPr="00DF38B2">
        <w:t xml:space="preserve"> Social Worker)</w:t>
      </w:r>
    </w:p>
    <w:p w:rsidR="00417B51" w:rsidRPr="00DF38B2" w:rsidRDefault="00417B51" w:rsidP="006654AE">
      <w:r w:rsidRPr="00DF38B2">
        <w:t>Several of the financial options available through the measure were noted in the social work assessment reports as helping to provide additional financial security for people. Six people were reportedly using daily or weekly allocations to the BasicsCard</w:t>
      </w:r>
      <w:r w:rsidR="00935124">
        <w:t>,</w:t>
      </w:r>
      <w:r w:rsidRPr="00DF38B2">
        <w:t xml:space="preserve"> and two were using store allocations rather than the BasicsCard to reduce </w:t>
      </w:r>
      <w:r w:rsidR="00935124" w:rsidRPr="00DF38B2">
        <w:t xml:space="preserve">further </w:t>
      </w:r>
      <w:r w:rsidR="00935124">
        <w:t xml:space="preserve">the </w:t>
      </w:r>
      <w:r w:rsidRPr="00DF38B2">
        <w:t xml:space="preserve">incidence of financial harassment. These practices were also flagged within the focus groups as tools commonly used to try and minimise the risk of financial exploitation for people subject to </w:t>
      </w:r>
      <w:r w:rsidRPr="00DF38B2">
        <w:lastRenderedPageBreak/>
        <w:t>this measure. However, data from both the assessment reports and focus groups found that many people were reported as continuing to experience financial harassment even with these safeguards in place.</w:t>
      </w:r>
    </w:p>
    <w:p w:rsidR="00417B51" w:rsidRPr="00DF38B2" w:rsidRDefault="00417B51" w:rsidP="006654AE">
      <w:r w:rsidRPr="00DF38B2">
        <w:t>Several people were noted in the assessment reports to have additional safeguards put in place, either in a formal or informal capacity, to protect them from ongoing financial exploitation or harassment. In terms of formal processes, two people had made payment nominee arrangements which assisted with reducing financial exploitation from family members. Alternatively, three people received informal support from local shop owners, community support services or aged care providers. This support included holding the person’s BasicsCard to prevent it from being stolen</w:t>
      </w:r>
      <w:r w:rsidR="00935124">
        <w:t>,</w:t>
      </w:r>
      <w:r w:rsidRPr="00DF38B2">
        <w:t xml:space="preserve"> or not disclosing the full amount of funds available when family members were present. These approaches to providing greater support to the most vulnerable clients were also described across the focus groups. </w:t>
      </w:r>
    </w:p>
    <w:p w:rsidR="00417B51" w:rsidRPr="00DF38B2" w:rsidRDefault="00417B51" w:rsidP="006654AE">
      <w:pPr>
        <w:pStyle w:val="Heading4"/>
      </w:pPr>
      <w:r w:rsidRPr="00DF38B2">
        <w:t>Financial management</w:t>
      </w:r>
    </w:p>
    <w:p w:rsidR="00417B51" w:rsidRPr="00DF38B2" w:rsidRDefault="00417B51" w:rsidP="006654AE">
      <w:r w:rsidRPr="00DF38B2">
        <w:t xml:space="preserve">Ten people were noted in their </w:t>
      </w:r>
      <w:r w:rsidR="00060511">
        <w:t>DHS</w:t>
      </w:r>
      <w:r w:rsidRPr="00DF38B2">
        <w:t xml:space="preserve"> social work assessment report to have spoken about the personal benefits of Vulnerable Income Management in terms of ensuring that sufficient funds were available for essential items, such as food. These people reportedly noted that without the allocation of funds onto the BasicsCard they would either be more likely to spend the money on drugs and alcohol, or be subject to greater financial harassment.</w:t>
      </w:r>
    </w:p>
    <w:p w:rsidR="00417B51" w:rsidRPr="00DF38B2" w:rsidRDefault="00417B51" w:rsidP="006654AE">
      <w:r w:rsidRPr="00DF38B2">
        <w:t xml:space="preserve">Almost half of those being assessed (n=13) were identified in their assessment report as having a reduced cognitive capacity due to the nature of their disability, which limited their ability to manage their funds without assistance. In these instances the measure was viewed as beneficial in assisting with money management and providing some protection from financial harassment or exploitation. It was noted by social workers within these assessments that people in this group were unlikely to benefit from financial counselling or money management courses. </w:t>
      </w:r>
    </w:p>
    <w:p w:rsidR="00417B51" w:rsidRPr="00DF38B2" w:rsidRDefault="00417B51" w:rsidP="006654AE">
      <w:r w:rsidRPr="00DF38B2">
        <w:t xml:space="preserve">Only two social work assessment reports noted that the person may benefit from attending financial counselling or a money management course. In these instances, attending a course was viewed as contributing to a pathway off income management. Data from the focus groups with social workers supported these findings. These services were seen to have limited benefits to most of the people subject to Vulnerable Income Management due to their cognitive abilities or advanced age. However, with younger people, these services were seen to potentially benefit them and assist with moving them off the measure. But it was noted that for this group they needed more than just learning about </w:t>
      </w:r>
      <w:r w:rsidR="00935124">
        <w:t xml:space="preserve">managing </w:t>
      </w:r>
      <w:r w:rsidRPr="00DF38B2">
        <w:t>money – they needed support to learn a range of life skills such as cooking. As one social worker explained:</w:t>
      </w:r>
    </w:p>
    <w:p w:rsidR="00417B51" w:rsidRPr="00DF38B2" w:rsidRDefault="00417B51" w:rsidP="006654AE">
      <w:pPr>
        <w:pStyle w:val="Quote2"/>
      </w:pPr>
      <w:r w:rsidRPr="00DF38B2">
        <w:t>It</w:t>
      </w:r>
      <w:r w:rsidR="00646533">
        <w:t>’</w:t>
      </w:r>
      <w:r w:rsidRPr="00DF38B2">
        <w:t>s more than just money – they need to have classes around nutrition, how to cook simple quick meals. (</w:t>
      </w:r>
      <w:r w:rsidR="00060511">
        <w:t>DHS</w:t>
      </w:r>
      <w:r w:rsidRPr="00DF38B2">
        <w:t xml:space="preserve"> Social Worker)</w:t>
      </w:r>
    </w:p>
    <w:p w:rsidR="00417B51" w:rsidRPr="00DF38B2" w:rsidRDefault="00417B51" w:rsidP="006654AE">
      <w:r w:rsidRPr="00DF38B2">
        <w:t xml:space="preserve">When reviewing a person’s </w:t>
      </w:r>
      <w:r w:rsidR="00060511">
        <w:t>DHS</w:t>
      </w:r>
      <w:r w:rsidRPr="00DF38B2">
        <w:t xml:space="preserve"> file, social work assessors had access to financial transaction records relating to expenditure of income support and could gather information including the number of times a person: had requested crisis payments or urgent payments; had requested a replacement BasicsCard; had insufficient funds to make a transaction; or used the incorrect pin number when using their BasicsCard. Assessors could also review a person’s typical spending patterns, including where they used their BasicsCard and the pattern of spending on the card. This information then forms part of the assessment of a person’s financial management skills and their ongoing need for Vulnerable Income Management. Of the 13 people who were assessed as being vulnerable to ongoing financial hardship, </w:t>
      </w:r>
      <w:r w:rsidR="00646533">
        <w:t>nine</w:t>
      </w:r>
      <w:r w:rsidRPr="00DF38B2">
        <w:t xml:space="preserve"> of the assessments used the person’s income support expenditure information as part of the rationale for continuation on the vulnerable measure. </w:t>
      </w:r>
    </w:p>
    <w:p w:rsidR="00417B51" w:rsidRPr="00DF38B2" w:rsidRDefault="00417B51" w:rsidP="006654AE">
      <w:pPr>
        <w:pStyle w:val="Heading3"/>
      </w:pPr>
      <w:bookmarkStart w:id="631" w:name="_Toc403739143"/>
      <w:r w:rsidRPr="00DF38B2">
        <w:t>Services to support people on Vulnerable Income Management</w:t>
      </w:r>
      <w:bookmarkEnd w:id="631"/>
    </w:p>
    <w:p w:rsidR="00417B51" w:rsidRPr="00DF38B2" w:rsidRDefault="00417B51" w:rsidP="006654AE">
      <w:r w:rsidRPr="00DF38B2">
        <w:t>Across the focus groups a common issue raised was the limited services available</w:t>
      </w:r>
      <w:r w:rsidR="009968AA">
        <w:t>, especially in remote areas,</w:t>
      </w:r>
      <w:r w:rsidRPr="00DF38B2">
        <w:t xml:space="preserve"> to support people on Vulnerable Income Management: </w:t>
      </w:r>
    </w:p>
    <w:p w:rsidR="00417B51" w:rsidRPr="00DF38B2" w:rsidRDefault="00417B51" w:rsidP="006654AE">
      <w:pPr>
        <w:pStyle w:val="Quote2"/>
      </w:pPr>
      <w:r w:rsidRPr="00DF38B2">
        <w:t>I worry about identifying people’s vulnerabilities</w:t>
      </w:r>
      <w:r w:rsidR="00646533">
        <w:t>,</w:t>
      </w:r>
      <w:r w:rsidRPr="00DF38B2">
        <w:t xml:space="preserve"> but having nothing to support them. (</w:t>
      </w:r>
      <w:r w:rsidR="00060511">
        <w:t>DHS</w:t>
      </w:r>
      <w:r w:rsidRPr="00DF38B2">
        <w:t xml:space="preserve"> Social Worker)</w:t>
      </w:r>
    </w:p>
    <w:p w:rsidR="00417B51" w:rsidRPr="00DF38B2" w:rsidRDefault="00417B51" w:rsidP="006654AE">
      <w:pPr>
        <w:pStyle w:val="Quote2"/>
      </w:pPr>
      <w:r w:rsidRPr="00DF38B2">
        <w:t>How can you get people to a point where they can be independent when there are no services?</w:t>
      </w:r>
      <w:r w:rsidR="00B84AFE">
        <w:t xml:space="preserve"> </w:t>
      </w:r>
      <w:r w:rsidRPr="00DF38B2">
        <w:t>(</w:t>
      </w:r>
      <w:r w:rsidR="00060511">
        <w:t>DHS</w:t>
      </w:r>
      <w:r w:rsidRPr="00DF38B2">
        <w:t xml:space="preserve"> Social Worker)</w:t>
      </w:r>
    </w:p>
    <w:p w:rsidR="00417B51" w:rsidRPr="00DF38B2" w:rsidRDefault="00417B51" w:rsidP="006654AE">
      <w:pPr>
        <w:pStyle w:val="Quote2"/>
      </w:pPr>
      <w:r w:rsidRPr="00DF38B2">
        <w:lastRenderedPageBreak/>
        <w:t>There are services but they’re pretty limited, for example there are only two alcohol rehabilitation services in Central Australia. (</w:t>
      </w:r>
      <w:r w:rsidR="00060511">
        <w:t>DHS</w:t>
      </w:r>
      <w:r w:rsidRPr="00DF38B2">
        <w:t xml:space="preserve"> Social Worker)</w:t>
      </w:r>
    </w:p>
    <w:p w:rsidR="00417B51" w:rsidRPr="00DF38B2" w:rsidRDefault="00417B51" w:rsidP="006654AE">
      <w:r w:rsidRPr="00DF38B2">
        <w:t xml:space="preserve">Often the only service or support identified by focus group participants as being consistently available to people on the measure was the </w:t>
      </w:r>
      <w:r w:rsidR="00060511">
        <w:t>DHS</w:t>
      </w:r>
      <w:r w:rsidRPr="00DF38B2">
        <w:t xml:space="preserve">: </w:t>
      </w:r>
    </w:p>
    <w:p w:rsidR="00417B51" w:rsidRPr="00DF38B2" w:rsidRDefault="00417B51" w:rsidP="006654AE">
      <w:pPr>
        <w:pStyle w:val="Quote2"/>
      </w:pPr>
      <w:r w:rsidRPr="00DF38B2">
        <w:t>Sometimes the only people actually maintaining these very vulnerable people are Centrelink staff. (</w:t>
      </w:r>
      <w:r w:rsidR="00060511">
        <w:t>DHS</w:t>
      </w:r>
      <w:r w:rsidRPr="00DF38B2">
        <w:t xml:space="preserve"> Social Worker)</w:t>
      </w:r>
    </w:p>
    <w:p w:rsidR="00417B51" w:rsidRPr="00DF38B2" w:rsidRDefault="00417B51" w:rsidP="006654AE">
      <w:r w:rsidRPr="00DF38B2">
        <w:t>Different patterns of interaction between people on the measure and Department of Human Service</w:t>
      </w:r>
      <w:r w:rsidR="00646533">
        <w:t>s</w:t>
      </w:r>
      <w:r w:rsidRPr="00DF38B2">
        <w:t xml:space="preserve"> </w:t>
      </w:r>
      <w:r w:rsidR="00646533">
        <w:t xml:space="preserve">staff </w:t>
      </w:r>
      <w:r w:rsidRPr="00DF38B2">
        <w:t xml:space="preserve">were evident from the social work assessment report reviews. Several of the assessment subjects were noted to be well known to Centrelink staff due to seeking regular assistance from Customer Service Officers and social workers. Contact was often initiated due to issues relating to financial hardship or financial exploitation. People subject to the assessments were reported to frequently seek replacements of their BasicsCard, make changes to income management allocations, and seek advice as to how to manage financially. One person was noted </w:t>
      </w:r>
      <w:r w:rsidR="0002698C">
        <w:t>as having</w:t>
      </w:r>
      <w:r w:rsidR="0002698C" w:rsidRPr="00DF38B2">
        <w:t xml:space="preserve"> </w:t>
      </w:r>
      <w:r w:rsidRPr="00DF38B2">
        <w:t>request</w:t>
      </w:r>
      <w:r w:rsidR="0002698C">
        <w:t>ed</w:t>
      </w:r>
      <w:r w:rsidRPr="00DF38B2">
        <w:t xml:space="preserve"> a replacement of his BasicsCard on 46 occasions over the preceding 12</w:t>
      </w:r>
      <w:r w:rsidR="00646533">
        <w:t>-</w:t>
      </w:r>
      <w:r w:rsidRPr="00DF38B2">
        <w:t xml:space="preserve">month period. His file indicated that he had both a disability and </w:t>
      </w:r>
      <w:r w:rsidR="00646533">
        <w:t xml:space="preserve">a </w:t>
      </w:r>
      <w:r w:rsidRPr="00DF38B2">
        <w:t>mental health issue, had alcohol dependency issues and was the victim of financial exploitation by parties unknown. While this person requested exceptional</w:t>
      </w:r>
      <w:r w:rsidR="002604C3" w:rsidRPr="00DF38B2">
        <w:t xml:space="preserve">ly frequent </w:t>
      </w:r>
      <w:r w:rsidRPr="00DF38B2">
        <w:t>replacement of his BasicsCard, it was not unusual for people to be recorded in their assessment as having requested numerous replacements</w:t>
      </w:r>
      <w:r w:rsidR="00A1421A">
        <w:t xml:space="preserve">. </w:t>
      </w:r>
      <w:r w:rsidRPr="00DF38B2">
        <w:t xml:space="preserve">These findings are also reflected in the administrative data from the </w:t>
      </w:r>
      <w:r w:rsidR="00060511">
        <w:t>DHS</w:t>
      </w:r>
      <w:r w:rsidR="00646533">
        <w:t>,</w:t>
      </w:r>
      <w:r w:rsidRPr="00DF38B2">
        <w:t xml:space="preserve"> which showed high rates of replacements of BasicsCards for people subject to this measure compared to other measures (frequency of replacement BasicsCards is discussed in detail in Chapter 6). This was also supported by interviews with social workers and other intermediaries</w:t>
      </w:r>
      <w:r w:rsidR="00646533">
        <w:t>,</w:t>
      </w:r>
      <w:r w:rsidRPr="00DF38B2">
        <w:t xml:space="preserve"> who noted that high levels of BasicsCard replacements could be an indicator of financial harassment or self</w:t>
      </w:r>
      <w:r w:rsidR="00646533">
        <w:t>-</w:t>
      </w:r>
      <w:r w:rsidRPr="00DF38B2">
        <w:t xml:space="preserve">care issues. </w:t>
      </w:r>
    </w:p>
    <w:p w:rsidR="00417B51" w:rsidRPr="00DF38B2" w:rsidRDefault="00417B51" w:rsidP="006654AE">
      <w:r w:rsidRPr="00DF38B2">
        <w:t xml:space="preserve">Focus group participants spoke of the assessment process for Vulnerable Income Management as providing an opportunity to engage and connect </w:t>
      </w:r>
      <w:r w:rsidR="00646533" w:rsidRPr="00DF38B2">
        <w:t xml:space="preserve">regularly </w:t>
      </w:r>
      <w:r w:rsidRPr="00DF38B2">
        <w:t>with people subject to the measure and to work with them to make improvements to their personal circumstances. Even when support services were available, it was noted that it could take recipients time to accept referrals, and so opportunities for repeated contact were deemed to be useful:</w:t>
      </w:r>
    </w:p>
    <w:p w:rsidR="00417B51" w:rsidRPr="00DF38B2" w:rsidRDefault="00417B51" w:rsidP="006654AE">
      <w:pPr>
        <w:pStyle w:val="Quote2"/>
      </w:pPr>
      <w:r w:rsidRPr="00DF38B2">
        <w:t>It allows us to do some good social work, empower and build self-esteem. (Human Services Social Worker)</w:t>
      </w:r>
    </w:p>
    <w:p w:rsidR="00417B51" w:rsidRPr="00DF38B2" w:rsidRDefault="00417B51" w:rsidP="006654AE">
      <w:pPr>
        <w:pStyle w:val="Quote2"/>
      </w:pPr>
      <w:r w:rsidRPr="00DF38B2">
        <w:t>Social work involvement is a big benefit. That customer is on social work’s radar</w:t>
      </w:r>
      <w:r w:rsidR="00646533">
        <w:t xml:space="preserve"> </w:t>
      </w:r>
      <w:r w:rsidRPr="00DF38B2">
        <w:t>… this means you touch base with the customer every now and then and you are able to offer and re-offer services. You need to offer some referrals such as meals on wheels multiple times before the customer will take it up. (Human Services Social Worker)</w:t>
      </w:r>
    </w:p>
    <w:p w:rsidR="00417B51" w:rsidRPr="00DF38B2" w:rsidRDefault="00417B51" w:rsidP="006654AE">
      <w:r w:rsidRPr="00DF38B2">
        <w:t xml:space="preserve">Aside from the </w:t>
      </w:r>
      <w:r w:rsidR="00060511">
        <w:t>DHS</w:t>
      </w:r>
      <w:r w:rsidRPr="00DF38B2">
        <w:t>, it was noted in the social work assessment reports that those being assessed experienced varying degrees of support from other agencies within their community. Five of the eight people with mental health issues had regular contact with a medical service due to issues with medication management. Some older people were linked to community service or aged care providers, and receive</w:t>
      </w:r>
      <w:r w:rsidR="00646533">
        <w:t>d</w:t>
      </w:r>
      <w:r w:rsidRPr="00DF38B2">
        <w:t xml:space="preserve"> Home and Community Care (HACC) packages (n=3) and/or Meals on Wheels (n=3), or reside</w:t>
      </w:r>
      <w:r w:rsidR="00646533">
        <w:t>d</w:t>
      </w:r>
      <w:r w:rsidRPr="00DF38B2">
        <w:t xml:space="preserve"> in a residential aged care facility (n=2). These support services tended to result in regular monitoring of the person’s circumstances and wellbeing. However, others were noted in the reports as saying they had accessed community supports, such as shelters or crisis accommodation on an ad hoc basis only</w:t>
      </w:r>
      <w:r w:rsidR="00646533">
        <w:t xml:space="preserve"> </w:t>
      </w:r>
      <w:r w:rsidR="00646533" w:rsidRPr="00DF38B2">
        <w:t>(n=4)</w:t>
      </w:r>
      <w:r w:rsidR="00646533">
        <w:t>,</w:t>
      </w:r>
      <w:r w:rsidRPr="00DF38B2">
        <w:t xml:space="preserve"> and a number of people being assessed had no identified supports. </w:t>
      </w:r>
    </w:p>
    <w:p w:rsidR="00417B51" w:rsidRPr="00DF38B2" w:rsidRDefault="00417B51" w:rsidP="006654AE">
      <w:pPr>
        <w:pStyle w:val="Heading3"/>
      </w:pPr>
      <w:bookmarkStart w:id="632" w:name="_Toc403739144"/>
      <w:r w:rsidRPr="00DF38B2">
        <w:t>Informal support and family relationships</w:t>
      </w:r>
      <w:bookmarkEnd w:id="632"/>
    </w:p>
    <w:p w:rsidR="00417B51" w:rsidRPr="00DF38B2" w:rsidRDefault="00417B51" w:rsidP="006654AE">
      <w:r w:rsidRPr="00DF38B2">
        <w:t xml:space="preserve">In 12 of the reviewed social work assessment reports there were no identified informal supports that the people being assessed regularly utilised. This finding was not dependent on whether the person had been directly involved in the assessment process and </w:t>
      </w:r>
      <w:r w:rsidR="005B4B89">
        <w:t xml:space="preserve">was </w:t>
      </w:r>
      <w:r w:rsidRPr="00DF38B2">
        <w:t>therefore able to identify informal supports, although each of the six people who took part in a face-to-face assessment did have some form of informal support. The group in which no informal supports were noted tended to experience multiple vulnerabilities, with the majority having a disability or mental health issue in conjunction with alcohol and/or drug dependency</w:t>
      </w:r>
      <w:r w:rsidR="005B4B89">
        <w:t>,</w:t>
      </w:r>
      <w:r w:rsidRPr="00DF38B2">
        <w:t xml:space="preserve"> and were either peripatetic or living in long grass</w:t>
      </w:r>
      <w:r w:rsidR="00A1421A">
        <w:t xml:space="preserve">. </w:t>
      </w:r>
    </w:p>
    <w:p w:rsidR="00417B51" w:rsidRPr="00DF38B2" w:rsidRDefault="00417B51" w:rsidP="006654AE">
      <w:r w:rsidRPr="00DF38B2">
        <w:lastRenderedPageBreak/>
        <w:t xml:space="preserve">In the reviewed social work assessments the 18 people who were noted as having informal support networks commonly lived with or close to a family member or friend. For 11, their housing situation was relatively stable, although overcrowding was noted in a couple of instances. The family members or friends were usually considered to be supportive of the recipient, with a couple of people having elected to move in with family members for additional protection from financial harassment and exploitation from other family members. </w:t>
      </w:r>
    </w:p>
    <w:p w:rsidR="00417B51" w:rsidRPr="00DF38B2" w:rsidRDefault="00417B51" w:rsidP="006654AE">
      <w:pPr>
        <w:pStyle w:val="Heading3"/>
        <w:rPr>
          <w:lang w:eastAsia="en-US"/>
        </w:rPr>
      </w:pPr>
      <w:bookmarkStart w:id="633" w:name="_Toc403739145"/>
      <w:r w:rsidRPr="001D25DF">
        <w:t>Pathways</w:t>
      </w:r>
      <w:r w:rsidRPr="00DF38B2">
        <w:rPr>
          <w:lang w:eastAsia="en-US"/>
        </w:rPr>
        <w:t xml:space="preserve"> off Vulnerable Income Management</w:t>
      </w:r>
      <w:bookmarkEnd w:id="633"/>
    </w:p>
    <w:p w:rsidR="00417B51" w:rsidRPr="00DF38B2" w:rsidRDefault="00417B51" w:rsidP="006654AE">
      <w:r w:rsidRPr="00DF38B2">
        <w:t xml:space="preserve">Most </w:t>
      </w:r>
      <w:r w:rsidR="00060511">
        <w:t>DHS</w:t>
      </w:r>
      <w:r w:rsidRPr="00DF38B2">
        <w:t xml:space="preserve"> social workers who took part in the focus groups noted that they had never taken someone off Vulnerable Income Management following an assessment. This was seen to reflect the nature of </w:t>
      </w:r>
      <w:r w:rsidR="005B4B89">
        <w:t xml:space="preserve">the </w:t>
      </w:r>
      <w:r w:rsidRPr="00DF38B2">
        <w:t>population on the measure</w:t>
      </w:r>
      <w:r w:rsidR="009968AA">
        <w:t xml:space="preserve"> </w:t>
      </w:r>
      <w:r w:rsidR="009968AA" w:rsidRPr="009968AA">
        <w:t>particularly people in receipt of Age Pension and Disability Support Pension. People in receipt of those payments who have complex and chronic health problems are less likely to meet the criteria to exit from the measure</w:t>
      </w:r>
      <w:r w:rsidR="00A1421A">
        <w:t xml:space="preserve">. </w:t>
      </w:r>
      <w:r w:rsidRPr="00DF38B2">
        <w:t>Social workers reported that when they did make an assessment that someone should come off the measure this decision was heavily scrutinised. The most common</w:t>
      </w:r>
      <w:r w:rsidR="005B4B89">
        <w:t>ly</w:t>
      </w:r>
      <w:r w:rsidRPr="00DF38B2">
        <w:t xml:space="preserve"> identified pathway off the measure was when someone subject to it moved into supported accommodation. The exceptions to this were young people who had been placed on the measure through automatic triggers. For this group, access to employment or study was seen as a pathway off the measure. However, it was noted that opportunities for both employment and study were limited within many remote communities. </w:t>
      </w:r>
    </w:p>
    <w:p w:rsidR="00417B51" w:rsidRPr="00DF38B2" w:rsidRDefault="00417B51" w:rsidP="006654AE">
      <w:r w:rsidRPr="00DF38B2">
        <w:t>While Adult Guardianship was another pathway</w:t>
      </w:r>
      <w:r w:rsidR="005B4B89">
        <w:t>,</w:t>
      </w:r>
      <w:r w:rsidRPr="00DF38B2">
        <w:t xml:space="preserve"> this was seen as being problematic in remote communities where there is little infrastructure to support people through this measure.</w:t>
      </w:r>
      <w:r w:rsidR="009968AA">
        <w:rPr>
          <w:rStyle w:val="FootnoteReference"/>
        </w:rPr>
        <w:footnoteReference w:id="139"/>
      </w:r>
      <w:r w:rsidRPr="00DF38B2">
        <w:t xml:space="preserve"> It also took a long time for assessments and decisions to be undertaken. Social Workers in many cases stated that income management provided greater supports for these people in remote communities. Often even when people transition</w:t>
      </w:r>
      <w:r w:rsidR="005B4B89">
        <w:t>ed</w:t>
      </w:r>
      <w:r w:rsidRPr="00DF38B2">
        <w:t xml:space="preserve"> from Vulnerable Income Management to Adult Guardianship, the Adult Guardian as their nominee w</w:t>
      </w:r>
      <w:r w:rsidR="005B4B89">
        <w:t>ould</w:t>
      </w:r>
      <w:r w:rsidRPr="00DF38B2">
        <w:t xml:space="preserve"> often then put them onto Voluntary Income Management. As one social worker noted:</w:t>
      </w:r>
    </w:p>
    <w:p w:rsidR="00417B51" w:rsidRPr="00DF38B2" w:rsidRDefault="00417B51" w:rsidP="006654AE">
      <w:pPr>
        <w:pStyle w:val="Quote2"/>
      </w:pPr>
      <w:r w:rsidRPr="00DF38B2">
        <w:t>In the Northern Territory, remoteness means infrastructure with Adult Guardianship is not robust and the Adult Guardianship tools are less extensive than income management tools. (</w:t>
      </w:r>
      <w:r w:rsidR="00060511">
        <w:t>DHS</w:t>
      </w:r>
      <w:r w:rsidRPr="00DF38B2">
        <w:t xml:space="preserve"> Social Worker)</w:t>
      </w:r>
    </w:p>
    <w:p w:rsidR="00417B51" w:rsidRPr="00DF38B2" w:rsidRDefault="00417B51" w:rsidP="006654AE">
      <w:r w:rsidRPr="00DF38B2">
        <w:t xml:space="preserve">Two out of the </w:t>
      </w:r>
      <w:r w:rsidR="00CC6215">
        <w:t>30</w:t>
      </w:r>
      <w:r w:rsidR="00CC6215" w:rsidRPr="00DF38B2">
        <w:t xml:space="preserve"> </w:t>
      </w:r>
      <w:r w:rsidRPr="00DF38B2">
        <w:t xml:space="preserve">people being assessed in the reviewed social work assessment reports were deemed during the assessment process as no longer requiring the measure. In both these cases, the reason for ceasing the measure related to the person no longer being eligible due to payment nominee arrangements having been put in place. According to social security policy, payment nominee arrangements cannot co-occur with </w:t>
      </w:r>
      <w:r w:rsidR="00711BD2">
        <w:t>V</w:t>
      </w:r>
      <w:r w:rsidRPr="00DF38B2">
        <w:t xml:space="preserve">ulnerable </w:t>
      </w:r>
      <w:r w:rsidR="00711BD2">
        <w:t>I</w:t>
      </w:r>
      <w:r w:rsidRPr="00DF38B2">
        <w:t xml:space="preserve">ncome </w:t>
      </w:r>
      <w:r w:rsidR="00711BD2">
        <w:t>M</w:t>
      </w:r>
      <w:r w:rsidRPr="00DF38B2">
        <w:t xml:space="preserve">anagement arrangements when the payment nominee has been classified as an </w:t>
      </w:r>
      <w:r w:rsidR="005B4B89">
        <w:t>“</w:t>
      </w:r>
      <w:r w:rsidRPr="00DF38B2">
        <w:t>excluded payment nominee for income management purposes</w:t>
      </w:r>
      <w:r w:rsidR="005B4B89">
        <w:t>”</w:t>
      </w:r>
      <w:r w:rsidR="00A1421A">
        <w:t xml:space="preserve">. </w:t>
      </w:r>
      <w:r w:rsidRPr="00DF38B2">
        <w:t>That is, when the payment nominee is not in receipt of Centrelink payment or income management. In one case, both the person on the measure and the payment nominee expressed a wish that income management continue</w:t>
      </w:r>
      <w:r w:rsidR="005B4B89">
        <w:t>;</w:t>
      </w:r>
      <w:r w:rsidRPr="00DF38B2">
        <w:t xml:space="preserve"> however</w:t>
      </w:r>
      <w:r w:rsidR="005B4B89">
        <w:t>,</w:t>
      </w:r>
      <w:r w:rsidRPr="00DF38B2">
        <w:t xml:space="preserve"> this was not possible unless the payment nominee agreed to take up Voluntary Income Management</w:t>
      </w:r>
      <w:r w:rsidR="005B4B89" w:rsidRPr="005B4B89">
        <w:t xml:space="preserve"> </w:t>
      </w:r>
      <w:r w:rsidR="005B4B89" w:rsidRPr="00DF38B2">
        <w:t>personally</w:t>
      </w:r>
      <w:r w:rsidRPr="00DF38B2">
        <w:t>. Both the person being assessed and the payment nominee identified that the payment nominee</w:t>
      </w:r>
      <w:r w:rsidR="005B4B89">
        <w:t>’</w:t>
      </w:r>
      <w:r w:rsidRPr="00DF38B2">
        <w:t xml:space="preserve">s responsibilities would increase with cessation of the measure as there would be a greater amount of discretionary money for </w:t>
      </w:r>
      <w:r w:rsidR="005B4B89">
        <w:t>them</w:t>
      </w:r>
      <w:r w:rsidRPr="00DF38B2">
        <w:t xml:space="preserve"> to manage. In the other case, it was noted that the financial structures put in place through income management, namely store allocations, had been successful and would need to be replicated through Centrepay arrangements following the cessation of the measure.</w:t>
      </w:r>
    </w:p>
    <w:p w:rsidR="00417B51" w:rsidRPr="00DF38B2" w:rsidRDefault="00417B51" w:rsidP="006654AE">
      <w:r w:rsidRPr="00DF38B2">
        <w:t xml:space="preserve">The analysis in Chapter 4 of this report indicates that </w:t>
      </w:r>
      <w:r w:rsidR="00350406">
        <w:t>86</w:t>
      </w:r>
      <w:r w:rsidR="00350406" w:rsidRPr="00DF38B2">
        <w:t xml:space="preserve"> </w:t>
      </w:r>
      <w:r w:rsidRPr="00DF38B2">
        <w:t>people have exited from Vulnerable Income Management since it was introduced</w:t>
      </w:r>
      <w:r w:rsidR="00A1421A">
        <w:t xml:space="preserve">. </w:t>
      </w:r>
      <w:r w:rsidRPr="00DF38B2">
        <w:t>Of these 30 (</w:t>
      </w:r>
      <w:r w:rsidR="00350406">
        <w:t>28.0</w:t>
      </w:r>
      <w:r w:rsidR="00350406" w:rsidRPr="00DF38B2">
        <w:t xml:space="preserve"> </w:t>
      </w:r>
      <w:r w:rsidRPr="00DF38B2">
        <w:t>per cent) died and most of the rest exited to other income management measures, particularly Voluntary Income Management.</w:t>
      </w:r>
    </w:p>
    <w:p w:rsidR="00417B51" w:rsidRPr="00DF38B2" w:rsidRDefault="00417B51" w:rsidP="006654AE">
      <w:pPr>
        <w:pStyle w:val="Heading2"/>
      </w:pPr>
      <w:bookmarkStart w:id="634" w:name="_Toc403739146"/>
      <w:r w:rsidRPr="00DF38B2">
        <w:t>Summary</w:t>
      </w:r>
      <w:bookmarkEnd w:id="634"/>
    </w:p>
    <w:p w:rsidR="00417B51" w:rsidRPr="00DF38B2" w:rsidRDefault="00417B51" w:rsidP="006654AE">
      <w:r w:rsidRPr="00DF38B2">
        <w:t>This chapter provides analysis of data from D</w:t>
      </w:r>
      <w:r w:rsidR="00BA4E03">
        <w:t>SS</w:t>
      </w:r>
      <w:r w:rsidRPr="00DF38B2">
        <w:t xml:space="preserve"> administrative datasets, interviews with stakeholders and people on assessed Vulnerable Income Management</w:t>
      </w:r>
      <w:r w:rsidR="007903FE">
        <w:t>,</w:t>
      </w:r>
      <w:r w:rsidRPr="00DF38B2">
        <w:t xml:space="preserve"> as well as a review of 30 </w:t>
      </w:r>
      <w:r w:rsidR="00060511">
        <w:t>DHS</w:t>
      </w:r>
      <w:r w:rsidRPr="00DF38B2">
        <w:t xml:space="preserve"> social worker files</w:t>
      </w:r>
      <w:r w:rsidR="00A1421A">
        <w:t xml:space="preserve">. </w:t>
      </w:r>
      <w:r w:rsidRPr="00DF38B2">
        <w:lastRenderedPageBreak/>
        <w:t>Numbers of people on Vulnerable Income Management have fluctuated since its introduction in mid</w:t>
      </w:r>
      <w:r w:rsidR="007903FE">
        <w:t>-</w:t>
      </w:r>
      <w:r w:rsidRPr="00DF38B2">
        <w:t>2010</w:t>
      </w:r>
      <w:r w:rsidR="007903FE">
        <w:t>,</w:t>
      </w:r>
      <w:r w:rsidRPr="00DF38B2">
        <w:t xml:space="preserve"> but have remained between 150</w:t>
      </w:r>
      <w:r w:rsidR="007903FE">
        <w:t>–</w:t>
      </w:r>
      <w:r w:rsidRPr="00DF38B2">
        <w:t>250 people through</w:t>
      </w:r>
      <w:r w:rsidR="007903FE">
        <w:t>out</w:t>
      </w:r>
      <w:r w:rsidRPr="00DF38B2">
        <w:t xml:space="preserve"> most of this period</w:t>
      </w:r>
      <w:r w:rsidR="00A1421A">
        <w:t xml:space="preserve">. </w:t>
      </w:r>
      <w:r w:rsidR="00060511">
        <w:t>DHS</w:t>
      </w:r>
      <w:r w:rsidRPr="00DF38B2">
        <w:t xml:space="preserve"> data show that most people on Vulnerable Income Management are Indigenous people who are in their </w:t>
      </w:r>
      <w:r w:rsidR="007903FE">
        <w:t>thirties</w:t>
      </w:r>
      <w:r w:rsidRPr="00DF38B2">
        <w:t xml:space="preserve"> to </w:t>
      </w:r>
      <w:r w:rsidR="007903FE">
        <w:t>sixties</w:t>
      </w:r>
      <w:r w:rsidRPr="00DF38B2">
        <w:t>, and many have long</w:t>
      </w:r>
      <w:r w:rsidR="007903FE">
        <w:t>-</w:t>
      </w:r>
      <w:r w:rsidRPr="00DF38B2">
        <w:t>term chronic condition</w:t>
      </w:r>
      <w:r w:rsidR="007903FE">
        <w:t>s that</w:t>
      </w:r>
      <w:r w:rsidRPr="00DF38B2">
        <w:t xml:space="preserve"> limit their ability to care for themselves. Most are receiving the Disability Support Pension or the Aged Pension</w:t>
      </w:r>
      <w:r w:rsidR="007903FE">
        <w:t>,</w:t>
      </w:r>
      <w:r w:rsidRPr="00DF38B2">
        <w:t xml:space="preserve"> and data from the focus groups and file assessment reviews </w:t>
      </w:r>
      <w:r w:rsidR="007903FE">
        <w:t xml:space="preserve">demonstrate the </w:t>
      </w:r>
      <w:r w:rsidR="007903FE" w:rsidRPr="00DF38B2">
        <w:t xml:space="preserve">high levels of disability </w:t>
      </w:r>
      <w:r w:rsidRPr="00DF38B2">
        <w:t xml:space="preserve">that this population experiences. </w:t>
      </w:r>
    </w:p>
    <w:p w:rsidR="00417B51" w:rsidRPr="00DF38B2" w:rsidRDefault="00417B51" w:rsidP="006654AE">
      <w:r w:rsidRPr="00DF38B2">
        <w:t>Once on Vulnerable Income Management, findings indicate that very few people exit the measure. While there were differing views about the appropriateness of the measure, most social workers felt that it was beneficial for certain people in that it provided a level of assurance that their money would be spent on basic necessities and that they would not go hungry</w:t>
      </w:r>
      <w:r w:rsidR="00A1421A">
        <w:t xml:space="preserve">. </w:t>
      </w:r>
      <w:r w:rsidRPr="00DF38B2">
        <w:t xml:space="preserve">There was a consensus that the measure provides a degree of </w:t>
      </w:r>
      <w:r w:rsidR="007903FE">
        <w:t>“</w:t>
      </w:r>
      <w:r w:rsidRPr="00DF38B2">
        <w:t>harm minimisation</w:t>
      </w:r>
      <w:r w:rsidR="007903FE">
        <w:t>”</w:t>
      </w:r>
      <w:r w:rsidRPr="00DF38B2">
        <w:t xml:space="preserve"> but does not address the underlying chronic difficulties of the clients which, in their view, require a high level of support that is often not available</w:t>
      </w:r>
      <w:r w:rsidR="00A1421A">
        <w:t xml:space="preserve">. </w:t>
      </w:r>
      <w:r w:rsidRPr="00DF38B2">
        <w:t>The small number of interviews conducted with people on the measure as part of the LSNIM, and reports of clients’ views in the social worker’s files supported social workers’ views that the measure assisted in stabilising their financial situation and reducing financial harassment</w:t>
      </w:r>
      <w:r w:rsidR="00A1421A">
        <w:t xml:space="preserve">. </w:t>
      </w:r>
      <w:r w:rsidRPr="00DF38B2">
        <w:t>For some it had further benefits, facilitating them eating healthily and in general improving their situation</w:t>
      </w:r>
      <w:r w:rsidR="00A1421A">
        <w:t xml:space="preserve">. </w:t>
      </w:r>
      <w:r w:rsidRPr="00DF38B2">
        <w:t xml:space="preserve">Being on the measure </w:t>
      </w:r>
      <w:r w:rsidR="0092436A">
        <w:t xml:space="preserve">was </w:t>
      </w:r>
      <w:r w:rsidRPr="00DF38B2">
        <w:t xml:space="preserve">also seen by social workers as providing </w:t>
      </w:r>
      <w:r w:rsidR="0092436A">
        <w:t xml:space="preserve">both </w:t>
      </w:r>
      <w:r w:rsidRPr="00DF38B2">
        <w:t>access to assessments and contact with Centrelink on a regular basis.</w:t>
      </w:r>
    </w:p>
    <w:p w:rsidR="00417B51" w:rsidRPr="00DF38B2" w:rsidRDefault="00417B51" w:rsidP="006654AE">
      <w:r w:rsidRPr="00DF38B2">
        <w:t xml:space="preserve">Virtually all people on this measure </w:t>
      </w:r>
      <w:r w:rsidR="002A3669">
        <w:t>are</w:t>
      </w:r>
      <w:r w:rsidRPr="00DF38B2">
        <w:t xml:space="preserve"> Indigenous</w:t>
      </w:r>
      <w:r w:rsidR="002A3669">
        <w:t>. T</w:t>
      </w:r>
      <w:r w:rsidRPr="00DF38B2">
        <w:t>his raises the question of whether there may be non-Indigenous people who would meet the vulnerability criteria, especially as</w:t>
      </w:r>
      <w:r w:rsidR="002A3669">
        <w:t>, compared to Indigenous people,</w:t>
      </w:r>
      <w:r w:rsidRPr="00DF38B2">
        <w:t xml:space="preserve"> the numbers of non-Indigenous people receiving the Age Pension and Disability Support Pension </w:t>
      </w:r>
      <w:r w:rsidR="002A3669">
        <w:t xml:space="preserve">(the two welfare payments most common for those Vulnerable Income Management) </w:t>
      </w:r>
      <w:r w:rsidRPr="00DF38B2">
        <w:t>is relatively higher compared to Indigenous people on those measures than those receiving other income support payments, yet the proportion on income management is very much lower.</w:t>
      </w:r>
    </w:p>
    <w:p w:rsidR="003A3B53" w:rsidRDefault="003A3B53" w:rsidP="006654AE">
      <w:pPr>
        <w:spacing w:line="276" w:lineRule="auto"/>
        <w:jc w:val="left"/>
      </w:pPr>
    </w:p>
    <w:p w:rsidR="00EC4A86" w:rsidRDefault="00EC4A86" w:rsidP="006654AE">
      <w:pPr>
        <w:spacing w:line="276" w:lineRule="auto"/>
        <w:jc w:val="left"/>
      </w:pPr>
      <w:r>
        <w:br w:type="page"/>
      </w:r>
    </w:p>
    <w:p w:rsidR="002B02A7" w:rsidRDefault="002B02A7" w:rsidP="006654AE">
      <w:pPr>
        <w:spacing w:line="276" w:lineRule="auto"/>
        <w:jc w:val="left"/>
      </w:pPr>
    </w:p>
    <w:p w:rsidR="00EC4A86" w:rsidRDefault="00EC4A86" w:rsidP="006654AE">
      <w:pPr>
        <w:spacing w:line="276" w:lineRule="auto"/>
        <w:jc w:val="left"/>
        <w:sectPr w:rsidR="00EC4A86" w:rsidSect="00285084">
          <w:headerReference w:type="even" r:id="rId194"/>
          <w:headerReference w:type="default" r:id="rId195"/>
          <w:footerReference w:type="even" r:id="rId196"/>
          <w:footerReference w:type="default" r:id="rId197"/>
          <w:headerReference w:type="first" r:id="rId198"/>
          <w:footerReference w:type="first" r:id="rId199"/>
          <w:pgSz w:w="11906" w:h="16838" w:code="9"/>
          <w:pgMar w:top="1247" w:right="1701" w:bottom="1134" w:left="1871" w:header="567" w:footer="340" w:gutter="0"/>
          <w:cols w:space="708"/>
          <w:titlePg/>
          <w:docGrid w:linePitch="360"/>
        </w:sectPr>
      </w:pPr>
    </w:p>
    <w:p w:rsidR="003A3B53" w:rsidRPr="003A3B53" w:rsidRDefault="003A3B53" w:rsidP="004F3A3D">
      <w:pPr>
        <w:pStyle w:val="Heading1"/>
      </w:pPr>
      <w:bookmarkStart w:id="635" w:name="_Toc403739147"/>
      <w:r w:rsidRPr="003A3B53">
        <w:lastRenderedPageBreak/>
        <w:t>Child Protection Income Management</w:t>
      </w:r>
      <w:bookmarkEnd w:id="635"/>
    </w:p>
    <w:p w:rsidR="009053D1" w:rsidRPr="009053D1" w:rsidRDefault="009053D1" w:rsidP="006654AE">
      <w:pPr>
        <w:spacing w:before="1200"/>
      </w:pPr>
      <w:r w:rsidRPr="009053D1">
        <w:t>This chapter examines the operation and impacts of Child Protection Income Management in the Northern Territory. As has been detailed in Chapter 2, there are a number of distinct characteristics of this program element:</w:t>
      </w:r>
    </w:p>
    <w:p w:rsidR="009053D1" w:rsidRPr="009053D1" w:rsidRDefault="009053D1" w:rsidP="006654AE">
      <w:pPr>
        <w:pStyle w:val="dot"/>
      </w:pPr>
      <w:r w:rsidRPr="009053D1">
        <w:t>Under the measure, 70 per cent of a person’s income support payments are subject to income management rather than the 50 per cent that applies to other forms of New Income Management;</w:t>
      </w:r>
    </w:p>
    <w:p w:rsidR="009053D1" w:rsidRPr="009053D1" w:rsidRDefault="009053D1" w:rsidP="006654AE">
      <w:pPr>
        <w:pStyle w:val="dot"/>
      </w:pPr>
      <w:r w:rsidRPr="009053D1">
        <w:t xml:space="preserve">A person can be placed on the measure for periods of between three and 12 months, with these periods able to be extended on the basis of a review; and </w:t>
      </w:r>
    </w:p>
    <w:p w:rsidR="009053D1" w:rsidRPr="009053D1" w:rsidRDefault="009053D1" w:rsidP="006654AE">
      <w:pPr>
        <w:pStyle w:val="dot"/>
      </w:pPr>
      <w:r w:rsidRPr="009053D1">
        <w:t>As this is the second highest-ranked type of income management in the hierarchy of the measures,</w:t>
      </w:r>
      <w:r w:rsidRPr="009053D1">
        <w:rPr>
          <w:vertAlign w:val="superscript"/>
        </w:rPr>
        <w:footnoteReference w:id="140"/>
      </w:r>
      <w:r w:rsidRPr="009053D1">
        <w:t xml:space="preserve"> people can be moved from other forms of income management onto Child Protection Income Management. </w:t>
      </w:r>
    </w:p>
    <w:p w:rsidR="009053D1" w:rsidRPr="009053D1" w:rsidRDefault="009053D1" w:rsidP="006654AE">
      <w:pPr>
        <w:spacing w:before="100" w:beforeAutospacing="1" w:after="100" w:afterAutospacing="1"/>
      </w:pPr>
      <w:r w:rsidRPr="009053D1">
        <w:t xml:space="preserve">In large part the results presented in this Chapter are from a sub-study focused specifically on the child protection measure. The sub-study was conducted in order to provide detailed information about this measure, which was not able to be examined in depth in the first evaluation report. As was reported on in the first evaluation report, the relatively small numbers of people on Child Protection Income Management meant that very limited data were available to assess the effectiveness of the measure at that stage. This limitation </w:t>
      </w:r>
      <w:r w:rsidR="0002698C">
        <w:t>arose from several factors including the</w:t>
      </w:r>
      <w:r w:rsidRPr="009053D1">
        <w:t xml:space="preserve"> sample size and sampling methodology of the LSNIM. Qualitative interviews associated with the LSNIM also did not specifically identify issues related to Child Protection Income Management.</w:t>
      </w:r>
      <w:r w:rsidRPr="0002698C">
        <w:rPr>
          <w:vertAlign w:val="superscript"/>
        </w:rPr>
        <w:footnoteReference w:id="141"/>
      </w:r>
      <w:r w:rsidRPr="009053D1">
        <w:t xml:space="preserve"> Furthermore, the different referral pathway for this measure and the specific services associated with it required a separate sub-study to be conducted. Of particular note is the relationship with IFSS, a Commonwealth-funded family support service that aims to provide highly vulnerable families with access to evidence-based, intensive parenting support in their homes and communities and to assist the development of parenting skills. IFSS is available in a range of locations across the Northern Territory, with access to the service being available to families for a period of up to 12 months where a parent is on Child Protection Income Management and there are children aged 0 to 12 years within the family</w:t>
      </w:r>
      <w:r w:rsidRPr="009053D1">
        <w:rPr>
          <w:vertAlign w:val="superscript"/>
        </w:rPr>
        <w:t>.</w:t>
      </w:r>
      <w:r w:rsidRPr="009053D1">
        <w:rPr>
          <w:vertAlign w:val="superscript"/>
        </w:rPr>
        <w:footnoteReference w:id="142"/>
      </w:r>
      <w:r w:rsidRPr="009053D1">
        <w:rPr>
          <w:vertAlign w:val="superscript"/>
        </w:rPr>
        <w:t xml:space="preserve"> </w:t>
      </w:r>
      <w:r w:rsidRPr="009053D1">
        <w:rPr>
          <w:vertAlign w:val="superscript"/>
        </w:rPr>
        <w:footnoteReference w:id="143"/>
      </w:r>
    </w:p>
    <w:p w:rsidR="009053D1" w:rsidRPr="009053D1" w:rsidRDefault="009053D1" w:rsidP="006654AE">
      <w:r w:rsidRPr="009053D1">
        <w:lastRenderedPageBreak/>
        <w:t>For this reason, in this second phase of the evaluation a more focused study of Child Protection Income Management and its impact on children and families has been undertaken. As with the overall evaluation, this study involved a range of methods that have allowed findings to be triangulated in order to allow for a deeper understanding of the issues. While some of these data sources are the same as those used in the overall evaluation, additional methods and resources were used in this sub-study, including accessing case file material from Department of Children and Families via caseworker interviews, and more general interviews with caseworkers and a small number of IFSS staff. The study also drew on some of the material generated for the IFSS evaluations which is specifically relevant to Child Protection Income Management.</w:t>
      </w:r>
    </w:p>
    <w:p w:rsidR="009053D1" w:rsidRPr="009053D1" w:rsidRDefault="009053D1" w:rsidP="006654AE">
      <w:pPr>
        <w:spacing w:after="120"/>
      </w:pPr>
      <w:r w:rsidRPr="009053D1">
        <w:t>The aims of this component of the evaluation are to:</w:t>
      </w:r>
    </w:p>
    <w:p w:rsidR="009053D1" w:rsidRPr="009053D1" w:rsidRDefault="009053D1" w:rsidP="006654AE">
      <w:pPr>
        <w:pStyle w:val="dot"/>
      </w:pPr>
      <w:r w:rsidRPr="009053D1">
        <w:t>assess the impact of Child Protection Income Management on children and families in relation to children’s wellbeing and safety for different groups of clients on Child Protection Income Management</w:t>
      </w:r>
    </w:p>
    <w:p w:rsidR="009053D1" w:rsidRPr="009053D1" w:rsidRDefault="009053D1" w:rsidP="006654AE">
      <w:pPr>
        <w:pStyle w:val="dot"/>
      </w:pPr>
      <w:r w:rsidRPr="009053D1">
        <w:t>identify which groups of clients are most/least likely to benefit from Child Protection Income Management</w:t>
      </w:r>
    </w:p>
    <w:p w:rsidR="009053D1" w:rsidRPr="009053D1" w:rsidRDefault="009053D1" w:rsidP="006654AE">
      <w:pPr>
        <w:pStyle w:val="dot"/>
      </w:pPr>
      <w:r w:rsidRPr="009053D1">
        <w:t>study the reasons for Department of Children and Families clients being referred or not referred to Child Protection Income Management</w:t>
      </w:r>
    </w:p>
    <w:p w:rsidR="009053D1" w:rsidRPr="009053D1" w:rsidRDefault="009053D1" w:rsidP="006654AE">
      <w:pPr>
        <w:pStyle w:val="dot"/>
      </w:pPr>
      <w:r w:rsidRPr="009053D1">
        <w:t>examine the services and supports families have accessed while on Child Protection Income Management</w:t>
      </w:r>
    </w:p>
    <w:p w:rsidR="009053D1" w:rsidRPr="009053D1" w:rsidRDefault="009053D1" w:rsidP="006654AE">
      <w:pPr>
        <w:pStyle w:val="dot"/>
      </w:pPr>
      <w:proofErr w:type="gramStart"/>
      <w:r w:rsidRPr="009053D1">
        <w:t>understand</w:t>
      </w:r>
      <w:proofErr w:type="gramEnd"/>
      <w:r w:rsidRPr="009053D1">
        <w:t xml:space="preserve"> why Child Protection Income Management has been renewed or discontinued and whether clients have continued on other forms of income management following exit Child Protection Income Management.</w:t>
      </w:r>
    </w:p>
    <w:p w:rsidR="009053D1" w:rsidRPr="009053D1" w:rsidRDefault="009053D1" w:rsidP="006654AE">
      <w:r w:rsidRPr="009053D1">
        <w:t xml:space="preserve">The research also examined the operation of the referral process from </w:t>
      </w:r>
      <w:r w:rsidR="0002698C">
        <w:t xml:space="preserve">the </w:t>
      </w:r>
      <w:r w:rsidRPr="009053D1">
        <w:t>Department of Children and Families to DHS. As indicated above, although limited findings about this program were made in the first evaluation report,</w:t>
      </w:r>
      <w:r w:rsidR="0002698C">
        <w:t xml:space="preserve"> one issue that was identified in </w:t>
      </w:r>
      <w:r w:rsidRPr="009053D1">
        <w:t xml:space="preserve"> the qualitative interviews with DHS and Department of Children and Families staff as </w:t>
      </w:r>
      <w:r w:rsidR="0002698C">
        <w:t>part of the</w:t>
      </w:r>
      <w:r w:rsidRPr="009053D1">
        <w:t xml:space="preserve"> first stage of the evaluation </w:t>
      </w:r>
      <w:r w:rsidR="0002698C">
        <w:t>was</w:t>
      </w:r>
      <w:r w:rsidR="0002698C" w:rsidRPr="009053D1">
        <w:t xml:space="preserve"> </w:t>
      </w:r>
      <w:r w:rsidRPr="009053D1">
        <w:t>that many workers were reluctant to refer people to Child Protection Income Management. Reasons for this reluctance included: beliefs about whether or not income management was an appropriate policy response to child protection needs, ideological objections to the measure, the fact that most clients were already subject to income management, and the added administrative burden on Department of Children and Families staff of maintaining clients on Child Protection Income Management. One specific issue that was raised relating to the administration of the process was a requirement to keep case files open for the duration of time a person was on Child Protection Income Management. This requirement has since been relaxed.</w:t>
      </w:r>
    </w:p>
    <w:p w:rsidR="009053D1" w:rsidRPr="009053D1" w:rsidRDefault="009053D1" w:rsidP="006654AE">
      <w:pPr>
        <w:pStyle w:val="Heading2"/>
      </w:pPr>
      <w:bookmarkStart w:id="636" w:name="_Toc403739148"/>
      <w:r w:rsidRPr="009053D1">
        <w:t>Methodology and data sources</w:t>
      </w:r>
      <w:bookmarkEnd w:id="636"/>
    </w:p>
    <w:p w:rsidR="009053D1" w:rsidRPr="009053D1" w:rsidRDefault="009053D1" w:rsidP="006654AE">
      <w:r w:rsidRPr="009053D1">
        <w:t>There are six key data sources used in this chapter.</w:t>
      </w:r>
    </w:p>
    <w:p w:rsidR="009053D1" w:rsidRPr="009053D1" w:rsidRDefault="009053D1" w:rsidP="00AD3907">
      <w:pPr>
        <w:pStyle w:val="h4l3"/>
      </w:pPr>
      <w:r w:rsidRPr="009053D1">
        <w:t>DHS administrative data</w:t>
      </w:r>
    </w:p>
    <w:p w:rsidR="009053D1" w:rsidRPr="009053D1" w:rsidRDefault="009053D1" w:rsidP="006654AE">
      <w:r w:rsidRPr="009053D1">
        <w:rPr>
          <w:szCs w:val="19"/>
        </w:rPr>
        <w:t xml:space="preserve">Data provided by </w:t>
      </w:r>
      <w:r w:rsidRPr="009053D1">
        <w:t xml:space="preserve">DHS </w:t>
      </w:r>
      <w:r w:rsidRPr="009053D1">
        <w:rPr>
          <w:szCs w:val="19"/>
        </w:rPr>
        <w:t xml:space="preserve">have been analysed to describe the Child Protection Income Management population and rates of referrals. This includes the number and characteristics of people subject to Child Protection Income Management at December 2013 as well as the numbers of people ever subject to Child Protection Income Management since July 2010 through to December 2013. </w:t>
      </w:r>
    </w:p>
    <w:p w:rsidR="009053D1" w:rsidRPr="009053D1" w:rsidRDefault="009053D1" w:rsidP="006654AE">
      <w:pPr>
        <w:pStyle w:val="Heading4"/>
      </w:pPr>
      <w:r w:rsidRPr="009053D1">
        <w:t>IFSS administrative data</w:t>
      </w:r>
    </w:p>
    <w:p w:rsidR="009053D1" w:rsidRPr="009053D1" w:rsidRDefault="009053D1" w:rsidP="006654AE">
      <w:r w:rsidRPr="009053D1">
        <w:rPr>
          <w:szCs w:val="19"/>
        </w:rPr>
        <w:t xml:space="preserve">Additional information was provided by DSS about the number of Child Protection Income Management clients engaging with the IFSS. </w:t>
      </w:r>
    </w:p>
    <w:p w:rsidR="009053D1" w:rsidRPr="009053D1" w:rsidRDefault="009053D1" w:rsidP="006654AE">
      <w:pPr>
        <w:pStyle w:val="Heading4"/>
      </w:pPr>
      <w:r w:rsidRPr="009053D1">
        <w:t>IFSS Evaluation data</w:t>
      </w:r>
    </w:p>
    <w:p w:rsidR="009053D1" w:rsidRPr="009053D1" w:rsidRDefault="009053D1" w:rsidP="006654AE">
      <w:pPr>
        <w:rPr>
          <w:szCs w:val="19"/>
        </w:rPr>
      </w:pPr>
      <w:r w:rsidRPr="009053D1">
        <w:rPr>
          <w:szCs w:val="19"/>
        </w:rPr>
        <w:t xml:space="preserve">With the approval of the DSS, Colmar </w:t>
      </w:r>
      <w:proofErr w:type="spellStart"/>
      <w:r w:rsidRPr="009053D1">
        <w:rPr>
          <w:szCs w:val="19"/>
        </w:rPr>
        <w:t>Brunton</w:t>
      </w:r>
      <w:proofErr w:type="spellEnd"/>
      <w:r w:rsidRPr="009053D1">
        <w:rPr>
          <w:szCs w:val="19"/>
        </w:rPr>
        <w:t xml:space="preserve"> provided data from the evaluation of IFSS they conducted on behalf of DSS. Specifically, this chapter draws survey responses from 14 IFSS service provider staff members about their perceptions of the impacts of Child Protection Income Management on the clients </w:t>
      </w:r>
      <w:r w:rsidRPr="009053D1">
        <w:rPr>
          <w:szCs w:val="19"/>
        </w:rPr>
        <w:lastRenderedPageBreak/>
        <w:t xml:space="preserve">they worked with, as well as a summary of qualitative interviews with a range of services providers in the Northern </w:t>
      </w:r>
      <w:r w:rsidRPr="009053D1">
        <w:t xml:space="preserve">Territory </w:t>
      </w:r>
      <w:r w:rsidRPr="009053D1">
        <w:rPr>
          <w:szCs w:val="19"/>
        </w:rPr>
        <w:t>concerning their perceptions of Child Protection Income Management.</w:t>
      </w:r>
    </w:p>
    <w:p w:rsidR="009053D1" w:rsidRPr="009053D1" w:rsidRDefault="009053D1" w:rsidP="006654AE">
      <w:pPr>
        <w:pStyle w:val="Heading4"/>
      </w:pPr>
      <w:r w:rsidRPr="009053D1">
        <w:t xml:space="preserve">Child protection staff interviews </w:t>
      </w:r>
    </w:p>
    <w:p w:rsidR="009053D1" w:rsidRPr="009053D1" w:rsidRDefault="009053D1" w:rsidP="006654AE">
      <w:r w:rsidRPr="009053D1">
        <w:rPr>
          <w:szCs w:val="19"/>
        </w:rPr>
        <w:t xml:space="preserve">Interviews with 47 employees of Department of Children and Families were conducted focusing on their views of Child Protection Income Management, including their descriptions of how the measure is being used by staff in the Department and their perceptions of how Child Protection Income Management is working for the families they work with. This included data collected from a total of 28 Department of Children and Families staff who participated in policy focused interviews – five group interviews with two to eight participants, and two individual interviews, all conducted face-to-face </w:t>
      </w:r>
      <w:r w:rsidRPr="009053D1">
        <w:t>–</w:t>
      </w:r>
      <w:r w:rsidRPr="009053D1">
        <w:rPr>
          <w:szCs w:val="19"/>
        </w:rPr>
        <w:t>– and from 23 staff who discussed these issues</w:t>
      </w:r>
      <w:r w:rsidRPr="009053D1">
        <w:t xml:space="preserve"> </w:t>
      </w:r>
      <w:r w:rsidRPr="009053D1">
        <w:rPr>
          <w:szCs w:val="19"/>
        </w:rPr>
        <w:t>during the initial part of case file interview that focuses on their broad approach to using the measure in their work – four of whom also participated in the policy focus groups</w:t>
      </w:r>
      <w:r w:rsidRPr="009053D1">
        <w:t>.</w:t>
      </w:r>
    </w:p>
    <w:p w:rsidR="009053D1" w:rsidRPr="009053D1" w:rsidRDefault="009053D1" w:rsidP="006654AE">
      <w:pPr>
        <w:pStyle w:val="Heading4"/>
      </w:pPr>
      <w:r w:rsidRPr="009053D1">
        <w:t>Case file interviews with Department of Children and Families caseworkers</w:t>
      </w:r>
    </w:p>
    <w:p w:rsidR="009053D1" w:rsidRPr="009053D1" w:rsidRDefault="009053D1" w:rsidP="006654AE">
      <w:r w:rsidRPr="009053D1">
        <w:rPr>
          <w:szCs w:val="19"/>
        </w:rPr>
        <w:t xml:space="preserve">These interviews focused on the details of selected case files where a primary carer had been referred to Child Protection Income Management. This involved interviews with 23 Department of Children and Families staff regarding 32 cases. A sampling frame </w:t>
      </w:r>
      <w:r w:rsidRPr="009053D1">
        <w:t xml:space="preserve">comprising </w:t>
      </w:r>
      <w:r w:rsidRPr="009053D1">
        <w:rPr>
          <w:szCs w:val="19"/>
        </w:rPr>
        <w:t xml:space="preserve">the details of 104 families was provided to the evaluation team by Department of Children and Families. The sampling frame included the location of the family, the periods of time the primary carer was subject to Child Protection Income Management, case file IDs relating to the child protection cases for that family that seemed to correspond to the period of Child Protection Income Management, and the name of the Department of Children and Families caseworker allocated to this case. No names or other identifying information relating to the clients were provided with this file to the evaluation team. As there is no flag within </w:t>
      </w:r>
      <w:r w:rsidR="00711BD2">
        <w:rPr>
          <w:szCs w:val="19"/>
        </w:rPr>
        <w:t xml:space="preserve">the </w:t>
      </w:r>
      <w:r w:rsidRPr="009053D1">
        <w:rPr>
          <w:szCs w:val="19"/>
        </w:rPr>
        <w:t>Department of Children and Families’ electronic data collection system, this sample ha</w:t>
      </w:r>
      <w:r w:rsidR="00711BD2">
        <w:rPr>
          <w:szCs w:val="19"/>
        </w:rPr>
        <w:t>s</w:t>
      </w:r>
      <w:r w:rsidRPr="009053D1">
        <w:rPr>
          <w:szCs w:val="19"/>
        </w:rPr>
        <w:t xml:space="preserve"> been developed by matching information provided to Department of Children and Families by DHS about dependent children of people who had ever been subject to Child Protection Income Management to case files within Department of Children and Families’ system. The original list provided to Department of Children and Families</w:t>
      </w:r>
      <w:r w:rsidRPr="009053D1">
        <w:t xml:space="preserve"> </w:t>
      </w:r>
      <w:r w:rsidRPr="009053D1">
        <w:rPr>
          <w:szCs w:val="19"/>
        </w:rPr>
        <w:t xml:space="preserve">included details of 1094 children for manual matching by Department of Children and Families staff to the sample list of details of families and cases. Only 310 of these children were able to be matched to both a case number and a caseworker, which were linked to 104 individual primary carers. For the purpose of the sample these groups were referred to as “families”. This sample list was then provided to each region to determine </w:t>
      </w:r>
      <w:r w:rsidRPr="009053D1">
        <w:t xml:space="preserve">whether </w:t>
      </w:r>
      <w:r w:rsidRPr="009053D1">
        <w:rPr>
          <w:szCs w:val="19"/>
        </w:rPr>
        <w:t xml:space="preserve">the nominated caseworkers were available to speak about these families. Overall, 18 cases </w:t>
      </w:r>
      <w:r w:rsidRPr="009053D1">
        <w:t xml:space="preserve">derived </w:t>
      </w:r>
      <w:r w:rsidRPr="009053D1">
        <w:rPr>
          <w:szCs w:val="19"/>
        </w:rPr>
        <w:t>from the sample list of 103 families were able to be matched to caseworkers still employed by Department of Children and Families.</w:t>
      </w:r>
      <w:r w:rsidRPr="009053D1">
        <w:rPr>
          <w:vertAlign w:val="superscript"/>
        </w:rPr>
        <w:footnoteReference w:id="144"/>
      </w:r>
      <w:r w:rsidRPr="009053D1">
        <w:rPr>
          <w:szCs w:val="19"/>
        </w:rPr>
        <w:t xml:space="preserve"> Given the limited number of cases that were able to be discussed by workers from the extracted sample list, another 14 interviews were undertaken </w:t>
      </w:r>
      <w:r w:rsidRPr="009053D1">
        <w:t xml:space="preserve">relating to </w:t>
      </w:r>
      <w:r w:rsidRPr="009053D1">
        <w:rPr>
          <w:szCs w:val="19"/>
        </w:rPr>
        <w:t>cases that were not on the final sample list but were cases they felt able to discuss in detail. Both the sample list cases and the new cases discussed involved a mix of positive and negative outcomes, and analyses of the data shows no systematic bias either way.</w:t>
      </w:r>
      <w:r w:rsidRPr="009053D1">
        <w:t xml:space="preserve"> </w:t>
      </w:r>
    </w:p>
    <w:p w:rsidR="009053D1" w:rsidRPr="009053D1" w:rsidRDefault="009053D1" w:rsidP="006654AE">
      <w:r w:rsidRPr="009053D1">
        <w:rPr>
          <w:szCs w:val="19"/>
        </w:rPr>
        <w:t xml:space="preserve">The case file interviews were spread across the three Department of Children and Families regions, with 12 cases discussed from the Central Australia region, </w:t>
      </w:r>
      <w:r w:rsidRPr="009053D1">
        <w:t xml:space="preserve">ten </w:t>
      </w:r>
      <w:r w:rsidRPr="009053D1">
        <w:rPr>
          <w:szCs w:val="19"/>
        </w:rPr>
        <w:t xml:space="preserve">from Greater Darwin, and </w:t>
      </w:r>
      <w:r w:rsidRPr="009053D1">
        <w:t>ten</w:t>
      </w:r>
      <w:r w:rsidRPr="009053D1">
        <w:rPr>
          <w:szCs w:val="19"/>
        </w:rPr>
        <w:t xml:space="preserve"> from the Katherine and Northern </w:t>
      </w:r>
      <w:r w:rsidRPr="009053D1">
        <w:t xml:space="preserve">Remote </w:t>
      </w:r>
      <w:r w:rsidRPr="009053D1">
        <w:rPr>
          <w:szCs w:val="19"/>
        </w:rPr>
        <w:t xml:space="preserve">regions. Of the 32 families, 31 were identified as Indigenous. Most families were a single parent family (n=14) or a couple family (n=8), and 4 of the families had another female relative as the primary caregiver. </w:t>
      </w:r>
    </w:p>
    <w:p w:rsidR="009053D1" w:rsidRPr="009053D1" w:rsidRDefault="009053D1" w:rsidP="006654AE">
      <w:pPr>
        <w:pStyle w:val="Heading4"/>
      </w:pPr>
      <w:r w:rsidRPr="009053D1">
        <w:t>Desk-top policy review</w:t>
      </w:r>
    </w:p>
    <w:p w:rsidR="009053D1" w:rsidRPr="009053D1" w:rsidRDefault="009053D1" w:rsidP="006654AE">
      <w:r w:rsidRPr="009053D1">
        <w:t xml:space="preserve">Department of Children and Families policy documents and forms relating to the policy were also provided to the evaluation team by Department of Children and Families. </w:t>
      </w:r>
    </w:p>
    <w:p w:rsidR="009053D1" w:rsidRPr="009053D1" w:rsidRDefault="009053D1" w:rsidP="006654AE">
      <w:pPr>
        <w:pStyle w:val="Heading2"/>
      </w:pPr>
      <w:bookmarkStart w:id="637" w:name="_Toc403739149"/>
      <w:r w:rsidRPr="009053D1">
        <w:t>Operation of Child Protection Income Management</w:t>
      </w:r>
      <w:bookmarkEnd w:id="637"/>
    </w:p>
    <w:p w:rsidR="009053D1" w:rsidRPr="009053D1" w:rsidRDefault="009053D1" w:rsidP="006654AE">
      <w:r w:rsidRPr="009053D1">
        <w:t xml:space="preserve">This section provides an overview of the operation of Child Protection Income Management in the Northern Territory. It discusses the numbers and characteristics of people subject to Child Protection Income Management and explores how the policy is implemented in practice, drawing on policy </w:t>
      </w:r>
      <w:r w:rsidRPr="009053D1">
        <w:lastRenderedPageBreak/>
        <w:t xml:space="preserve">documents from Department of Children and Families as well as interviews with managers and caseworkers from the Department about their use of the measure, considering the circumstances in which referrals are made, the nature of families who are referred to Child Protection Income Management, and the supports that are put into place for these families in addition to income management. </w:t>
      </w:r>
    </w:p>
    <w:p w:rsidR="009053D1" w:rsidRPr="009053D1" w:rsidRDefault="009053D1" w:rsidP="006654AE">
      <w:pPr>
        <w:pStyle w:val="Heading3"/>
      </w:pPr>
      <w:bookmarkStart w:id="638" w:name="_Toc403739150"/>
      <w:r w:rsidRPr="009053D1">
        <w:t xml:space="preserve">People on the Child Protection Income Management </w:t>
      </w:r>
      <w:r w:rsidR="00711BD2">
        <w:t>m</w:t>
      </w:r>
      <w:r w:rsidRPr="009053D1">
        <w:t>easure</w:t>
      </w:r>
      <w:bookmarkEnd w:id="638"/>
    </w:p>
    <w:p w:rsidR="009053D1" w:rsidRPr="009053D1" w:rsidRDefault="009053D1" w:rsidP="006654AE">
      <w:r w:rsidRPr="009053D1">
        <w:t>As discussed in Chapter 4, people subject to Child Protection Income Management make up a very small proportion of the income management population in the Northern Territory. According to DHS administrative data provided for the purpose of the evaluation, in December 2013 the 83 people on this measure represented 0.5 per cent of people subject to income management in the Northern Territory. Seventy-six (91.6 per cent) of the people on the measure in December 2013 were identified in the DHS database as Indigenous. The majority (80.7 per cent) were women. Those living as a member of a couple with dependent children accounted for 45.8 per cent</w:t>
      </w:r>
      <w:r w:rsidR="00A8053C">
        <w:t>,</w:t>
      </w:r>
      <w:r w:rsidR="00A8053C" w:rsidRPr="009053D1">
        <w:t xml:space="preserve"> </w:t>
      </w:r>
      <w:r w:rsidRPr="009053D1">
        <w:t>43.4 per cent comprised single parents with dependent children, with the remainder being split between being a member of a couple or a single person with no dependent children. Although the DHS data does not provide information as to how some people on Child Protection Income Management appear to have no children, interviews with Department of Children and Families staff elicited some possible reasons why this is the case. The first is that these are people who have been subject to Child Protection Income Management and then subsequently lost the care of children or have been placed on Child Protection Income Management in preparation for reunification with a child who has previously been removed from their care. A further possible reason relates to the fact that the family identification in the administrative data is based upon children for whom Family Tax Benefit is paid; in some cases this may be a grandparent or other relative.</w:t>
      </w:r>
    </w:p>
    <w:p w:rsidR="009053D1" w:rsidRPr="009053D1" w:rsidRDefault="009053D1" w:rsidP="006654AE">
      <w:r w:rsidRPr="009053D1">
        <w:t>Over the course of the implementation of New Income Management from July 2010 through to December 2013, DHS administrative data indicate that 415 people have been subject to Child Protection Income Management.</w:t>
      </w:r>
      <w:r w:rsidRPr="009053D1">
        <w:rPr>
          <w:vertAlign w:val="superscript"/>
        </w:rPr>
        <w:footnoteReference w:id="145"/>
      </w:r>
      <w:r w:rsidRPr="009053D1">
        <w:rPr>
          <w:vertAlign w:val="superscript"/>
        </w:rPr>
        <w:t xml:space="preserve"> </w:t>
      </w:r>
      <w:r w:rsidRPr="009053D1">
        <w:t xml:space="preserve">As can be seen in the data presented in </w:t>
      </w:r>
      <w:r>
        <w:fldChar w:fldCharType="begin"/>
      </w:r>
      <w:r>
        <w:instrText xml:space="preserve"> REF _Ref391043471 \h </w:instrText>
      </w:r>
      <w:r>
        <w:fldChar w:fldCharType="separate"/>
      </w:r>
      <w:r w:rsidR="00906D13" w:rsidRPr="00DF38B2">
        <w:t xml:space="preserve">Figure </w:t>
      </w:r>
      <w:r w:rsidR="00906D13">
        <w:rPr>
          <w:noProof/>
        </w:rPr>
        <w:t>4</w:t>
      </w:r>
      <w:r w:rsidR="00906D13" w:rsidRPr="00DF38B2">
        <w:noBreakHyphen/>
      </w:r>
      <w:r w:rsidR="00906D13">
        <w:rPr>
          <w:noProof/>
        </w:rPr>
        <w:t>3</w:t>
      </w:r>
      <w:r>
        <w:fldChar w:fldCharType="end"/>
      </w:r>
      <w:r>
        <w:t xml:space="preserve"> </w:t>
      </w:r>
      <w:r w:rsidRPr="009053D1">
        <w:t>in chapter 4, the program has had distinct phases. In the second quarter of 2011 the number of people increased from fewer than ten to approximately 50, remaining at around this level until the fourth quarter of 2012 when it increased to around 90 individuals – a level it has since maintained.</w:t>
      </w:r>
    </w:p>
    <w:p w:rsidR="009053D1" w:rsidRPr="009053D1" w:rsidRDefault="009053D1" w:rsidP="006654AE">
      <w:pPr>
        <w:pStyle w:val="Heading3"/>
      </w:pPr>
      <w:bookmarkStart w:id="639" w:name="_Toc403739151"/>
      <w:r w:rsidRPr="009053D1">
        <w:t>Understanding and implementation of Child Protection Income Management in the Northern Territory</w:t>
      </w:r>
      <w:bookmarkEnd w:id="639"/>
    </w:p>
    <w:p w:rsidR="009053D1" w:rsidRPr="009053D1" w:rsidRDefault="009053D1" w:rsidP="006654AE">
      <w:r w:rsidRPr="009053D1">
        <w:t>Child protection is a significant policy concern in the Northern Territory. In 2012-13, AIHW (2014) reported that 61.7 per 1000 children in the Territory are receiving child protection services, compared with an Australian average of 26.1 per 1000. In 2012-13, a total 33,806 child protection investigations were undertaken as a result of 9,985 notifications to the Northern Territory’s Department of Children and Families. Of the 1,204 cases of substantiations of reports received during 2012-13, the main reason was neglect (47.1 per cent or 567 cases), followed by emotional abuse (35.2 per cent), physical abuse (16.4 per cent) and sexual abuse (1.3 per cent) (AIHW, 2014). Compared with other jurisdictions, the proportion of substantiated cases involving neglect as the primary concern was high, while the proportion of cases with sexual abuse as the primary concern was lower than in other states/territories.</w:t>
      </w:r>
    </w:p>
    <w:p w:rsidR="009053D1" w:rsidRPr="009053D1" w:rsidRDefault="009053D1" w:rsidP="006654AE">
      <w:r w:rsidRPr="009053D1">
        <w:t>To support the implementation of this measure the Northern Territory’s Department of Children and Families has developed a policy statement and a number of forms and materials for assessments and for working with families.</w:t>
      </w:r>
      <w:r w:rsidRPr="009053D1">
        <w:rPr>
          <w:vertAlign w:val="superscript"/>
        </w:rPr>
        <w:footnoteReference w:id="146"/>
      </w:r>
      <w:r w:rsidRPr="009053D1">
        <w:rPr>
          <w:vertAlign w:val="superscript"/>
        </w:rPr>
        <w:t xml:space="preserve"> </w:t>
      </w:r>
      <w:r w:rsidRPr="009053D1">
        <w:t>These documents provide a framework for Department of Children and Families caseworkers to make decisions about the need for and appropriateness of referrals to Child Protection Income Management.</w:t>
      </w:r>
    </w:p>
    <w:p w:rsidR="009053D1" w:rsidRPr="009053D1" w:rsidRDefault="009053D1" w:rsidP="006654AE">
      <w:r w:rsidRPr="009053D1">
        <w:t>The policy statement describes Child Protection Income Management as a tool that can support the work of caseworkers in addressing child neglect and harm and that is to be used with, and may enhance the efficacy of, other support services. Child Protection Income Management is also to be considered when its use would allow a child to stay in the care of their primary carer.</w:t>
      </w:r>
    </w:p>
    <w:p w:rsidR="009053D1" w:rsidRPr="009053D1" w:rsidRDefault="009053D1" w:rsidP="006654AE">
      <w:r w:rsidRPr="009053D1">
        <w:lastRenderedPageBreak/>
        <w:t>The statement further outlines both the circumstances where caseworkers must refer people to Child Protection Income Management and circumstances where such referrals may be considered worthwhile. Under this statement:</w:t>
      </w:r>
    </w:p>
    <w:p w:rsidR="009053D1" w:rsidRPr="009053D1" w:rsidRDefault="009053D1" w:rsidP="006654AE">
      <w:pPr>
        <w:pStyle w:val="dot"/>
      </w:pPr>
      <w:r w:rsidRPr="009053D1">
        <w:t xml:space="preserve">caseworkers are required to make referrals to Child Protection Income Management for people who are the primary carer of a child and where there has been a substantiation of child neglect; or </w:t>
      </w:r>
    </w:p>
    <w:p w:rsidR="009053D1" w:rsidRPr="009053D1" w:rsidRDefault="009053D1" w:rsidP="006654AE">
      <w:pPr>
        <w:pStyle w:val="dot"/>
      </w:pPr>
      <w:proofErr w:type="gramStart"/>
      <w:r w:rsidRPr="009053D1">
        <w:t>where</w:t>
      </w:r>
      <w:proofErr w:type="gramEnd"/>
      <w:r w:rsidRPr="009053D1">
        <w:t xml:space="preserve"> there has been a substantiated child protection investigation that includes concerns such as substance abuse, failure to thrive, and/or gambling. </w:t>
      </w:r>
    </w:p>
    <w:p w:rsidR="009053D1" w:rsidRPr="009053D1" w:rsidRDefault="009053D1" w:rsidP="006654AE">
      <w:r w:rsidRPr="009053D1">
        <w:t xml:space="preserve">Exceptions to these obligations are available where there is no evidence that the use of the person’s income support payment, or indeed the failure of use of these, has contributed to the child protection concerns. </w:t>
      </w:r>
    </w:p>
    <w:p w:rsidR="009053D1" w:rsidRPr="009053D1" w:rsidRDefault="009053D1" w:rsidP="006654AE">
      <w:r w:rsidRPr="009053D1">
        <w:t xml:space="preserve">Further, the policy states that caseworkers may wish to consider the use of Child Protection Income Management in cases of reunification with a child where there were concerns related to neglect or substance abuse, failure to thrive and/or gambling, or where a young person is transitioning out of home care and it is found that their misuse of income support payments is having a significantly detrimental impact on their wellbeing. </w:t>
      </w:r>
    </w:p>
    <w:p w:rsidR="009053D1" w:rsidRPr="009053D1" w:rsidRDefault="009053D1" w:rsidP="006654AE">
      <w:r w:rsidRPr="009053D1">
        <w:t xml:space="preserve">DHS assesses each referral to identify whether the carer is eligible for Child Protection Income Management – </w:t>
      </w:r>
      <w:proofErr w:type="spellStart"/>
      <w:r w:rsidRPr="009053D1">
        <w:t>ie</w:t>
      </w:r>
      <w:proofErr w:type="spellEnd"/>
      <w:r w:rsidRPr="009053D1">
        <w:t xml:space="preserve"> whether she or he is receiving the relevant income support payments. At the time of the referral to Child Protection Income Management being made, the caseworker is required to recommend to DHS what the priority needs for the family are as a guide by </w:t>
      </w:r>
      <w:proofErr w:type="gramStart"/>
      <w:r w:rsidRPr="009053D1">
        <w:t>which</w:t>
      </w:r>
      <w:proofErr w:type="gramEnd"/>
      <w:r w:rsidRPr="009053D1">
        <w:t xml:space="preserve"> DHS and the client can set up the allocations. The policy states, however, that this is a recommendation only and will be taken into account in discussions between DHS and the client. </w:t>
      </w:r>
    </w:p>
    <w:p w:rsidR="009053D1" w:rsidRPr="009053D1" w:rsidRDefault="009053D1" w:rsidP="006654AE">
      <w:pPr>
        <w:pStyle w:val="Heading4"/>
      </w:pPr>
      <w:r w:rsidRPr="009053D1">
        <w:t>Staff views on the policy and procedures</w:t>
      </w:r>
    </w:p>
    <w:p w:rsidR="009053D1" w:rsidRPr="009053D1" w:rsidRDefault="009053D1" w:rsidP="006654AE">
      <w:r w:rsidRPr="009053D1">
        <w:t>An initial question for the evaluation was the extent to which staff members in Department of Children and Families were aware of these policies, their views about them, and the extent to which they took account of the policies in their work.</w:t>
      </w:r>
    </w:p>
    <w:p w:rsidR="009053D1" w:rsidRPr="009053D1" w:rsidRDefault="009053D1" w:rsidP="006654AE">
      <w:r w:rsidRPr="009053D1">
        <w:t xml:space="preserve">All Department of Children and Families staff who participated in policy focused or case file interviews were able to speak about the requirements of the policy, and were aware that there was a requirement to make referrals where neglect had been substantiated. Most also flagged the fact that there was the potential to seek exceptions where there was no evidence that the concerns for this family were linked to “how they used their money”. </w:t>
      </w:r>
    </w:p>
    <w:p w:rsidR="009053D1" w:rsidRPr="009053D1" w:rsidRDefault="009053D1" w:rsidP="006654AE">
      <w:r w:rsidRPr="009053D1">
        <w:t>Many staff who participated in the policy focused interviews acknowledged that although there was a requirement to make a referral to Child Protection Income Management where there was a substantiation of neglect, the number of referrals to Child Protection Income Management was much lower than the number of cases substantiated for neglect. Staff interviewed reported a number of reasons for this. In some cases there was a reported lack of awareness of the measure due to staff turnover. Referrals were also not made – or if made were not accepted by DHS – when the family involved was not receiving income support payments and were therefore not eligible for Child Protection Inco</w:t>
      </w:r>
      <w:r w:rsidR="00FF555C">
        <w:t xml:space="preserve">me Management. </w:t>
      </w:r>
      <w:r w:rsidRPr="009053D1">
        <w:t>Across all the regions this was noted as an issue. In some cases, through the investigation process, other family members may also step in and take on the care of children. So although neglect has been substantiated, the children may not be in the care of the primary carer by the end of the investigation period, in which case a referral to Child Protection Income Management is not made.</w:t>
      </w:r>
    </w:p>
    <w:p w:rsidR="009053D1" w:rsidRPr="009053D1" w:rsidRDefault="009053D1" w:rsidP="006654AE">
      <w:r w:rsidRPr="009053D1">
        <w:t xml:space="preserve">In other cases staff reported that referrals were not made as the issues for the family were described as not being caused by problems with financial management or related to substance abuse or gambling. In a number of focus groups and interviews there was considerable discussion by the staff who were participating regarding what they perceived as the importance of understanding that neglect was a complex issue that was not always related to having money available to spend on children’s needs. Examples given in these discussions were that neglect may be related to problematic parent/child attachment, or simply to parents’ poor understanding of the physical and emotional needs of their children and their children’s dependency on them to meet their basic needs. In these cases, some managers and caseworkers saw little benefit in making referrals to Child Protection Income Management, as their clients needed other services </w:t>
      </w:r>
      <w:r w:rsidRPr="009053D1">
        <w:lastRenderedPageBreak/>
        <w:t>– for instance, parenting skills, child development knowledge. This view was also supported by caseworkers and IFSS staff interviewed as part of the IFSS evaluation:</w:t>
      </w:r>
    </w:p>
    <w:p w:rsidR="009053D1" w:rsidRPr="009053D1" w:rsidRDefault="009053D1" w:rsidP="006654AE">
      <w:pPr>
        <w:pStyle w:val="Quote2"/>
      </w:pPr>
      <w:r w:rsidRPr="009053D1">
        <w:t>I think it’s a very simplistic and reductionist view assume that if you manage people’s income, 70 per cent, that somehow that will address the neglect issues which in that case you’re almost always talking about whether children are fed or not. I think that’s a really simplistic understanding of neglect. So I guess I wouldn’t base it around that, I wouldn’t base it on child protection income management as the trigger for the response (</w:t>
      </w:r>
      <w:proofErr w:type="spellStart"/>
      <w:r w:rsidRPr="009053D1">
        <w:t>ie</w:t>
      </w:r>
      <w:proofErr w:type="spellEnd"/>
      <w:r w:rsidRPr="009053D1">
        <w:t xml:space="preserve"> IFSS), I think that’s flawed. I think if </w:t>
      </w:r>
      <w:proofErr w:type="gramStart"/>
      <w:r w:rsidRPr="009053D1">
        <w:t>you’re wanting</w:t>
      </w:r>
      <w:proofErr w:type="gramEnd"/>
      <w:r w:rsidRPr="009053D1">
        <w:t xml:space="preserve"> to tackle neglect then you probably need a range of supports and services recognising a spectrum. (Manager at Provider interviewed as part of the IFSS evaluation)</w:t>
      </w:r>
    </w:p>
    <w:p w:rsidR="009053D1" w:rsidRPr="009053D1" w:rsidRDefault="009053D1" w:rsidP="006654AE">
      <w:r w:rsidRPr="009053D1">
        <w:t>While agreeing that money was not the primary factor in all cases, some caseworkers still saw value in trying Child Protection Income Management for these families, as it might help and would not cause harm:</w:t>
      </w:r>
    </w:p>
    <w:p w:rsidR="009053D1" w:rsidRPr="009053D1" w:rsidRDefault="009053D1" w:rsidP="006654AE">
      <w:pPr>
        <w:pStyle w:val="Quote2"/>
      </w:pPr>
      <w:r w:rsidRPr="009053D1">
        <w:t xml:space="preserve">You still have to try it and see. </w:t>
      </w:r>
      <w:proofErr w:type="gramStart"/>
      <w:r w:rsidRPr="009053D1">
        <w:t>The less money for alcohol and gambling the better.</w:t>
      </w:r>
      <w:proofErr w:type="gramEnd"/>
      <w:r w:rsidRPr="009053D1">
        <w:t xml:space="preserve"> (Caseworker)</w:t>
      </w:r>
    </w:p>
    <w:p w:rsidR="009053D1" w:rsidRPr="009053D1" w:rsidRDefault="009053D1" w:rsidP="006654AE">
      <w:r w:rsidRPr="009053D1">
        <w:t xml:space="preserve">Although there was general agreement that not all neglect cases could be assisted by a Child Protection Income Management referral, there were mixed views among Department of Children and Families staff about whether the policy should be changed to reflect the more complex nature of neglect and to allow for greater discretion for caseworkers in making a referral. Most staff emphasised the importance of decisions about referrals being led by caseworker assessments and experience: </w:t>
      </w:r>
    </w:p>
    <w:p w:rsidR="009053D1" w:rsidRPr="009053D1" w:rsidRDefault="009053D1" w:rsidP="006654AE">
      <w:pPr>
        <w:pStyle w:val="Quote2"/>
      </w:pPr>
      <w:r w:rsidRPr="009053D1">
        <w:t>The mandated approach is a problem. There’s no space for workers to think about how it could be useful. (Team Leader)</w:t>
      </w:r>
    </w:p>
    <w:p w:rsidR="009053D1" w:rsidRPr="009053D1" w:rsidRDefault="009053D1" w:rsidP="006654AE">
      <w:r w:rsidRPr="009053D1">
        <w:t xml:space="preserve">However, a number also noted tension between this and the very low rates of referrals when staff were not compelled to refer to Child Protection Income Management in instances where neglect had been substantiated or where other substantiated types of harm included concerns such as substance abuse, failure to thrive, and/or gambling:: </w:t>
      </w:r>
    </w:p>
    <w:p w:rsidR="009053D1" w:rsidRPr="009053D1" w:rsidRDefault="009053D1" w:rsidP="006654AE">
      <w:pPr>
        <w:pStyle w:val="Quote2"/>
      </w:pPr>
      <w:r w:rsidRPr="009053D1">
        <w:t>If it’s not mandated it would fall by the wayside as it doesn’t fit with people’s core beliefs. (Caseworker)</w:t>
      </w:r>
    </w:p>
    <w:p w:rsidR="009053D1" w:rsidRPr="009053D1" w:rsidRDefault="009053D1" w:rsidP="006654AE">
      <w:r w:rsidRPr="009053D1">
        <w:t>Other barriers to using Child Protection Income Management in working with families where there had been substantiation of neglect included concerns about lack of access in the smaller, more remote communities to financial counselling or money management services and other family support services:</w:t>
      </w:r>
    </w:p>
    <w:p w:rsidR="009053D1" w:rsidRPr="009053D1" w:rsidRDefault="009053D1" w:rsidP="006654AE">
      <w:pPr>
        <w:pStyle w:val="Quote2"/>
      </w:pPr>
      <w:proofErr w:type="gramStart"/>
      <w:r w:rsidRPr="009053D1">
        <w:t>Staff are</w:t>
      </w:r>
      <w:proofErr w:type="gramEnd"/>
      <w:r w:rsidRPr="009053D1">
        <w:t xml:space="preserve"> more comfortable doing Child Protection Income Management referrals when they have something like Intensive Family Support Services available to wrap around the families. (Manager)</w:t>
      </w:r>
    </w:p>
    <w:p w:rsidR="009053D1" w:rsidRPr="009053D1" w:rsidRDefault="009053D1" w:rsidP="006654AE">
      <w:r w:rsidRPr="009053D1">
        <w:t>A small number of participants raised concerns about the potential negative impact of referrals to Child Protection Income Management on their relationships with clients who they were trying to work with to improve their parenting, particularly where such a referral might be seen as punitive. However, in contrast to this perspective of income management, other Department of Children and Families staff expressed a view that there often seemed little point in making referrals as the passivity and acceptance of many clients around income management – especially those clients who were already subject to some form of compulsory income management – meant it made little impact on clients’ desire to change:</w:t>
      </w:r>
    </w:p>
    <w:p w:rsidR="009053D1" w:rsidRPr="009053D1" w:rsidRDefault="009053D1" w:rsidP="006654AE">
      <w:pPr>
        <w:pStyle w:val="Quote2"/>
      </w:pPr>
      <w:r w:rsidRPr="009053D1">
        <w:t>It’s another thing welfare has put on them. (Team leader)</w:t>
      </w:r>
    </w:p>
    <w:p w:rsidR="009053D1" w:rsidRPr="009053D1" w:rsidRDefault="009053D1" w:rsidP="006654AE">
      <w:r w:rsidRPr="009053D1">
        <w:t xml:space="preserve">Most Department of Children and Families clients who were considered as potentially subject to referral to Child Protection Income Management were reported to already be on some form of income management. A number of workers noted observed that therefore at times referrals were not made to Child Protection Income Management because there appeared to be little value in increasing the percentage of income subject to income management: </w:t>
      </w:r>
    </w:p>
    <w:p w:rsidR="009053D1" w:rsidRPr="009053D1" w:rsidRDefault="009053D1" w:rsidP="006654AE">
      <w:pPr>
        <w:pStyle w:val="Quote2"/>
      </w:pPr>
      <w:r w:rsidRPr="009053D1">
        <w:t>If [other] income management wasn’t there it would have a different impact. People are already on 50 per cent so the extra 20 per cent doesn’t mean much. (Manager)</w:t>
      </w:r>
    </w:p>
    <w:p w:rsidR="009053D1" w:rsidRPr="009053D1" w:rsidRDefault="009053D1" w:rsidP="006654AE">
      <w:r w:rsidRPr="009053D1">
        <w:t xml:space="preserve">However, other workers saw the 70 per cent of income as a useful tool to maximise the pressure on families to meet their children’s needs while they worked with other services to address their issues. There did not seem to be any systematic differences between Department of Children and Families staff who saw </w:t>
      </w:r>
      <w:r w:rsidRPr="009053D1">
        <w:lastRenderedPageBreak/>
        <w:t>the measure as useful in this way and those who did not, either by region or length of time of experience within child protection work.</w:t>
      </w:r>
    </w:p>
    <w:p w:rsidR="009053D1" w:rsidRPr="009053D1" w:rsidRDefault="009053D1" w:rsidP="006654AE">
      <w:pPr>
        <w:pStyle w:val="Heading3"/>
      </w:pPr>
      <w:bookmarkStart w:id="640" w:name="_Toc403739152"/>
      <w:r w:rsidRPr="009053D1">
        <w:t>Characteristics of referrals to Child Protection Income Management</w:t>
      </w:r>
      <w:bookmarkEnd w:id="640"/>
    </w:p>
    <w:p w:rsidR="009053D1" w:rsidRPr="009053D1" w:rsidRDefault="009053D1" w:rsidP="006654AE">
      <w:r w:rsidRPr="009053D1">
        <w:t xml:space="preserve">While the DHS administrative data provides some information on the demographic and related characteristics of those placed on Child Protection Income Management, much more limited information is available about the issues families are presenting with when being referred to Child Protection Income Management. </w:t>
      </w:r>
    </w:p>
    <w:p w:rsidR="009053D1" w:rsidRPr="009053D1" w:rsidRDefault="009053D1" w:rsidP="006654AE">
      <w:r w:rsidRPr="009053D1">
        <w:t xml:space="preserve">To address this, a detailed series of case-file interviews were undertaken. Although not a representative sample, these interviews offer significant insight into the different circumstances in which these referrals are made and the circumstances of the families involved. This section draws on: the 32 case-file interviews undertaken about child protection cases where a Child Protection Income Management referral has been made; and the broader insights from participants in the policy related interviews. </w:t>
      </w:r>
    </w:p>
    <w:p w:rsidR="009053D1" w:rsidRPr="009053D1" w:rsidRDefault="009053D1" w:rsidP="006654AE">
      <w:r w:rsidRPr="009053D1">
        <w:t>Most of the referrals had occurred within the context of investigations teams (n=29) and were made at the time of the substantiation being determined and prior to the case being passed onto Department of Children and Families teams involved in longer-term casework with families.</w:t>
      </w:r>
    </w:p>
    <w:p w:rsidR="009053D1" w:rsidRPr="009053D1" w:rsidRDefault="009053D1" w:rsidP="006654AE">
      <w:r w:rsidRPr="009053D1">
        <w:t xml:space="preserve">Reflecting the policy, 31 of the 32 case file interviews involved a substantiation of neglect as the trigger for referral to Child Protection Income Management. The other case was a reunification case involving a grandparent who had sought the care of her grandchild but was referred to Child Protection Income Management as part of the reunification due to self-identified gambling issues. </w:t>
      </w:r>
    </w:p>
    <w:p w:rsidR="009053D1" w:rsidRPr="009053D1" w:rsidRDefault="009053D1" w:rsidP="006654AE">
      <w:r w:rsidRPr="009053D1">
        <w:t>Of the neglect substantiations, four involved medical neglect as the primary concern and four identified lack of supervision as the primary or only concern. Family violence was also a factor in 12 cases, with emotional harm also substantiated as part of the investigation for some of these cases. Drug and/or alcohol misuse was identified in 26 cases and gambling was noted for a further three.</w:t>
      </w:r>
    </w:p>
    <w:p w:rsidR="009053D1" w:rsidRPr="009053D1" w:rsidRDefault="009053D1" w:rsidP="006654AE">
      <w:r w:rsidRPr="009053D1">
        <w:t>Almost all (n=27) of the families had had previous contact with Department of Children and Families prior to the incident for which the Child Protection Income Management referral had been made. While not all of these contacts had resulted in substantiations, it was reported that many had and that the issues identified as part of these earlier notifications, whether substantiated or not, tended to be very similar to those identified as part of the case for which the Child Protection Income Management referral was made. Financial harassment from family or community members was also noted as a concern for six of the 32 families included in the case file interviews sample.</w:t>
      </w:r>
    </w:p>
    <w:p w:rsidR="009053D1" w:rsidRPr="009053D1" w:rsidRDefault="009053D1" w:rsidP="006654AE">
      <w:r w:rsidRPr="009053D1">
        <w:t>Very few families were reported as having a strong negative response to being told they were being referred to Child Protection Income Management. Around a quarter of families were reported to have welcomed the referral (n=8) and one family was reported as having requested the referral. However, mostly families were reported as saying very little about the referral – this tended to be interpreted as passive acceptance by Department of Children and Families staff as “yet another thing that welfare was doing to them”. Families who were positive about the referral were described as being keen to work to keep their children in their care, to avoid financial harassment or to save for a specific goal such as buying a washing machine.</w:t>
      </w:r>
    </w:p>
    <w:p w:rsidR="009053D1" w:rsidRPr="009053D1" w:rsidRDefault="009053D1" w:rsidP="006654AE">
      <w:r w:rsidRPr="009053D1">
        <w:t>A number of families – especially those living in more remote areas – were described as being very transient and difficult to locate. This made engaging with these families about their referral to Child Protection Income Management difficult. As a consequence, delays of months could occur in a referral a referral being made if staff were unable to locate the family and speak with them about the referral and the reasons it had been made, as it is expected practice that referral is not finalised until a conversation with a family has been undertaken.</w:t>
      </w:r>
    </w:p>
    <w:p w:rsidR="009053D1" w:rsidRPr="009053D1" w:rsidRDefault="009053D1" w:rsidP="006654AE">
      <w:r w:rsidRPr="009053D1">
        <w:t>There was only limited information regarding the length of time the official referral was made for</w:t>
      </w:r>
      <w:r w:rsidR="0002698C">
        <w:t>. T</w:t>
      </w:r>
      <w:r w:rsidRPr="009053D1">
        <w:t xml:space="preserve">his was because this information was not routinely recorded on the Department of Children and Families database, and written notes and records were not available for many of the cases included as they had subsequently been closed or passed onto another team. For ten cases the initial referral was for three months; for eight cases it was for 12 months and for six cases six months. The initial referral period for the other eight cases </w:t>
      </w:r>
      <w:r w:rsidRPr="009053D1">
        <w:lastRenderedPageBreak/>
        <w:t xml:space="preserve">was unknown. Where longer periods of time were chosen, this was usually because workers expected it would take an extended time for families to change as a result of either Child Protection Income Management or the other interventions that had been implemented: </w:t>
      </w:r>
    </w:p>
    <w:p w:rsidR="009053D1" w:rsidRPr="009053D1" w:rsidRDefault="009053D1" w:rsidP="006654AE">
      <w:pPr>
        <w:pStyle w:val="Quote2"/>
      </w:pPr>
      <w:r w:rsidRPr="009053D1">
        <w:t>I put them on for 12 months because the neglect had gone on for so long that I thought it would give it time to get it embedded in their thinking. (Caseworker)</w:t>
      </w:r>
    </w:p>
    <w:p w:rsidR="009053D1" w:rsidRPr="009053D1" w:rsidRDefault="009053D1" w:rsidP="006654AE">
      <w:r w:rsidRPr="009053D1">
        <w:t xml:space="preserve">Three-month referrals tended to be made for families that were described by caseworkers as being placed on Child Protection Income Management “because of the policy” but where the caseworker had no strong sense that Child Protection Income Management would achieve positive outcomes for the family. </w:t>
      </w:r>
    </w:p>
    <w:p w:rsidR="009053D1" w:rsidRPr="009053D1" w:rsidRDefault="009053D1" w:rsidP="006654AE">
      <w:pPr>
        <w:pStyle w:val="Heading3"/>
      </w:pPr>
      <w:bookmarkStart w:id="641" w:name="_Toc403739153"/>
      <w:r w:rsidRPr="009053D1">
        <w:t>Other supports and interventions for families referred to Child Protection Income Management</w:t>
      </w:r>
      <w:bookmarkEnd w:id="641"/>
    </w:p>
    <w:p w:rsidR="009053D1" w:rsidRPr="009053D1" w:rsidRDefault="009053D1" w:rsidP="006654AE">
      <w:r w:rsidRPr="009053D1">
        <w:t xml:space="preserve">Most of the Child Protection Income Management referrals discussed in the case file interviews were reported as being accompanied by referrals to support services and agencies. </w:t>
      </w:r>
    </w:p>
    <w:p w:rsidR="009053D1" w:rsidRPr="009053D1" w:rsidRDefault="009053D1" w:rsidP="006654AE">
      <w:r w:rsidRPr="009053D1">
        <w:t>The most commonly reported referral was to an Intensive Family Support Service (IFSS) (n=19). From the commencement of the program in July 2011 through to the end of January 2014, 172 families and 449 children had accessed IFSS. Of these approximately 120 were referred following a referral to Child Protection Income Management.</w:t>
      </w:r>
      <w:r w:rsidRPr="009053D1">
        <w:footnoteReference w:id="147"/>
      </w:r>
    </w:p>
    <w:p w:rsidR="009053D1" w:rsidRPr="009053D1" w:rsidRDefault="009053D1" w:rsidP="006654AE">
      <w:pPr>
        <w:pStyle w:val="Quote2"/>
      </w:pPr>
      <w:r w:rsidRPr="009053D1">
        <w:t>Referrals to IFSS were described by many of the staff as crucial to being able to build the capacity of families to care for their children.</w:t>
      </w:r>
    </w:p>
    <w:p w:rsidR="009053D1" w:rsidRPr="009053D1" w:rsidRDefault="009053D1" w:rsidP="006654AE">
      <w:pPr>
        <w:pStyle w:val="Quote2"/>
      </w:pPr>
      <w:r w:rsidRPr="009053D1">
        <w:t>It’s a bit easier when you have services working together to realise the same goal. (Caseworker)</w:t>
      </w:r>
    </w:p>
    <w:p w:rsidR="009053D1" w:rsidRPr="009053D1" w:rsidRDefault="009053D1" w:rsidP="006654AE">
      <w:r w:rsidRPr="009053D1">
        <w:t>The IFSS program provides clients with a highly intensive level of service, which was described by staff as involving almost daily engagement for most families and comprising very practical, hands-on assistance:</w:t>
      </w:r>
    </w:p>
    <w:p w:rsidR="009053D1" w:rsidRPr="009053D1" w:rsidRDefault="009053D1" w:rsidP="006654AE">
      <w:pPr>
        <w:pStyle w:val="Quote2"/>
      </w:pPr>
      <w:r w:rsidRPr="009053D1">
        <w:t>They would have someone come into the house at 7:30 to get Mum up and out of bed and the kids to school. (Caseworker)</w:t>
      </w:r>
    </w:p>
    <w:p w:rsidR="009053D1" w:rsidRPr="009053D1" w:rsidRDefault="009053D1" w:rsidP="006654AE">
      <w:pPr>
        <w:pStyle w:val="Quote2"/>
      </w:pPr>
      <w:r w:rsidRPr="009053D1">
        <w:t>The service went in for 20</w:t>
      </w:r>
      <w:r w:rsidRPr="009053D1">
        <w:rPr>
          <w:i/>
        </w:rPr>
        <w:t xml:space="preserve"> </w:t>
      </w:r>
      <w:r w:rsidRPr="009053D1">
        <w:t>hours a week to show her how to clean the house and maintain it. (Caseworker)</w:t>
      </w:r>
    </w:p>
    <w:p w:rsidR="009053D1" w:rsidRPr="009053D1" w:rsidRDefault="009053D1" w:rsidP="006654AE">
      <w:r w:rsidRPr="009053D1">
        <w:t xml:space="preserve">Other types of assistance from IFSS services included case management, budgeting advice, taking children to school, taking parents grocery shopping to show them the kinds of food and cleaning and other products they needed to buy to ensure the wellbeing of their children. </w:t>
      </w:r>
    </w:p>
    <w:p w:rsidR="009053D1" w:rsidRPr="009053D1" w:rsidRDefault="009053D1" w:rsidP="006654AE">
      <w:r w:rsidRPr="009053D1">
        <w:t xml:space="preserve">Many workers who had made referrals to an IFSS program said that being able to make this referral was the primary benefit of Child Protection Income Management. </w:t>
      </w:r>
    </w:p>
    <w:p w:rsidR="009053D1" w:rsidRPr="009053D1" w:rsidRDefault="009053D1" w:rsidP="006654AE">
      <w:pPr>
        <w:pStyle w:val="Quote2"/>
      </w:pPr>
      <w:r w:rsidRPr="009053D1">
        <w:t>It’s a success story because IFSS are right on the ground, doing face-to-face work and assessing daily and looking at budgeting and seeing if food and clothes are there and working with the family. (Caseworker)</w:t>
      </w:r>
    </w:p>
    <w:p w:rsidR="009053D1" w:rsidRPr="009053D1" w:rsidRDefault="009053D1" w:rsidP="006654AE">
      <w:r w:rsidRPr="009053D1">
        <w:t>Around half of these workers reported that they viewed the two programs as being mutually supportive of each other, indicating, for example, that Child Protection Income Management had a role to play in ensuring the success of the IFSS intervention, as it restricted families’ access to money to buy drugs and alcohol.</w:t>
      </w:r>
    </w:p>
    <w:p w:rsidR="009053D1" w:rsidRPr="009053D1" w:rsidRDefault="009053D1" w:rsidP="006654AE">
      <w:r w:rsidRPr="009053D1">
        <w:t>Other services and interventions put into place for families referred to Child Protection Income Management included other family support and counselling services – especially family violence services – and health services and alcohol and drug rehabilitation services.</w:t>
      </w:r>
    </w:p>
    <w:p w:rsidR="009053D1" w:rsidRPr="009053D1" w:rsidRDefault="009053D1" w:rsidP="006654AE">
      <w:r w:rsidRPr="009053D1">
        <w:lastRenderedPageBreak/>
        <w:t xml:space="preserve">While referrals to money management and financial counselling services were routinely requested as part of the Child Protection Income Management referral to DHS, several workers believed their clients had accessed these services and other than selecting the option on the referral form to DHS for a referral to one of these services to be made, there was little discussion by caseworkers of these services. </w:t>
      </w:r>
      <w:r w:rsidR="0002698C">
        <w:t xml:space="preserve">As in </w:t>
      </w:r>
      <w:r w:rsidRPr="009053D1">
        <w:t xml:space="preserve">the first wave of the evaluation, responses to questions about referrals to money management and financial counselling were that this was “something that Centrelink does”. Where caseworkers stated that their clients had received budgeting assistance, this was seen as being primarily delivered by IFSS workers. </w:t>
      </w:r>
    </w:p>
    <w:p w:rsidR="009053D1" w:rsidRPr="009053D1" w:rsidRDefault="009053D1" w:rsidP="006654AE">
      <w:r w:rsidRPr="009053D1">
        <w:t>Many of the case file interviews relat</w:t>
      </w:r>
      <w:r w:rsidR="0002698C">
        <w:t>ed</w:t>
      </w:r>
      <w:r w:rsidRPr="009053D1">
        <w:t xml:space="preserve"> to families </w:t>
      </w:r>
      <w:r w:rsidR="0002698C">
        <w:t xml:space="preserve">who </w:t>
      </w:r>
      <w:r w:rsidRPr="009053D1">
        <w:t xml:space="preserve">were from remote communities, and especially the smaller communities, </w:t>
      </w:r>
      <w:r w:rsidR="0002698C">
        <w:t>and</w:t>
      </w:r>
      <w:r w:rsidR="0002698C" w:rsidRPr="009053D1">
        <w:t xml:space="preserve"> </w:t>
      </w:r>
      <w:r w:rsidRPr="009053D1">
        <w:t xml:space="preserve">identified a lack of services for caseworkers to refer people to. In particular, there were few services that could provide the intensive support that many of the families needed, as services tended to visit these communities rather than being located permanently in those areas. This lack of services was seen as limiting for caseworkers, who were also concerned about the large time gaps between visiting each family. In these situations caseworkers reported that they relied on health services and community child safety and wellbeing officers to remain in contact with the families and monitor their progress. </w:t>
      </w:r>
    </w:p>
    <w:p w:rsidR="009053D1" w:rsidRPr="009053D1" w:rsidRDefault="009053D1" w:rsidP="006654AE">
      <w:pPr>
        <w:pStyle w:val="Heading3"/>
      </w:pPr>
      <w:bookmarkStart w:id="642" w:name="_Toc403739154"/>
      <w:r w:rsidRPr="009053D1">
        <w:t>Operational issues</w:t>
      </w:r>
      <w:bookmarkEnd w:id="642"/>
      <w:r w:rsidRPr="009053D1">
        <w:t xml:space="preserve"> </w:t>
      </w:r>
    </w:p>
    <w:p w:rsidR="009053D1" w:rsidRPr="009053D1" w:rsidRDefault="009053D1" w:rsidP="006654AE">
      <w:r w:rsidRPr="009053D1">
        <w:t>Discussions around operational issues relating to Child Protection Income Management largely focused on interactions and information sharing between the Department of Human Services (DHS) and Child Protection Income Management staff. A significant proportion of caseworkers expressed frustration at not knowing the outcomes of referrals and also by not having a mechanism within their own recording systems to remind them of when a Child Protection Income Management referral period was due for review. Department of Children and Families staff were not aware of how they might access this information from DHS.</w:t>
      </w:r>
    </w:p>
    <w:p w:rsidR="009053D1" w:rsidRPr="009053D1" w:rsidRDefault="009053D1" w:rsidP="006654AE">
      <w:r w:rsidRPr="009053D1">
        <w:t xml:space="preserve">Setting up and managing allocations were also seen as challenging by the Department of Children and Families staff who participated in either the policy or case file interviews, with a range of issues emerging. One of these was the complexity of setting up allocations where money was managed and shared in large households and extended families. </w:t>
      </w:r>
      <w:proofErr w:type="gramStart"/>
      <w:r w:rsidRPr="009053D1">
        <w:t>This posed problems</w:t>
      </w:r>
      <w:proofErr w:type="gramEnd"/>
      <w:r w:rsidRPr="009053D1">
        <w:t xml:space="preserve"> not just for making recommendations to DHS about how the family’s income managed funds should be prioritised, but also, in the first instance, the simple problem of understanding how </w:t>
      </w:r>
      <w:r w:rsidR="0002698C">
        <w:t>existing</w:t>
      </w:r>
      <w:r w:rsidRPr="009053D1">
        <w:t xml:space="preserve"> arrangements operated.</w:t>
      </w:r>
    </w:p>
    <w:p w:rsidR="009053D1" w:rsidRPr="009053D1" w:rsidRDefault="009053D1" w:rsidP="006654AE">
      <w:pPr>
        <w:pStyle w:val="Quote2"/>
      </w:pPr>
      <w:r w:rsidRPr="009053D1">
        <w:t>It’s all very complicated and people who live in the houses might not know who pays the rent or not. It could be one person it could be shared … it takes a huge amount of time to work out what is going on. (Team leader)</w:t>
      </w:r>
    </w:p>
    <w:p w:rsidR="009053D1" w:rsidRPr="009053D1" w:rsidRDefault="009053D1" w:rsidP="006654AE">
      <w:r w:rsidRPr="009053D1">
        <w:t xml:space="preserve">Another issue arose concerning the situation of clients </w:t>
      </w:r>
      <w:r w:rsidR="0002698C">
        <w:t>making decisions</w:t>
      </w:r>
      <w:r w:rsidR="0002698C" w:rsidRPr="009053D1">
        <w:t xml:space="preserve"> </w:t>
      </w:r>
      <w:r w:rsidRPr="009053D1">
        <w:t xml:space="preserve">to change their allocations via DHS without consulting with the caseworker. It was suggested that in these circumstances any gains in their financial situation could easily be lost. For example, one worker spoke about a client who had been progressing very well with Child Protection Income Management but who was eventually subject to a high level of housing debt due to moving allocations around on almost weekly basis. Others were concerned that people had taken on debts with hire purchase companies for household goods, but often these goods were not to be found in their homes and caseworkers were unable to determine the interest costs or length of time the payments were for, even though they were allocated through people’s income managed funds. While acknowledging that it was not always possible to ascertain this information, caseworkers saw these issues as barriers to Child Protection Income Management succeeding for some families. </w:t>
      </w:r>
    </w:p>
    <w:p w:rsidR="009053D1" w:rsidRPr="009053D1" w:rsidRDefault="009053D1" w:rsidP="006654AE">
      <w:r w:rsidRPr="009053D1">
        <w:t xml:space="preserve">Caseworkers were keen to work more closely with DHS staff in setting up Child Protection Income Management so that it best met the needs of the families. Some staff spoke about examples of DHS staff being posted to a Department of Children and Families office being very valuable in improving their understanding of the measure and in obtaining valuable advice about how to organise allocations. Other Department of Children and Families staff also expressed a preference for allocations to be set up with direct involvement of the worker and for change to be limited to those who are approved by the client’s worker. In some cases this was conducted informally – for example, where </w:t>
      </w:r>
      <w:r w:rsidR="0002698C">
        <w:t>close</w:t>
      </w:r>
      <w:r w:rsidR="0002698C" w:rsidRPr="009053D1">
        <w:t xml:space="preserve"> </w:t>
      </w:r>
      <w:r w:rsidRPr="009053D1">
        <w:t xml:space="preserve">relationships existed between Department of Children and Families and DHS staff, DHS staff would contact Department of Children and Families about significant changes to a client’s allocations. Some Department of Children and Families staff also suggested that it would be useful for clients if DHS staff were involved in the initial discussion they undertook with clients about their referral to Child Protection Income Management so that </w:t>
      </w:r>
      <w:r w:rsidRPr="009053D1">
        <w:lastRenderedPageBreak/>
        <w:t xml:space="preserve">they could better explain the process and again work collaboratively between DHS, Department of Children and Families and the client to determine out the best allocation of their income managed funds. </w:t>
      </w:r>
    </w:p>
    <w:p w:rsidR="009053D1" w:rsidRPr="009053D1" w:rsidRDefault="009053D1" w:rsidP="006654AE">
      <w:r w:rsidRPr="009053D1">
        <w:t>Department of Children and Families staff across many of the interviews and focus groups also observed that not being able to record information systematically about whether or not Child Protection Income Management referrals had been made and accepted within the Department’s own electronic record keeping system created challenges for them in retaining and sharing information about referrals to Child Protection Income Management. They also felt that this made it challenging for them as an organisation to understand the impacts of Child Protection Income Management in a systematic way and to be able to obtain a sense of how well Child Protection Income Management was working for different families.</w:t>
      </w:r>
    </w:p>
    <w:p w:rsidR="009053D1" w:rsidRPr="009053D1" w:rsidRDefault="009053D1" w:rsidP="006654AE">
      <w:pPr>
        <w:pStyle w:val="Heading2"/>
      </w:pPr>
      <w:bookmarkStart w:id="643" w:name="_Toc403739155"/>
      <w:r w:rsidRPr="009053D1">
        <w:t>Impacts and outcomes associated with Child Protection Income Management</w:t>
      </w:r>
      <w:bookmarkEnd w:id="643"/>
    </w:p>
    <w:p w:rsidR="009053D1" w:rsidRPr="009053D1" w:rsidRDefault="009053D1" w:rsidP="006654AE">
      <w:r w:rsidRPr="009053D1">
        <w:t>This section provides insights into the outcomes observed by Department of Children and Families staff for families subject to Child Protection Income Management. It includes interview data from both the policy focused interviews and case file interviews. This section also draws on the small numbers of responses from IFSS staff surveyed as part of the IFSS evaluation concerning their perceptions of the impacts of Child Protection Income Management on the families they work with.</w:t>
      </w:r>
    </w:p>
    <w:p w:rsidR="009053D1" w:rsidRPr="009053D1" w:rsidRDefault="009053D1" w:rsidP="006654AE">
      <w:r w:rsidRPr="009053D1">
        <w:t>Views around the perceived impacts of Child Protection Income Management were mixed in both the policy and case file interviews. Overall, most of the Department of Children and Families staff spoke about Child Protection Income Management being useful in some cases and not useful in others. Child Protection Income Management was not seen as being particularly effective by many caseworkers in cases where, for example, the nature of neglect was limited to, medical neglect that was based on a lack of understanding, or lack of supervision that is related to problems such as inadequate parenting skills rather than alcohol, drug misuse or gambling. However, a smaller number of caseworkers felt that it was not harmful to try Child Protection Income Management in these cases and that it might provide assistance where it was appropriately buttressed by other actions:</w:t>
      </w:r>
    </w:p>
    <w:p w:rsidR="009053D1" w:rsidRPr="009053D1" w:rsidRDefault="009053D1" w:rsidP="006654AE">
      <w:pPr>
        <w:pStyle w:val="Quote2"/>
      </w:pPr>
      <w:r w:rsidRPr="009053D1">
        <w:t>Going on 70 per cent helps. Most families benefit from it … when we’ve referred to Child Protection Income Management for three months, they’ve learnt a new way of living that is not their usual way. But Child Protection Income Management is not done in isolation. It goes with referrals to services. (Caseworker)</w:t>
      </w:r>
    </w:p>
    <w:p w:rsidR="009053D1" w:rsidRPr="009053D1" w:rsidRDefault="009053D1" w:rsidP="006654AE">
      <w:r w:rsidRPr="009053D1">
        <w:t xml:space="preserve">Child Protection Income Management was in general seen to be most useful in those cases where there was a very specific problem – Child Protection Income Management could be used </w:t>
      </w:r>
      <w:r w:rsidR="0002698C">
        <w:t xml:space="preserve">in these cases </w:t>
      </w:r>
      <w:r w:rsidRPr="009053D1">
        <w:t>to limit expenditure, and provide structure and stabilisation to household finances. In these situations the high level of income management (70 per cent) could – where the person was committed to change – limit the cash money available to people to buy alcohol, drugs (in particular marijuana) and take part in gambling. Along with this, micromanagement of household spending allowed people to pay their rent and meet their children’s needs while people were still trying to resolve their problems with drugs and alcohol:</w:t>
      </w:r>
    </w:p>
    <w:p w:rsidR="009053D1" w:rsidRPr="009053D1" w:rsidRDefault="009053D1" w:rsidP="006654AE">
      <w:pPr>
        <w:pStyle w:val="Quote2"/>
      </w:pPr>
      <w:r w:rsidRPr="009053D1">
        <w:t>If she’d had unlimited access to all her cash things would have been worse. The most important thing is the next day after a binge she had money for some food (Caseworker).</w:t>
      </w:r>
    </w:p>
    <w:p w:rsidR="009053D1" w:rsidRPr="009053D1" w:rsidRDefault="009053D1" w:rsidP="006654AE">
      <w:r w:rsidRPr="009053D1">
        <w:t>Crucially, however, these impacts were seen as being effective when they were implemented as one part of a solution for a family along with other supports such as the IFSS and other services as part of a mutually reinforcing web of activities:</w:t>
      </w:r>
    </w:p>
    <w:p w:rsidR="009053D1" w:rsidRPr="009053D1" w:rsidRDefault="009053D1" w:rsidP="006654AE">
      <w:pPr>
        <w:pStyle w:val="Quote2"/>
      </w:pPr>
      <w:r w:rsidRPr="009053D1">
        <w:t>It is another support we have put into place that she is working with. (Caseworker)</w:t>
      </w:r>
    </w:p>
    <w:p w:rsidR="009053D1" w:rsidRPr="009053D1" w:rsidRDefault="009053D1" w:rsidP="006654AE">
      <w:r w:rsidRPr="009053D1">
        <w:t xml:space="preserve">As part of the case file interviews caseworkers were asked what outcomes they had been seeking for the family when they had referred them to Child Protection Income Management. For eight of the cases, caseworkers stated that they did not have any specific goals for Child Protection Income Management, but had made the referral simply because it was required by the policy because of a substantiation of neglect. These tended to be medical neglect and lack of supervision cases, as outlined above. In three of the cases Child Protection Income Management was being used to work towards or support reunification with children. In most cases the intention was expressed by caseworkers as being a mix of increasing the amount of money available to meet priority needs while limiting the funds available to access alcohol, drugs and/or </w:t>
      </w:r>
      <w:r w:rsidRPr="009053D1">
        <w:lastRenderedPageBreak/>
        <w:t>gambling. In five cases maintaining access to housing was a key outcome, and in four cases minimising the impact of financial exploitation was also flagged as a primary reason by caseworkers for making referrals to Child Protection Income Management.</w:t>
      </w:r>
    </w:p>
    <w:p w:rsidR="009053D1" w:rsidRPr="009053D1" w:rsidRDefault="009053D1" w:rsidP="006654AE">
      <w:r w:rsidRPr="009053D1">
        <w:t>Many of the workers who participated in the case file interviews stated that it was important to maintain clear goals about what Child Protection Income Management should achieve for families in order for it to be used successfully:</w:t>
      </w:r>
    </w:p>
    <w:p w:rsidR="009053D1" w:rsidRPr="009053D1" w:rsidRDefault="009053D1" w:rsidP="006654AE">
      <w:pPr>
        <w:pStyle w:val="Quote2"/>
      </w:pPr>
      <w:r w:rsidRPr="009053D1">
        <w:t>The success of Child Protection Income Management comes down to an understanding of what the options are … if you don’t really know how it works it’s hard to sell it to your clients … you need to determine what its use is [in a particular case] and it can be successfully used. (Caseworker)</w:t>
      </w:r>
    </w:p>
    <w:p w:rsidR="009053D1" w:rsidRPr="009053D1" w:rsidRDefault="009053D1" w:rsidP="006654AE">
      <w:r w:rsidRPr="009053D1">
        <w:t xml:space="preserve">While minimising the impacts of or access to alcohol, drugs and/or gambling was seen as a critical goal for most of the referrals to Child Protection Income Management in the case file interviews, only four cases were reported by caseworkers as having outcomes where these issues were resolved. Caseworkers reflected that while Child Protection Income Management was able to reduce access to cash money for these products, where clients were not willing to engage with services and work with them to resolve these issues they were easily able to work around the restrictions of Child Protection Income Management to access money for these addictions. This issue and the ability of clients to work around the restrictions of Child Protection Income Management more generally were also frequently raised in the more policy focused interviews: </w:t>
      </w:r>
    </w:p>
    <w:p w:rsidR="009053D1" w:rsidRPr="009053D1" w:rsidRDefault="009053D1" w:rsidP="006654AE">
      <w:pPr>
        <w:pStyle w:val="Quote2"/>
      </w:pPr>
      <w:r w:rsidRPr="009053D1">
        <w:t>I think she gambles her BasicsCard too …. But if they lose their BasicsCard they’ll just go and humbug the winner for food anyway. (Caseworker)</w:t>
      </w:r>
    </w:p>
    <w:p w:rsidR="009053D1" w:rsidRPr="009053D1" w:rsidRDefault="009053D1" w:rsidP="006654AE">
      <w:pPr>
        <w:pStyle w:val="Quote2"/>
      </w:pPr>
      <w:r w:rsidRPr="009053D1">
        <w:t>This family is very clever and they have found ways around Child Protection Income Management … part of it too is the willingness of the family to participate. There are families that don’t want to change. (Caseworker)</w:t>
      </w:r>
    </w:p>
    <w:p w:rsidR="009053D1" w:rsidRPr="009053D1" w:rsidRDefault="009053D1" w:rsidP="006654AE">
      <w:pPr>
        <w:pStyle w:val="Quote2"/>
      </w:pPr>
      <w:r w:rsidRPr="009053D1">
        <w:t>Alcohol is not always directly related to money because Aboriginal people are so communal. You can stop someone’s income for accessing alcohol but they can still get it – but at least they still have some money to pay for the kids’ food. (Team leader)</w:t>
      </w:r>
    </w:p>
    <w:p w:rsidR="009053D1" w:rsidRPr="009053D1" w:rsidRDefault="009053D1" w:rsidP="006654AE">
      <w:r w:rsidRPr="009053D1">
        <w:t xml:space="preserve">In terms of outcomes as described in the case file interviews, of the 32 cases, 12 were reported as having ended with the issues being resolved and no more notifications to date (this includes three instances where the case is still open but it is progressing as hoped and is expected to be closed soon) and six cases were reported as ongoing with the family continuing to work with the Department, but without clear outcomes at this stage. In 15 cases further notifications in relation to neglect were reported, and 14 cases have ended with the child being removed from the charge of the primary carer or with extended family taking on the care of children. </w:t>
      </w:r>
    </w:p>
    <w:p w:rsidR="009053D1" w:rsidRPr="009053D1" w:rsidRDefault="009053D1" w:rsidP="006654AE">
      <w:r w:rsidRPr="009053D1">
        <w:t xml:space="preserve">The 12 cases where issues were resolved and where there were no further notifications were all cases in which the caseworker indicated that the parents were willing to engage with the Department and the services arranged to support them, and where there were services available to those families to meet their needs. Not surprisingly, these cases were less complex and tended to involve families who had relatively short-term overall involvement with the Department. In some of these cases Child Protection Income Management had a stabilising influence on families while other interventions were being undertaken. </w:t>
      </w:r>
    </w:p>
    <w:p w:rsidR="009053D1" w:rsidRPr="009053D1" w:rsidRDefault="009053D1" w:rsidP="006654AE">
      <w:r w:rsidRPr="009053D1">
        <w:t xml:space="preserve">The cases that had ended with further notifications or the removal of children involved families that had experienced multiple and complex issues and were involved long-term with Department of Children and Families. Given the small sample size and diversity of circumstances it is hard to comment specifically on the role of Child Protection Income Management in these cases. However, as indicated above, workers interviewed about these cases believed that Child Protection Income Management and other interventions implemented were something that had been worth trying to see if families could be assisted in resolving these issues without removing their children. </w:t>
      </w:r>
    </w:p>
    <w:p w:rsidR="009053D1" w:rsidRPr="009053D1" w:rsidRDefault="009053D1" w:rsidP="006654AE">
      <w:r w:rsidRPr="009053D1">
        <w:t xml:space="preserve">As part of the case file interviews caseworkers were also asked whether the initial period of Child Protection Income Management had been extended. In six cases it was reported that Child Protection Income Management had been extended. Extension of Child Protection Income Management usually occurred because it was considered that the measure was achieving positive results and continuation was </w:t>
      </w:r>
      <w:r w:rsidRPr="009053D1">
        <w:lastRenderedPageBreak/>
        <w:t xml:space="preserve">seen as something the family could benefit from. Three of these families were reported as having requested to stay on Child Protection Income Management. In most of the case file interviews, caseworkers reported that they had not extended the period on which the person was subject to Child Protection Income Management. This included cases where the children had been removed from the family or where the children had gone to live with another relative. In three cases the worker did not know if Child Protection Income Management had been extended as the case had been transferred to another team and this information was not noted on the file. In another three cases the initial referral was yet to expire. </w:t>
      </w:r>
    </w:p>
    <w:p w:rsidR="009053D1" w:rsidRPr="009053D1" w:rsidRDefault="009053D1" w:rsidP="006654AE">
      <w:r w:rsidRPr="009053D1">
        <w:t xml:space="preserve">One factor in deciding whether or not Child Protection Income Management should be extended related to whether or not the client would be continuing on another form of income management when their period of Child Protection Income Management ended. For example, in both the case file interviews and policy interviews the fact that people would be returning to Compulsory Income Management and 50 per cent income management was seem as a reason to let the referral expire. Conversely, where the primary carer was in receipt of a pension payment such as the </w:t>
      </w:r>
      <w:r w:rsidR="0002698C">
        <w:t>A</w:t>
      </w:r>
      <w:r w:rsidRPr="009053D1">
        <w:t xml:space="preserve">ge </w:t>
      </w:r>
      <w:r w:rsidR="0002698C">
        <w:t>P</w:t>
      </w:r>
      <w:r w:rsidRPr="009053D1">
        <w:t xml:space="preserve">ension or </w:t>
      </w:r>
      <w:r w:rsidR="0002698C">
        <w:t>D</w:t>
      </w:r>
      <w:r w:rsidRPr="009053D1">
        <w:t xml:space="preserve">isability </w:t>
      </w:r>
      <w:r w:rsidR="0002698C">
        <w:t>S</w:t>
      </w:r>
      <w:r w:rsidRPr="009053D1">
        <w:t xml:space="preserve">upport </w:t>
      </w:r>
      <w:r w:rsidR="0002698C">
        <w:t>P</w:t>
      </w:r>
      <w:r w:rsidRPr="009053D1">
        <w:t xml:space="preserve">ension, caseworkers reported considering carefully whether or not they should continue with Child Protection Income Management. This was due to the fact that these clients would not be subject to any form of compulsory income management, and also because the higher payment rates were seen as making these clients particularly vulnerable to financial exploitation from others who were subject to one of the compulsory forms of income management. </w:t>
      </w:r>
    </w:p>
    <w:p w:rsidR="009053D1" w:rsidRPr="009053D1" w:rsidRDefault="009053D1" w:rsidP="006654AE">
      <w:r w:rsidRPr="009053D1">
        <w:t xml:space="preserve">The mixed views about whether or not Child Protection Income Management was able to assist clients with their issues was also reflected in the survey responses of IFSS workers participating in the DSS-commissioned evaluation of these services. Of the 14 people who responded to these survey questions, four gave a response of “don’t know” to each of the items. While the numbers of responses are very small they do suggest that, </w:t>
      </w:r>
      <w:r w:rsidR="0002698C">
        <w:t>as with</w:t>
      </w:r>
      <w:r w:rsidR="0002698C" w:rsidRPr="009053D1">
        <w:t xml:space="preserve"> </w:t>
      </w:r>
      <w:r w:rsidRPr="009053D1">
        <w:t xml:space="preserve">the case file interviews and policy interviews, Child Protection Income Management is seen as having a positive impact around half of the time and no impact the rest of the time. </w:t>
      </w:r>
    </w:p>
    <w:p w:rsidR="009053D1" w:rsidRPr="009053D1" w:rsidRDefault="009053D1" w:rsidP="006654AE">
      <w:pPr>
        <w:pStyle w:val="Caption"/>
      </w:pPr>
      <w:bookmarkStart w:id="644" w:name="_Toc403739489"/>
      <w:r w:rsidRPr="009053D1">
        <w:t xml:space="preserve">Table </w:t>
      </w:r>
      <w:fldSimple w:instr=" STYLEREF 1 \s ">
        <w:r w:rsidR="00906D13">
          <w:rPr>
            <w:noProof/>
          </w:rPr>
          <w:t>13</w:t>
        </w:r>
      </w:fldSimple>
      <w:r w:rsidR="00D40B64">
        <w:noBreakHyphen/>
      </w:r>
      <w:fldSimple w:instr=" SEQ Table \* ARABIC \s 1 ">
        <w:r w:rsidR="00906D13">
          <w:rPr>
            <w:noProof/>
          </w:rPr>
          <w:t>1</w:t>
        </w:r>
      </w:fldSimple>
      <w:r w:rsidRPr="009053D1">
        <w:tab/>
        <w:t>IFSS staff perceptions of the impact of Child Protection Income Management on their clients</w:t>
      </w:r>
      <w:bookmarkEnd w:id="644"/>
    </w:p>
    <w:tbl>
      <w:tblPr>
        <w:tblW w:w="4062" w:type="pct"/>
        <w:jc w:val="center"/>
        <w:tblLook w:val="04A0" w:firstRow="1" w:lastRow="0" w:firstColumn="1" w:lastColumn="0" w:noHBand="0" w:noVBand="1"/>
        <w:tblDescription w:val="This question reported responses in the following categories:  A very positive impact/ A somewhat positive impact/ No impact/ Don’t know/Total to 6 statements  about the possible impact of Child Protection Income Management. The statements were: Improves budgeting ability/ Helps parents provide more fresh food for their children/ Gets children to school/ Reduces financial harassment/ Reduces alcohol or substance abuse/Reduces gambling.&#10;There is brief reporting of the data in the text.&#10;"/>
      </w:tblPr>
      <w:tblGrid>
        <w:gridCol w:w="2356"/>
        <w:gridCol w:w="790"/>
        <w:gridCol w:w="1253"/>
        <w:gridCol w:w="850"/>
        <w:gridCol w:w="990"/>
        <w:gridCol w:w="707"/>
      </w:tblGrid>
      <w:tr w:rsidR="00B85179" w:rsidRPr="009053D1" w:rsidTr="00F5396E">
        <w:trPr>
          <w:trHeight w:val="20"/>
          <w:tblHeader/>
          <w:jc w:val="center"/>
        </w:trPr>
        <w:tc>
          <w:tcPr>
            <w:tcW w:w="1695"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left"/>
              <w:rPr>
                <w:rFonts w:asciiTheme="minorHAnsi" w:hAnsiTheme="minorHAnsi"/>
                <w:sz w:val="18"/>
                <w:szCs w:val="18"/>
              </w:rPr>
            </w:pPr>
            <w:r w:rsidRPr="009053D1">
              <w:rPr>
                <w:rFonts w:asciiTheme="minorHAnsi" w:hAnsiTheme="minorHAnsi"/>
                <w:sz w:val="18"/>
                <w:szCs w:val="18"/>
              </w:rPr>
              <w:t>Possible impact of Child Protection Income Management</w:t>
            </w:r>
            <w:r w:rsidRPr="009053D1">
              <w:rPr>
                <w:rFonts w:asciiTheme="minorHAnsi" w:hAnsiTheme="minorHAnsi"/>
                <w:sz w:val="18"/>
                <w:szCs w:val="18"/>
                <w:lang w:val="en-US" w:eastAsia="en-US"/>
              </w:rPr>
              <w:t>…</w:t>
            </w:r>
          </w:p>
        </w:tc>
        <w:tc>
          <w:tcPr>
            <w:tcW w:w="569"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A very positive impact</w:t>
            </w:r>
            <w:r w:rsidR="007F5F9B">
              <w:rPr>
                <w:rFonts w:ascii="Calibri" w:hAnsi="Calibri"/>
                <w:sz w:val="18"/>
              </w:rPr>
              <w:t xml:space="preserve"> (a)</w:t>
            </w:r>
          </w:p>
        </w:tc>
        <w:tc>
          <w:tcPr>
            <w:tcW w:w="902"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A somewhat positive impact</w:t>
            </w:r>
            <w:r w:rsidR="007F5F9B">
              <w:rPr>
                <w:rFonts w:ascii="Calibri" w:hAnsi="Calibri"/>
                <w:sz w:val="18"/>
              </w:rPr>
              <w:t xml:space="preserve"> (a)</w:t>
            </w:r>
          </w:p>
        </w:tc>
        <w:tc>
          <w:tcPr>
            <w:tcW w:w="612"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 xml:space="preserve"> No impact</w:t>
            </w:r>
            <w:r w:rsidR="007F5F9B">
              <w:rPr>
                <w:rFonts w:ascii="Calibri" w:hAnsi="Calibri"/>
                <w:sz w:val="18"/>
              </w:rPr>
              <w:t xml:space="preserve"> (a)</w:t>
            </w:r>
          </w:p>
        </w:tc>
        <w:tc>
          <w:tcPr>
            <w:tcW w:w="713" w:type="pct"/>
            <w:tcBorders>
              <w:top w:val="single" w:sz="4" w:space="0" w:color="auto"/>
              <w:bottom w:val="single" w:sz="4" w:space="0" w:color="auto"/>
            </w:tcBorders>
            <w:shd w:val="clear" w:color="auto" w:fill="auto"/>
            <w:hideMark/>
          </w:tcPr>
          <w:p w:rsidR="007F5F9B" w:rsidRDefault="009053D1" w:rsidP="006654AE">
            <w:pPr>
              <w:keepNext/>
              <w:keepLines/>
              <w:spacing w:after="0" w:line="240" w:lineRule="auto"/>
              <w:jc w:val="right"/>
              <w:rPr>
                <w:rFonts w:ascii="Calibri" w:hAnsi="Calibri"/>
                <w:sz w:val="18"/>
              </w:rPr>
            </w:pPr>
            <w:r w:rsidRPr="009053D1">
              <w:rPr>
                <w:rFonts w:ascii="Calibri" w:hAnsi="Calibri"/>
                <w:sz w:val="18"/>
              </w:rPr>
              <w:t>Don’t know</w:t>
            </w:r>
            <w:r w:rsidR="007F5F9B">
              <w:rPr>
                <w:rFonts w:ascii="Calibri" w:hAnsi="Calibri"/>
                <w:sz w:val="18"/>
              </w:rPr>
              <w:t xml:space="preserve"> </w:t>
            </w:r>
          </w:p>
          <w:p w:rsidR="009053D1" w:rsidRPr="009053D1" w:rsidRDefault="007F5F9B" w:rsidP="006654AE">
            <w:pPr>
              <w:keepNext/>
              <w:keepLines/>
              <w:spacing w:after="0" w:line="240" w:lineRule="auto"/>
              <w:jc w:val="right"/>
              <w:rPr>
                <w:rFonts w:ascii="Calibri" w:hAnsi="Calibri"/>
                <w:sz w:val="18"/>
              </w:rPr>
            </w:pPr>
            <w:r>
              <w:rPr>
                <w:rFonts w:ascii="Calibri" w:hAnsi="Calibri"/>
                <w:sz w:val="18"/>
              </w:rPr>
              <w:t>(a) (b)</w:t>
            </w:r>
          </w:p>
        </w:tc>
        <w:tc>
          <w:tcPr>
            <w:tcW w:w="510" w:type="pct"/>
            <w:tcBorders>
              <w:top w:val="single" w:sz="4" w:space="0" w:color="auto"/>
              <w:bottom w:val="single" w:sz="4" w:space="0" w:color="auto"/>
            </w:tcBorders>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Total</w:t>
            </w:r>
            <w:r w:rsidR="007F5F9B">
              <w:rPr>
                <w:rFonts w:ascii="Calibri" w:hAnsi="Calibri"/>
                <w:sz w:val="18"/>
              </w:rPr>
              <w:t xml:space="preserve"> (a)</w:t>
            </w:r>
          </w:p>
        </w:tc>
      </w:tr>
      <w:tr w:rsidR="00E327D5" w:rsidRPr="009053D1" w:rsidTr="00F5396E">
        <w:trPr>
          <w:trHeight w:val="20"/>
          <w:jc w:val="center"/>
        </w:trPr>
        <w:tc>
          <w:tcPr>
            <w:tcW w:w="1695" w:type="pct"/>
            <w:tcBorders>
              <w:top w:val="single" w:sz="4" w:space="0" w:color="auto"/>
            </w:tcBorders>
            <w:shd w:val="clear" w:color="auto" w:fill="auto"/>
            <w:vAlign w:val="bottom"/>
          </w:tcPr>
          <w:p w:rsidR="00E327D5" w:rsidRPr="009053D1" w:rsidRDefault="00E327D5" w:rsidP="006654AE">
            <w:pPr>
              <w:keepNext/>
              <w:keepLines/>
              <w:spacing w:after="0" w:line="240" w:lineRule="auto"/>
              <w:jc w:val="left"/>
              <w:rPr>
                <w:rFonts w:asciiTheme="minorHAnsi" w:hAnsiTheme="minorHAnsi"/>
                <w:sz w:val="18"/>
                <w:szCs w:val="18"/>
              </w:rPr>
            </w:pPr>
          </w:p>
        </w:tc>
        <w:tc>
          <w:tcPr>
            <w:tcW w:w="3305" w:type="pct"/>
            <w:gridSpan w:val="5"/>
            <w:tcBorders>
              <w:top w:val="single" w:sz="4" w:space="0" w:color="auto"/>
              <w:left w:val="nil"/>
              <w:right w:val="nil"/>
            </w:tcBorders>
            <w:shd w:val="clear" w:color="auto" w:fill="auto"/>
          </w:tcPr>
          <w:p w:rsidR="00E327D5" w:rsidRPr="009053D1" w:rsidRDefault="00E327D5" w:rsidP="006654AE">
            <w:pPr>
              <w:keepNext/>
              <w:keepLines/>
              <w:spacing w:after="0" w:line="240" w:lineRule="auto"/>
              <w:jc w:val="center"/>
              <w:rPr>
                <w:rFonts w:asciiTheme="minorHAnsi" w:hAnsiTheme="minorHAnsi"/>
                <w:sz w:val="18"/>
                <w:szCs w:val="18"/>
                <w:lang w:val="en-US" w:eastAsia="en-US"/>
              </w:rPr>
            </w:pP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jc w:val="left"/>
              <w:rPr>
                <w:rFonts w:asciiTheme="minorHAnsi" w:hAnsiTheme="minorHAnsi"/>
                <w:color w:val="891919"/>
                <w:sz w:val="18"/>
                <w:szCs w:val="18"/>
              </w:rPr>
            </w:pPr>
            <w:r w:rsidRPr="009053D1">
              <w:rPr>
                <w:rFonts w:asciiTheme="minorHAnsi" w:hAnsiTheme="minorHAnsi"/>
                <w:sz w:val="18"/>
                <w:szCs w:val="18"/>
              </w:rPr>
              <w:t>Improves budgeting ability</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34"/>
              <w:jc w:val="left"/>
              <w:rPr>
                <w:rFonts w:asciiTheme="minorHAnsi" w:hAnsiTheme="minorHAnsi"/>
                <w:color w:val="891919"/>
                <w:sz w:val="18"/>
                <w:szCs w:val="18"/>
              </w:rPr>
            </w:pPr>
            <w:r w:rsidRPr="009053D1">
              <w:rPr>
                <w:rFonts w:asciiTheme="minorHAnsi" w:hAnsiTheme="minorHAnsi"/>
                <w:sz w:val="18"/>
                <w:szCs w:val="18"/>
              </w:rPr>
              <w:t>Helps parents provide more fresh food for their children</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sz w:val="18"/>
                <w:szCs w:val="18"/>
              </w:rPr>
            </w:pPr>
            <w:r w:rsidRPr="009053D1">
              <w:rPr>
                <w:rFonts w:asciiTheme="minorHAnsi" w:hAnsiTheme="minorHAnsi"/>
                <w:sz w:val="18"/>
                <w:szCs w:val="18"/>
              </w:rPr>
              <w:t>Gets children to school</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3</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rPr>
              <w:t>Reduces financial harassment</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3</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rPr>
              <w:t>Reduces alcohol/substance abuse</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6</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lang w:val="en-US" w:eastAsia="en-US"/>
              </w:rPr>
              <w:t>R</w:t>
            </w:r>
            <w:r w:rsidRPr="009053D1">
              <w:rPr>
                <w:rFonts w:asciiTheme="minorHAnsi" w:hAnsiTheme="minorHAnsi"/>
                <w:sz w:val="18"/>
                <w:szCs w:val="18"/>
              </w:rPr>
              <w:t>educes gambling</w:t>
            </w:r>
          </w:p>
        </w:tc>
        <w:tc>
          <w:tcPr>
            <w:tcW w:w="569"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w:t>
            </w:r>
          </w:p>
        </w:tc>
        <w:tc>
          <w:tcPr>
            <w:tcW w:w="612"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7</w:t>
            </w:r>
          </w:p>
        </w:tc>
        <w:tc>
          <w:tcPr>
            <w:tcW w:w="713"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tcBorders>
              <w:bottom w:val="single" w:sz="4" w:space="0" w:color="auto"/>
            </w:tcBorders>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bl>
    <w:p w:rsidR="007F5F9B" w:rsidRDefault="009053D1" w:rsidP="006654AE">
      <w:pPr>
        <w:keepNext/>
        <w:keepLines/>
        <w:spacing w:before="60" w:after="120" w:line="240" w:lineRule="auto"/>
        <w:ind w:left="567" w:right="567"/>
        <w:rPr>
          <w:sz w:val="16"/>
        </w:rPr>
      </w:pPr>
      <w:r w:rsidRPr="009053D1">
        <w:rPr>
          <w:sz w:val="16"/>
        </w:rPr>
        <w:t>Note</w:t>
      </w:r>
      <w:r w:rsidR="00B85179">
        <w:rPr>
          <w:sz w:val="16"/>
        </w:rPr>
        <w:t>:</w:t>
      </w:r>
      <w:r w:rsidR="00B85179">
        <w:rPr>
          <w:sz w:val="16"/>
        </w:rPr>
        <w:tab/>
      </w:r>
      <w:r w:rsidR="007F5F9B">
        <w:rPr>
          <w:sz w:val="16"/>
        </w:rPr>
        <w:t>(a) number of responses</w:t>
      </w:r>
    </w:p>
    <w:p w:rsidR="009053D1" w:rsidRDefault="007F5F9B" w:rsidP="007F5F9B">
      <w:pPr>
        <w:keepNext/>
        <w:keepLines/>
        <w:spacing w:before="60" w:after="120" w:line="240" w:lineRule="auto"/>
        <w:ind w:left="1287" w:right="567" w:firstLine="153"/>
        <w:rPr>
          <w:sz w:val="16"/>
        </w:rPr>
      </w:pPr>
      <w:r>
        <w:rPr>
          <w:sz w:val="16"/>
        </w:rPr>
        <w:t>(b)</w:t>
      </w:r>
      <w:r w:rsidR="00B85179">
        <w:rPr>
          <w:sz w:val="16"/>
        </w:rPr>
        <w:t>T</w:t>
      </w:r>
      <w:r w:rsidR="009053D1" w:rsidRPr="009053D1">
        <w:rPr>
          <w:sz w:val="16"/>
        </w:rPr>
        <w:t xml:space="preserve">he same four respondents answered “don’t know” to each of the questions. </w:t>
      </w:r>
    </w:p>
    <w:p w:rsidR="00B85179" w:rsidRPr="009053D1" w:rsidRDefault="00B85179" w:rsidP="006654AE">
      <w:pPr>
        <w:keepNext/>
        <w:keepLines/>
        <w:spacing w:before="60" w:after="120" w:line="240" w:lineRule="auto"/>
        <w:ind w:left="567" w:right="567"/>
      </w:pPr>
      <w:r w:rsidRPr="009053D1">
        <w:rPr>
          <w:sz w:val="16"/>
        </w:rPr>
        <w:t xml:space="preserve">Source: </w:t>
      </w:r>
      <w:r>
        <w:rPr>
          <w:sz w:val="16"/>
        </w:rPr>
        <w:tab/>
      </w:r>
      <w:r w:rsidRPr="009053D1">
        <w:rPr>
          <w:sz w:val="16"/>
        </w:rPr>
        <w:t>IFSS evaluation survey of IFSS staff, 2014.</w:t>
      </w:r>
    </w:p>
    <w:p w:rsidR="009053D1" w:rsidRPr="009053D1" w:rsidRDefault="009053D1" w:rsidP="006654AE">
      <w:pPr>
        <w:pStyle w:val="Heading2"/>
      </w:pPr>
      <w:bookmarkStart w:id="645" w:name="_Toc399681891"/>
      <w:bookmarkStart w:id="646" w:name="_Toc399687483"/>
      <w:bookmarkStart w:id="647" w:name="_Toc399681892"/>
      <w:bookmarkStart w:id="648" w:name="_Toc399687484"/>
      <w:bookmarkStart w:id="649" w:name="_Toc403739156"/>
      <w:bookmarkEnd w:id="645"/>
      <w:bookmarkEnd w:id="646"/>
      <w:bookmarkEnd w:id="647"/>
      <w:bookmarkEnd w:id="648"/>
      <w:r w:rsidRPr="009053D1">
        <w:t>Conclusion</w:t>
      </w:r>
      <w:bookmarkEnd w:id="649"/>
    </w:p>
    <w:p w:rsidR="009053D1" w:rsidRPr="009053D1" w:rsidRDefault="009053D1" w:rsidP="006654AE">
      <w:r w:rsidRPr="009053D1">
        <w:t>The number of people placed on Child Protection Income Management is small both in comparison with the overall income management population and as a proportion of cases of substantiated child neglect. This latter suggests that the policy guidelines within Department of Children and Families may not be fully implemented by child protection staff when they are making decisions about whether or not Child Protection Income Management should be used in their work with a family, although a range of other factors may also come into play.</w:t>
      </w:r>
    </w:p>
    <w:p w:rsidR="009053D1" w:rsidRPr="009053D1" w:rsidRDefault="009053D1" w:rsidP="006654AE">
      <w:r w:rsidRPr="009053D1">
        <w:t xml:space="preserve">Overall, the interviews with Department of Children and Families staff suggest that Child Protection Income Management is perceived as a tool that can be useful in working with families to address their needs where neglect exists due to money management issues. Its primary contribution, where it is effective, </w:t>
      </w:r>
      <w:r w:rsidRPr="009053D1">
        <w:lastRenderedPageBreak/>
        <w:t xml:space="preserve">is seen to be one of stabilising families and limiting access to money for alcohol, illegal substances and gambling while other interventions such as IFSS are implemented that can address broader issues experienced by these families and create longer-term change, such as improved knowledge of children’s developmental stages, their dependency on parents for care and nurture, and development of the specific parenting skills required to meet children’s health, physical, emotional, social and wellbeing needs. </w:t>
      </w:r>
    </w:p>
    <w:p w:rsidR="009053D1" w:rsidRPr="009053D1" w:rsidRDefault="009053D1" w:rsidP="006654AE">
      <w:r w:rsidRPr="009053D1">
        <w:t>As with the 2014 review of Child Protection Income Management in Western Australia</w:t>
      </w:r>
      <w:r w:rsidRPr="009053D1">
        <w:rPr>
          <w:vertAlign w:val="superscript"/>
        </w:rPr>
        <w:footnoteReference w:id="148"/>
      </w:r>
      <w:r w:rsidRPr="009053D1">
        <w:rPr>
          <w:vertAlign w:val="superscript"/>
        </w:rPr>
        <w:t>,</w:t>
      </w:r>
      <w:r w:rsidRPr="009053D1">
        <w:t xml:space="preserve"> which found that </w:t>
      </w:r>
      <w:r w:rsidRPr="009053D1">
        <w:rPr>
          <w:color w:val="222222"/>
        </w:rPr>
        <w:t>families on Child Protection Income Management “generally experienced multiple problems and needed a holistic approach to support them, with income management being only one component in a raft of support mechanisms” (DSS, 2014a, p. 14),</w:t>
      </w:r>
      <w:r w:rsidRPr="009053D1">
        <w:t xml:space="preserve"> the effectiveness of the measure in the Northern Territory was commonly regarded as being largely dependent upon the circumstances in which it was used:</w:t>
      </w:r>
    </w:p>
    <w:p w:rsidR="009053D1" w:rsidRPr="009053D1" w:rsidRDefault="009053D1" w:rsidP="006654AE">
      <w:pPr>
        <w:pStyle w:val="dot"/>
      </w:pPr>
      <w:r w:rsidRPr="009053D1">
        <w:t>It was generally seen as being most effective in those cases where families were willing to engage with services and with a process of change. Conversely, caseworkers noted that the potential impacts of Child Protection Income Management were limited where families were unwilling make such a commitment, and that in these circumstances families were able to use a number of strategies to circumvent the restrictions of Child Protection Income Management.</w:t>
      </w:r>
    </w:p>
    <w:p w:rsidR="009053D1" w:rsidRPr="009053D1" w:rsidRDefault="009053D1" w:rsidP="006654AE">
      <w:pPr>
        <w:pStyle w:val="dot"/>
      </w:pPr>
      <w:r w:rsidRPr="009053D1">
        <w:t>It was seen as a more useful tool for working with families where neglect was linked to the management of money, or alcohol or substance misuse, or problem gambling, with less support for its application in cases where the neglect arose from other causes – although some felt it did not do harm in these situations.</w:t>
      </w:r>
    </w:p>
    <w:p w:rsidR="009053D1" w:rsidRPr="009053D1" w:rsidRDefault="009053D1" w:rsidP="006654AE">
      <w:pPr>
        <w:pStyle w:val="dot"/>
      </w:pPr>
      <w:r w:rsidRPr="009053D1">
        <w:t>It was seen as being most effective where it was part of a range of services and where it played a reinforcing role to these.</w:t>
      </w:r>
    </w:p>
    <w:p w:rsidR="009053D1" w:rsidRPr="009053D1" w:rsidRDefault="009053D1" w:rsidP="006654AE">
      <w:pPr>
        <w:pStyle w:val="dash"/>
      </w:pPr>
      <w:r w:rsidRPr="009053D1">
        <w:t>In particular, caseworkers and other Department of Children and Families staff we interviewed saw the IFSS service model as being of great value to families referred to Child Protection Income Management and families where neglect was an issue more broadly. Many attributed the apparently successful outcomes for families referred to Child Protection Income Management to the work of these services in helping families developing understanding of their children’s needs and the basic life skills needed to meet these needs.</w:t>
      </w:r>
    </w:p>
    <w:p w:rsidR="009053D1" w:rsidRPr="009053D1" w:rsidRDefault="009053D1" w:rsidP="006654AE">
      <w:pPr>
        <w:pStyle w:val="dash"/>
      </w:pPr>
      <w:r w:rsidRPr="009053D1">
        <w:t xml:space="preserve">The issue of inadequate support services, especially in more remote locations, was highlighted by many of the staff. </w:t>
      </w:r>
    </w:p>
    <w:p w:rsidR="009053D1" w:rsidRPr="009053D1" w:rsidRDefault="009053D1" w:rsidP="006654AE">
      <w:r w:rsidRPr="009053D1">
        <w:t>These findings also need to take account of the high degree of targeting of the use of this measure, with fewer than one hundred people on it at any one time.</w:t>
      </w:r>
    </w:p>
    <w:p w:rsidR="007E46B6" w:rsidRDefault="009053D1" w:rsidP="006654AE">
      <w:r w:rsidRPr="009053D1">
        <w:t>There also appears to have been a shift in the attitude of many of the Department of Children and Families staff towards Child Protection Income Management since the first phase of the evaluation. In contrast to Phase 1, very few staff raised ideological concerns about the use of income management and there was evidence that Child Protection Income Management is being increasingly accepted by Department of Children and Families staff as a potentially useful tool in their work with families. However, there remained a very strong view that professional judgment was paramount in determining the efficacy of this tool for individual families rather than automatic procedures requiring implementation of Child Protection Income Management. This finding was also reflected in the recent review of Child Protection Income Management in Western Australia, where growing acceptance of the measure by workers was recorded (DSS, 2014a). Changing operational processes were also seen as being important; in particular, the removal of the requirement to maintain cases as ‘open cases’ while a client was on Child Protection Income Management was seen to have removed a significant barrier to caseworkers making referrals to Child Protection Income Management., although this had not resulted in increases in numbers of referrals.</w:t>
      </w:r>
    </w:p>
    <w:p w:rsidR="007E46B6" w:rsidRDefault="007E46B6" w:rsidP="006654AE">
      <w:pPr>
        <w:spacing w:line="276" w:lineRule="auto"/>
        <w:jc w:val="left"/>
      </w:pPr>
      <w:r>
        <w:br w:type="page"/>
      </w:r>
    </w:p>
    <w:p w:rsidR="00417B51" w:rsidRPr="00DF38B2" w:rsidRDefault="007E46B6" w:rsidP="006654AE">
      <w:r w:rsidRPr="00DF38B2">
        <w:lastRenderedPageBreak/>
        <w:t xml:space="preserve"> </w:t>
      </w:r>
    </w:p>
    <w:p w:rsidR="00417B51" w:rsidRPr="00DF38B2" w:rsidRDefault="00417B51" w:rsidP="006654AE">
      <w:pPr>
        <w:sectPr w:rsidR="00417B51" w:rsidRPr="00DF38B2" w:rsidSect="00285084">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50" w:name="_Toc403739157"/>
      <w:r w:rsidRPr="00DF38B2">
        <w:lastRenderedPageBreak/>
        <w:t>Findings against the evaluation framework</w:t>
      </w:r>
      <w:bookmarkEnd w:id="650"/>
    </w:p>
    <w:p w:rsidR="00417B51" w:rsidRPr="00DF38B2" w:rsidRDefault="00417B51" w:rsidP="00F42BEE">
      <w:pPr>
        <w:pStyle w:val="Heading2"/>
        <w:spacing w:before="1134"/>
        <w:ind w:left="855" w:hanging="855"/>
      </w:pPr>
      <w:bookmarkStart w:id="651" w:name="_Toc403739158"/>
      <w:r w:rsidRPr="00DF38B2">
        <w:t>Introduction</w:t>
      </w:r>
      <w:bookmarkEnd w:id="651"/>
    </w:p>
    <w:p w:rsidR="00417B51" w:rsidRPr="00DF38B2" w:rsidRDefault="00417B51" w:rsidP="006654AE">
      <w:r w:rsidRPr="00DF38B2">
        <w:t xml:space="preserve">This chapter </w:t>
      </w:r>
      <w:r w:rsidR="006E2187" w:rsidRPr="00DF38B2">
        <w:t xml:space="preserve">draws upon the material provided in earlier chapters to </w:t>
      </w:r>
      <w:r w:rsidRPr="00DF38B2">
        <w:t xml:space="preserve">address the specific evaluation questions set out in the Evaluation Framework for New Income Management (SPRC &amp; AIFS, 2010). These questions were identified by the </w:t>
      </w:r>
      <w:r w:rsidR="007E5C25">
        <w:t>DSS</w:t>
      </w:r>
      <w:r w:rsidRPr="00DF38B2">
        <w:t xml:space="preserve"> (then FaHCSIA) as central to the effectiveness of New Income Management and its implementation. In Chapter 1</w:t>
      </w:r>
      <w:r w:rsidR="002B02A7">
        <w:t>5</w:t>
      </w:r>
      <w:r w:rsidRPr="00DF38B2">
        <w:t xml:space="preserve"> we present our overall findings.</w:t>
      </w:r>
    </w:p>
    <w:p w:rsidR="00417B51" w:rsidRPr="00DF38B2" w:rsidRDefault="00417B51" w:rsidP="006654AE">
      <w:r w:rsidRPr="00DF38B2">
        <w:t>As has been documented in this report:</w:t>
      </w:r>
    </w:p>
    <w:p w:rsidR="00417B51" w:rsidRPr="00DF38B2" w:rsidRDefault="00417B51" w:rsidP="006654AE">
      <w:pPr>
        <w:pStyle w:val="dot"/>
      </w:pPr>
      <w:r w:rsidRPr="00DF38B2">
        <w:t xml:space="preserve">The evaluation is based on in-depth analysis of the program and extensive consultation with those subject to income management and those involved, at all levels, with </w:t>
      </w:r>
      <w:r w:rsidR="000E7F9D">
        <w:t>its operation</w:t>
      </w:r>
      <w:r w:rsidRPr="00DF38B2">
        <w:t>. Specifically this has included: a major longitudinal survey of people subject to income management and a comparison group of income support recipients outside of the Northern Territory; extensive analysis of Centrelink administrative data on income management and income support recipients; administrative data on BasicsCard transaction</w:t>
      </w:r>
      <w:r w:rsidR="003E3ABD">
        <w:t>s</w:t>
      </w:r>
      <w:r w:rsidR="000E7F9D">
        <w:t>;</w:t>
      </w:r>
      <w:r w:rsidRPr="00DF38B2">
        <w:t xml:space="preserve"> and detailed store</w:t>
      </w:r>
      <w:r w:rsidR="003E3ABD">
        <w:t>-</w:t>
      </w:r>
      <w:r w:rsidRPr="00DF38B2">
        <w:t>level data on these transactions and the products people purchase. The evaluation has drawn upon extensive interviews, and some surveys, with</w:t>
      </w:r>
      <w:r w:rsidR="000E7F9D">
        <w:t>:</w:t>
      </w:r>
      <w:r w:rsidRPr="00DF38B2">
        <w:t xml:space="preserve"> Centrelink staff</w:t>
      </w:r>
      <w:r w:rsidR="000E7F9D">
        <w:t>;</w:t>
      </w:r>
      <w:r w:rsidRPr="00DF38B2">
        <w:t xml:space="preserve"> those involved in providing money management and financial counselling services</w:t>
      </w:r>
      <w:r w:rsidR="000E7F9D">
        <w:t>;</w:t>
      </w:r>
      <w:r w:rsidRPr="00DF38B2">
        <w:t xml:space="preserve"> child protection workers</w:t>
      </w:r>
      <w:r w:rsidR="000E7F9D">
        <w:t>;</w:t>
      </w:r>
      <w:r w:rsidRPr="00DF38B2">
        <w:t xml:space="preserve"> and merchants in the Northern Territory. It has also used a range of published and unpublished data on wider outcomes for people living in the Northern Territory.</w:t>
      </w:r>
    </w:p>
    <w:p w:rsidR="00417B51" w:rsidRPr="00DF38B2" w:rsidRDefault="00417B51" w:rsidP="006654AE">
      <w:pPr>
        <w:pStyle w:val="dot"/>
      </w:pPr>
      <w:r w:rsidRPr="00DF38B2">
        <w:t>Central to the evaluation has been the use of triangulating results from multiple data sources and a strong focus on identifying multiple measures of outcomes</w:t>
      </w:r>
      <w:r w:rsidR="003E3ABD">
        <w:t>, thereby</w:t>
      </w:r>
      <w:r w:rsidRPr="00DF38B2">
        <w:t xml:space="preserve"> seeking to identify consistent </w:t>
      </w:r>
      <w:r w:rsidR="000E7F9D">
        <w:t>patterns of change</w:t>
      </w:r>
      <w:r w:rsidRPr="00DF38B2">
        <w:t xml:space="preserve">. </w:t>
      </w:r>
    </w:p>
    <w:p w:rsidR="00417B51" w:rsidRPr="00DF38B2" w:rsidRDefault="00417B51" w:rsidP="006654AE">
      <w:pPr>
        <w:pStyle w:val="dot"/>
      </w:pPr>
      <w:r w:rsidRPr="00DF38B2">
        <w:t>Wherever possible we have sought to test reported and perceived outcomes from surveys and interviews against quantitative and independent measures of change</w:t>
      </w:r>
      <w:r w:rsidR="00A1421A">
        <w:t xml:space="preserve">. </w:t>
      </w:r>
    </w:p>
    <w:p w:rsidR="00417B51" w:rsidRPr="00DF38B2" w:rsidRDefault="00417B51" w:rsidP="006654AE">
      <w:pPr>
        <w:pStyle w:val="Heading3"/>
      </w:pPr>
      <w:bookmarkStart w:id="652" w:name="_Toc403739159"/>
      <w:r w:rsidRPr="00DF38B2">
        <w:t>The evaluation framework</w:t>
      </w:r>
      <w:bookmarkEnd w:id="652"/>
    </w:p>
    <w:p w:rsidR="00417B51" w:rsidRPr="00DF38B2" w:rsidRDefault="00417B51" w:rsidP="006654AE">
      <w:pPr>
        <w:spacing w:line="276" w:lineRule="auto"/>
      </w:pPr>
      <w:r w:rsidRPr="00DF38B2">
        <w:t>The evaluation framework comprises three elements:</w:t>
      </w:r>
    </w:p>
    <w:p w:rsidR="00417B51" w:rsidRPr="00DF38B2" w:rsidRDefault="00417B51" w:rsidP="006654AE">
      <w:pPr>
        <w:pStyle w:val="dot"/>
      </w:pPr>
      <w:r w:rsidRPr="00DF38B2">
        <w:t xml:space="preserve">Matters relating to the implementation of the New Income Management </w:t>
      </w:r>
      <w:r w:rsidR="003E3ABD">
        <w:t xml:space="preserve">initiative </w:t>
      </w:r>
      <w:r w:rsidRPr="00DF38B2">
        <w:t>as a w</w:t>
      </w:r>
      <w:r w:rsidR="000E7F9D">
        <w:t xml:space="preserve">hole — </w:t>
      </w:r>
      <w:r w:rsidRPr="00DF38B2">
        <w:t>“Overarching questions – Process evaluation”</w:t>
      </w:r>
      <w:r w:rsidR="00AE126C">
        <w:t>.</w:t>
      </w:r>
    </w:p>
    <w:p w:rsidR="00417B51" w:rsidRPr="00DF38B2" w:rsidRDefault="00AE126C" w:rsidP="006654AE">
      <w:pPr>
        <w:pStyle w:val="dot"/>
      </w:pPr>
      <w:r>
        <w:t>The e</w:t>
      </w:r>
      <w:r w:rsidR="00417B51" w:rsidRPr="00DF38B2">
        <w:t>valuation of the overall impact of the program</w:t>
      </w:r>
      <w:r w:rsidR="000E7F9D">
        <w:t xml:space="preserve"> —</w:t>
      </w:r>
      <w:r w:rsidR="00417B51" w:rsidRPr="00DF38B2">
        <w:t xml:space="preserve"> “Overarching questions – Outcome Evaluation”</w:t>
      </w:r>
      <w:r>
        <w:t>.</w:t>
      </w:r>
    </w:p>
    <w:p w:rsidR="00417B51" w:rsidRPr="00DF38B2" w:rsidRDefault="00417B51" w:rsidP="006654AE">
      <w:pPr>
        <w:pStyle w:val="dot"/>
      </w:pPr>
      <w:r w:rsidRPr="00DF38B2">
        <w:t>Specific questions about some of the particular streams of the program.</w:t>
      </w:r>
    </w:p>
    <w:p w:rsidR="00417B51" w:rsidRPr="00DF38B2" w:rsidRDefault="00417B51" w:rsidP="006654AE">
      <w:pPr>
        <w:pStyle w:val="Heading2"/>
      </w:pPr>
      <w:bookmarkStart w:id="653" w:name="_Toc399681897"/>
      <w:bookmarkStart w:id="654" w:name="_Toc399687489"/>
      <w:bookmarkStart w:id="655" w:name="_Toc403739160"/>
      <w:bookmarkEnd w:id="653"/>
      <w:bookmarkEnd w:id="654"/>
      <w:r w:rsidRPr="00DF38B2">
        <w:lastRenderedPageBreak/>
        <w:t>Overarching questions – Process evaluation</w:t>
      </w:r>
      <w:bookmarkEnd w:id="655"/>
    </w:p>
    <w:p w:rsidR="00417B51" w:rsidRPr="00DF38B2"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contained a number of evaluation findings related to the early implementation issues. In this report these issues are not reported on in detail. </w:t>
      </w:r>
    </w:p>
    <w:p w:rsidR="00417B51" w:rsidRPr="00DF38B2" w:rsidRDefault="00417B51" w:rsidP="006654AE">
      <w:pPr>
        <w:pStyle w:val="Evalheadings"/>
        <w:rPr>
          <w:b/>
        </w:rPr>
      </w:pPr>
      <w:r w:rsidRPr="00DF38B2">
        <w:rPr>
          <w:highlight w:val="lightGray"/>
        </w:rPr>
        <w:t>1.</w:t>
      </w:r>
      <w:r w:rsidRPr="00DF38B2">
        <w:rPr>
          <w:highlight w:val="lightGray"/>
        </w:rPr>
        <w:tab/>
      </w:r>
      <w:r w:rsidRPr="00DF38B2">
        <w:rPr>
          <w:b/>
        </w:rPr>
        <w:t xml:space="preserve">How effectively has New Income Management been administered and implemented? </w:t>
      </w:r>
    </w:p>
    <w:p w:rsidR="00417B51" w:rsidRPr="00DF38B2" w:rsidRDefault="00417B51" w:rsidP="006654AE">
      <w:r w:rsidRPr="00DF38B2">
        <w:t>This question contains four sub-parts which are considered below.</w:t>
      </w:r>
    </w:p>
    <w:p w:rsidR="00417B51" w:rsidRPr="00DF38B2" w:rsidRDefault="00417B51" w:rsidP="006654AE">
      <w:pPr>
        <w:pStyle w:val="Evalheadings"/>
        <w:rPr>
          <w:b/>
        </w:rPr>
      </w:pPr>
      <w:r w:rsidRPr="00DF38B2">
        <w:t>1. (</w:t>
      </w:r>
      <w:proofErr w:type="gramStart"/>
      <w:r w:rsidRPr="00DF38B2">
        <w:t>a</w:t>
      </w:r>
      <w:proofErr w:type="gramEnd"/>
      <w:r w:rsidRPr="00DF38B2">
        <w:t>)</w:t>
      </w:r>
      <w:r w:rsidRPr="00DF38B2">
        <w:tab/>
      </w:r>
      <w:r w:rsidRPr="00DF38B2">
        <w:rPr>
          <w:b/>
        </w:rPr>
        <w:t xml:space="preserve">What have been the resource implications of implementing the program? </w:t>
      </w:r>
    </w:p>
    <w:p w:rsidR="00417B51" w:rsidRPr="00DF38B2" w:rsidRDefault="00417B51" w:rsidP="006654AE">
      <w:pPr>
        <w:spacing w:line="276" w:lineRule="auto"/>
      </w:pPr>
      <w:r w:rsidRPr="00DF38B2">
        <w:t xml:space="preserve">The costs of </w:t>
      </w:r>
      <w:r w:rsidR="00AE126C" w:rsidRPr="00AE126C">
        <w:t xml:space="preserve">New Income Management can be separated into costs to: the Federal Government; the Northern Territory Government; service providers; and merchants. </w:t>
      </w:r>
      <w:r w:rsidR="00AE126C">
        <w:t>In</w:t>
      </w:r>
      <w:r w:rsidR="00AE126C" w:rsidRPr="00AE126C">
        <w:t xml:space="preserve"> </w:t>
      </w:r>
      <w:r w:rsidR="00AE126C">
        <w:t xml:space="preserve">addition there may be direct and indirect </w:t>
      </w:r>
      <w:r w:rsidR="00AE126C" w:rsidRPr="00AE126C">
        <w:t xml:space="preserve">costs borne by </w:t>
      </w:r>
      <w:r w:rsidR="00AE126C">
        <w:t xml:space="preserve">the </w:t>
      </w:r>
      <w:r w:rsidR="00AE126C" w:rsidRPr="00AE126C">
        <w:t>individuals who are subject to income management</w:t>
      </w:r>
      <w:r w:rsidRPr="00DF38B2">
        <w:t xml:space="preserve">. </w:t>
      </w:r>
    </w:p>
    <w:p w:rsidR="00417B51" w:rsidRPr="009655C3" w:rsidRDefault="00AE126C" w:rsidP="006654AE">
      <w:pPr>
        <w:spacing w:line="276" w:lineRule="auto"/>
      </w:pPr>
      <w:r>
        <w:t>The publicly available data shows that</w:t>
      </w:r>
      <w:r w:rsidR="00417B51" w:rsidRPr="00DF38B2">
        <w:t xml:space="preserve"> $410.5 million was allocated for New Income Management in the 2010-11 Budget </w:t>
      </w:r>
      <w:r>
        <w:t xml:space="preserve">for </w:t>
      </w:r>
      <w:r w:rsidR="00417B51" w:rsidRPr="00DF38B2">
        <w:t>the period 2009-10 to 2014-15, of which $5.9 million was to be spent in 2009-10 and $6 million to be spent in 2014-15. The budgeted cost of income management was between $94 million and $105 million for each year from 2010-11 to 2013-14.</w:t>
      </w:r>
      <w:r w:rsidR="00417B51" w:rsidRPr="00DF38B2">
        <w:rPr>
          <w:rStyle w:val="FootnoteReference"/>
        </w:rPr>
        <w:footnoteReference w:id="149"/>
      </w:r>
      <w:r w:rsidR="005C1C07">
        <w:t xml:space="preserve"> An additional $101.0 million was provided in the 2014-15 </w:t>
      </w:r>
      <w:r w:rsidR="00A8053C">
        <w:t>B</w:t>
      </w:r>
      <w:r w:rsidR="005C1C07">
        <w:t>udget to allow for a one</w:t>
      </w:r>
      <w:r w:rsidR="003E3ABD">
        <w:t>-</w:t>
      </w:r>
      <w:r w:rsidR="005C1C07">
        <w:t>year expansion of income management in the Northern Territory and some other sites</w:t>
      </w:r>
      <w:r w:rsidR="00A1421A">
        <w:t xml:space="preserve">. </w:t>
      </w:r>
      <w:r w:rsidR="00417B51" w:rsidRPr="00DF38B2">
        <w:t xml:space="preserve">On a per person basis, the Auditor General reported that the original expected cost of providing income management </w:t>
      </w:r>
      <w:r w:rsidR="00417B51" w:rsidRPr="00FE502F">
        <w:t>varied by geographic remoteness, being $2,400 to $2,800 per person per annum in urban areas, $3,900 to $4,900 per person per annum in rural areas</w:t>
      </w:r>
      <w:r w:rsidR="003E3ABD">
        <w:t>,</w:t>
      </w:r>
      <w:r w:rsidR="00417B51" w:rsidRPr="00FE502F">
        <w:t xml:space="preserve"> and $6,600 to $7,900 per person per annum in remote areas (Australian Nation</w:t>
      </w:r>
      <w:r w:rsidR="00417B51" w:rsidRPr="009655C3">
        <w:t>al Audit Office, 2013).</w:t>
      </w:r>
    </w:p>
    <w:p w:rsidR="00417B51" w:rsidRPr="00DF38B2" w:rsidRDefault="00417B51" w:rsidP="006654AE">
      <w:pPr>
        <w:spacing w:line="276" w:lineRule="auto"/>
      </w:pPr>
      <w:r w:rsidRPr="00DF38B2">
        <w:t>The evaluation does not have</w:t>
      </w:r>
      <w:r w:rsidR="008E6751">
        <w:t xml:space="preserve"> access to</w:t>
      </w:r>
      <w:r w:rsidRPr="00DF38B2">
        <w:t xml:space="preserve"> information on the actual expenditure on New Income Management by the Federal Government</w:t>
      </w:r>
      <w:r w:rsidR="003E3ABD">
        <w:t>,</w:t>
      </w:r>
      <w:r w:rsidRPr="00DF38B2">
        <w:t xml:space="preserve"> but the main broad areas of expenditure by department are:</w:t>
      </w:r>
    </w:p>
    <w:p w:rsidR="00417B51" w:rsidRPr="00DF38B2" w:rsidRDefault="00BA4E03" w:rsidP="006654AE">
      <w:pPr>
        <w:pStyle w:val="dot"/>
      </w:pPr>
      <w:r>
        <w:t>DSS</w:t>
      </w:r>
      <w:r w:rsidR="00417B51" w:rsidRPr="00DF38B2">
        <w:t>: Income management policy development</w:t>
      </w:r>
      <w:r w:rsidR="00931412">
        <w:t>;</w:t>
      </w:r>
      <w:r w:rsidR="00417B51" w:rsidRPr="00DF38B2">
        <w:t xml:space="preserve"> pr</w:t>
      </w:r>
      <w:r w:rsidR="00931412">
        <w:t>ogram management and monitoring;</w:t>
      </w:r>
      <w:r w:rsidR="00417B51" w:rsidRPr="00DF38B2">
        <w:t xml:space="preserve"> funding of the evaluation</w:t>
      </w:r>
      <w:r w:rsidR="00931412">
        <w:t>;</w:t>
      </w:r>
      <w:r w:rsidR="00417B51" w:rsidRPr="00DF38B2">
        <w:t xml:space="preserve"> and expanded management of financial counselling and related activities.</w:t>
      </w:r>
    </w:p>
    <w:p w:rsidR="00417B51" w:rsidRPr="00DF38B2" w:rsidRDefault="00060511" w:rsidP="006654AE">
      <w:pPr>
        <w:pStyle w:val="dot"/>
      </w:pPr>
      <w:r>
        <w:t>DHS</w:t>
      </w:r>
      <w:r w:rsidR="00417B51" w:rsidRPr="00DF38B2">
        <w:t>: Program implementation including the overall infrastructure: procurement of BasicsCard services</w:t>
      </w:r>
      <w:r w:rsidR="00F97C6A">
        <w:t>;</w:t>
      </w:r>
      <w:r w:rsidR="00417B51" w:rsidRPr="00DF38B2">
        <w:t xml:space="preserve"> liaison with merchants</w:t>
      </w:r>
      <w:r w:rsidR="00F97C6A">
        <w:t>;</w:t>
      </w:r>
      <w:r w:rsidR="00417B51" w:rsidRPr="00DF38B2">
        <w:t xml:space="preserve"> changes to </w:t>
      </w:r>
      <w:r w:rsidR="006E2187" w:rsidRPr="00DF38B2">
        <w:t>information technology</w:t>
      </w:r>
      <w:r w:rsidR="00417B51" w:rsidRPr="00DF38B2">
        <w:t xml:space="preserve"> systems to enable the management of </w:t>
      </w:r>
      <w:r w:rsidR="006E2187" w:rsidRPr="00DF38B2">
        <w:t xml:space="preserve">income management </w:t>
      </w:r>
      <w:r w:rsidR="00417B51" w:rsidRPr="00DF38B2">
        <w:t xml:space="preserve">accounts, including user interface, and report generation on </w:t>
      </w:r>
      <w:r w:rsidR="006E2187" w:rsidRPr="00DF38B2">
        <w:t>income management</w:t>
      </w:r>
      <w:r w:rsidR="00F97C6A">
        <w:t>;</w:t>
      </w:r>
      <w:r w:rsidR="00417B51" w:rsidRPr="00DF38B2">
        <w:t xml:space="preserve"> increased resourcing of Centrelink offices to manage the program</w:t>
      </w:r>
      <w:r w:rsidR="00F97C6A">
        <w:t>;</w:t>
      </w:r>
      <w:r w:rsidR="00417B51" w:rsidRPr="00DF38B2">
        <w:t xml:space="preserve"> undertake allocation interviews</w:t>
      </w:r>
      <w:r w:rsidR="00F97C6A">
        <w:t>;</w:t>
      </w:r>
      <w:r w:rsidR="00417B51" w:rsidRPr="00DF38B2">
        <w:t xml:space="preserve"> issue BasicsCards</w:t>
      </w:r>
      <w:r w:rsidR="00F97C6A">
        <w:t>;</w:t>
      </w:r>
      <w:r w:rsidR="00417B51" w:rsidRPr="00DF38B2">
        <w:t xml:space="preserve"> social worker involvement in referrals</w:t>
      </w:r>
      <w:r w:rsidR="00F97C6A">
        <w:t>;</w:t>
      </w:r>
      <w:r w:rsidR="00417B51" w:rsidRPr="00DF38B2">
        <w:t xml:space="preserve"> development of centralised exemption team</w:t>
      </w:r>
      <w:r w:rsidR="00F97C6A">
        <w:t>;</w:t>
      </w:r>
      <w:r w:rsidR="00417B51" w:rsidRPr="00DF38B2">
        <w:t xml:space="preserve"> develop back office operations to manage BasicsCard</w:t>
      </w:r>
      <w:r w:rsidR="00F97C6A">
        <w:t>,</w:t>
      </w:r>
      <w:r w:rsidR="00417B51" w:rsidRPr="00DF38B2">
        <w:t xml:space="preserve"> including telephone requests for balances and payments.</w:t>
      </w:r>
    </w:p>
    <w:p w:rsidR="00417B51" w:rsidRPr="00DF38B2" w:rsidRDefault="00417B51" w:rsidP="006654AE">
      <w:pPr>
        <w:spacing w:line="276" w:lineRule="auto"/>
      </w:pPr>
      <w:r w:rsidRPr="00DF38B2">
        <w:t>The primary direct resource implications from income management for the Northern Territory government are those associated with the operation of Child Protection Income Management and referrals under S</w:t>
      </w:r>
      <w:r w:rsidR="00EE43BF">
        <w:t xml:space="preserve">upporting </w:t>
      </w:r>
      <w:r w:rsidRPr="00DF38B2">
        <w:t>P</w:t>
      </w:r>
      <w:r w:rsidR="00EE43BF">
        <w:t>eople at Risk</w:t>
      </w:r>
      <w:r w:rsidRPr="00DF38B2">
        <w:t xml:space="preserve"> </w:t>
      </w:r>
    </w:p>
    <w:p w:rsidR="00417B51" w:rsidRPr="00DF38B2" w:rsidRDefault="00417B51" w:rsidP="006654AE">
      <w:pPr>
        <w:spacing w:line="276" w:lineRule="auto"/>
      </w:pPr>
      <w:r w:rsidRPr="00DF38B2">
        <w:t>Income management has had resource implications for a range of community service providers. For many this appears to be relatively limited. For two groupings the impact has been greater:</w:t>
      </w:r>
    </w:p>
    <w:p w:rsidR="00417B51" w:rsidRPr="00DF38B2" w:rsidRDefault="00417B51" w:rsidP="006654AE">
      <w:pPr>
        <w:pStyle w:val="dot"/>
      </w:pPr>
      <w:r w:rsidRPr="00DF38B2">
        <w:t xml:space="preserve">Expanded financial counselling and money management services were one of the elements of the implementation of New Income Management. This included the infrastructure related to the matched savings </w:t>
      </w:r>
      <w:r w:rsidR="00D075EE">
        <w:t>payment</w:t>
      </w:r>
      <w:r w:rsidRPr="00DF38B2">
        <w:t>. Additional resources have been provided, as indicated above</w:t>
      </w:r>
      <w:r w:rsidR="00F97C6A">
        <w:t>,</w:t>
      </w:r>
      <w:r w:rsidRPr="00DF38B2">
        <w:t xml:space="preserve"> as part of the Federal Government funding. </w:t>
      </w:r>
    </w:p>
    <w:p w:rsidR="00417B51" w:rsidRPr="00DF38B2" w:rsidRDefault="00417B51" w:rsidP="006654AE">
      <w:pPr>
        <w:pStyle w:val="dot"/>
      </w:pPr>
      <w:r w:rsidRPr="00DF38B2">
        <w:t>It has also had an impact on legal, advocacy and support services</w:t>
      </w:r>
      <w:r w:rsidR="00F97C6A">
        <w:t>,</w:t>
      </w:r>
      <w:r w:rsidRPr="00DF38B2">
        <w:t xml:space="preserve"> which have had to assist people in navigating the income management system. In some cases this is relatively frequent</w:t>
      </w:r>
      <w:r w:rsidR="00F97C6A">
        <w:t>,</w:t>
      </w:r>
      <w:r w:rsidRPr="00DF38B2">
        <w:t xml:space="preserve"> but not intensive work with matters such as helping people </w:t>
      </w:r>
      <w:r w:rsidR="00F97C6A">
        <w:t xml:space="preserve">to </w:t>
      </w:r>
      <w:r w:rsidRPr="00DF38B2">
        <w:t>obtain replacement cards</w:t>
      </w:r>
      <w:r w:rsidR="00F97C6A">
        <w:t>;</w:t>
      </w:r>
      <w:r w:rsidRPr="00DF38B2">
        <w:t xml:space="preserve"> in other cases the matters require more intensive assistance over a period of time</w:t>
      </w:r>
      <w:r w:rsidR="00F97C6A">
        <w:t>; for example</w:t>
      </w:r>
      <w:r w:rsidRPr="00DF38B2">
        <w:t xml:space="preserve">, applications for exemptions and </w:t>
      </w:r>
      <w:r w:rsidRPr="00DF38B2">
        <w:lastRenderedPageBreak/>
        <w:t>appeals. While some limited funding was provided for legal services associated with the NTER</w:t>
      </w:r>
      <w:r w:rsidR="00F97C6A">
        <w:t>,</w:t>
      </w:r>
      <w:r w:rsidRPr="00DF38B2">
        <w:t xml:space="preserve"> including NTER Income Management</w:t>
      </w:r>
      <w:r w:rsidR="00F97C6A">
        <w:t>,</w:t>
      </w:r>
      <w:r w:rsidRPr="00DF38B2">
        <w:t xml:space="preserve"> there is no ongoing funding provided by </w:t>
      </w:r>
      <w:r w:rsidR="00BA4E03">
        <w:t>DSS</w:t>
      </w:r>
      <w:r w:rsidRPr="00DF38B2">
        <w:t xml:space="preserve"> or the </w:t>
      </w:r>
      <w:r w:rsidR="00060511">
        <w:t>DHS</w:t>
      </w:r>
      <w:r w:rsidRPr="00DF38B2">
        <w:t xml:space="preserve"> for this </w:t>
      </w:r>
      <w:proofErr w:type="gramStart"/>
      <w:r w:rsidRPr="00DF38B2">
        <w:t>purpose.</w:t>
      </w:r>
      <w:proofErr w:type="gramEnd"/>
    </w:p>
    <w:p w:rsidR="00417B51" w:rsidRPr="00DF38B2" w:rsidRDefault="00417B51" w:rsidP="006654AE">
      <w:pPr>
        <w:spacing w:line="276" w:lineRule="auto"/>
      </w:pPr>
      <w:r w:rsidRPr="00DF38B2">
        <w:t>There have also been resource implications for merchants. In the first instance these relate to the processes of gaining approval to be a BasicsCard merchant. In some cases this has had implications for the technology they need to have in place, including the extent to which the move away from cash transactions has required very considerable upgrades in communications in remote areas so as to be able to maintain EFTPOS services</w:t>
      </w:r>
      <w:r w:rsidR="00F97C6A">
        <w:t>,</w:t>
      </w:r>
      <w:r w:rsidRPr="00DF38B2">
        <w:t xml:space="preserve"> of which BasicsCard is a major component. Secondly, as has been identified in this report, the proportion of BasicsCard transactions that fail is high. The additional time taken in transactions and in restocking when items are removed from purchases imposes costs upon merchants.</w:t>
      </w:r>
    </w:p>
    <w:p w:rsidR="00417B51" w:rsidRPr="00DF38B2" w:rsidRDefault="00417B51" w:rsidP="006654AE">
      <w:pPr>
        <w:pStyle w:val="Evalheadings"/>
      </w:pPr>
      <w:r w:rsidRPr="00DF38B2">
        <w:t xml:space="preserve">1. (b) </w:t>
      </w:r>
      <w:r w:rsidRPr="00DF38B2">
        <w:tab/>
        <w:t xml:space="preserve">Have suitable individuals and groups been targeted by New Income Management? </w:t>
      </w:r>
    </w:p>
    <w:p w:rsidR="00417B51" w:rsidRPr="00DF38B2" w:rsidRDefault="00417B51" w:rsidP="006654AE">
      <w:pPr>
        <w:spacing w:line="276" w:lineRule="auto"/>
      </w:pPr>
      <w:r w:rsidRPr="00DF38B2">
        <w:t>This question is answered in terms of whether the program has been targeted at those groups who are financially vulnerable and have poor money management and related skills.</w:t>
      </w:r>
    </w:p>
    <w:p w:rsidR="00417B51" w:rsidRPr="00DF38B2" w:rsidRDefault="00C54FFC" w:rsidP="006654AE">
      <w:pPr>
        <w:spacing w:line="276" w:lineRule="auto"/>
      </w:pPr>
      <w:r>
        <w:t>Assessed against</w:t>
      </w:r>
      <w:r w:rsidRPr="00DF38B2">
        <w:t xml:space="preserve"> </w:t>
      </w:r>
      <w:r w:rsidR="00417B51" w:rsidRPr="00DF38B2">
        <w:t>these criteria</w:t>
      </w:r>
      <w:r>
        <w:t xml:space="preserve"> the evidence suggests that</w:t>
      </w:r>
      <w:r w:rsidR="00417B51" w:rsidRPr="00DF38B2">
        <w:t xml:space="preserve">: </w:t>
      </w:r>
    </w:p>
    <w:p w:rsidR="00417B51" w:rsidRPr="00DF38B2" w:rsidRDefault="00C54FFC" w:rsidP="006654AE">
      <w:pPr>
        <w:pStyle w:val="dot"/>
      </w:pPr>
      <w:r>
        <w:t>M</w:t>
      </w:r>
      <w:r w:rsidR="00417B51" w:rsidRPr="00DF38B2">
        <w:t>any of the people placed on the Disengaged Youth and Long Term Welfare Payment Recipient measures face challenges in managing on their low incomes. For many this is exacerbated by the high housing costs in Darwin</w:t>
      </w:r>
      <w:r w:rsidR="00F97C6A">
        <w:t>,</w:t>
      </w:r>
      <w:r w:rsidR="00417B51" w:rsidRPr="00DF38B2">
        <w:t xml:space="preserve"> and for others the high costs associated with living in remote locations. There is</w:t>
      </w:r>
      <w:r w:rsidR="00F97C6A">
        <w:t>,</w:t>
      </w:r>
      <w:r w:rsidR="00417B51" w:rsidRPr="00DF38B2">
        <w:t xml:space="preserve"> however</w:t>
      </w:r>
      <w:r w:rsidR="00F97C6A">
        <w:t>,</w:t>
      </w:r>
      <w:r w:rsidR="00417B51" w:rsidRPr="00DF38B2">
        <w:t xml:space="preserve"> little evidence to suggest that the </w:t>
      </w:r>
      <w:r>
        <w:t xml:space="preserve">main </w:t>
      </w:r>
      <w:r w:rsidR="00417B51" w:rsidRPr="00DF38B2">
        <w:t xml:space="preserve">challenges they face are </w:t>
      </w:r>
      <w:r w:rsidR="00622798">
        <w:t xml:space="preserve">primarily </w:t>
      </w:r>
      <w:r w:rsidR="00417B51" w:rsidRPr="00DF38B2">
        <w:t xml:space="preserve">caused by poor financial management or inappropriate expenditures. There </w:t>
      </w:r>
      <w:r>
        <w:t>i</w:t>
      </w:r>
      <w:r w:rsidRPr="00DF38B2">
        <w:t xml:space="preserve">s </w:t>
      </w:r>
      <w:r w:rsidR="00417B51" w:rsidRPr="00DF38B2">
        <w:t>no evidence that targeting income management on the basis of duration in receipt of income support payment provides a solid basis for identifying those with particular vulnerabilities or a low level of money management skills. Similarly</w:t>
      </w:r>
      <w:r w:rsidR="00F97C6A">
        <w:t>,</w:t>
      </w:r>
      <w:r w:rsidR="00417B51" w:rsidRPr="00DF38B2">
        <w:t xml:space="preserve"> there is no evidence that the range of income support payments at which Compulsory Income Management is targeted reflects the groups at highest risk</w:t>
      </w:r>
      <w:r w:rsidR="00A1421A">
        <w:t xml:space="preserve">. </w:t>
      </w:r>
      <w:r w:rsidR="00417B51" w:rsidRPr="00DF38B2">
        <w:t>There is some evidence to suggest that more recent cohorts being placed on income management have better financial management skills than those who commenced earlier on income management.</w:t>
      </w:r>
    </w:p>
    <w:p w:rsidR="00417B51" w:rsidRPr="00DF38B2" w:rsidRDefault="00417B51" w:rsidP="006654AE">
      <w:pPr>
        <w:pStyle w:val="dot"/>
      </w:pPr>
      <w:r w:rsidRPr="00DF38B2">
        <w:t>The targeting of assessed Vulnerable Income Management appears, on the whole, to be identifying a group of highly vulnerable individuals. The extent of vulnerability is clear from a number of indicators including rates of death, failed transactions and low account balances, and according to the assessments of various people who work with people on income management</w:t>
      </w:r>
      <w:r w:rsidR="00F97C6A">
        <w:t>, for instance</w:t>
      </w:r>
      <w:r w:rsidRPr="00DF38B2">
        <w:t xml:space="preserve">, legal services, </w:t>
      </w:r>
      <w:r w:rsidR="00F97C6A">
        <w:t xml:space="preserve">and </w:t>
      </w:r>
      <w:r w:rsidRPr="00DF38B2">
        <w:t xml:space="preserve">advocacy services. The separate question of whether the program is effective in addressing this vulnerability is considered in </w:t>
      </w:r>
      <w:r w:rsidR="00C54FFC">
        <w:t>S</w:t>
      </w:r>
      <w:r w:rsidRPr="00DF38B2">
        <w:t xml:space="preserve">ection </w:t>
      </w:r>
      <w:r w:rsidRPr="003D75FE">
        <w:fldChar w:fldCharType="begin"/>
      </w:r>
      <w:r w:rsidRPr="00DF38B2">
        <w:instrText xml:space="preserve"> REF _Ref392582991 \r \h </w:instrText>
      </w:r>
      <w:r w:rsidRPr="003D75FE">
        <w:fldChar w:fldCharType="separate"/>
      </w:r>
      <w:r w:rsidR="00906D13">
        <w:t>14.4.2</w:t>
      </w:r>
      <w:r w:rsidRPr="003D75FE">
        <w:fldChar w:fldCharType="end"/>
      </w:r>
      <w:r w:rsidRPr="00DF38B2">
        <w:t>.</w:t>
      </w:r>
    </w:p>
    <w:p w:rsidR="00417B51" w:rsidRPr="00DF38B2" w:rsidRDefault="00417B51" w:rsidP="006654AE">
      <w:pPr>
        <w:pStyle w:val="dot"/>
      </w:pPr>
      <w:r w:rsidRPr="00DF38B2">
        <w:t xml:space="preserve">The automatic </w:t>
      </w:r>
      <w:proofErr w:type="gramStart"/>
      <w:r w:rsidRPr="00DF38B2">
        <w:t>Vulnerable</w:t>
      </w:r>
      <w:proofErr w:type="gramEnd"/>
      <w:r w:rsidRPr="00DF38B2">
        <w:t xml:space="preserve"> measures have </w:t>
      </w:r>
      <w:r w:rsidR="00EE43BF">
        <w:t xml:space="preserve">only </w:t>
      </w:r>
      <w:r w:rsidRPr="00DF38B2">
        <w:t xml:space="preserve">been introduced relatively recently and the amount of data we have been able to collect on this group </w:t>
      </w:r>
      <w:r w:rsidR="00931412">
        <w:t>is</w:t>
      </w:r>
      <w:r w:rsidRPr="00DF38B2">
        <w:t xml:space="preserve"> more limited. The evaluation evidence we do have suggests that the group in receipt of Crisis Payment may be relatively vulnerable</w:t>
      </w:r>
      <w:r w:rsidR="00755934">
        <w:t xml:space="preserve"> – a</w:t>
      </w:r>
      <w:r w:rsidRPr="00DF38B2">
        <w:t xml:space="preserve">lthough this may be in terms of a need of a range services appropriate to their circumstances. On the other hand, relying upon the limited data we have, there is no evidence that </w:t>
      </w:r>
      <w:r w:rsidR="0001519A">
        <w:t>the other groups</w:t>
      </w:r>
      <w:r w:rsidRPr="00DF38B2">
        <w:t xml:space="preserve"> placed on the automatic vulnerable measures</w:t>
      </w:r>
      <w:r w:rsidR="00CB5F85">
        <w:t xml:space="preserve"> have any particular vulnerability related to their financial management capabilities.</w:t>
      </w:r>
      <w:r w:rsidR="00755934">
        <w:t xml:space="preserve"> </w:t>
      </w:r>
    </w:p>
    <w:p w:rsidR="00417B51" w:rsidRPr="00BD1599" w:rsidRDefault="00BD1599" w:rsidP="006654AE">
      <w:pPr>
        <w:pStyle w:val="dot"/>
      </w:pPr>
      <w:r w:rsidRPr="00BD1599">
        <w:t>The evaluation evidence from child protection caseworkers and the file review suggests that Child Protection Income Management is on the whole being targeted to a vulnerable group, many of whom have problems related to alcohol, drug misuse or gambling.</w:t>
      </w:r>
    </w:p>
    <w:p w:rsidR="00417B51" w:rsidRPr="00DF38B2" w:rsidRDefault="00417B51" w:rsidP="006654AE">
      <w:pPr>
        <w:pStyle w:val="dot"/>
      </w:pPr>
      <w:r w:rsidRPr="00DF38B2">
        <w:t>The small number of people on S</w:t>
      </w:r>
      <w:r w:rsidR="00EE43BF">
        <w:t xml:space="preserve">upporting </w:t>
      </w:r>
      <w:r w:rsidRPr="00DF38B2">
        <w:t>P</w:t>
      </w:r>
      <w:r w:rsidR="00EE43BF">
        <w:t xml:space="preserve">eople at </w:t>
      </w:r>
      <w:r w:rsidRPr="00DF38B2">
        <w:t>R</w:t>
      </w:r>
      <w:r w:rsidR="00EE43BF">
        <w:t>isk</w:t>
      </w:r>
      <w:r w:rsidRPr="00DF38B2">
        <w:t xml:space="preserve"> and Nominee Income Management means that there is insufficient data available to assess the suitability of targeting </w:t>
      </w:r>
      <w:r w:rsidR="00755934">
        <w:t xml:space="preserve">in relation </w:t>
      </w:r>
      <w:r w:rsidRPr="00DF38B2">
        <w:t xml:space="preserve">to these measures. </w:t>
      </w:r>
    </w:p>
    <w:p w:rsidR="00417B51" w:rsidRPr="00DF38B2" w:rsidRDefault="00417B51" w:rsidP="006654AE">
      <w:r w:rsidRPr="00DF38B2">
        <w:t>In summary</w:t>
      </w:r>
      <w:r w:rsidR="00755934">
        <w:t>,</w:t>
      </w:r>
      <w:r w:rsidRPr="00DF38B2">
        <w:t xml:space="preserve"> where targeting is based on individual assessment it appears to be successful in identifying those who are most vulnerable and with low skills</w:t>
      </w:r>
      <w:r w:rsidR="00755934">
        <w:t>;</w:t>
      </w:r>
      <w:r w:rsidRPr="00DF38B2">
        <w:t xml:space="preserve"> wh</w:t>
      </w:r>
      <w:r w:rsidR="00755934">
        <w:t>ereas with</w:t>
      </w:r>
      <w:r w:rsidRPr="00DF38B2">
        <w:t xml:space="preserve"> targeting based on automatic criteria such as program type and duration this is not the case. </w:t>
      </w:r>
    </w:p>
    <w:p w:rsidR="00417B51" w:rsidRPr="00DF38B2" w:rsidRDefault="00417B51" w:rsidP="006654AE">
      <w:pPr>
        <w:pStyle w:val="Evalheadings"/>
      </w:pPr>
      <w:r w:rsidRPr="00DF38B2">
        <w:lastRenderedPageBreak/>
        <w:t xml:space="preserve">1. (c) </w:t>
      </w:r>
      <w:r w:rsidRPr="00DF38B2">
        <w:tab/>
        <w:t>Have people been able to transfer into and out of New Income Management appropriately (e.g. choosing to transfer from income management under NTER to Voluntary Income Management)?</w:t>
      </w:r>
    </w:p>
    <w:p w:rsidR="00417B51" w:rsidRPr="00DF38B2" w:rsidRDefault="00417B51" w:rsidP="006654AE">
      <w:pPr>
        <w:spacing w:line="276" w:lineRule="auto"/>
      </w:pPr>
      <w:r w:rsidRPr="00DF38B2">
        <w:t>There are two aspects to this evaluation question. The first concerns movements such as the transition from NTER Income Management to New Income Management. The second relates to the capacity of people to gain exemptions.</w:t>
      </w:r>
    </w:p>
    <w:p w:rsidR="00417B51" w:rsidRPr="00DF38B2" w:rsidRDefault="00417B51" w:rsidP="00AD3907">
      <w:pPr>
        <w:pStyle w:val="h4l3"/>
      </w:pPr>
      <w:r w:rsidRPr="00DF38B2">
        <w:t>Transition from the NTER Income Management to New Income Management</w:t>
      </w:r>
    </w:p>
    <w:p w:rsidR="00417B51" w:rsidRPr="00DF38B2" w:rsidRDefault="00417B51" w:rsidP="006654AE">
      <w:r w:rsidRPr="00DF38B2">
        <w:t xml:space="preserve">The issue of the transition from the NTER Income Management was addressed in detail in the </w:t>
      </w:r>
      <w:r w:rsidR="00292F40">
        <w:t>F</w:t>
      </w:r>
      <w:r w:rsidRPr="00DF38B2">
        <w:t xml:space="preserve">irst </w:t>
      </w:r>
      <w:r w:rsidR="00292F40">
        <w:t>E</w:t>
      </w:r>
      <w:r w:rsidRPr="00DF38B2">
        <w:t xml:space="preserve">valuation </w:t>
      </w:r>
      <w:r w:rsidR="00292F40">
        <w:t>R</w:t>
      </w:r>
      <w:r w:rsidRPr="00DF38B2">
        <w:t xml:space="preserve">eport. The key finding was that the transition from the NTER Income Management to New Income Management was virtually complete by February 2011. It was noted </w:t>
      </w:r>
      <w:r w:rsidR="00931412">
        <w:t xml:space="preserve">in the First Evaluation Report </w:t>
      </w:r>
      <w:r w:rsidRPr="00DF38B2">
        <w:t>that it was not entirely clear the extent to which all transitions from NTER Income Management to Voluntary Income Management were fully informed</w:t>
      </w:r>
      <w:r w:rsidR="00A1421A">
        <w:t xml:space="preserve">. </w:t>
      </w:r>
      <w:r w:rsidRPr="00DF38B2">
        <w:t xml:space="preserve">The evidence collected in the second wave of the LSNIM indicates that while there continues to be some confusion </w:t>
      </w:r>
      <w:r w:rsidR="00733D0E">
        <w:t>among</w:t>
      </w:r>
      <w:r w:rsidRPr="00DF38B2">
        <w:t xml:space="preserve"> people about the initiative they are on and the extent to which they chose to be on Voluntary Income Management</w:t>
      </w:r>
      <w:r w:rsidR="00CB5F85">
        <w:t xml:space="preserve">, they on the whole wish </w:t>
      </w:r>
      <w:r w:rsidRPr="00DF38B2">
        <w:t>to remain on income management.</w:t>
      </w:r>
    </w:p>
    <w:p w:rsidR="00417B51" w:rsidRPr="00DF38B2" w:rsidRDefault="00417B51" w:rsidP="006654AE">
      <w:pPr>
        <w:pStyle w:val="Heading4"/>
      </w:pPr>
      <w:r w:rsidRPr="00DF38B2">
        <w:t>Exemptions</w:t>
      </w:r>
    </w:p>
    <w:p w:rsidR="00417B51" w:rsidRPr="00DF38B2" w:rsidRDefault="00417B51" w:rsidP="006654AE">
      <w:r w:rsidRPr="00DF38B2">
        <w:t>The criteria for exemptions provide separate pathways for those with and those without dependent children. For those with children, the exemption criteria are related to outcomes for children and passing a financial vulnerability test. For people without dependent children</w:t>
      </w:r>
      <w:r w:rsidR="00733D0E">
        <w:t>,</w:t>
      </w:r>
      <w:r w:rsidRPr="00DF38B2">
        <w:t xml:space="preserve"> the exemption criteria relate to having substantial part-time employment.</w:t>
      </w:r>
    </w:p>
    <w:p w:rsidR="00417B51" w:rsidRPr="00DF38B2" w:rsidRDefault="00417B51" w:rsidP="006654AE">
      <w:r w:rsidRPr="00DF38B2">
        <w:t>Overall</w:t>
      </w:r>
      <w:r w:rsidR="00733D0E">
        <w:t>,</w:t>
      </w:r>
      <w:r w:rsidRPr="00DF38B2">
        <w:t xml:space="preserve"> the exemption rate</w:t>
      </w:r>
      <w:r w:rsidRPr="00DF38B2">
        <w:rPr>
          <w:rStyle w:val="FootnoteReference"/>
        </w:rPr>
        <w:footnoteReference w:id="150"/>
      </w:r>
      <w:r w:rsidRPr="00DF38B2">
        <w:t xml:space="preserve"> in December 2013 was 10.2 per cent and over the past year the rate has been trending downwards. The rate varies considerably between groups. </w:t>
      </w:r>
    </w:p>
    <w:p w:rsidR="00417B51" w:rsidRPr="00DF38B2" w:rsidRDefault="00417B51" w:rsidP="006654AE">
      <w:pPr>
        <w:pStyle w:val="dot"/>
      </w:pPr>
      <w:r w:rsidRPr="00DF38B2">
        <w:t>For Indigenous men the exemption rate is 0.4 per cent and for Indigenous women it is 7.</w:t>
      </w:r>
      <w:r w:rsidR="005C1C07">
        <w:t>6</w:t>
      </w:r>
      <w:r w:rsidRPr="00DF38B2">
        <w:t> per cent.</w:t>
      </w:r>
      <w:r w:rsidRPr="00DF38B2">
        <w:rPr>
          <w:rStyle w:val="FootnoteReference"/>
        </w:rPr>
        <w:footnoteReference w:id="151"/>
      </w:r>
    </w:p>
    <w:p w:rsidR="00417B51" w:rsidRPr="00DF38B2" w:rsidRDefault="00417B51" w:rsidP="006654AE">
      <w:pPr>
        <w:pStyle w:val="dot"/>
      </w:pPr>
      <w:r w:rsidRPr="00DF38B2">
        <w:t>For non-Indigenous people the exemption rate for men is 7.8 per cent and for women 51.4 per cent.</w:t>
      </w:r>
    </w:p>
    <w:p w:rsidR="00417B51" w:rsidRPr="00DF38B2" w:rsidRDefault="00417B51" w:rsidP="006654AE">
      <w:pPr>
        <w:pStyle w:val="dot"/>
      </w:pPr>
      <w:r w:rsidRPr="00DF38B2">
        <w:t>Overall, 97.4 per cent of exemptions that have been granted have been on the basis that the health and engagement activities of their children had been met</w:t>
      </w:r>
      <w:r w:rsidR="00733D0E">
        <w:t>,</w:t>
      </w:r>
      <w:r w:rsidRPr="00DF38B2">
        <w:t xml:space="preserve"> and 2.3 per cent because of being in regular paid employment. This is reflected in an exemption rate for people with children of 17.1 per cent and for those without 0.6 per cent.</w:t>
      </w:r>
    </w:p>
    <w:p w:rsidR="00417B51" w:rsidRPr="00DF38B2" w:rsidRDefault="00417B51" w:rsidP="006654AE">
      <w:r w:rsidRPr="00DF38B2">
        <w:t xml:space="preserve">The data in this evaluation report does not identify any closing of the gap in the exemption rates for Indigenous and non-Indigenous </w:t>
      </w:r>
      <w:r w:rsidR="00931412">
        <w:t>people</w:t>
      </w:r>
      <w:r w:rsidR="00733D0E">
        <w:t>.</w:t>
      </w:r>
    </w:p>
    <w:p w:rsidR="00417B51" w:rsidRPr="00DF38B2" w:rsidRDefault="00417B51" w:rsidP="006654AE">
      <w:r w:rsidRPr="00DF38B2">
        <w:t>In large part, the employment pathway to obtaining an exemption has been ineffectual. To the extent people on income support payments are looking for work, they are generally seeking full-time employment</w:t>
      </w:r>
      <w:r w:rsidR="00733D0E">
        <w:t>,</w:t>
      </w:r>
      <w:r w:rsidRPr="00DF38B2">
        <w:t xml:space="preserve"> and if they </w:t>
      </w:r>
      <w:r w:rsidR="00733D0E">
        <w:t xml:space="preserve">are successful </w:t>
      </w:r>
      <w:r w:rsidRPr="00DF38B2">
        <w:t xml:space="preserve">they tend to move off income support. The type of intermittent, casual and often part-time work picked up by </w:t>
      </w:r>
      <w:r w:rsidR="00EE43BF">
        <w:t>some</w:t>
      </w:r>
      <w:r w:rsidRPr="00DF38B2">
        <w:t xml:space="preserve"> while searching for full-time ongoing employment generally does not qualify them for an exemption. This has resulted in very low exemption rates for singles and members of couples with</w:t>
      </w:r>
      <w:r w:rsidR="00EE43BF">
        <w:t>out</w:t>
      </w:r>
      <w:r w:rsidRPr="00DF38B2">
        <w:t xml:space="preserve"> children.</w:t>
      </w:r>
    </w:p>
    <w:p w:rsidR="00417B51" w:rsidRPr="00DF38B2" w:rsidRDefault="00417B51" w:rsidP="006654AE">
      <w:r w:rsidRPr="00DF38B2">
        <w:t>With respect to the child-based criteria</w:t>
      </w:r>
      <w:r w:rsidR="00733D0E">
        <w:t>,</w:t>
      </w:r>
      <w:r w:rsidRPr="00DF38B2">
        <w:t xml:space="preserve"> non-Indigenous women in urban areas who have the skills to negotiate the paperwork and Centrelink systems have relatively high rates of exemptions. Indeed</w:t>
      </w:r>
      <w:r w:rsidR="00733D0E">
        <w:t>,</w:t>
      </w:r>
      <w:r w:rsidRPr="00DF38B2">
        <w:t xml:space="preserve"> the data indicates that the majority of these exemptions are granted to people prior to actually </w:t>
      </w:r>
      <w:r w:rsidR="00EE43BF">
        <w:t>being</w:t>
      </w:r>
      <w:r w:rsidRPr="00DF38B2">
        <w:t xml:space="preserve"> income managed. However, for other women with dependent children</w:t>
      </w:r>
      <w:r w:rsidR="008425FC">
        <w:t>,</w:t>
      </w:r>
      <w:r w:rsidRPr="00DF38B2">
        <w:t xml:space="preserve"> obtaining an exemption is much more difficult. </w:t>
      </w:r>
    </w:p>
    <w:p w:rsidR="00D0429A"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eport identified significant problems with the exemption process</w:t>
      </w:r>
      <w:r w:rsidR="00D0429A">
        <w:t>, stating:</w:t>
      </w:r>
    </w:p>
    <w:p w:rsidR="00D0429A" w:rsidRDefault="00417B51" w:rsidP="006654AE">
      <w:pPr>
        <w:pStyle w:val="Quote2"/>
      </w:pPr>
      <w:r w:rsidRPr="00DF38B2">
        <w:lastRenderedPageBreak/>
        <w:t xml:space="preserve">There seemed to be little support available to assist people in developing and presenting their case for exemption; gathering the supporting documentation was too demanding for many people. The centralisation of the exemption process in Darwin was also a barrier for people in other locations who prefer dealing face to face rather than over the telephone. The process for obtaining exemptions was seen by many stakeholders as imposing a heavy reverse burden of proof on people subject to </w:t>
      </w:r>
      <w:r w:rsidR="00AB7B73">
        <w:t>income management</w:t>
      </w:r>
      <w:r w:rsidRPr="00DF38B2">
        <w:t xml:space="preserve"> to prove they meet the exemption criteria (Bray et al</w:t>
      </w:r>
      <w:r w:rsidR="00461D2F">
        <w:t>,</w:t>
      </w:r>
      <w:r w:rsidRPr="00DF38B2">
        <w:t xml:space="preserve"> 2012)</w:t>
      </w:r>
      <w:r w:rsidR="00D0429A">
        <w:t>.</w:t>
      </w:r>
      <w:r w:rsidRPr="00DF38B2">
        <w:t xml:space="preserve"> </w:t>
      </w:r>
    </w:p>
    <w:p w:rsidR="00417B51" w:rsidRPr="00DF38B2" w:rsidRDefault="00417B51" w:rsidP="006654AE">
      <w:r w:rsidRPr="00DF38B2">
        <w:t>There is little evidence to suggest this has changed. In particular</w:t>
      </w:r>
      <w:r w:rsidR="00D0429A">
        <w:t>,</w:t>
      </w:r>
      <w:r w:rsidRPr="00DF38B2">
        <w:t xml:space="preserve"> Indigenous people continue to apply for exemptions at a much lower rate and with lower success</w:t>
      </w:r>
      <w:r w:rsidR="00D0429A">
        <w:t>.</w:t>
      </w:r>
    </w:p>
    <w:p w:rsidR="00417B51" w:rsidRPr="00DF38B2" w:rsidRDefault="00417B51" w:rsidP="006654AE">
      <w:r w:rsidRPr="00DF38B2">
        <w:t xml:space="preserve">Exemptions are a mechanism </w:t>
      </w:r>
      <w:r w:rsidR="00D0429A">
        <w:t>that</w:t>
      </w:r>
      <w:r w:rsidRPr="00DF38B2">
        <w:t xml:space="preserve"> is disproportionately used by non-Indigenous women with children, most of whom do not actually experience income management. Access to exemptions by Indigenous Australians is low and there is no evidence of the gap</w:t>
      </w:r>
      <w:r w:rsidR="00EE43BF">
        <w:t xml:space="preserve"> in the exemption rate </w:t>
      </w:r>
      <w:r w:rsidR="001D2920">
        <w:t>for</w:t>
      </w:r>
      <w:r w:rsidR="00EE43BF">
        <w:t xml:space="preserve"> Indigenous and non-Indigenous people</w:t>
      </w:r>
      <w:r w:rsidRPr="00DF38B2">
        <w:t xml:space="preserve"> closing</w:t>
      </w:r>
      <w:r w:rsidR="00D0429A">
        <w:t>;</w:t>
      </w:r>
      <w:r w:rsidRPr="00DF38B2">
        <w:t xml:space="preserve"> nor is there evidence of access to exemptions operating as an incentive for changing behaviours, or of income management playing a role in preparing people to be in a situation where they can gain an exemption.</w:t>
      </w:r>
    </w:p>
    <w:p w:rsidR="00417B51" w:rsidRPr="00DF38B2" w:rsidRDefault="00417B51" w:rsidP="006654AE">
      <w:pPr>
        <w:pStyle w:val="Evalheadings"/>
      </w:pPr>
      <w:r w:rsidRPr="00DF38B2">
        <w:t>1. (</w:t>
      </w:r>
      <w:proofErr w:type="gramStart"/>
      <w:r w:rsidRPr="00DF38B2">
        <w:t>d</w:t>
      </w:r>
      <w:proofErr w:type="gramEnd"/>
      <w:r w:rsidRPr="00DF38B2">
        <w:t xml:space="preserve">) </w:t>
      </w:r>
      <w:r w:rsidRPr="00DF38B2">
        <w:tab/>
        <w:t xml:space="preserve">What has been the effect of the introduction of New Income Management on service providers? </w:t>
      </w:r>
    </w:p>
    <w:p w:rsidR="00417B51" w:rsidRPr="00DF38B2" w:rsidRDefault="00417B51" w:rsidP="006654AE">
      <w:r w:rsidRPr="00DF38B2">
        <w:t>The New Income Management program includes substantial additional funding for money management and financial counselling services</w:t>
      </w:r>
      <w:r w:rsidR="00D0429A">
        <w:t>,</w:t>
      </w:r>
      <w:r w:rsidRPr="00DF38B2">
        <w:t xml:space="preserve"> and there has been a substantial increase in the number of clients attending these services since the introduction of New Income Management. As indicated in the </w:t>
      </w:r>
      <w:r w:rsidR="00292F40">
        <w:t>F</w:t>
      </w:r>
      <w:r w:rsidRPr="00DF38B2">
        <w:t xml:space="preserve">irst </w:t>
      </w:r>
      <w:r w:rsidR="00292F40">
        <w:t>E</w:t>
      </w:r>
      <w:r w:rsidRPr="00DF38B2">
        <w:t xml:space="preserve">valuation </w:t>
      </w:r>
      <w:r w:rsidR="00292F40">
        <w:t>R</w:t>
      </w:r>
      <w:r w:rsidRPr="00DF38B2">
        <w:t>eport, money management service providers reported a range of concerns related to the content of the approved money management courses</w:t>
      </w:r>
      <w:r w:rsidR="00D0429A">
        <w:t>,</w:t>
      </w:r>
      <w:r w:rsidRPr="00DF38B2">
        <w:t xml:space="preserve"> including a mismatch between what they were required to provide and what their income managed clients needed including inappropriate nature of the course material (too high level for some and not appropriate for others).</w:t>
      </w:r>
    </w:p>
    <w:p w:rsidR="00417B51" w:rsidRPr="00DF38B2" w:rsidRDefault="00417B51" w:rsidP="006654AE">
      <w:r w:rsidRPr="00DF38B2">
        <w:t>There were also concerns about the administration of the Matched Savings Scheme Payment</w:t>
      </w:r>
      <w:r w:rsidR="00EE43BF">
        <w:t xml:space="preserve"> and</w:t>
      </w:r>
      <w:r w:rsidRPr="00DF38B2">
        <w:t xml:space="preserve"> unrealistic expectations around the scheme</w:t>
      </w:r>
      <w:r w:rsidR="00EE43BF">
        <w:t>. Th</w:t>
      </w:r>
      <w:r w:rsidRPr="00DF38B2">
        <w:t xml:space="preserve">e income management of payments made for meeting savings targets </w:t>
      </w:r>
      <w:r w:rsidR="00D0429A">
        <w:t>are</w:t>
      </w:r>
      <w:r w:rsidRPr="00DF38B2">
        <w:t xml:space="preserve"> considered an insult by many service providers and people subject to income management.</w:t>
      </w:r>
    </w:p>
    <w:p w:rsidR="00417B51" w:rsidRPr="00DF38B2" w:rsidRDefault="00417B51" w:rsidP="006654AE">
      <w:r w:rsidRPr="00DF38B2">
        <w:rPr>
          <w:szCs w:val="19"/>
        </w:rPr>
        <w:t>Since the introduction of New Income Management only 31 people have received a Matched Savings Scheme Payment</w:t>
      </w:r>
      <w:r w:rsidR="00D0429A">
        <w:rPr>
          <w:szCs w:val="19"/>
        </w:rPr>
        <w:t>;</w:t>
      </w:r>
      <w:r w:rsidRPr="00DF38B2">
        <w:rPr>
          <w:szCs w:val="19"/>
        </w:rPr>
        <w:t xml:space="preserve"> this is a very low number given that almost </w:t>
      </w:r>
      <w:r w:rsidR="005C1C07">
        <w:rPr>
          <w:szCs w:val="19"/>
        </w:rPr>
        <w:t>29,500</w:t>
      </w:r>
      <w:r w:rsidRPr="00DF38B2">
        <w:rPr>
          <w:szCs w:val="19"/>
        </w:rPr>
        <w:t xml:space="preserve"> people have been subject to </w:t>
      </w:r>
      <w:r w:rsidR="005C1C07">
        <w:rPr>
          <w:szCs w:val="19"/>
        </w:rPr>
        <w:t xml:space="preserve">the compulsory elements of </w:t>
      </w:r>
      <w:r w:rsidRPr="00DF38B2">
        <w:rPr>
          <w:szCs w:val="19"/>
        </w:rPr>
        <w:t>New Income Management in the Northern Territory</w:t>
      </w:r>
      <w:r w:rsidR="005C1C07">
        <w:rPr>
          <w:szCs w:val="19"/>
        </w:rPr>
        <w:t xml:space="preserve"> which forms the target group for this program</w:t>
      </w:r>
      <w:r w:rsidRPr="00DF38B2">
        <w:rPr>
          <w:szCs w:val="19"/>
        </w:rPr>
        <w:t>.</w:t>
      </w:r>
    </w:p>
    <w:p w:rsidR="00417B51" w:rsidRPr="00DF38B2" w:rsidRDefault="00417B51" w:rsidP="006654AE">
      <w:r w:rsidRPr="00DF38B2">
        <w:t xml:space="preserve">The data collected in the second stage of the evaluation indicates that the findings of the </w:t>
      </w:r>
      <w:r w:rsidR="00292F40">
        <w:t>F</w:t>
      </w:r>
      <w:r w:rsidRPr="00DF38B2">
        <w:t xml:space="preserve">irst </w:t>
      </w:r>
      <w:r w:rsidR="00292F40">
        <w:t>E</w:t>
      </w:r>
      <w:r w:rsidRPr="00DF38B2">
        <w:t xml:space="preserve">valuation </w:t>
      </w:r>
      <w:r w:rsidR="00292F40">
        <w:t>R</w:t>
      </w:r>
      <w:r w:rsidRPr="00DF38B2">
        <w:t>eport continue to be the case.</w:t>
      </w:r>
    </w:p>
    <w:p w:rsidR="00417B51" w:rsidRPr="00DF38B2" w:rsidRDefault="00417B51" w:rsidP="006654AE">
      <w:r w:rsidRPr="00DF38B2">
        <w:t>In terms of the broader service sector, including legal and advocacy services, there is some additional workload associated with assisting clients with income management</w:t>
      </w:r>
      <w:r w:rsidR="00D0429A">
        <w:t>-</w:t>
      </w:r>
      <w:r w:rsidRPr="00DF38B2">
        <w:t>related issues</w:t>
      </w:r>
      <w:r w:rsidR="00A1421A">
        <w:t xml:space="preserve">. </w:t>
      </w:r>
      <w:r w:rsidRPr="00DF38B2">
        <w:t>While the evaluation has not been able to quantify the increased workload for the broader service sector, interviews with the service sector reveal that it is not insignificant.</w:t>
      </w:r>
    </w:p>
    <w:p w:rsidR="00417B51" w:rsidRPr="00DF38B2" w:rsidRDefault="00417B51" w:rsidP="006654AE">
      <w:r w:rsidRPr="00DF38B2">
        <w:t>In the case of remote stores the introduction of BasicsCard has resulted in a major shift towards the use of electronic rather than cash transactions. This has resulted in a need for significant upgrades to communications and the development of multiple backups</w:t>
      </w:r>
      <w:r w:rsidR="00D0429A">
        <w:t>,</w:t>
      </w:r>
      <w:r w:rsidRPr="00DF38B2">
        <w:t xml:space="preserve"> including satellite</w:t>
      </w:r>
      <w:r w:rsidR="00D0429A">
        <w:t>-</w:t>
      </w:r>
      <w:r w:rsidRPr="00DF38B2">
        <w:t>based links given the vulnerability of much remote infrastructure. Where these systems break</w:t>
      </w:r>
      <w:r w:rsidR="00D0429A">
        <w:t xml:space="preserve"> </w:t>
      </w:r>
      <w:r w:rsidRPr="00DF38B2">
        <w:t>down major issues can arise</w:t>
      </w:r>
      <w:r w:rsidR="00D0429A">
        <w:t>,</w:t>
      </w:r>
      <w:r w:rsidRPr="00DF38B2">
        <w:t xml:space="preserve"> as people are suddenly unable to make any purchases</w:t>
      </w:r>
      <w:r w:rsidR="00EE43BF">
        <w:t xml:space="preserve"> on their BasicsCard</w:t>
      </w:r>
      <w:r w:rsidRPr="00DF38B2">
        <w:t xml:space="preserve">, </w:t>
      </w:r>
      <w:r w:rsidR="00EE43BF">
        <w:t xml:space="preserve">have reduced </w:t>
      </w:r>
      <w:r w:rsidRPr="00DF38B2">
        <w:t>cash on hand</w:t>
      </w:r>
      <w:r w:rsidR="00EE43BF">
        <w:t xml:space="preserve"> to make cash purchases</w:t>
      </w:r>
      <w:r w:rsidRPr="00DF38B2">
        <w:t xml:space="preserve">, and households tend not </w:t>
      </w:r>
      <w:r w:rsidR="00D0429A" w:rsidRPr="00DF38B2">
        <w:t xml:space="preserve">to </w:t>
      </w:r>
      <w:r w:rsidRPr="00DF38B2">
        <w:t>hold any food stocks in reserve. In some locations this has resulted in severe tensions.</w:t>
      </w:r>
    </w:p>
    <w:p w:rsidR="00417B51" w:rsidRPr="00DF38B2" w:rsidRDefault="00417B51" w:rsidP="006654AE">
      <w:pPr>
        <w:pStyle w:val="Evalheadings"/>
      </w:pPr>
      <w:r w:rsidRPr="00DF38B2">
        <w:lastRenderedPageBreak/>
        <w:t xml:space="preserve">2. </w:t>
      </w:r>
      <w:r w:rsidRPr="00DF38B2">
        <w:tab/>
        <w:t xml:space="preserve">What is the profile of people on the different income management streams? </w:t>
      </w:r>
    </w:p>
    <w:p w:rsidR="00417B51" w:rsidRDefault="00417B51" w:rsidP="006654AE">
      <w:pPr>
        <w:spacing w:line="276" w:lineRule="auto"/>
      </w:pPr>
      <w:r w:rsidRPr="00DF38B2">
        <w:t>The profile of people on the different income management streams is extensively document</w:t>
      </w:r>
      <w:r w:rsidR="00D0429A">
        <w:t>ed</w:t>
      </w:r>
      <w:r w:rsidRPr="00DF38B2">
        <w:t xml:space="preserve"> in Chapter 4. A summary of the profile of people subject to income management is provided here. The figures reported are for December 2013 unless otherwise noted.</w:t>
      </w:r>
    </w:p>
    <w:p w:rsidR="005C1C07" w:rsidRPr="00DF38B2" w:rsidRDefault="005C1C07" w:rsidP="006654AE">
      <w:r w:rsidRPr="00DF38B2">
        <w:t>In December 2013 there were 18,300 people being income ma</w:t>
      </w:r>
      <w:r>
        <w:t>naged in the Northern Territory:</w:t>
      </w:r>
      <w:r w:rsidR="00B84AFE">
        <w:t xml:space="preserve"> </w:t>
      </w:r>
      <w:r>
        <w:t xml:space="preserve">10,071 on the </w:t>
      </w:r>
      <w:r w:rsidRPr="0095659D">
        <w:t>Long-term Welfare Recipient</w:t>
      </w:r>
      <w:r>
        <w:t xml:space="preserve"> measure; </w:t>
      </w:r>
      <w:r w:rsidRPr="00DF38B2">
        <w:t>3,981</w:t>
      </w:r>
      <w:r>
        <w:t xml:space="preserve"> as Disengaged Youth; </w:t>
      </w:r>
      <w:r w:rsidRPr="00DF38B2">
        <w:t>3,675 people</w:t>
      </w:r>
      <w:r>
        <w:t xml:space="preserve"> on </w:t>
      </w:r>
      <w:r w:rsidRPr="00DF38B2">
        <w:t>Vo</w:t>
      </w:r>
      <w:r>
        <w:t xml:space="preserve">luntary Income Management; </w:t>
      </w:r>
      <w:r w:rsidRPr="00DF38B2">
        <w:t>170 assessed Vulnerable Income Management</w:t>
      </w:r>
      <w:r>
        <w:t xml:space="preserve">; </w:t>
      </w:r>
      <w:r w:rsidRPr="00DF38B2">
        <w:t>165 on Un</w:t>
      </w:r>
      <w:r w:rsidR="00EF3E03">
        <w:t>reason</w:t>
      </w:r>
      <w:r w:rsidRPr="00DF38B2">
        <w:t>able to Live at Home, 3 on Special Benefit</w:t>
      </w:r>
      <w:r w:rsidR="00D0429A">
        <w:t>;</w:t>
      </w:r>
      <w:r w:rsidRPr="00DF38B2">
        <w:t xml:space="preserve"> 87 on Crisis Paymen</w:t>
      </w:r>
      <w:r w:rsidR="00CB5F85">
        <w:t>t</w:t>
      </w:r>
      <w:r w:rsidRPr="00DF38B2">
        <w:t>, 24 on SPAR Income Management</w:t>
      </w:r>
      <w:r w:rsidR="00D0429A">
        <w:t>;</w:t>
      </w:r>
      <w:r w:rsidRPr="00DF38B2">
        <w:t xml:space="preserve"> and 41 subject to Nominee Income management.</w:t>
      </w:r>
    </w:p>
    <w:p w:rsidR="00417B51" w:rsidRPr="00DF38B2" w:rsidRDefault="00417B51" w:rsidP="006654AE">
      <w:pPr>
        <w:spacing w:line="276" w:lineRule="auto"/>
      </w:pPr>
      <w:r w:rsidRPr="00DF38B2">
        <w:t xml:space="preserve">The vast majority of people subject to income management are Indigenous, although there are some differences </w:t>
      </w:r>
      <w:r w:rsidR="00EE43BF">
        <w:t xml:space="preserve">in the proportion </w:t>
      </w:r>
      <w:r w:rsidRPr="00DF38B2">
        <w:t>between the measures. Overall, 90</w:t>
      </w:r>
      <w:r w:rsidR="005C1C07">
        <w:t>.2</w:t>
      </w:r>
      <w:r w:rsidRPr="00DF38B2">
        <w:t xml:space="preserve"> per cent of those subject to income management </w:t>
      </w:r>
      <w:r w:rsidR="005C1C07">
        <w:t>in December 2013 were</w:t>
      </w:r>
      <w:r w:rsidRPr="00DF38B2">
        <w:t xml:space="preserve"> Indigenous. The proportion of people on income management that are Indigenous varies from 72.5 per cent of those on the automatic Vulnerable measures, 88.3 per cent of those subject to Compulsory Income Management, 91.6 per cent of those on Child Protection Income Management, 98.2 per cent of those on assessed Vulnerable</w:t>
      </w:r>
      <w:r w:rsidR="00D0429A">
        <w:t>,</w:t>
      </w:r>
      <w:r w:rsidRPr="00DF38B2">
        <w:t xml:space="preserve"> and 98.5 per cent of those on Voluntary Income Management.</w:t>
      </w:r>
      <w:r w:rsidRPr="00DF38B2">
        <w:rPr>
          <w:rStyle w:val="FootnoteReference"/>
        </w:rPr>
        <w:footnoteReference w:id="152"/>
      </w:r>
      <w:r w:rsidR="009755F2">
        <w:t xml:space="preserve"> </w:t>
      </w:r>
      <w:r w:rsidRPr="009755F2">
        <w:t xml:space="preserve">The proportion of people on income </w:t>
      </w:r>
      <w:r w:rsidR="0001519A">
        <w:t>management</w:t>
      </w:r>
      <w:r w:rsidRPr="009755F2">
        <w:t xml:space="preserve"> that are Indigenous is much larger than the proportion of </w:t>
      </w:r>
      <w:r w:rsidR="0001519A">
        <w:t>i</w:t>
      </w:r>
      <w:r w:rsidRPr="009755F2">
        <w:t>ncome support recipients who are Indigenous</w:t>
      </w:r>
      <w:r w:rsidR="009755F2" w:rsidRPr="009755F2">
        <w:t xml:space="preserve"> (62.8 per cent)</w:t>
      </w:r>
      <w:r w:rsidR="00D0429A" w:rsidRPr="009755F2">
        <w:t>.</w:t>
      </w:r>
    </w:p>
    <w:p w:rsidR="00417B51" w:rsidRPr="00DF38B2" w:rsidRDefault="00417B51" w:rsidP="006654AE">
      <w:pPr>
        <w:spacing w:line="276" w:lineRule="auto"/>
      </w:pPr>
      <w:r w:rsidRPr="00DF38B2">
        <w:t xml:space="preserve">Women comprise </w:t>
      </w:r>
      <w:r w:rsidR="005C1C07">
        <w:t xml:space="preserve">just </w:t>
      </w:r>
      <w:proofErr w:type="gramStart"/>
      <w:r w:rsidR="005C1C07">
        <w:t>under</w:t>
      </w:r>
      <w:proofErr w:type="gramEnd"/>
      <w:r w:rsidR="005C1C07" w:rsidRPr="00DF38B2">
        <w:t xml:space="preserve"> </w:t>
      </w:r>
      <w:r w:rsidRPr="00DF38B2">
        <w:t xml:space="preserve">60 per cent of those subject to income management. There is considerable variation between the income management streams in the proportion who are </w:t>
      </w:r>
      <w:r w:rsidR="00D0429A">
        <w:t>women</w:t>
      </w:r>
      <w:r w:rsidRPr="00DF38B2">
        <w:t>, ranging from 39.6 per cent for automatic Vulnerable, 55.</w:t>
      </w:r>
      <w:r w:rsidR="005C1C07">
        <w:t>3</w:t>
      </w:r>
      <w:r w:rsidRPr="00DF38B2">
        <w:t> per cent for assessed Vulnerable, 58.4 per cent for Voluntary, 59.8 per cent for Compulsory Income Management</w:t>
      </w:r>
      <w:r w:rsidR="00D0429A">
        <w:t>,</w:t>
      </w:r>
      <w:r w:rsidRPr="00DF38B2">
        <w:t xml:space="preserve"> and 80.7 per cent for Child Protection Income Management.</w:t>
      </w:r>
      <w:r w:rsidRPr="00DF38B2">
        <w:rPr>
          <w:rStyle w:val="FootnoteReference"/>
        </w:rPr>
        <w:footnoteReference w:id="153"/>
      </w:r>
    </w:p>
    <w:p w:rsidR="00417B51" w:rsidRPr="00DF38B2" w:rsidRDefault="00417B51" w:rsidP="006654AE">
      <w:r w:rsidRPr="00DF38B2">
        <w:t>The average age of people subject to income management is 36.1 years. This figure however reflects the long tail of older people on the program</w:t>
      </w:r>
      <w:r w:rsidR="00D0429A">
        <w:t>: a</w:t>
      </w:r>
      <w:r w:rsidRPr="00DF38B2">
        <w:t xml:space="preserve"> quarter of the population is aged 25 years and under, and half the population is aged 33 years or under</w:t>
      </w:r>
      <w:r w:rsidR="005C1C07">
        <w:t>,</w:t>
      </w:r>
      <w:r w:rsidR="00D0429A">
        <w:t xml:space="preserve"> with</w:t>
      </w:r>
      <w:r w:rsidRPr="00DF38B2">
        <w:t xml:space="preserve"> </w:t>
      </w:r>
      <w:r w:rsidR="005C1C07">
        <w:t>t</w:t>
      </w:r>
      <w:r w:rsidRPr="00DF38B2">
        <w:t>hree</w:t>
      </w:r>
      <w:r w:rsidR="00D0429A">
        <w:t>-</w:t>
      </w:r>
      <w:r w:rsidRPr="00DF38B2">
        <w:t>quarters aged under 45 years.</w:t>
      </w:r>
    </w:p>
    <w:p w:rsidR="00417B51" w:rsidRPr="00DF38B2" w:rsidRDefault="00417B51" w:rsidP="006654AE">
      <w:r w:rsidRPr="00DF38B2">
        <w:t>Most people subject to income management are single</w:t>
      </w:r>
      <w:r w:rsidRPr="00DF38B2">
        <w:rPr>
          <w:rStyle w:val="FootnoteReference"/>
        </w:rPr>
        <w:footnoteReference w:id="154"/>
      </w:r>
      <w:r w:rsidRPr="00DF38B2">
        <w:t xml:space="preserve"> (39.8 per cent), followed by people who live as a member of a couple with dependent children (28.9 per cent), single parents (17.8 per cent)</w:t>
      </w:r>
      <w:r w:rsidR="00D0429A">
        <w:t>,</w:t>
      </w:r>
      <w:r w:rsidRPr="00DF38B2">
        <w:t xml:space="preserve"> and people living as a member of a couple without dependent children (13.5 per cent). This means that just under half (46.7 per cent) of those subject to income management have dependent children.</w:t>
      </w:r>
    </w:p>
    <w:p w:rsidR="00417B51" w:rsidRPr="00DF38B2" w:rsidRDefault="00417B51" w:rsidP="006654AE">
      <w:r w:rsidRPr="00DF38B2">
        <w:t>There are big differences in the composition of family type of Indigenous and non-Indigenous people. Well over half (60.</w:t>
      </w:r>
      <w:r w:rsidR="005C1C07">
        <w:t>2</w:t>
      </w:r>
      <w:r w:rsidRPr="00DF38B2">
        <w:t xml:space="preserve"> per cent) of non-Indigenous people subject to income management are single and 22.5 per cent were single parents. Just </w:t>
      </w:r>
      <w:r w:rsidR="005C1C07">
        <w:t>17.4</w:t>
      </w:r>
      <w:r w:rsidRPr="00DF38B2">
        <w:t> per cent were living as a member of a couple (</w:t>
      </w:r>
      <w:r w:rsidR="005C1C07">
        <w:t>10.3</w:t>
      </w:r>
      <w:r w:rsidRPr="00DF38B2">
        <w:t xml:space="preserve"> per cent with dependent children and 7.0 per cent without dependent children). This means that about two-thirds of non-Indigenous people subject to income management did not have dependent children. For Indigenous people, </w:t>
      </w:r>
      <w:r w:rsidR="005C1C07">
        <w:t>37.5 per cent</w:t>
      </w:r>
      <w:r w:rsidRPr="00DF38B2">
        <w:t xml:space="preserve"> were single and </w:t>
      </w:r>
      <w:r w:rsidR="005C1C07">
        <w:t>30.9 per cent</w:t>
      </w:r>
      <w:r w:rsidRPr="00DF38B2">
        <w:t xml:space="preserve"> were living as a member of a couple with dependent children. The remaining third were split between single parent families (17.3 per cent) and members of a couple without dependent children (14.2 per cent). This means that 51.7 per cent of Indigenous people subject to </w:t>
      </w:r>
      <w:r w:rsidR="00AB7B73">
        <w:t>income management</w:t>
      </w:r>
      <w:r w:rsidRPr="00DF38B2">
        <w:t xml:space="preserve"> did not have dependent children.</w:t>
      </w:r>
    </w:p>
    <w:p w:rsidR="00417B51" w:rsidRPr="00DF38B2" w:rsidRDefault="00417B51" w:rsidP="006654AE">
      <w:r w:rsidRPr="00DF38B2">
        <w:t xml:space="preserve">The types of income support payments that have the largest numbers of people subject to </w:t>
      </w:r>
      <w:r w:rsidR="00AB7B73">
        <w:t>income management</w:t>
      </w:r>
      <w:r w:rsidRPr="00DF38B2">
        <w:t xml:space="preserve"> are Newstart Allowance (</w:t>
      </w:r>
      <w:r w:rsidR="005C1C07">
        <w:t>8,718</w:t>
      </w:r>
      <w:r w:rsidRPr="00DF38B2">
        <w:t>), Disability Support Pension (2,5</w:t>
      </w:r>
      <w:r w:rsidR="005C1C07">
        <w:t>88</w:t>
      </w:r>
      <w:r w:rsidRPr="00DF38B2">
        <w:t xml:space="preserve">), </w:t>
      </w:r>
      <w:r w:rsidR="005C1C07" w:rsidRPr="005C1C07">
        <w:t>Parenting Payment Single (2,</w:t>
      </w:r>
      <w:r w:rsidR="005C1C07">
        <w:t>116</w:t>
      </w:r>
      <w:r w:rsidR="005C1C07" w:rsidRPr="005C1C07">
        <w:t>)</w:t>
      </w:r>
      <w:r w:rsidR="00D0429A">
        <w:t>,</w:t>
      </w:r>
      <w:r w:rsidR="005C1C07" w:rsidRPr="005C1C07">
        <w:t xml:space="preserve"> </w:t>
      </w:r>
      <w:r w:rsidRPr="00DF38B2">
        <w:t>Parenting Payment Partnered (2,1</w:t>
      </w:r>
      <w:r w:rsidR="005C1C07">
        <w:t>14</w:t>
      </w:r>
      <w:r w:rsidRPr="00DF38B2">
        <w:t>), and Youth Allowance (1,</w:t>
      </w:r>
      <w:r w:rsidR="005C1C07">
        <w:t>721</w:t>
      </w:r>
      <w:r w:rsidRPr="00DF38B2">
        <w:t>).</w:t>
      </w:r>
    </w:p>
    <w:p w:rsidR="00417B51" w:rsidRPr="00DF38B2" w:rsidRDefault="00417B51" w:rsidP="006654AE">
      <w:r w:rsidRPr="00DF38B2">
        <w:t>For Indigenous income support recipients the rates of income management are 85.</w:t>
      </w:r>
      <w:r w:rsidR="005C1C07">
        <w:t>7</w:t>
      </w:r>
      <w:r w:rsidRPr="00DF38B2">
        <w:t> per cent for those receiving Parenting Payment Partnered, 79.</w:t>
      </w:r>
      <w:r w:rsidR="005C1C07">
        <w:t>3</w:t>
      </w:r>
      <w:r w:rsidRPr="00DF38B2">
        <w:t> per cent for those receiving Newstart Allowance, 76.</w:t>
      </w:r>
      <w:r w:rsidR="005C1C07">
        <w:t>3</w:t>
      </w:r>
      <w:r w:rsidRPr="00DF38B2">
        <w:t xml:space="preserve"> per cent </w:t>
      </w:r>
      <w:r w:rsidRPr="00DF38B2">
        <w:lastRenderedPageBreak/>
        <w:t>for those receiving Parenting Payment Single, 4</w:t>
      </w:r>
      <w:r w:rsidR="005C1C07">
        <w:t>4.9</w:t>
      </w:r>
      <w:r w:rsidRPr="00DF38B2">
        <w:t> per cent for those receiving Age Pension, 4</w:t>
      </w:r>
      <w:r w:rsidR="005C1C07">
        <w:t>0.0</w:t>
      </w:r>
      <w:r w:rsidRPr="00DF38B2">
        <w:t> per cent for those receiving Disability Support Pension</w:t>
      </w:r>
      <w:r w:rsidR="00D0429A">
        <w:t>,</w:t>
      </w:r>
      <w:r w:rsidRPr="00DF38B2">
        <w:t xml:space="preserve"> and 2</w:t>
      </w:r>
      <w:r w:rsidR="005C1C07">
        <w:t>2.8</w:t>
      </w:r>
      <w:r w:rsidRPr="00DF38B2">
        <w:t> per cent for those receiving Carer Payment.</w:t>
      </w:r>
    </w:p>
    <w:p w:rsidR="00417B51" w:rsidRPr="00DF38B2" w:rsidRDefault="00417B51" w:rsidP="006654AE">
      <w:pPr>
        <w:pStyle w:val="Evalheadings"/>
      </w:pPr>
      <w:r w:rsidRPr="00DF38B2">
        <w:t>3.</w:t>
      </w:r>
      <w:r w:rsidRPr="00DF38B2">
        <w:tab/>
        <w:t xml:space="preserve">Have there been any initial process ‘teething issues’ that need to be addressed? </w:t>
      </w:r>
    </w:p>
    <w:p w:rsidR="00417B51" w:rsidRPr="00DF38B2"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identified several initial process ‘teething issues’ including the coverage of BasicsCard merchants, referrals to money management and financial counselling services, and the provision of information on children’s school attendance and health records for people seeking exemptions. </w:t>
      </w:r>
    </w:p>
    <w:p w:rsidR="00417B51" w:rsidRPr="00DF38B2" w:rsidRDefault="00417B51" w:rsidP="006654AE">
      <w:r w:rsidRPr="00DF38B2">
        <w:t>The data collected in the second stage of the evaluation reveal that there continue to be some issues associated with the implementation of income management. Key issues are:</w:t>
      </w:r>
    </w:p>
    <w:p w:rsidR="00417B51" w:rsidRPr="00DF38B2" w:rsidRDefault="00D0429A" w:rsidP="006654AE">
      <w:pPr>
        <w:pStyle w:val="dot"/>
      </w:pPr>
      <w:r>
        <w:t>T</w:t>
      </w:r>
      <w:r w:rsidR="00417B51" w:rsidRPr="00DF38B2">
        <w:t>he imposition of minimum purchase amounts or surcharges for the use of BasicsCard by some stores and service providers.</w:t>
      </w:r>
    </w:p>
    <w:p w:rsidR="00417B51" w:rsidRPr="00DF38B2" w:rsidRDefault="00417B51" w:rsidP="006654AE">
      <w:pPr>
        <w:pStyle w:val="dot"/>
      </w:pPr>
      <w:r w:rsidRPr="00DF38B2">
        <w:t>The process for obtaining exemptions</w:t>
      </w:r>
      <w:r w:rsidR="00D0429A">
        <w:t>,</w:t>
      </w:r>
      <w:r w:rsidRPr="00DF38B2">
        <w:t xml:space="preserve"> which remains very difficult for a high proportion of people subject to income management. </w:t>
      </w:r>
    </w:p>
    <w:p w:rsidR="00417B51" w:rsidRPr="00DF38B2" w:rsidRDefault="00417B51" w:rsidP="006654AE">
      <w:pPr>
        <w:pStyle w:val="dot"/>
      </w:pPr>
      <w:r w:rsidRPr="00DF38B2">
        <w:t>Delays of up to six</w:t>
      </w:r>
      <w:r w:rsidR="00D0429A">
        <w:t xml:space="preserve"> </w:t>
      </w:r>
      <w:r w:rsidRPr="00DF38B2">
        <w:t>weeks in issuing replacement BasicsCard</w:t>
      </w:r>
      <w:r w:rsidR="00D0429A">
        <w:t>s</w:t>
      </w:r>
      <w:r w:rsidRPr="00DF38B2">
        <w:t xml:space="preserve"> in some remote areas.</w:t>
      </w:r>
    </w:p>
    <w:p w:rsidR="00417B51" w:rsidRPr="00DF38B2" w:rsidRDefault="00417B51" w:rsidP="006654AE">
      <w:pPr>
        <w:pStyle w:val="dot"/>
      </w:pPr>
      <w:r w:rsidRPr="00DF38B2">
        <w:t>Income management continues to make it difficult for some people to manage their money</w:t>
      </w:r>
      <w:r w:rsidR="00D0429A" w:rsidRPr="00D0429A">
        <w:t xml:space="preserve"> </w:t>
      </w:r>
      <w:r w:rsidR="00D0429A" w:rsidRPr="00DF38B2">
        <w:t>effectively</w:t>
      </w:r>
      <w:r w:rsidRPr="00DF38B2">
        <w:t>. Specific problems identified are the payment of rent to private landlords in urban locations</w:t>
      </w:r>
      <w:r w:rsidR="00D0429A">
        <w:t>;</w:t>
      </w:r>
      <w:r w:rsidRPr="00DF38B2">
        <w:t xml:space="preserve"> inability to spend </w:t>
      </w:r>
      <w:r w:rsidR="00A04470">
        <w:t>income managed</w:t>
      </w:r>
      <w:r w:rsidR="00307C76">
        <w:t xml:space="preserve"> funds</w:t>
      </w:r>
      <w:r w:rsidRPr="00DF38B2">
        <w:t xml:space="preserve"> at alternative outlets such as markets</w:t>
      </w:r>
      <w:r w:rsidR="00D0429A">
        <w:t>;</w:t>
      </w:r>
      <w:r w:rsidRPr="00DF38B2">
        <w:t xml:space="preserve"> and limited merchant acceptance of the BasicsCard in some sectors</w:t>
      </w:r>
      <w:r w:rsidR="00D0429A">
        <w:t xml:space="preserve">, </w:t>
      </w:r>
      <w:r w:rsidRPr="00DF38B2">
        <w:t>including chemists</w:t>
      </w:r>
      <w:r w:rsidR="00D0429A">
        <w:t>,</w:t>
      </w:r>
      <w:r w:rsidRPr="00DF38B2">
        <w:t xml:space="preserve"> government services</w:t>
      </w:r>
      <w:r w:rsidR="00D0429A">
        <w:t>,</w:t>
      </w:r>
      <w:r w:rsidRPr="00DF38B2">
        <w:t xml:space="preserve"> and utilities. In addition, due to the nature of the rules around merchant approval, people are limited in the range of outlets </w:t>
      </w:r>
      <w:r w:rsidR="00D0429A">
        <w:t xml:space="preserve">at which </w:t>
      </w:r>
      <w:r w:rsidRPr="00DF38B2">
        <w:t xml:space="preserve">they can purchase </w:t>
      </w:r>
      <w:r w:rsidR="00D0429A">
        <w:t>specific</w:t>
      </w:r>
      <w:r w:rsidRPr="00DF38B2">
        <w:t xml:space="preserve"> goods or services</w:t>
      </w:r>
      <w:r w:rsidR="00D0429A">
        <w:t>,</w:t>
      </w:r>
      <w:r w:rsidRPr="00DF38B2">
        <w:t xml:space="preserve"> despite these being available more widely and at times more cheaply. </w:t>
      </w:r>
      <w:r w:rsidR="002B30B2" w:rsidRPr="002B30B2">
        <w:t>We do not though find evidence to suggest that income management has “forced people to shop at the two major supermarket chains” in terms of market share, rather than for particular items.</w:t>
      </w:r>
    </w:p>
    <w:p w:rsidR="00417B51" w:rsidRPr="00DF38B2" w:rsidRDefault="00417B51" w:rsidP="006654AE">
      <w:pPr>
        <w:pStyle w:val="dot"/>
      </w:pPr>
      <w:r w:rsidRPr="00DF38B2">
        <w:t>If people move interstate they remain subject to income management for the first three</w:t>
      </w:r>
      <w:r w:rsidR="00D0429A">
        <w:t xml:space="preserve"> </w:t>
      </w:r>
      <w:r w:rsidRPr="00DF38B2">
        <w:t xml:space="preserve">months. This can cause considerable problems if they move to an area where income management is not generally in operation because few if any </w:t>
      </w:r>
      <w:r w:rsidR="00D0429A">
        <w:t xml:space="preserve">interstate </w:t>
      </w:r>
      <w:r w:rsidRPr="00DF38B2">
        <w:t xml:space="preserve">outlets </w:t>
      </w:r>
      <w:r w:rsidR="00D0429A">
        <w:t>would</w:t>
      </w:r>
      <w:r w:rsidRPr="00DF38B2">
        <w:t xml:space="preserve"> accept the BasicsCard.</w:t>
      </w:r>
    </w:p>
    <w:p w:rsidR="00417B51" w:rsidRPr="00DF38B2" w:rsidRDefault="00417B51" w:rsidP="006654AE">
      <w:pPr>
        <w:pStyle w:val="dot"/>
      </w:pPr>
      <w:r w:rsidRPr="00DF38B2">
        <w:t>There continue to be reports of long waiting times on the phone when contacting Centrelink about income management</w:t>
      </w:r>
      <w:r w:rsidR="00D0429A">
        <w:t>-</w:t>
      </w:r>
      <w:r w:rsidRPr="00DF38B2">
        <w:t>related issues. Similarly</w:t>
      </w:r>
      <w:r w:rsidR="00D0429A">
        <w:t>,</w:t>
      </w:r>
      <w:r w:rsidRPr="00DF38B2">
        <w:t xml:space="preserve"> there continues to be a group who would much rather deal </w:t>
      </w:r>
      <w:r w:rsidR="00484A16">
        <w:t>face-to-face</w:t>
      </w:r>
      <w:r w:rsidR="00D0429A">
        <w:t>,</w:t>
      </w:r>
      <w:r w:rsidRPr="00DF38B2">
        <w:t xml:space="preserve"> especially with respect to exemptions. There continue to be questions about the limited availability of interpreters</w:t>
      </w:r>
      <w:r w:rsidR="00D0429A">
        <w:t>,</w:t>
      </w:r>
      <w:r w:rsidRPr="00DF38B2">
        <w:t xml:space="preserve"> and much of the correspondence continues to be difficult for people to understand</w:t>
      </w:r>
      <w:r w:rsidR="00D0429A">
        <w:t>,</w:t>
      </w:r>
      <w:r w:rsidRPr="00DF38B2">
        <w:t xml:space="preserve"> especially </w:t>
      </w:r>
      <w:r w:rsidR="00D0429A">
        <w:t xml:space="preserve">for </w:t>
      </w:r>
      <w:r w:rsidRPr="00DF38B2">
        <w:t>those with poor literacy and with languages other than English.</w:t>
      </w:r>
    </w:p>
    <w:p w:rsidR="00417B51" w:rsidRPr="00DF38B2" w:rsidRDefault="00417B51" w:rsidP="006654AE">
      <w:pPr>
        <w:pStyle w:val="dot"/>
      </w:pPr>
      <w:r w:rsidRPr="00DF38B2">
        <w:t>Notwithstanding the recent introduction of the toll</w:t>
      </w:r>
      <w:r w:rsidR="00D0429A">
        <w:t>-</w:t>
      </w:r>
      <w:r w:rsidRPr="00DF38B2">
        <w:t xml:space="preserve">free number for some mobile users, there continues to be a need for increased investment in the capacity of people to access information </w:t>
      </w:r>
      <w:r w:rsidR="00D0429A" w:rsidRPr="00DF38B2">
        <w:t xml:space="preserve">easily </w:t>
      </w:r>
      <w:r w:rsidRPr="00DF38B2">
        <w:t>on their BasicsCard balance.</w:t>
      </w:r>
    </w:p>
    <w:p w:rsidR="00417B51" w:rsidRPr="00DF38B2" w:rsidRDefault="00417B51" w:rsidP="006654AE">
      <w:pPr>
        <w:pStyle w:val="Evalheadings"/>
      </w:pPr>
      <w:r w:rsidRPr="00DF38B2">
        <w:t>4.</w:t>
      </w:r>
      <w:r w:rsidRPr="00DF38B2">
        <w:tab/>
        <w:t xml:space="preserve">What are the views of participants in the New Income Management model and their families on the implementation of the program? </w:t>
      </w:r>
    </w:p>
    <w:p w:rsidR="00417B51" w:rsidRPr="00DF38B2" w:rsidRDefault="00417B51" w:rsidP="006654AE">
      <w:r w:rsidRPr="00DF38B2">
        <w:t>There is considerable diversity of views amongst people on income management about all aspects of the program</w:t>
      </w:r>
      <w:r w:rsidR="00D0429A">
        <w:t>, both</w:t>
      </w:r>
      <w:r w:rsidRPr="00DF38B2">
        <w:t xml:space="preserve"> positive and negative. While some aspects of the program including its implementation obtain strong negative and positive views, for other aspects views are not as strong or polarised. </w:t>
      </w:r>
    </w:p>
    <w:p w:rsidR="00417B51" w:rsidRPr="00DF38B2" w:rsidRDefault="00417B51" w:rsidP="006654AE">
      <w:r w:rsidRPr="00DF38B2">
        <w:t>In presenting these views we reiterate that the structure of our qualitative and quantitative data collection from the population subject to income management were designed to obtain a cross</w:t>
      </w:r>
      <w:r w:rsidR="00D0429A">
        <w:t>-</w:t>
      </w:r>
      <w:r w:rsidRPr="00DF38B2">
        <w:t>section of experiences and not as a representative sample, and that responses in these surveys are often shaped by respondents’ cultural values and by perceptions of how the responses may be used.</w:t>
      </w:r>
    </w:p>
    <w:p w:rsidR="00417B51" w:rsidRPr="00DF38B2" w:rsidRDefault="00417B51" w:rsidP="006654AE">
      <w:r w:rsidRPr="00DF38B2">
        <w:t xml:space="preserve">Across all respondents to the second wave of the LSNIM just over 40 per cent felt </w:t>
      </w:r>
      <w:r w:rsidR="00D0429A">
        <w:t xml:space="preserve">that </w:t>
      </w:r>
      <w:r w:rsidRPr="00DF38B2">
        <w:t>the program had made things better for them, just under a third said it made no difference</w:t>
      </w:r>
      <w:r w:rsidR="00D0429A">
        <w:t>,</w:t>
      </w:r>
      <w:r w:rsidRPr="00DF38B2">
        <w:t xml:space="preserve"> and over a quarter said it had made things worse. In general</w:t>
      </w:r>
      <w:r w:rsidR="00D0429A">
        <w:t>,</w:t>
      </w:r>
      <w:r w:rsidRPr="00DF38B2">
        <w:t xml:space="preserve"> those on Voluntary Income Management were more positive and non-</w:t>
      </w:r>
      <w:r w:rsidRPr="00DF38B2">
        <w:lastRenderedPageBreak/>
        <w:t>Indigenous respondents the most negative</w:t>
      </w:r>
      <w:r w:rsidR="00A1421A">
        <w:t xml:space="preserve">. </w:t>
      </w:r>
      <w:r w:rsidRPr="00DF38B2">
        <w:t>However</w:t>
      </w:r>
      <w:r w:rsidR="00D0429A">
        <w:t>,</w:t>
      </w:r>
      <w:r w:rsidRPr="00DF38B2">
        <w:t xml:space="preserve"> across all groups there was a considerable mix of views.</w:t>
      </w:r>
    </w:p>
    <w:p w:rsidR="00417B51" w:rsidRPr="00DF38B2" w:rsidRDefault="00417B51" w:rsidP="006654AE">
      <w:r w:rsidRPr="00DF38B2">
        <w:t xml:space="preserve">Most people (80 per cent) on Voluntary Income Management who were surveyed in the LSNIM said they wished to remain on income management. Half of the Indigenous women and </w:t>
      </w:r>
      <w:r w:rsidR="006F28A7">
        <w:t>36.7</w:t>
      </w:r>
      <w:r w:rsidR="00D0429A">
        <w:t xml:space="preserve"> </w:t>
      </w:r>
      <w:r w:rsidRPr="00DF38B2">
        <w:t xml:space="preserve">per cent of Indigenous men on the compulsory measures wanted to remain on income management. The proportion wanting to remain on income management was </w:t>
      </w:r>
      <w:r w:rsidR="006F28A7">
        <w:t>under</w:t>
      </w:r>
      <w:r w:rsidRPr="00DF38B2">
        <w:t xml:space="preserve"> one-third for non-Indigenous people</w:t>
      </w:r>
      <w:r w:rsidR="00A1421A">
        <w:t xml:space="preserve">. </w:t>
      </w:r>
      <w:r w:rsidRPr="00DF38B2">
        <w:t>People living in urban areas were much more likely to report that the program had made things worse and much less likely to report that it had made things better</w:t>
      </w:r>
      <w:r w:rsidR="00D0429A">
        <w:t>;</w:t>
      </w:r>
      <w:r w:rsidRPr="00DF38B2">
        <w:t xml:space="preserve"> they were also much more likely to w</w:t>
      </w:r>
      <w:r w:rsidR="00D0429A">
        <w:t>ant</w:t>
      </w:r>
      <w:r w:rsidRPr="00DF38B2">
        <w:t xml:space="preserve"> to get off the program.</w:t>
      </w:r>
    </w:p>
    <w:p w:rsidR="00417B51" w:rsidRPr="00DF38B2" w:rsidRDefault="00417B51" w:rsidP="006654AE">
      <w:r w:rsidRPr="00DF38B2">
        <w:t>For those wishing to remain on the program the primary motivations were that it made it easier to manage their money and they are used to it</w:t>
      </w:r>
      <w:r w:rsidR="00A1421A">
        <w:t xml:space="preserve">. </w:t>
      </w:r>
      <w:r w:rsidRPr="00DF38B2">
        <w:t>In addition</w:t>
      </w:r>
      <w:r w:rsidR="00D0429A">
        <w:t>,</w:t>
      </w:r>
      <w:r w:rsidRPr="00DF38B2">
        <w:t xml:space="preserve"> access to the BasicsCard was seen by many as an attraction.</w:t>
      </w:r>
    </w:p>
    <w:p w:rsidR="00417B51" w:rsidRPr="00DF38B2" w:rsidRDefault="00417B51" w:rsidP="006654AE">
      <w:r w:rsidRPr="00DF38B2">
        <w:t>Notwithstanding these positive views</w:t>
      </w:r>
      <w:r w:rsidR="00D0429A">
        <w:t>,</w:t>
      </w:r>
      <w:r w:rsidRPr="00DF38B2">
        <w:t xml:space="preserve"> a high proportion of the population on income management report some level of feeling discriminated against</w:t>
      </w:r>
      <w:r w:rsidR="00EE43BF">
        <w:t xml:space="preserve"> and/or</w:t>
      </w:r>
      <w:r w:rsidRPr="00DF38B2">
        <w:t xml:space="preserve"> that their being on income management was unfair or embarrassing (</w:t>
      </w:r>
      <w:r w:rsidR="00D0429A">
        <w:t>t</w:t>
      </w:r>
      <w:r w:rsidRPr="00DF38B2">
        <w:t>his is considered further below)</w:t>
      </w:r>
      <w:r w:rsidR="00D0429A">
        <w:t>.</w:t>
      </w:r>
    </w:p>
    <w:p w:rsidR="00417B51" w:rsidRPr="00DF38B2" w:rsidRDefault="00417B51" w:rsidP="006654AE">
      <w:r w:rsidRPr="00DF38B2">
        <w:t xml:space="preserve">There were similarly diverse responses to questions about the services provided by Centrelink and in the processes associated with income management. The variation in </w:t>
      </w:r>
      <w:proofErr w:type="gramStart"/>
      <w:r w:rsidRPr="00DF38B2">
        <w:t>these,</w:t>
      </w:r>
      <w:proofErr w:type="gramEnd"/>
      <w:r w:rsidRPr="00DF38B2">
        <w:t xml:space="preserve"> and views about income management more generally, </w:t>
      </w:r>
      <w:r w:rsidR="00EE43BF">
        <w:t xml:space="preserve">would appear to </w:t>
      </w:r>
      <w:r w:rsidRPr="00DF38B2">
        <w:t>arise from the following factors:</w:t>
      </w:r>
    </w:p>
    <w:p w:rsidR="00417B51" w:rsidRPr="00DF38B2" w:rsidRDefault="00417B51" w:rsidP="006654AE">
      <w:pPr>
        <w:pStyle w:val="dot"/>
      </w:pPr>
      <w:r w:rsidRPr="00DF38B2">
        <w:t>The income management population, as with any group of people, have diverse values and aspirations</w:t>
      </w:r>
      <w:r w:rsidR="00A1421A">
        <w:t xml:space="preserve">. </w:t>
      </w:r>
      <w:r w:rsidRPr="00DF38B2">
        <w:t>While some value independence and making their own decisions, others, especially when confronting complex problems, prefer having some decisions being taken on their behalf.</w:t>
      </w:r>
    </w:p>
    <w:p w:rsidR="00417B51" w:rsidRPr="00DF38B2" w:rsidRDefault="00417B51" w:rsidP="006654AE">
      <w:pPr>
        <w:pStyle w:val="dot"/>
      </w:pPr>
      <w:r w:rsidRPr="00DF38B2">
        <w:t xml:space="preserve">Some people have the skills to negotiate Centrelink processes </w:t>
      </w:r>
      <w:r w:rsidR="00D0429A" w:rsidRPr="00DF38B2">
        <w:t>easily</w:t>
      </w:r>
      <w:r w:rsidR="00D0429A">
        <w:t>:</w:t>
      </w:r>
      <w:r w:rsidRPr="00DF38B2">
        <w:t xml:space="preserve"> people with these skills tend to be more positive about income management. Other people who do not have the experience, knowledge or s</w:t>
      </w:r>
      <w:r w:rsidR="00D0429A">
        <w:t>k</w:t>
      </w:r>
      <w:r w:rsidRPr="00DF38B2">
        <w:t>ills to negotiate Centrelink process</w:t>
      </w:r>
      <w:r w:rsidR="00EE43BF">
        <w:t>es</w:t>
      </w:r>
      <w:r w:rsidR="00D0429A" w:rsidRPr="00D0429A">
        <w:t xml:space="preserve"> </w:t>
      </w:r>
      <w:r w:rsidR="00D0429A" w:rsidRPr="00DF38B2">
        <w:t>easily</w:t>
      </w:r>
      <w:r w:rsidR="00EE43BF">
        <w:t>,</w:t>
      </w:r>
      <w:r w:rsidRPr="00DF38B2">
        <w:t xml:space="preserve"> find the procedures frustrating. </w:t>
      </w:r>
    </w:p>
    <w:p w:rsidR="00417B51" w:rsidRPr="00DF38B2" w:rsidRDefault="00417B51" w:rsidP="006654AE">
      <w:pPr>
        <w:pStyle w:val="dot"/>
      </w:pPr>
      <w:r w:rsidRPr="00DF38B2">
        <w:t xml:space="preserve">The quality of service provided by Centrelink varies between individuals and offices. </w:t>
      </w:r>
    </w:p>
    <w:p w:rsidR="00417B51" w:rsidRPr="00DF38B2" w:rsidRDefault="00417B51" w:rsidP="006654AE">
      <w:pPr>
        <w:pStyle w:val="dot"/>
      </w:pPr>
      <w:r w:rsidRPr="00DF38B2">
        <w:t>The great diversity of circumstances found in the Northern Territory, including between remote and non-remote communities.</w:t>
      </w:r>
    </w:p>
    <w:p w:rsidR="00417B51" w:rsidRPr="00DF38B2" w:rsidRDefault="00417B51" w:rsidP="006654AE">
      <w:pPr>
        <w:pStyle w:val="Evalheadings"/>
      </w:pPr>
      <w:r w:rsidRPr="00DF38B2">
        <w:t>5.</w:t>
      </w:r>
      <w:r w:rsidRPr="00DF38B2">
        <w:tab/>
        <w:t>Has the measure been implemented in a non-discriminatory manner?</w:t>
      </w:r>
    </w:p>
    <w:p w:rsidR="00417B51" w:rsidRPr="00DF38B2" w:rsidRDefault="00417B51" w:rsidP="006654AE">
      <w:r w:rsidRPr="00DF38B2">
        <w:t>In the first report of the evaluation we noted that we had not identified any active and overt discrimination in the implementation of New Income Management in the Northern Territory, and there was no evidence produced that Centrelink staff tend to be prejudiced or discriminatory. This remains the case.</w:t>
      </w:r>
    </w:p>
    <w:p w:rsidR="00417B51" w:rsidRPr="00DF38B2" w:rsidRDefault="00417B51" w:rsidP="006654AE">
      <w:r w:rsidRPr="00DF38B2">
        <w:t xml:space="preserve">At the same time, income management disproportionately impacts on the Indigenous community in the Northern Territory and this group has not been able to avail itself of mechanisms such as exemptions at anything like the same rate as the non-Indigenous population. Specifically: </w:t>
      </w:r>
    </w:p>
    <w:p w:rsidR="00417B51" w:rsidRPr="00DF38B2" w:rsidRDefault="00417B51" w:rsidP="006654AE">
      <w:pPr>
        <w:pStyle w:val="dot"/>
      </w:pPr>
      <w:r w:rsidRPr="00DF38B2">
        <w:t xml:space="preserve">Income management has a much greater effect on the Indigenous than the non-Indigenous population in the Northern Territory. Its impact on the </w:t>
      </w:r>
      <w:r w:rsidR="00EE43BF">
        <w:t xml:space="preserve">Northern Territory </w:t>
      </w:r>
      <w:r w:rsidRPr="00DF38B2">
        <w:t>non-Indigenous population as a whole is marginal,</w:t>
      </w:r>
      <w:r w:rsidR="006E2187" w:rsidRPr="00DF38B2">
        <w:t xml:space="preserve"> </w:t>
      </w:r>
      <w:r w:rsidR="00DF38B2" w:rsidRPr="00DF38B2">
        <w:t>w</w:t>
      </w:r>
      <w:r w:rsidR="006E2187" w:rsidRPr="00DF38B2">
        <w:t>ith an estimated 1.3 per cent of non-Indigenous people aged 15 years and over on the program in December 2013,</w:t>
      </w:r>
      <w:r w:rsidRPr="00DF38B2">
        <w:t xml:space="preserve"> whereas a substantial proportion</w:t>
      </w:r>
      <w:r w:rsidR="006E2187" w:rsidRPr="00DF38B2">
        <w:t>, estimated at 34.0 per cent</w:t>
      </w:r>
      <w:r w:rsidRPr="00DF38B2">
        <w:t xml:space="preserve"> of Indigenous people </w:t>
      </w:r>
      <w:r w:rsidR="006E2187" w:rsidRPr="00DF38B2">
        <w:t xml:space="preserve">aged 15 years and over </w:t>
      </w:r>
      <w:r w:rsidRPr="00DF38B2">
        <w:t xml:space="preserve">in the Northern Territory are </w:t>
      </w:r>
      <w:r w:rsidR="006E2187" w:rsidRPr="00DF38B2">
        <w:t>subject to</w:t>
      </w:r>
      <w:r w:rsidRPr="00DF38B2">
        <w:t xml:space="preserve"> income management.</w:t>
      </w:r>
    </w:p>
    <w:p w:rsidR="00417B51" w:rsidRPr="00DF38B2" w:rsidRDefault="00417B51" w:rsidP="006654AE">
      <w:pPr>
        <w:pStyle w:val="undot"/>
      </w:pPr>
      <w:r w:rsidRPr="00DF38B2">
        <w:t>Ninety per cent of people subject to income management are Indigenous. By income management stream this varies from 72.5 per cent of those on the automatic Vulnerable measures, 88.3 per cent of those subject to Compulsory Income Management, 91.6 per cent of those on Child Protection Income Management, 98.2 per cent of those on assessed Vulnerable</w:t>
      </w:r>
      <w:r w:rsidR="00AB7C6F">
        <w:t>,</w:t>
      </w:r>
      <w:r w:rsidRPr="00DF38B2">
        <w:t xml:space="preserve"> and 98.5 per cent of those on Voluntary Income Management.</w:t>
      </w:r>
    </w:p>
    <w:p w:rsidR="00417B51" w:rsidRPr="00DF38B2" w:rsidRDefault="00417B51" w:rsidP="006654AE">
      <w:pPr>
        <w:pStyle w:val="dot"/>
      </w:pPr>
      <w:r w:rsidRPr="00DF38B2">
        <w:t>Indigenous people are much less likely to apply for, or be granted, an exemption. There has been no increase in the rate of exemption for Indigenous people, although the exemption rate has decreased slightly for non-Indigenous</w:t>
      </w:r>
      <w:r w:rsidR="00AB7C6F">
        <w:t xml:space="preserve"> people</w:t>
      </w:r>
      <w:r w:rsidRPr="00DF38B2">
        <w:t xml:space="preserve">. In addition, there seems to be little substantive support available to people who need to prepare cases to prove their applications for exemptions. Thus the parameters set </w:t>
      </w:r>
      <w:r w:rsidRPr="00DF38B2">
        <w:lastRenderedPageBreak/>
        <w:t>for exemptions effectively exclude a substantial proportion of Indigenous people from being granted an exemption from income management.</w:t>
      </w:r>
      <w:r w:rsidRPr="00DF38B2" w:rsidDel="00DB484A">
        <w:t xml:space="preserve"> </w:t>
      </w:r>
      <w:r w:rsidRPr="00DF38B2">
        <w:t>For large groups of Indigenous people subject to income management the exemption rates are very low. For Indigenous men the exemption rate is 0.4 per cent and for Indigenous people living outside of Darwin and Alice Springs the exemption rate varie</w:t>
      </w:r>
      <w:r w:rsidR="00AB7C6F">
        <w:t>s</w:t>
      </w:r>
      <w:r w:rsidRPr="00DF38B2">
        <w:t xml:space="preserve"> from 3.8 per cent to 1.6 per cent.</w:t>
      </w:r>
      <w:r w:rsidRPr="00DF38B2" w:rsidDel="008620CA">
        <w:t xml:space="preserve"> </w:t>
      </w:r>
    </w:p>
    <w:p w:rsidR="00417B51" w:rsidRPr="00DF38B2" w:rsidRDefault="00417B51" w:rsidP="006654AE">
      <w:pPr>
        <w:pStyle w:val="dot"/>
      </w:pPr>
      <w:r w:rsidRPr="00DF38B2">
        <w:t xml:space="preserve">Many Indigenous participants in the qualitative interviews and survey responses described the policy as being racist and some non-Indigenous people disparagingly refer to having been placed on a </w:t>
      </w:r>
      <w:r w:rsidR="00AB7C6F">
        <w:t>“</w:t>
      </w:r>
      <w:proofErr w:type="spellStart"/>
      <w:r w:rsidRPr="00DF38B2">
        <w:t>blackfellows</w:t>
      </w:r>
      <w:proofErr w:type="spellEnd"/>
      <w:r w:rsidRPr="00DF38B2">
        <w:t xml:space="preserve"> program</w:t>
      </w:r>
      <w:r w:rsidR="00AB7C6F">
        <w:t>”</w:t>
      </w:r>
      <w:r w:rsidRPr="00DF38B2">
        <w:t>.</w:t>
      </w:r>
    </w:p>
    <w:p w:rsidR="00417B51" w:rsidRPr="00DF38B2" w:rsidRDefault="00417B51" w:rsidP="006654AE">
      <w:r w:rsidRPr="00DF38B2">
        <w:t>Data from the longitudinal survey of people subject to income management (LSNIM) showed that an overwhelming majority of both Indigenous and non-Indigenous people on income management had a sense, at some time or another, of being treated unfairly by being income managed, with many of these describing the program as being discriminatory. Specifically</w:t>
      </w:r>
      <w:r w:rsidR="00AB7C6F">
        <w:t>:</w:t>
      </w:r>
    </w:p>
    <w:p w:rsidR="00417B51" w:rsidRPr="00DF38B2" w:rsidRDefault="00417B51" w:rsidP="006654AE">
      <w:pPr>
        <w:pStyle w:val="dot"/>
      </w:pPr>
      <w:r w:rsidRPr="00DF38B2">
        <w:t>28.4 per cent of Indigenous and 34.6 per cent of non-Indigenous people on compulsory income management say that they feel they are discriminated against all or most of the time. About 30 per cent of each of these groups said they never felt this way.</w:t>
      </w:r>
    </w:p>
    <w:p w:rsidR="00417B51" w:rsidRPr="00DF38B2" w:rsidRDefault="00417B51" w:rsidP="006654AE">
      <w:pPr>
        <w:pStyle w:val="dot"/>
      </w:pPr>
      <w:r w:rsidRPr="00DF38B2">
        <w:t>34.8 per cent of Indigenous and 57.0 per cent of non-Indigenous people on compulsory income management say that they feel it is not fair being on income management, all, or most of the time. Only 20 per cent of each of these groups said they never felt this way.</w:t>
      </w:r>
    </w:p>
    <w:p w:rsidR="00417B51" w:rsidRPr="00DF38B2" w:rsidRDefault="00417B51" w:rsidP="006654AE">
      <w:pPr>
        <w:pStyle w:val="Heading2"/>
      </w:pPr>
      <w:bookmarkStart w:id="656" w:name="_Toc403739161"/>
      <w:r w:rsidRPr="00DF38B2">
        <w:t>Outcome evaluation</w:t>
      </w:r>
      <w:bookmarkEnd w:id="656"/>
      <w:r w:rsidRPr="00DF38B2">
        <w:t xml:space="preserve"> </w:t>
      </w:r>
    </w:p>
    <w:p w:rsidR="00417B51" w:rsidRPr="00DF38B2" w:rsidRDefault="00417B51" w:rsidP="006654AE">
      <w:r w:rsidRPr="00DF38B2">
        <w:t>Within this broad heading of the Evaluation Framework, nine specific sub-questions have been posed. For the purposes of clearly and logically addressing these we are presenting the</w:t>
      </w:r>
      <w:r w:rsidR="00AB7C6F">
        <w:t>m</w:t>
      </w:r>
      <w:r w:rsidRPr="00DF38B2">
        <w:t xml:space="preserve"> in a different sequence </w:t>
      </w:r>
      <w:r w:rsidR="00EE43BF">
        <w:t xml:space="preserve">to that detailed in the framework </w:t>
      </w:r>
      <w:r w:rsidRPr="00DF38B2">
        <w:t>so as to firstly look at the overall impact and then some of the more specific</w:t>
      </w:r>
      <w:r w:rsidR="009755F2">
        <w:t xml:space="preserve"> issues</w:t>
      </w:r>
      <w:r w:rsidRPr="00DF38B2">
        <w:t>.</w:t>
      </w:r>
    </w:p>
    <w:p w:rsidR="00417B51" w:rsidRPr="00DF38B2" w:rsidRDefault="00417B51" w:rsidP="006654AE">
      <w:r w:rsidRPr="00DF38B2">
        <w:t>This section has been structured into three sub-sections. The first considers the overall outcomes of income management, the second considers the impact on subgroups</w:t>
      </w:r>
      <w:r w:rsidR="00AB7C6F">
        <w:t>,</w:t>
      </w:r>
      <w:r w:rsidRPr="00DF38B2">
        <w:t xml:space="preserve"> and the third </w:t>
      </w:r>
      <w:r w:rsidR="00AB7C6F">
        <w:t xml:space="preserve">addresses remaining </w:t>
      </w:r>
      <w:r w:rsidRPr="00DF38B2">
        <w:t>questions.</w:t>
      </w:r>
    </w:p>
    <w:p w:rsidR="00417B51" w:rsidRPr="00DF38B2" w:rsidRDefault="00417B51" w:rsidP="006654AE">
      <w:pPr>
        <w:pStyle w:val="Heading3"/>
      </w:pPr>
      <w:bookmarkStart w:id="657" w:name="_Toc403739162"/>
      <w:r w:rsidRPr="00DF38B2">
        <w:t>The overall impact of income management</w:t>
      </w:r>
      <w:bookmarkEnd w:id="657"/>
    </w:p>
    <w:p w:rsidR="00417B51" w:rsidRPr="00DF38B2" w:rsidRDefault="00417B51" w:rsidP="006654AE">
      <w:pPr>
        <w:pStyle w:val="Evalheadings"/>
      </w:pPr>
      <w:r w:rsidRPr="00DF38B2">
        <w:t>1.</w:t>
      </w:r>
      <w:r w:rsidRPr="00DF38B2">
        <w:tab/>
        <w:t xml:space="preserve">What are the short, medium and longer-term impacts of income management on individuals, their families and communities? </w:t>
      </w:r>
    </w:p>
    <w:p w:rsidR="00417B51" w:rsidRPr="00DF38B2" w:rsidRDefault="00417B51" w:rsidP="006654AE">
      <w:pPr>
        <w:spacing w:line="276" w:lineRule="auto"/>
      </w:pPr>
      <w:r w:rsidRPr="00DF38B2">
        <w:t>This question has been the key focus of the second phase of the evaluation. To address it we have used a wide range of data including:</w:t>
      </w:r>
    </w:p>
    <w:p w:rsidR="00417B51" w:rsidRPr="00DF38B2" w:rsidRDefault="00417B51" w:rsidP="006654AE">
      <w:pPr>
        <w:pStyle w:val="dot"/>
      </w:pPr>
      <w:r w:rsidRPr="00DF38B2">
        <w:t xml:space="preserve">the longitudinal survey of people subject to income management and a control group of people outside of the Northern Territory who are not subject to income management </w:t>
      </w:r>
      <w:r w:rsidR="001C44CD">
        <w:t xml:space="preserve">in order </w:t>
      </w:r>
      <w:r w:rsidRPr="00DF38B2">
        <w:t xml:space="preserve">to examine the incidence of a range of issues </w:t>
      </w:r>
      <w:r w:rsidR="00EE43BF">
        <w:t xml:space="preserve">and changes in outcomes </w:t>
      </w:r>
      <w:r w:rsidRPr="00DF38B2">
        <w:t>at both the individual and community level</w:t>
      </w:r>
      <w:r w:rsidR="001C44CD">
        <w:t>;</w:t>
      </w:r>
    </w:p>
    <w:p w:rsidR="00417B51" w:rsidRPr="00DF38B2" w:rsidRDefault="00417B51" w:rsidP="006654AE">
      <w:pPr>
        <w:pStyle w:val="dot"/>
      </w:pPr>
      <w:r w:rsidRPr="00DF38B2">
        <w:t>data generated by people’s use of BasicsCards and account balances</w:t>
      </w:r>
      <w:r w:rsidR="001C44CD">
        <w:t>,</w:t>
      </w:r>
      <w:r w:rsidRPr="00DF38B2">
        <w:t xml:space="preserve"> which provide measures of financial capabilities</w:t>
      </w:r>
      <w:r w:rsidR="001C44CD">
        <w:t>, for example,</w:t>
      </w:r>
      <w:r w:rsidRPr="00DF38B2">
        <w:t xml:space="preserve"> </w:t>
      </w:r>
      <w:r w:rsidR="00EE43BF">
        <w:t xml:space="preserve">the </w:t>
      </w:r>
      <w:r w:rsidRPr="00DF38B2">
        <w:t>number of lost cards,</w:t>
      </w:r>
      <w:r w:rsidR="00EE43BF">
        <w:t xml:space="preserve"> the rate of</w:t>
      </w:r>
      <w:r w:rsidRPr="00DF38B2">
        <w:t xml:space="preserve"> failed transactions</w:t>
      </w:r>
      <w:r w:rsidR="001C44CD">
        <w:t>,</w:t>
      </w:r>
      <w:r w:rsidRPr="00DF38B2">
        <w:t xml:space="preserve"> and </w:t>
      </w:r>
      <w:r w:rsidR="001C44CD">
        <w:t xml:space="preserve">the </w:t>
      </w:r>
      <w:r w:rsidRPr="00DF38B2">
        <w:t>prevalence of low balances</w:t>
      </w:r>
      <w:r w:rsidR="001C44CD">
        <w:t>;</w:t>
      </w:r>
    </w:p>
    <w:p w:rsidR="00417B51" w:rsidRPr="00DF38B2" w:rsidRDefault="00417B51" w:rsidP="006654AE">
      <w:pPr>
        <w:pStyle w:val="dot"/>
      </w:pPr>
      <w:r w:rsidRPr="00DF38B2">
        <w:t>expenditure data obtained from stores</w:t>
      </w:r>
      <w:r w:rsidR="001C44CD">
        <w:t>; and</w:t>
      </w:r>
    </w:p>
    <w:p w:rsidR="00417B51" w:rsidRPr="00DF38B2" w:rsidRDefault="00417B51" w:rsidP="006654AE">
      <w:pPr>
        <w:pStyle w:val="dot"/>
      </w:pPr>
      <w:proofErr w:type="gramStart"/>
      <w:r w:rsidRPr="00DF38B2">
        <w:t>aggregate</w:t>
      </w:r>
      <w:proofErr w:type="gramEnd"/>
      <w:r w:rsidRPr="00DF38B2">
        <w:t xml:space="preserve"> measures of relevant indicators at the Northern Territory level and</w:t>
      </w:r>
      <w:r w:rsidR="001C44CD">
        <w:t>,</w:t>
      </w:r>
      <w:r w:rsidRPr="00DF38B2">
        <w:t xml:space="preserve"> where data allows, at the regional level</w:t>
      </w:r>
      <w:r w:rsidR="001C44CD">
        <w:t>,</w:t>
      </w:r>
      <w:r w:rsidRPr="00DF38B2">
        <w:t xml:space="preserve"> for a time period spanning the introduction of income management until the present.</w:t>
      </w:r>
    </w:p>
    <w:p w:rsidR="00417B51" w:rsidRDefault="00417B51" w:rsidP="006654AE">
      <w:r w:rsidRPr="00DF38B2">
        <w:t xml:space="preserve">Using data from the survey of people subject to income management </w:t>
      </w:r>
      <w:r w:rsidR="001C44CD">
        <w:t xml:space="preserve">– </w:t>
      </w:r>
      <w:r w:rsidRPr="00DF38B2">
        <w:t xml:space="preserve">and </w:t>
      </w:r>
      <w:r w:rsidR="001C44CD">
        <w:t xml:space="preserve">from </w:t>
      </w:r>
      <w:r w:rsidRPr="00DF38B2">
        <w:t>the control group</w:t>
      </w:r>
      <w:r w:rsidR="001C44CD">
        <w:t xml:space="preserve"> –</w:t>
      </w:r>
      <w:r w:rsidRPr="00DF38B2">
        <w:t xml:space="preserve"> the effects of income management on change across a wide range of individual, family and community level outcomes were estimated. </w:t>
      </w:r>
      <w:r w:rsidR="00D0720C" w:rsidRPr="00D0720C">
        <w:t xml:space="preserve">In addition to these specific measures of change the evaluation also collected subjective assessments of change, in particular whether or not people subject to income management considered that the program had been beneficial. Responses to this question varied considerably. </w:t>
      </w:r>
      <w:r w:rsidR="00D0720C" w:rsidRPr="00D0720C">
        <w:lastRenderedPageBreak/>
        <w:t xml:space="preserve">Overwhelmingly those on Voluntary Income Management reported that income management had made things better for them. The </w:t>
      </w:r>
      <w:proofErr w:type="gramStart"/>
      <w:r w:rsidR="00D0720C" w:rsidRPr="00D0720C">
        <w:t>perspectives of those on compulsory measures was</w:t>
      </w:r>
      <w:proofErr w:type="gramEnd"/>
      <w:r w:rsidR="00D0720C" w:rsidRPr="00D0720C">
        <w:t xml:space="preserve"> more mixed. Amongst Indigenous people 44.1 per cent said it was positive, 35.3 per cent that it </w:t>
      </w:r>
      <w:r w:rsidR="000D3BE7">
        <w:t>had made no difference and 20.6 </w:t>
      </w:r>
      <w:r w:rsidR="00D0720C" w:rsidRPr="00D0720C">
        <w:t xml:space="preserve">per cent that it had made things worse. Only a quarter (25.4 per cent) of </w:t>
      </w:r>
      <w:r w:rsidR="00EE43BF">
        <w:t>n</w:t>
      </w:r>
      <w:r w:rsidR="00D0720C" w:rsidRPr="00D0720C">
        <w:t>on-Indigenous people said it had made things better, while 45.5 per cent said it had made things worse. Against these mixed responses the balance of this section considers a set of more specific and objective measures</w:t>
      </w:r>
    </w:p>
    <w:p w:rsidR="00D0720C" w:rsidRPr="00DF38B2" w:rsidRDefault="00D0720C" w:rsidP="006654AE"/>
    <w:p w:rsidR="00417B51" w:rsidRPr="00DF38B2" w:rsidRDefault="00417B51" w:rsidP="006654AE">
      <w:pPr>
        <w:pStyle w:val="Evalheadings"/>
      </w:pPr>
      <w:r w:rsidRPr="00DF38B2">
        <w:t xml:space="preserve">(b) </w:t>
      </w:r>
      <w:r w:rsidRPr="00DF38B2">
        <w:tab/>
        <w:t xml:space="preserve">Have there been changes in spending patterns, food and alcohol consumption, school attendance and harassment? </w:t>
      </w:r>
    </w:p>
    <w:p w:rsidR="00417B51" w:rsidRPr="00DF38B2" w:rsidRDefault="00417B51" w:rsidP="006654AE">
      <w:pPr>
        <w:spacing w:line="276" w:lineRule="auto"/>
      </w:pPr>
      <w:r w:rsidRPr="00DF38B2">
        <w:t>The evaluation has sought to examine each of these areas in detail. As discussed above</w:t>
      </w:r>
      <w:r w:rsidR="001C44CD">
        <w:t>,</w:t>
      </w:r>
      <w:r w:rsidRPr="00DF38B2">
        <w:t xml:space="preserve"> there is no clear evidence of any consistent positive changes:</w:t>
      </w:r>
    </w:p>
    <w:p w:rsidR="00417B51" w:rsidRPr="00DF38B2" w:rsidRDefault="00417B51" w:rsidP="006654AE">
      <w:pPr>
        <w:pStyle w:val="dot"/>
      </w:pPr>
      <w:r w:rsidRPr="00DF38B2">
        <w:rPr>
          <w:b/>
        </w:rPr>
        <w:t>Spending patterns</w:t>
      </w:r>
      <w:r w:rsidRPr="00DF38B2">
        <w:t xml:space="preserve"> </w:t>
      </w:r>
    </w:p>
    <w:p w:rsidR="00417B51" w:rsidRPr="00DF38B2" w:rsidRDefault="00417B51" w:rsidP="006654AE">
      <w:pPr>
        <w:pStyle w:val="undot"/>
      </w:pPr>
      <w:r w:rsidRPr="00DF38B2">
        <w:t>The evaluation has looked at spending patterns using a range of different sources. As discussed below</w:t>
      </w:r>
      <w:r w:rsidR="00CF50CF">
        <w:t>,</w:t>
      </w:r>
      <w:r w:rsidRPr="00DF38B2">
        <w:t xml:space="preserve"> there are no changes at the aggregate level in spending on food and tobacco</w:t>
      </w:r>
      <w:r w:rsidR="00B55E4D">
        <w:rPr>
          <w:rStyle w:val="FootnoteReference"/>
        </w:rPr>
        <w:footnoteReference w:id="155"/>
      </w:r>
      <w:r w:rsidR="00CF50CF">
        <w:t xml:space="preserve"> that</w:t>
      </w:r>
      <w:r w:rsidRPr="00DF38B2">
        <w:t xml:space="preserve"> can be ascribed to income management</w:t>
      </w:r>
      <w:r w:rsidR="00CF50CF">
        <w:t>,</w:t>
      </w:r>
      <w:r w:rsidRPr="00DF38B2">
        <w:t xml:space="preserve"> and alcohol sales appear to be maintaining a longer</w:t>
      </w:r>
      <w:r w:rsidR="00CF50CF">
        <w:t>-</w:t>
      </w:r>
      <w:r w:rsidRPr="00DF38B2">
        <w:t xml:space="preserve">term trend. The evaluation has specifically looked at two key indicators of the pattern of spending of those subject to income management. These are the minimum balances over a fortnight </w:t>
      </w:r>
      <w:r w:rsidR="00CF50CF">
        <w:t xml:space="preserve">that </w:t>
      </w:r>
      <w:r w:rsidRPr="00DF38B2">
        <w:t xml:space="preserve">people hold in their income management and BasicsCard accounts over </w:t>
      </w:r>
      <w:proofErr w:type="gramStart"/>
      <w:r w:rsidRPr="00DF38B2">
        <w:t>time</w:t>
      </w:r>
      <w:r w:rsidR="00CF50CF">
        <w:t>,</w:t>
      </w:r>
      <w:proofErr w:type="gramEnd"/>
      <w:r w:rsidRPr="00DF38B2">
        <w:t xml:space="preserve"> and the extent to which they attempt to make transactions for which they have insufficient funds. </w:t>
      </w:r>
      <w:r w:rsidR="006E2187" w:rsidRPr="00DF38B2">
        <w:t>T</w:t>
      </w:r>
      <w:r w:rsidRPr="00DF38B2">
        <w:t>hese balance</w:t>
      </w:r>
      <w:r w:rsidR="006E2187" w:rsidRPr="00DF38B2">
        <w:t>s</w:t>
      </w:r>
      <w:r w:rsidRPr="00DF38B2">
        <w:t xml:space="preserve"> represent their unspent money</w:t>
      </w:r>
      <w:r w:rsidR="00CF50CF">
        <w:t>,</w:t>
      </w:r>
      <w:r w:rsidRPr="00DF38B2">
        <w:t xml:space="preserve"> with the minimum balance reflecting whether they hold any in reserve for emergencies</w:t>
      </w:r>
      <w:r w:rsidR="00CF50CF">
        <w:t>,</w:t>
      </w:r>
      <w:r w:rsidRPr="00DF38B2">
        <w:t xml:space="preserve"> and the duration they have low balances the period over which they are at risk.</w:t>
      </w:r>
    </w:p>
    <w:p w:rsidR="00417B51" w:rsidRPr="00DF38B2" w:rsidRDefault="00417B51" w:rsidP="006654AE">
      <w:pPr>
        <w:pStyle w:val="undot"/>
      </w:pPr>
      <w:r w:rsidRPr="00DF38B2">
        <w:t>With respect to changes in minimum balances</w:t>
      </w:r>
      <w:r w:rsidR="00CF50CF">
        <w:t xml:space="preserve">, </w:t>
      </w:r>
      <w:r w:rsidRPr="00DF38B2">
        <w:t xml:space="preserve">we find using a matched sample that the proportion of people who </w:t>
      </w:r>
      <w:r w:rsidR="00EE43BF" w:rsidRPr="00DF38B2">
        <w:t>ha</w:t>
      </w:r>
      <w:r w:rsidR="00EE43BF">
        <w:t>d</w:t>
      </w:r>
      <w:r w:rsidR="00EE43BF" w:rsidRPr="00DF38B2">
        <w:t xml:space="preserve"> </w:t>
      </w:r>
      <w:r w:rsidRPr="00DF38B2">
        <w:t>a minimum balance below $10 at some time in the fortnight increased marginally between 2011 and 2013 from 81.2 per cent to 82.3 per cent. There has</w:t>
      </w:r>
      <w:r w:rsidR="003231AF">
        <w:t>,</w:t>
      </w:r>
      <w:r w:rsidRPr="00DF38B2">
        <w:t xml:space="preserve"> however</w:t>
      </w:r>
      <w:r w:rsidR="003231AF">
        <w:t>,</w:t>
      </w:r>
      <w:r w:rsidRPr="00DF38B2">
        <w:t xml:space="preserve"> also been a similar</w:t>
      </w:r>
      <w:r w:rsidR="003231AF">
        <w:t>ly</w:t>
      </w:r>
      <w:r w:rsidRPr="00DF38B2">
        <w:t xml:space="preserve"> small decrease in the proportion of the population who have such a low balance for more than half the time, from 28.0 per cent to 26.0 per cent. We consider neither of these changes to be substantive.</w:t>
      </w:r>
      <w:r w:rsidR="006E2187" w:rsidRPr="00DF38B2">
        <w:rPr>
          <w:rStyle w:val="FootnoteReference"/>
        </w:rPr>
        <w:footnoteReference w:id="156"/>
      </w:r>
    </w:p>
    <w:p w:rsidR="00417B51" w:rsidRPr="00DF38B2" w:rsidRDefault="00417B51" w:rsidP="006654AE">
      <w:pPr>
        <w:pStyle w:val="undot"/>
      </w:pPr>
      <w:r w:rsidRPr="00FE502F">
        <w:t>One</w:t>
      </w:r>
      <w:r w:rsidR="003231AF">
        <w:t xml:space="preserve"> </w:t>
      </w:r>
      <w:r w:rsidRPr="00FE502F">
        <w:t>in</w:t>
      </w:r>
      <w:r w:rsidR="003231AF">
        <w:t xml:space="preserve"> </w:t>
      </w:r>
      <w:r w:rsidRPr="00FE502F">
        <w:t xml:space="preserve">ten BasicsCard transactions fail due to insufficient funds. While this rate is high, </w:t>
      </w:r>
      <w:r w:rsidR="003231AF">
        <w:t>it</w:t>
      </w:r>
      <w:r w:rsidRPr="00FE502F">
        <w:t xml:space="preserve"> is lower than it has been in the past. One reason for the overall decline in the</w:t>
      </w:r>
      <w:r w:rsidRPr="009655C3">
        <w:t xml:space="preserve"> failed BasicsCard transaction rate is the apparent higher financial capability of more recent cohorts placed on income management. In addition</w:t>
      </w:r>
      <w:r w:rsidR="003231AF">
        <w:t>,</w:t>
      </w:r>
      <w:r w:rsidRPr="009655C3">
        <w:t xml:space="preserve"> improved facilities for checking balances have also had an impact. This leaves a potential improvement of around</w:t>
      </w:r>
      <w:r w:rsidRPr="00DF38B2">
        <w:t xml:space="preserve"> half a per cent per annum which might be ascribed to people better understanding and using the system, including improved balance checking before attempting transactions and improved financial management skills.</w:t>
      </w:r>
    </w:p>
    <w:p w:rsidR="00417B51" w:rsidRPr="00DF38B2" w:rsidRDefault="00417B51" w:rsidP="006654AE">
      <w:pPr>
        <w:pStyle w:val="dot"/>
      </w:pPr>
      <w:r w:rsidRPr="00DF38B2">
        <w:rPr>
          <w:b/>
        </w:rPr>
        <w:t>Food consumption</w:t>
      </w:r>
    </w:p>
    <w:p w:rsidR="00417B51" w:rsidRPr="00DF38B2" w:rsidRDefault="00417B51" w:rsidP="006654AE">
      <w:pPr>
        <w:pStyle w:val="undot"/>
      </w:pPr>
      <w:r w:rsidRPr="00DF38B2">
        <w:t xml:space="preserve">The data collected by the evaluation points to very poor diets in remote communities. </w:t>
      </w:r>
      <w:r w:rsidR="003231AF">
        <w:t>Purchase</w:t>
      </w:r>
      <w:r w:rsidRPr="00DF38B2">
        <w:t xml:space="preserve"> of fruit and vegetables on BasicsCard is low and below that of spending on fruit and vegetable</w:t>
      </w:r>
      <w:r w:rsidR="003231AF">
        <w:t>s</w:t>
      </w:r>
      <w:r w:rsidRPr="00DF38B2">
        <w:t xml:space="preserve"> using other methods of payment in remote communities and in urban areas. Detailed analysis suggests this cannot be explained by relatively high prices for fruit and vegetables, limited availability of fruit and vegetables</w:t>
      </w:r>
      <w:r w:rsidR="003231AF">
        <w:t>,</w:t>
      </w:r>
      <w:r w:rsidRPr="00DF38B2">
        <w:t xml:space="preserve"> or the effect of low incomes. </w:t>
      </w:r>
    </w:p>
    <w:p w:rsidR="00417B51" w:rsidRPr="00DF38B2" w:rsidRDefault="00417B51" w:rsidP="006654AE">
      <w:pPr>
        <w:pStyle w:val="undot"/>
      </w:pPr>
      <w:r w:rsidRPr="00DF38B2">
        <w:t xml:space="preserve">The evaluation also has examined trends in the share of spending on fruit and vegetables for a significant number of remote stores. This analysis shows no appreciable change since early 2009, and no association with changes in the proportion of people </w:t>
      </w:r>
      <w:r w:rsidR="00EE43BF">
        <w:t xml:space="preserve">in the community who were </w:t>
      </w:r>
      <w:r w:rsidRPr="00DF38B2">
        <w:t>subject to income management could be found. Furthermore, the very low current levels of expenditure on fruit and vegetables would appear to preclude there having been a major improvement prior to the time period we have considered</w:t>
      </w:r>
      <w:r w:rsidR="00A1421A">
        <w:t xml:space="preserve">. </w:t>
      </w:r>
      <w:r w:rsidRPr="00DF38B2">
        <w:t xml:space="preserve">This analysis also considered trends in tobacco sales. These have </w:t>
      </w:r>
      <w:r w:rsidRPr="00DF38B2">
        <w:lastRenderedPageBreak/>
        <w:t>increased as a share of sales, although the volume has dropped in response to price changes</w:t>
      </w:r>
      <w:r w:rsidR="00A1421A">
        <w:t xml:space="preserve">. </w:t>
      </w:r>
      <w:r w:rsidRPr="00DF38B2">
        <w:t xml:space="preserve">No relationship could be found between these sales and </w:t>
      </w:r>
      <w:r w:rsidR="009755F2">
        <w:t xml:space="preserve">proportion </w:t>
      </w:r>
      <w:r w:rsidR="00EE43BF">
        <w:t xml:space="preserve">of the population in the community </w:t>
      </w:r>
      <w:r w:rsidRPr="00DF38B2">
        <w:t>on income management.</w:t>
      </w:r>
    </w:p>
    <w:p w:rsidR="00417B51" w:rsidRPr="00DF38B2" w:rsidRDefault="00417B51" w:rsidP="006654AE">
      <w:pPr>
        <w:pStyle w:val="undot"/>
      </w:pPr>
      <w:r w:rsidRPr="00DF38B2">
        <w:t>Data from the National Aboriginal and Torres Strait Islander Health Survey ha</w:t>
      </w:r>
      <w:r w:rsidR="003231AF">
        <w:t>ve</w:t>
      </w:r>
      <w:r w:rsidRPr="00DF38B2">
        <w:t xml:space="preserve"> identified an increase in fruit but not vegetable consumption by Indigenous children</w:t>
      </w:r>
      <w:r w:rsidR="00A1421A">
        <w:t xml:space="preserve">. </w:t>
      </w:r>
      <w:r w:rsidRPr="00DF38B2">
        <w:t>This may reflect the impact of policies such as the school nutrition program.</w:t>
      </w:r>
    </w:p>
    <w:p w:rsidR="00417B51" w:rsidRPr="00DF38B2" w:rsidRDefault="00417B51" w:rsidP="006654AE">
      <w:pPr>
        <w:pStyle w:val="undot"/>
      </w:pPr>
      <w:r w:rsidRPr="00DF38B2">
        <w:t>Analys</w:t>
      </w:r>
      <w:r w:rsidR="00931412">
        <w:t>is of the results from the longitudinal s</w:t>
      </w:r>
      <w:r w:rsidRPr="00DF38B2">
        <w:t xml:space="preserve">urvey indicates that, relative to the control group, there was a weakly significant improvement since the introduction of income management for those Indigenous people on Voluntary Income Management in the extent to which they ran out of money for food. There was no significant change for either Indigenous or non-Indigenous people in the compulsory streams. </w:t>
      </w:r>
    </w:p>
    <w:p w:rsidR="00417B51" w:rsidRPr="00DF38B2" w:rsidRDefault="00417B51" w:rsidP="006654AE">
      <w:pPr>
        <w:pStyle w:val="undot"/>
      </w:pPr>
      <w:r w:rsidRPr="00DF38B2">
        <w:t>In summary</w:t>
      </w:r>
      <w:r w:rsidR="003231AF">
        <w:t>,</w:t>
      </w:r>
      <w:r w:rsidRPr="00DF38B2">
        <w:t xml:space="preserve"> there appears to be no impact of income management in addressing the significant nutrition issues which many, in particular remote Indigenous people face.</w:t>
      </w:r>
    </w:p>
    <w:p w:rsidR="00417B51" w:rsidRPr="00DF38B2" w:rsidRDefault="00417B51" w:rsidP="006654AE">
      <w:pPr>
        <w:pStyle w:val="dot"/>
        <w:keepNext/>
      </w:pPr>
      <w:r w:rsidRPr="00DF38B2">
        <w:rPr>
          <w:b/>
        </w:rPr>
        <w:t>Alcohol</w:t>
      </w:r>
    </w:p>
    <w:p w:rsidR="00417B51" w:rsidRPr="00DF38B2" w:rsidRDefault="00417B51" w:rsidP="006654AE">
      <w:pPr>
        <w:pStyle w:val="undot"/>
      </w:pPr>
      <w:r w:rsidRPr="00DF38B2">
        <w:t xml:space="preserve">At the individual family level, data from the survey of people subject to income management suggests no improvement in the incidence of </w:t>
      </w:r>
      <w:r w:rsidR="00FE0C92">
        <w:t>alcohol-related</w:t>
      </w:r>
      <w:r w:rsidRPr="00DF38B2">
        <w:t xml:space="preserve"> issues for either Indigenous or non-Indigenous people on Compulsory Income Management relative to the control group. When</w:t>
      </w:r>
      <w:r w:rsidR="001301D2">
        <w:t xml:space="preserve"> considering</w:t>
      </w:r>
      <w:r w:rsidRPr="00DF38B2">
        <w:t xml:space="preserve"> a broader measure which includes alcohol, drugs and gambling</w:t>
      </w:r>
      <w:r w:rsidR="003231AF">
        <w:t>-</w:t>
      </w:r>
      <w:r w:rsidRPr="00DF38B2">
        <w:t xml:space="preserve">related problems it emerges that while there have been reductions in the incidence of moderate problems related to alcohol, drugs and gambling, there has been no improvement </w:t>
      </w:r>
      <w:r w:rsidR="00A45D37">
        <w:t xml:space="preserve">– </w:t>
      </w:r>
      <w:r w:rsidRPr="00DF38B2">
        <w:t>and possibly worsening</w:t>
      </w:r>
      <w:r w:rsidR="00A45D37">
        <w:t xml:space="preserve"> –</w:t>
      </w:r>
      <w:r w:rsidRPr="00DF38B2">
        <w:t xml:space="preserve"> of severe problems related t</w:t>
      </w:r>
      <w:r w:rsidR="00A45D37">
        <w:t>hese issues</w:t>
      </w:r>
      <w:r w:rsidRPr="00DF38B2">
        <w:t>. For those on Voluntary Income Management there was a relative reduction in reporting of problems due to alcohol</w:t>
      </w:r>
      <w:r w:rsidR="00A45D37">
        <w:t>,</w:t>
      </w:r>
      <w:r w:rsidRPr="00DF38B2">
        <w:t xml:space="preserve"> but an increase relating to gambling. When the broader measures of problems </w:t>
      </w:r>
      <w:r w:rsidR="00A45D37">
        <w:t>are</w:t>
      </w:r>
      <w:r w:rsidR="00A45D37" w:rsidRPr="00DF38B2">
        <w:t xml:space="preserve"> </w:t>
      </w:r>
      <w:r w:rsidRPr="00DF38B2">
        <w:t>considered</w:t>
      </w:r>
      <w:r w:rsidR="00A45D37">
        <w:t>,</w:t>
      </w:r>
      <w:r w:rsidRPr="00DF38B2">
        <w:t xml:space="preserve"> the</w:t>
      </w:r>
      <w:r w:rsidR="00A45D37">
        <w:t>re was also</w:t>
      </w:r>
      <w:r w:rsidRPr="00DF38B2">
        <w:t xml:space="preserve"> a decline of moderate</w:t>
      </w:r>
      <w:r w:rsidR="00A45D37">
        <w:t>-</w:t>
      </w:r>
      <w:r w:rsidRPr="00DF38B2">
        <w:t>level problems, but worsening of severe problems was also statistically significant.</w:t>
      </w:r>
    </w:p>
    <w:p w:rsidR="00417B51" w:rsidRPr="00DF38B2" w:rsidRDefault="00417B51" w:rsidP="006654AE">
      <w:pPr>
        <w:pStyle w:val="undot"/>
      </w:pPr>
      <w:r w:rsidRPr="00DF38B2">
        <w:t xml:space="preserve">People were also asked about alcohol problems at the community level. There were no statistically significant changes from the difference-in-difference analysis in the level of reported problems for either those on compulsory or </w:t>
      </w:r>
      <w:r w:rsidR="001544DF">
        <w:t>Voluntary Income Management</w:t>
      </w:r>
      <w:r w:rsidR="00A45D37">
        <w:t xml:space="preserve">, </w:t>
      </w:r>
      <w:r w:rsidRPr="00DF38B2">
        <w:t>although the direction of change for all groups was towards a relative worsening of problems because of drinking.</w:t>
      </w:r>
    </w:p>
    <w:p w:rsidR="00417B51" w:rsidRPr="00DF38B2" w:rsidRDefault="00417B51" w:rsidP="006654AE">
      <w:pPr>
        <w:pStyle w:val="dot"/>
        <w:numPr>
          <w:ilvl w:val="0"/>
          <w:numId w:val="0"/>
        </w:numPr>
        <w:ind w:left="357"/>
      </w:pPr>
      <w:r w:rsidRPr="00DF38B2">
        <w:t>At the aggregate level, alcohol sales on a per capita basis in the Northern Territory have been falling for some time</w:t>
      </w:r>
      <w:r w:rsidR="00A45D37">
        <w:t>,</w:t>
      </w:r>
      <w:r w:rsidRPr="00DF38B2">
        <w:t xml:space="preserve"> with the declines starting before the NTER Income Management was introduced. There has been no change in this trend with the introduction of</w:t>
      </w:r>
      <w:r w:rsidR="00C32D5A">
        <w:t xml:space="preserve"> New Income Management</w:t>
      </w:r>
      <w:r w:rsidRPr="00DF38B2">
        <w:t xml:space="preserve">. </w:t>
      </w:r>
      <w:r w:rsidR="00FE0C92">
        <w:t>Alcohol-related</w:t>
      </w:r>
      <w:r w:rsidRPr="00DF38B2">
        <w:t xml:space="preserve"> presentations to hospital emergency departments and admissions have increased</w:t>
      </w:r>
      <w:r w:rsidR="00A45D37">
        <w:t>,</w:t>
      </w:r>
      <w:r w:rsidRPr="00DF38B2">
        <w:t xml:space="preserve"> as ha</w:t>
      </w:r>
      <w:r w:rsidR="00A45D37">
        <w:t>ve</w:t>
      </w:r>
      <w:r w:rsidRPr="00DF38B2">
        <w:t xml:space="preserve"> </w:t>
      </w:r>
      <w:r w:rsidR="00FE0C92">
        <w:t>alcohol-related</w:t>
      </w:r>
      <w:r w:rsidRPr="00DF38B2">
        <w:t xml:space="preserve"> assaults since the introduction of income management. </w:t>
      </w:r>
    </w:p>
    <w:p w:rsidR="00417B51" w:rsidRPr="00DF38B2" w:rsidRDefault="00417B51" w:rsidP="006654AE">
      <w:pPr>
        <w:pStyle w:val="dot"/>
      </w:pPr>
      <w:r w:rsidRPr="00DF38B2">
        <w:rPr>
          <w:b/>
        </w:rPr>
        <w:t>School attendance</w:t>
      </w:r>
      <w:r w:rsidRPr="00DF38B2">
        <w:t xml:space="preserve"> </w:t>
      </w:r>
    </w:p>
    <w:p w:rsidR="00417B51" w:rsidRPr="00DF38B2" w:rsidRDefault="00417B51" w:rsidP="006654AE">
      <w:pPr>
        <w:pStyle w:val="undot"/>
      </w:pPr>
      <w:r w:rsidRPr="00DF38B2">
        <w:t xml:space="preserve">The survey of people subject to income management included a community level question on whether there was a problem with children not attending school. Responses to this by Indigenous and non-Indigenous people on compulsory income management and Indigenous people on Voluntary Income Management all pointed to worsening relative to the experience </w:t>
      </w:r>
      <w:r w:rsidR="00AE733A">
        <w:t>of</w:t>
      </w:r>
      <w:r w:rsidR="00AE733A" w:rsidRPr="00DF38B2">
        <w:t xml:space="preserve"> </w:t>
      </w:r>
      <w:r w:rsidRPr="00DF38B2">
        <w:t xml:space="preserve">the control group over the past two years. This though was only moderately significant for Indigenous people on compulsory streams and weakly for those on voluntary. </w:t>
      </w:r>
    </w:p>
    <w:p w:rsidR="00417B51" w:rsidRPr="00DF38B2" w:rsidRDefault="00417B51" w:rsidP="006654AE">
      <w:pPr>
        <w:pStyle w:val="undot"/>
      </w:pPr>
      <w:r w:rsidRPr="00DF38B2">
        <w:t>Northern Territory Department of Education data show that between 2009 and 2012 the school attendance rate for Indigenous children has fallen slightly from 69.7 per cent to 67.8 per cent. The attendance rate for non-Indigenous children is around 90 per cent and</w:t>
      </w:r>
      <w:r w:rsidR="00B84AFE">
        <w:t xml:space="preserve"> </w:t>
      </w:r>
      <w:r w:rsidRPr="00DF38B2">
        <w:t>has not changed between 2009 and 2012</w:t>
      </w:r>
      <w:r w:rsidR="00A45D37">
        <w:t>.</w:t>
      </w:r>
      <w:r w:rsidRPr="00DF38B2">
        <w:t xml:space="preserve"> The school participation rate (proportion of children of compulsory school attendance age) </w:t>
      </w:r>
      <w:r w:rsidR="00A45D37">
        <w:t>of those</w:t>
      </w:r>
      <w:r w:rsidRPr="00DF38B2">
        <w:t xml:space="preserve"> enrolled increased in the Northern Territory from 87.9 per cent to 90.2 per cent between 2006 and 2013. This is a similar increase found for Australia as a whole</w:t>
      </w:r>
      <w:r w:rsidR="00A45D37">
        <w:t>,</w:t>
      </w:r>
      <w:r w:rsidRPr="00DF38B2">
        <w:t xml:space="preserve"> for which the school participation rate increased from 95.8 per cent to 97.2 per cent. </w:t>
      </w:r>
    </w:p>
    <w:p w:rsidR="00417B51" w:rsidRPr="00DF38B2" w:rsidRDefault="00417B51" w:rsidP="006654AE">
      <w:pPr>
        <w:pStyle w:val="dot"/>
      </w:pPr>
      <w:r w:rsidRPr="00DF38B2">
        <w:rPr>
          <w:b/>
        </w:rPr>
        <w:t>Harassment</w:t>
      </w:r>
    </w:p>
    <w:p w:rsidR="00417B51" w:rsidRPr="00DF38B2" w:rsidRDefault="00417B51" w:rsidP="006654AE">
      <w:pPr>
        <w:pStyle w:val="undot"/>
      </w:pPr>
      <w:r w:rsidRPr="00DF38B2">
        <w:t xml:space="preserve">The evaluation has several pieces of data on financial harassment. The survey of people subject to income management (LSNIM) contains two specific questions about this at the individual level. The </w:t>
      </w:r>
      <w:r w:rsidRPr="00DF38B2">
        <w:lastRenderedPageBreak/>
        <w:t>first is whether people had financial problems because they had given money to others</w:t>
      </w:r>
      <w:r w:rsidR="00A45D37">
        <w:t>;</w:t>
      </w:r>
      <w:r w:rsidRPr="00DF38B2">
        <w:t xml:space="preserve"> the second was whether they had to ask other for money for essentials. The difference-in-difference analysis of </w:t>
      </w:r>
      <w:r w:rsidR="00115F4A">
        <w:t>these data</w:t>
      </w:r>
      <w:r w:rsidR="00A45D37">
        <w:t>,</w:t>
      </w:r>
      <w:r w:rsidRPr="00DF38B2">
        <w:t xml:space="preserve"> which focused on the change in the incidence of these problems since people had moved onto income management</w:t>
      </w:r>
      <w:r w:rsidR="00A45D37">
        <w:t>,</w:t>
      </w:r>
      <w:r w:rsidRPr="00DF38B2">
        <w:t xml:space="preserve"> found that Indigenous people on both voluntary and compulsory income management had both a statistically significant improvement with respect to problems because of giving money and a worsening incidence of asking others for money. In the case of Indigenous people on </w:t>
      </w:r>
      <w:r w:rsidR="001544DF">
        <w:t>Voluntary Income Management</w:t>
      </w:r>
      <w:r w:rsidR="00A45D37">
        <w:t xml:space="preserve">, </w:t>
      </w:r>
      <w:r w:rsidRPr="00DF38B2">
        <w:t>the reduction in problems because of giving was only weakly statistically significant</w:t>
      </w:r>
      <w:r w:rsidR="00A45D37">
        <w:t>,</w:t>
      </w:r>
      <w:r w:rsidRPr="00DF38B2">
        <w:t xml:space="preserve"> while that of the increase in asking was strongly significant. There was no significant change for non-Indigenous people.</w:t>
      </w:r>
    </w:p>
    <w:p w:rsidR="00417B51" w:rsidRPr="00DF38B2" w:rsidRDefault="00417B51" w:rsidP="006654AE">
      <w:pPr>
        <w:pStyle w:val="undot"/>
      </w:pPr>
      <w:r w:rsidRPr="00DF38B2">
        <w:t>The LSNIM also asked about the extent to which hassling for money was a problem in the respondents’ community</w:t>
      </w:r>
      <w:r w:rsidR="00A1421A">
        <w:t xml:space="preserve">. </w:t>
      </w:r>
      <w:r w:rsidRPr="00DF38B2">
        <w:t>Again</w:t>
      </w:r>
      <w:r w:rsidR="00A45D37">
        <w:t>,</w:t>
      </w:r>
      <w:r w:rsidRPr="00DF38B2">
        <w:t xml:space="preserve"> relative to the control group Indigenous people on Compulsory Income Management reported a statistically significant increase in this type of problem</w:t>
      </w:r>
      <w:r w:rsidR="00A45D37">
        <w:t>,</w:t>
      </w:r>
      <w:r w:rsidRPr="00DF38B2">
        <w:t xml:space="preserve"> and Indigenous people on Voluntary Income Management reported a non-significant decline.</w:t>
      </w:r>
    </w:p>
    <w:p w:rsidR="00417B51" w:rsidRPr="00DF38B2" w:rsidRDefault="00417B51" w:rsidP="006654AE">
      <w:pPr>
        <w:pStyle w:val="undot"/>
      </w:pPr>
      <w:r w:rsidRPr="00DF38B2">
        <w:t>People who wanted to stay on income management were asked why they wished to remain on</w:t>
      </w:r>
      <w:r w:rsidR="00A45D37">
        <w:t xml:space="preserve"> the program</w:t>
      </w:r>
      <w:r w:rsidRPr="00DF38B2">
        <w:t xml:space="preserve">. Only a small proportion of those on compulsory income management said the main reason was because it made it harder for people to harass them for money (10.8 per cent of Indigenous and 7.0 per cent of non-Indigenous). When asked about all reasons these proportions only increased </w:t>
      </w:r>
      <w:r w:rsidR="00A45D37">
        <w:t>(</w:t>
      </w:r>
      <w:r w:rsidRPr="00DF38B2">
        <w:t>to 32.0 per cent and 18.0 per cent</w:t>
      </w:r>
      <w:r w:rsidR="00A45D37">
        <w:t>)</w:t>
      </w:r>
      <w:r w:rsidRPr="00DF38B2">
        <w:t>.</w:t>
      </w:r>
    </w:p>
    <w:p w:rsidR="00417B51" w:rsidRPr="00DF38B2" w:rsidRDefault="00417B51" w:rsidP="006654AE">
      <w:pPr>
        <w:pStyle w:val="undot"/>
      </w:pPr>
      <w:r w:rsidRPr="00DF38B2">
        <w:t>The qualitative interviews with financial counselling and money management</w:t>
      </w:r>
      <w:r w:rsidR="00A45D37">
        <w:t xml:space="preserve"> workers</w:t>
      </w:r>
      <w:r w:rsidRPr="00DF38B2">
        <w:t>, service staff, Centrelink officers and other intermediaries provided mixed reports about the extent to which income management reduced financial harassment, but there was general agreement that it had not eliminated financial harassment. This is consistent with the survey of people subject to income management.</w:t>
      </w:r>
    </w:p>
    <w:p w:rsidR="00417B51" w:rsidRPr="00DF38B2" w:rsidRDefault="00417B51" w:rsidP="006654AE">
      <w:pPr>
        <w:pStyle w:val="Evalheadings"/>
      </w:pPr>
      <w:r w:rsidRPr="00DF38B2">
        <w:t>(d)</w:t>
      </w:r>
      <w:r w:rsidRPr="00DF38B2">
        <w:tab/>
        <w:t xml:space="preserve">Has New Income Management contributed to changes in financial management, child health, alcohol abuse, violence and parenting (i.e. reduced neglect)? </w:t>
      </w:r>
    </w:p>
    <w:p w:rsidR="00417B51" w:rsidRPr="00DF38B2" w:rsidRDefault="00417B51" w:rsidP="006654AE">
      <w:pPr>
        <w:spacing w:line="276" w:lineRule="auto"/>
      </w:pPr>
      <w:r w:rsidRPr="00DF38B2">
        <w:t>The evaluation sought to identify whether income management has had an effect on financial management skills, child health, alcohol abuse, violence</w:t>
      </w:r>
      <w:r w:rsidR="00A45D37">
        <w:t>,</w:t>
      </w:r>
      <w:r w:rsidRPr="00DF38B2">
        <w:t xml:space="preserve"> and parenting. The key findings in relation to these outcomes are:</w:t>
      </w:r>
    </w:p>
    <w:p w:rsidR="00417B51" w:rsidRPr="00DF38B2" w:rsidRDefault="00417B51" w:rsidP="006654AE">
      <w:pPr>
        <w:pStyle w:val="dot"/>
      </w:pPr>
      <w:r w:rsidRPr="00DF38B2">
        <w:rPr>
          <w:b/>
        </w:rPr>
        <w:t>Financial management</w:t>
      </w:r>
    </w:p>
    <w:p w:rsidR="00C54FFC" w:rsidRDefault="00A8053C" w:rsidP="006654AE">
      <w:pPr>
        <w:pStyle w:val="undot"/>
      </w:pPr>
      <w:r>
        <w:t xml:space="preserve">A number of the questions in the LSNIM elicited positive assessments by many individuals of the impact of income management on their financial management including those who have exited income management, where some 44 per cent of Indigenous and 30 per cent of non-Indigenous respondents agreed with the statement that “income management taught me how to better manage my money” – although just 5.8 per cent of Indigenous and 5.7 per cent of non-Indigenous did so ‘strongly’. </w:t>
      </w:r>
      <w:r w:rsidR="00622798">
        <w:t>The major reason cited by those who wished to remain on compulsory income management was that it made it easier to manage one’s money, with over half of Indigenous and 40 per cent of non</w:t>
      </w:r>
      <w:r w:rsidR="00AE733A">
        <w:t>-</w:t>
      </w:r>
      <w:r w:rsidR="00622798">
        <w:t xml:space="preserve">Indigenous indicating this was one of the reasons for their goal, although fewer than a third of Indigenous and non-Indigenous gave this as their main reason. </w:t>
      </w:r>
    </w:p>
    <w:p w:rsidR="00622798" w:rsidRDefault="00622798" w:rsidP="006654AE">
      <w:pPr>
        <w:pStyle w:val="undot"/>
      </w:pPr>
      <w:r>
        <w:t xml:space="preserve">Between 40 and 50 per cent of Indigenous people on income management indicated that most or all of the time they felt that they were more in control of their life, and had more control over their money. In contrast some 50 to 60 per cent of non-Indigenous people reported that they hardly ever or never felt this way. One per cent of Indigenous people wishing to exit compulsory income management reported that their main reasons was that after </w:t>
      </w:r>
      <w:r w:rsidR="00AE733A">
        <w:t xml:space="preserve">their experience of </w:t>
      </w:r>
      <w:r w:rsidR="00CC7910">
        <w:t xml:space="preserve">income management </w:t>
      </w:r>
      <w:r>
        <w:t>they felt more confident managing money and 10 per cent gave this as a subsidiary reason. The proportion of non-indigenous people giving this response was smaller. None reported that one of the reasons was because they either paid off debt or saved money under income management.</w:t>
      </w:r>
    </w:p>
    <w:p w:rsidR="00622798" w:rsidRDefault="00622798" w:rsidP="006654AE">
      <w:pPr>
        <w:pStyle w:val="undot"/>
      </w:pPr>
      <w:r>
        <w:t xml:space="preserve">These perceptions, though, need to be assessed against the other evidence collected in the evaluation including from the LSNIM, administrative data on failed transactions, lost cards and minimum income management account balances and reports from intermediaries. Analysis of these data sources does not provide any substantive evidence of income management resulting in improvements in financial management skills across the population which has been income managed. There has been no reduction in the rate of replacement cards being issued, and as outlined above, most people continue to have low minimum balances in their income management and BasicsCard accounts. While rates of </w:t>
      </w:r>
      <w:r>
        <w:lastRenderedPageBreak/>
        <w:t>failed transactions because of a lack of funds in the person’s account have declined very slightly, they remain high. While as such there is some evidence of income management being used as a financial management tool this does not appear to be leading to improved capabilities across the population subject to income management.</w:t>
      </w:r>
    </w:p>
    <w:p w:rsidR="00622798" w:rsidRDefault="00622798" w:rsidP="006654AE">
      <w:pPr>
        <w:pStyle w:val="undot"/>
      </w:pPr>
      <w:r>
        <w:t>On balance therefore the weight of evidence suggests that despite the perceptions of some people, income management has not had an overall positive impact on financial management capacity.</w:t>
      </w:r>
    </w:p>
    <w:p w:rsidR="00417B51" w:rsidRPr="00DF38B2" w:rsidRDefault="00417B51" w:rsidP="006654AE">
      <w:pPr>
        <w:pStyle w:val="dot"/>
        <w:keepNext/>
      </w:pPr>
      <w:r w:rsidRPr="00DF38B2">
        <w:rPr>
          <w:b/>
        </w:rPr>
        <w:t>Child health</w:t>
      </w:r>
    </w:p>
    <w:p w:rsidR="00417B51" w:rsidRPr="00DF38B2" w:rsidRDefault="00417B51" w:rsidP="006654AE">
      <w:pPr>
        <w:pStyle w:val="undot"/>
      </w:pPr>
      <w:r w:rsidRPr="00DF38B2">
        <w:t xml:space="preserve">In order to assess the impact of income management on child health the evaluation has largely relied upon aggregate measures, supplemented with some limited data collected from people subject to income management. The data show no clear pattern of improvement in child developmental and health outcomes in the Northern Territory that is consistent with income management having had a positive impact on outcomes for children. Outcomes considered are developmental outcomes, learning outcomes, school enrolment and attendance, infant mortality, low birth </w:t>
      </w:r>
      <w:r w:rsidR="002B30B2">
        <w:t>weight</w:t>
      </w:r>
      <w:r w:rsidRPr="00DF38B2">
        <w:t>, immunisation of children, death of children due to injury, disability, under/overweight, hospitalisation, prevalence of diseases</w:t>
      </w:r>
      <w:r w:rsidR="00624329">
        <w:t>,</w:t>
      </w:r>
      <w:r w:rsidRPr="00DF38B2">
        <w:t xml:space="preserve"> and child protection system indicators.</w:t>
      </w:r>
    </w:p>
    <w:p w:rsidR="00417B51" w:rsidRPr="00DF38B2" w:rsidRDefault="00417B51" w:rsidP="006654AE">
      <w:pPr>
        <w:pStyle w:val="dot"/>
      </w:pPr>
      <w:r w:rsidRPr="00DF38B2">
        <w:rPr>
          <w:b/>
        </w:rPr>
        <w:t xml:space="preserve">Alcohol </w:t>
      </w:r>
    </w:p>
    <w:p w:rsidR="00417B51" w:rsidRPr="00DF38B2" w:rsidRDefault="00417B51" w:rsidP="006654AE">
      <w:pPr>
        <w:pStyle w:val="undot"/>
      </w:pPr>
      <w:r w:rsidRPr="00DF38B2">
        <w:t xml:space="preserve">As discussed above, the evidence is that income management has had no impact on alcohol consumption or </w:t>
      </w:r>
      <w:r w:rsidR="00FE0C92">
        <w:t>alcohol-related</w:t>
      </w:r>
      <w:r w:rsidRPr="00DF38B2">
        <w:t xml:space="preserve"> harm</w:t>
      </w:r>
      <w:r w:rsidR="00624329">
        <w:t>.</w:t>
      </w:r>
    </w:p>
    <w:p w:rsidR="00417B51" w:rsidRPr="00DF38B2" w:rsidRDefault="00417B51" w:rsidP="006654AE">
      <w:pPr>
        <w:pStyle w:val="dot"/>
      </w:pPr>
      <w:r w:rsidRPr="00DF38B2">
        <w:rPr>
          <w:b/>
        </w:rPr>
        <w:t>Violence</w:t>
      </w:r>
    </w:p>
    <w:p w:rsidR="00417B51" w:rsidRPr="00DF38B2" w:rsidRDefault="00417B51" w:rsidP="006654AE">
      <w:pPr>
        <w:pStyle w:val="undot"/>
      </w:pPr>
      <w:r w:rsidRPr="00624329">
        <w:t>Agg</w:t>
      </w:r>
      <w:r w:rsidRPr="00DF38B2">
        <w:t xml:space="preserve">regate data for the Northern Territory shows that rates of assault are higher after the introduction of income management than they were before. </w:t>
      </w:r>
    </w:p>
    <w:p w:rsidR="00417B51" w:rsidRPr="00DF38B2" w:rsidRDefault="00417B51" w:rsidP="006654AE">
      <w:pPr>
        <w:pStyle w:val="dot"/>
      </w:pPr>
      <w:r w:rsidRPr="00DF38B2">
        <w:rPr>
          <w:b/>
        </w:rPr>
        <w:t>Parenting</w:t>
      </w:r>
    </w:p>
    <w:p w:rsidR="00417B51" w:rsidRPr="00DF38B2" w:rsidRDefault="00417B51" w:rsidP="006654AE">
      <w:pPr>
        <w:pStyle w:val="undot"/>
      </w:pPr>
      <w:r w:rsidRPr="00DF38B2">
        <w:t>Improvements in the quality of parenting are expected to show up in measures such as school attendance, child development, child health</w:t>
      </w:r>
      <w:r w:rsidR="00307073">
        <w:t>,</w:t>
      </w:r>
      <w:r w:rsidRPr="00DF38B2">
        <w:t xml:space="preserve"> and injuries to children. No evidence of an effect of income management on any of these indicators was found. The LSNIM data on community outcomes found no significant change across a range of child outcomes over the past two years.</w:t>
      </w:r>
    </w:p>
    <w:p w:rsidR="00417B51" w:rsidRPr="00DF38B2" w:rsidRDefault="00417B51" w:rsidP="006654AE">
      <w:pPr>
        <w:spacing w:line="276" w:lineRule="auto"/>
      </w:pPr>
      <w:r w:rsidRPr="00DF38B2">
        <w:t>As noted above, there is no evidence that New Income Management has contributed to changes in financial management, child health, alcohol abuse</w:t>
      </w:r>
      <w:r w:rsidR="00307073">
        <w:t>,</w:t>
      </w:r>
      <w:r w:rsidRPr="00DF38B2">
        <w:t xml:space="preserve"> violence and parenting. This conclusion is based upon the survey of people subject to income management and </w:t>
      </w:r>
      <w:r w:rsidR="00307073">
        <w:t xml:space="preserve">the </w:t>
      </w:r>
      <w:r w:rsidRPr="00DF38B2">
        <w:t>control group, BasicsCard transaction data</w:t>
      </w:r>
      <w:r w:rsidR="00307073">
        <w:t>,</w:t>
      </w:r>
      <w:r w:rsidRPr="00DF38B2">
        <w:t xml:space="preserve"> income management account balances</w:t>
      </w:r>
      <w:r w:rsidR="00307073">
        <w:t>,</w:t>
      </w:r>
      <w:r w:rsidRPr="00DF38B2">
        <w:t xml:space="preserve"> and aggregate measures of outcomes measured at the Northern Territory and regional level.</w:t>
      </w:r>
    </w:p>
    <w:p w:rsidR="00417B51" w:rsidRPr="00DF38B2" w:rsidRDefault="00417B51" w:rsidP="006654AE">
      <w:pPr>
        <w:pStyle w:val="Evalheadings"/>
      </w:pPr>
      <w:r w:rsidRPr="00DF38B2">
        <w:t>(f)</w:t>
      </w:r>
      <w:r w:rsidRPr="00DF38B2">
        <w:tab/>
        <w:t xml:space="preserve">Has New Income Management had any unintended consequences (positive or negative)? </w:t>
      </w:r>
    </w:p>
    <w:p w:rsidR="00417B51" w:rsidRPr="00DF38B2" w:rsidRDefault="00417B51" w:rsidP="006654AE">
      <w:r w:rsidRPr="00DF38B2">
        <w:t>Two specific outcomes can effectively be considered as unintended</w:t>
      </w:r>
      <w:r w:rsidR="00312074">
        <w:t>:</w:t>
      </w:r>
      <w:r w:rsidRPr="00DF38B2">
        <w:t xml:space="preserve"> </w:t>
      </w:r>
    </w:p>
    <w:p w:rsidR="009D3738" w:rsidRDefault="00417B51" w:rsidP="006654AE">
      <w:pPr>
        <w:pStyle w:val="dot"/>
      </w:pPr>
      <w:r w:rsidRPr="00DF38B2">
        <w:t xml:space="preserve">The first is the way in which income management has not built independence and individual capability, but has rather acted, </w:t>
      </w:r>
      <w:r w:rsidR="00AE733A">
        <w:t>to make</w:t>
      </w:r>
      <w:r w:rsidRPr="00DF38B2">
        <w:t xml:space="preserve"> some people’s lives easier and relieving them of having to manage aspects of their finances. This in turn has led many to aspire to remain on income management</w:t>
      </w:r>
      <w:r w:rsidR="00D1689F">
        <w:t xml:space="preserve">, </w:t>
      </w:r>
      <w:r w:rsidRPr="00DF38B2">
        <w:t xml:space="preserve">and hence income support. </w:t>
      </w:r>
      <w:r w:rsidR="00622798" w:rsidRPr="00622798">
        <w:t>There are several sources of information on this impact in the report, with the limited impact on capability being discussed</w:t>
      </w:r>
      <w:r w:rsidR="00622798">
        <w:t xml:space="preserve"> elsewhere in this chapter.</w:t>
      </w:r>
      <w:r w:rsidR="00622798" w:rsidRPr="00622798">
        <w:t xml:space="preserve"> The effect of the program having made life easier and of relieving people of the burden of financial management </w:t>
      </w:r>
      <w:r w:rsidRPr="00DF38B2">
        <w:t>was most strongly</w:t>
      </w:r>
      <w:r w:rsidR="006F28A7">
        <w:t xml:space="preserve"> seen in the LSNIM in</w:t>
      </w:r>
      <w:r w:rsidRPr="00DF38B2">
        <w:t xml:space="preserve"> the case </w:t>
      </w:r>
      <w:r w:rsidR="00D1689F">
        <w:t>of</w:t>
      </w:r>
      <w:r w:rsidRPr="00DF38B2">
        <w:t xml:space="preserve"> Voluntary Income Management</w:t>
      </w:r>
      <w:r w:rsidR="00D1689F">
        <w:t>,</w:t>
      </w:r>
      <w:r w:rsidRPr="00DF38B2">
        <w:t xml:space="preserve"> with over 70 per cent of </w:t>
      </w:r>
      <w:r w:rsidR="00622798">
        <w:t xml:space="preserve">the overwhelming majority of </w:t>
      </w:r>
      <w:r w:rsidR="006F28A7">
        <w:t xml:space="preserve">respondents who indicated that they </w:t>
      </w:r>
      <w:r w:rsidRPr="00DF38B2">
        <w:t>want</w:t>
      </w:r>
      <w:r w:rsidR="006F28A7">
        <w:t>ed</w:t>
      </w:r>
      <w:r w:rsidRPr="00DF38B2">
        <w:t xml:space="preserve"> to remain on income management saying that a reason for this was that it was easier being income managed</w:t>
      </w:r>
      <w:r w:rsidR="00622798">
        <w:t xml:space="preserve">. </w:t>
      </w:r>
      <w:r w:rsidR="009D3738" w:rsidRPr="009D3738">
        <w:t>A substantial proportion of the Indigenous population on compulsory income management</w:t>
      </w:r>
      <w:r w:rsidR="00C54FFC">
        <w:t xml:space="preserve"> measures</w:t>
      </w:r>
      <w:r w:rsidR="009D3738" w:rsidRPr="009D3738">
        <w:t xml:space="preserve"> also expressed a desire to stay on income management. Amongst this group over half</w:t>
      </w:r>
      <w:r w:rsidRPr="00DF38B2">
        <w:t xml:space="preserve"> </w:t>
      </w:r>
      <w:r w:rsidR="009D3738" w:rsidRPr="009D3738">
        <w:t>responded in the survey that one of the reasons for this was that it was easier to manage their money and 40 per cent saying a reason was that they were used to it and it was easier to stay on</w:t>
      </w:r>
    </w:p>
    <w:p w:rsidR="00417B51" w:rsidRDefault="009D3738" w:rsidP="006654AE">
      <w:pPr>
        <w:pStyle w:val="undot"/>
      </w:pPr>
      <w:r w:rsidRPr="009D3738">
        <w:lastRenderedPageBreak/>
        <w:t>The effect of increased reliance upon the welfare system was also raised by a number of the intermediaries, as well as being cited in some of the qualitative interviews. This included observations about income management having become a “way of life”.</w:t>
      </w:r>
    </w:p>
    <w:p w:rsidR="009D3738" w:rsidRPr="00DF38B2" w:rsidRDefault="009D3738" w:rsidP="006654AE">
      <w:pPr>
        <w:pStyle w:val="undot"/>
      </w:pPr>
      <w:r>
        <w:t>It is also an issue which</w:t>
      </w:r>
      <w:r w:rsidR="00470E86">
        <w:t>, as discussed in Chapter 1,</w:t>
      </w:r>
      <w:r>
        <w:t xml:space="preserve"> has been raised by both the Australian National Audit Office which note</w:t>
      </w:r>
      <w:r w:rsidR="00470E86">
        <w:t>d</w:t>
      </w:r>
      <w:r>
        <w:t xml:space="preserve"> that “</w:t>
      </w:r>
      <w:r w:rsidRPr="009D3738">
        <w:t>there is an inherent risk that instead of developing budgeting skills, customers may come to rely on DHS</w:t>
      </w:r>
      <w:r w:rsidR="00470E86">
        <w:t xml:space="preserve">” and the Forrest Review which </w:t>
      </w:r>
      <w:r w:rsidR="000C4773">
        <w:t>considered</w:t>
      </w:r>
      <w:r w:rsidR="00470E86">
        <w:t xml:space="preserve"> that income management “can make transitions off welfare and into work more difficult”.</w:t>
      </w:r>
    </w:p>
    <w:p w:rsidR="00417B51" w:rsidRDefault="00417B51" w:rsidP="006654AE">
      <w:pPr>
        <w:pStyle w:val="dot"/>
      </w:pPr>
      <w:r w:rsidRPr="00DF38B2">
        <w:t>The extent to which the BasicsCard, despite a range of problems with its operation, has gained considerable support</w:t>
      </w:r>
      <w:r w:rsidR="00D1689F">
        <w:t>,</w:t>
      </w:r>
      <w:r w:rsidRPr="00DF38B2">
        <w:t xml:space="preserve"> in large part because it provides a cheap banking service. This is especially true in remote communities where normal banking services can frequently be </w:t>
      </w:r>
      <w:proofErr w:type="gramStart"/>
      <w:r w:rsidRPr="00DF38B2">
        <w:t>expensive,</w:t>
      </w:r>
      <w:proofErr w:type="gramEnd"/>
      <w:r w:rsidRPr="00DF38B2">
        <w:t xml:space="preserve"> and by others where they get the benefit of free replacement cards. Having access to the BasicsCard is a common reason given for wanting to remain on income management.</w:t>
      </w:r>
    </w:p>
    <w:p w:rsidR="00622798" w:rsidRDefault="00622798" w:rsidP="006654AE">
      <w:r>
        <w:t>Taking these two factors together there is some evidence that for a sub-group of people on income management the program has provided them with tools that they have been able to use to make their lives easier and hence enhance their quality of life, although neither building capacity o</w:t>
      </w:r>
      <w:r w:rsidR="005D1CC5">
        <w:t xml:space="preserve">r changing aggregate outcomes. </w:t>
      </w:r>
      <w:r>
        <w:t>For a large proportion of people on Voluntary Income Management, and a significant minority of those on compulsory measures this can be seen as the a result of two factors. First is the extent to which the BasicsCard can in some circumstances provide a low cost payment option with limited obligations and relatively few restrictions especially in locations where most purchasing is done at a limited range of formal approved outlets. Secondly is the degree to which other elements of income management can take care of a range of regular and associated payments. In addition, for some, income management is reported to provide som</w:t>
      </w:r>
      <w:r w:rsidR="005D1CC5">
        <w:t xml:space="preserve">e structure to their spending. </w:t>
      </w:r>
      <w:proofErr w:type="gramStart"/>
      <w:r>
        <w:t>A subgroup within this population also report</w:t>
      </w:r>
      <w:proofErr w:type="gramEnd"/>
      <w:r>
        <w:t xml:space="preserve"> that they use the BasicsCard as a tool to reduce inappropriate demands from others. </w:t>
      </w:r>
    </w:p>
    <w:p w:rsidR="00622798" w:rsidRPr="00DF38B2" w:rsidRDefault="00622798" w:rsidP="006654AE">
      <w:r>
        <w:t xml:space="preserve">As seen in the assessment of the program against the outcome criteria these aspects do not, however, appear to effectively </w:t>
      </w:r>
      <w:proofErr w:type="gramStart"/>
      <w:r>
        <w:t>lead to</w:t>
      </w:r>
      <w:proofErr w:type="gramEnd"/>
      <w:r>
        <w:t xml:space="preserve"> either enhanced financial management skills nor, with the possible exception of those who have chosen to go onto Voluntary Income Management, any positive change in objective measures of household well-</w:t>
      </w:r>
      <w:r w:rsidR="00470E86">
        <w:t>being. No groups</w:t>
      </w:r>
      <w:r>
        <w:t xml:space="preserve"> reported benefits with respect to problems at the community level.</w:t>
      </w:r>
    </w:p>
    <w:p w:rsidR="00417B51" w:rsidRPr="00DF38B2" w:rsidRDefault="00417B51" w:rsidP="006654AE">
      <w:pPr>
        <w:pStyle w:val="Evalheadings"/>
      </w:pPr>
      <w:r w:rsidRPr="00DF38B2">
        <w:t>(i) Does New Income Management provide any benefits over and above targeted service provision?</w:t>
      </w:r>
    </w:p>
    <w:p w:rsidR="00417B51" w:rsidRPr="00DF38B2" w:rsidRDefault="00417B51" w:rsidP="006654AE">
      <w:r w:rsidRPr="00DF38B2">
        <w:t>This question concerns whether or not the broad application of income management provides benefit over and above a more targeted model. Given that the evaluation has found no evidence of significant or widespread benefits of income management and it is quite a costly program</w:t>
      </w:r>
      <w:r w:rsidR="00D1689F">
        <w:t>,</w:t>
      </w:r>
      <w:r w:rsidRPr="00DF38B2">
        <w:t xml:space="preserve"> the overall conclusion is that New Income Management does not provide any benefits over and above targeted service provision.</w:t>
      </w:r>
    </w:p>
    <w:p w:rsidR="00417B51" w:rsidRPr="00DF38B2" w:rsidRDefault="00417B51" w:rsidP="006654AE">
      <w:r w:rsidRPr="00DF38B2">
        <w:t>In addition to the extent that the broad application of income management imposes costs on many participants directly with regard to their ability to use their financial resources</w:t>
      </w:r>
      <w:r w:rsidR="00D1689F" w:rsidRPr="00D1689F">
        <w:t xml:space="preserve"> </w:t>
      </w:r>
      <w:r w:rsidR="00D1689F" w:rsidRPr="00DF38B2">
        <w:t>effectively</w:t>
      </w:r>
      <w:r w:rsidRPr="00DF38B2">
        <w:t xml:space="preserve">, and indirectly through the adverse effects </w:t>
      </w:r>
      <w:r w:rsidR="00D1689F">
        <w:t xml:space="preserve">in </w:t>
      </w:r>
      <w:r w:rsidRPr="00DF38B2">
        <w:t>the sense of unfairness many feel</w:t>
      </w:r>
      <w:r w:rsidR="00AE733A">
        <w:t xml:space="preserve">, this </w:t>
      </w:r>
      <w:r w:rsidRPr="00DF38B2">
        <w:t>also needs to be taken into account</w:t>
      </w:r>
      <w:r w:rsidR="00D1689F">
        <w:t>.</w:t>
      </w:r>
    </w:p>
    <w:p w:rsidR="00417B51" w:rsidRPr="00DF38B2" w:rsidRDefault="00417B51" w:rsidP="006654AE">
      <w:r w:rsidRPr="00DF38B2">
        <w:t xml:space="preserve">There is some evidence that income management has resulted in Centrelink paying more attention to ensuring that people are receiving the correct income support payment. The evaluation evidence is that this was particularly the case during the initial implementation of income management. </w:t>
      </w:r>
    </w:p>
    <w:p w:rsidR="00417B51" w:rsidRPr="00DF38B2" w:rsidRDefault="00417B51" w:rsidP="006654AE">
      <w:pPr>
        <w:pStyle w:val="Heading4"/>
      </w:pPr>
      <w:r w:rsidRPr="00DF38B2">
        <w:t>Summarising the impact</w:t>
      </w:r>
    </w:p>
    <w:p w:rsidR="00417B51" w:rsidRPr="00DF38B2" w:rsidRDefault="00417B51" w:rsidP="006654AE">
      <w:r w:rsidRPr="00DF38B2">
        <w:t>Taking the results as a whole</w:t>
      </w:r>
      <w:r w:rsidR="00813217">
        <w:t>,</w:t>
      </w:r>
      <w:r w:rsidRPr="00DF38B2">
        <w:t xml:space="preserve"> the conclusion is that there is no evidence of any </w:t>
      </w:r>
      <w:r w:rsidR="00837DB6">
        <w:t xml:space="preserve">consistent </w:t>
      </w:r>
      <w:r w:rsidRPr="00DF38B2">
        <w:t>positive impacts on problematic behaviours related to alcohol, drugs, gambling</w:t>
      </w:r>
      <w:r w:rsidR="00813217">
        <w:t>,</w:t>
      </w:r>
      <w:r w:rsidRPr="00DF38B2">
        <w:t xml:space="preserve"> and financial harassment, </w:t>
      </w:r>
      <w:r w:rsidR="00AE733A">
        <w:t xml:space="preserve">in </w:t>
      </w:r>
      <w:r w:rsidRPr="00DF38B2">
        <w:t xml:space="preserve">the extent </w:t>
      </w:r>
      <w:r w:rsidR="00813217">
        <w:t xml:space="preserve">to </w:t>
      </w:r>
      <w:r w:rsidRPr="00DF38B2">
        <w:t>which financial hardships and stresses are experienced</w:t>
      </w:r>
      <w:r w:rsidR="00813217">
        <w:t xml:space="preserve"> – for example,</w:t>
      </w:r>
      <w:r w:rsidRPr="00DF38B2">
        <w:t xml:space="preserve"> running out of food, not being able to pay bills</w:t>
      </w:r>
      <w:r w:rsidR="00AE733A">
        <w:t>,</w:t>
      </w:r>
      <w:r w:rsidRPr="00DF38B2">
        <w:t xml:space="preserve"> or </w:t>
      </w:r>
      <w:r w:rsidR="00AE733A">
        <w:t xml:space="preserve">on </w:t>
      </w:r>
      <w:r w:rsidRPr="00DF38B2">
        <w:t xml:space="preserve">community level outcomes such as </w:t>
      </w:r>
      <w:r w:rsidR="00AE733A">
        <w:t>children</w:t>
      </w:r>
      <w:r w:rsidR="00AE733A" w:rsidRPr="00DF38B2">
        <w:t xml:space="preserve"> </w:t>
      </w:r>
      <w:r w:rsidRPr="00DF38B2">
        <w:t>not being looked after properly, school attendance, drinking</w:t>
      </w:r>
      <w:r w:rsidR="001301D2">
        <w:t>,</w:t>
      </w:r>
      <w:r w:rsidRPr="00DF38B2">
        <w:t xml:space="preserve"> and financial harassment.</w:t>
      </w:r>
    </w:p>
    <w:p w:rsidR="00417B51" w:rsidRPr="00DF38B2" w:rsidRDefault="00417B51" w:rsidP="006654AE">
      <w:r w:rsidRPr="00DF38B2">
        <w:t xml:space="preserve">The findings from the survey of people subject to income management that income management is not resulting in better individual, family or community level outcomes is consistent with the analysis of </w:t>
      </w:r>
      <w:r w:rsidRPr="00DF38B2">
        <w:lastRenderedPageBreak/>
        <w:t>aggregate outcome measures, indicators of financial management skills</w:t>
      </w:r>
      <w:r w:rsidR="00D80993">
        <w:t>,</w:t>
      </w:r>
      <w:r w:rsidRPr="00DF38B2">
        <w:t xml:space="preserve"> BasicsCard use and account balance</w:t>
      </w:r>
      <w:r w:rsidR="00D80993">
        <w:t xml:space="preserve"> records,</w:t>
      </w:r>
      <w:r w:rsidRPr="00DF38B2">
        <w:t xml:space="preserve"> and store</w:t>
      </w:r>
      <w:r w:rsidR="00D80993">
        <w:t>-</w:t>
      </w:r>
      <w:r w:rsidRPr="00DF38B2">
        <w:t>level expenditure data.</w:t>
      </w:r>
    </w:p>
    <w:p w:rsidR="00417B51" w:rsidRPr="00DF38B2" w:rsidRDefault="00417B51" w:rsidP="006654AE">
      <w:r w:rsidRPr="00DF38B2">
        <w:t xml:space="preserve">The analysis of aggregate measures of child health and wellbeing, school enrolment and attendance, alcohol sales and consumption, </w:t>
      </w:r>
      <w:r w:rsidR="00FE0C92">
        <w:t>alcohol-related</w:t>
      </w:r>
      <w:r w:rsidRPr="00DF38B2">
        <w:t xml:space="preserve"> harm, tobacco use, and imprisonment results in the conclusion that there has been very little progress in addressing many of the substantial disadvantages faced by many people in the Northern Territory, but also that there is no evidence of changes in aggregate outcomes that can plausibly be linked to income management. Of particular significance are the findings that </w:t>
      </w:r>
      <w:r w:rsidR="00FE0C92">
        <w:t>alcohol-related</w:t>
      </w:r>
      <w:r w:rsidRPr="00DF38B2">
        <w:t xml:space="preserve"> harm has not been reduced since the introduction of income management </w:t>
      </w:r>
      <w:r w:rsidR="00D80993">
        <w:t xml:space="preserve">– </w:t>
      </w:r>
      <w:r w:rsidRPr="00DF38B2">
        <w:t>if anything it has worsened.</w:t>
      </w:r>
    </w:p>
    <w:p w:rsidR="00417B51" w:rsidRPr="00DF38B2" w:rsidRDefault="00417B51" w:rsidP="006654AE">
      <w:r w:rsidRPr="00DF38B2">
        <w:t xml:space="preserve">Analysis of store sales data also provides no evidence of changes in consumption patterns or expenditure on food. And in fact a smaller proportion of BasicsCard expenditure is on fruit and vegetables compared to expenditure made using </w:t>
      </w:r>
      <w:r w:rsidR="00D80993">
        <w:t xml:space="preserve">means </w:t>
      </w:r>
      <w:r w:rsidRPr="00DF38B2">
        <w:t xml:space="preserve">other than BasicsCard. </w:t>
      </w:r>
    </w:p>
    <w:p w:rsidR="00417B51" w:rsidRDefault="00417B51" w:rsidP="006654AE">
      <w:r w:rsidRPr="00DF38B2">
        <w:t xml:space="preserve">Income management appears to have had little impact on changing the vulnerability of people when this is measured in terms of their ability to hold funds in reserve or to save, as measured by </w:t>
      </w:r>
      <w:r w:rsidR="00D80993">
        <w:t xml:space="preserve">the </w:t>
      </w:r>
      <w:r w:rsidRPr="00DF38B2">
        <w:t xml:space="preserve">number of replacement cards being issued </w:t>
      </w:r>
      <w:r w:rsidR="00D80993">
        <w:t xml:space="preserve">and </w:t>
      </w:r>
      <w:r w:rsidRPr="00DF38B2">
        <w:t xml:space="preserve">failed transactions There is no </w:t>
      </w:r>
      <w:r w:rsidR="00837DB6">
        <w:t xml:space="preserve">substantive </w:t>
      </w:r>
      <w:r w:rsidRPr="00DF38B2">
        <w:t>evidence that income management is building financial management skills.</w:t>
      </w:r>
    </w:p>
    <w:p w:rsidR="00CA6ED8" w:rsidRDefault="00CA6ED8" w:rsidP="006654AE">
      <w:r>
        <w:t>The program has impacted negatively on some through limiting their purchasing options, increasing costs and making housing more difficult. Many more feel a sense of shame and unfairness.</w:t>
      </w:r>
    </w:p>
    <w:p w:rsidR="00837DB6" w:rsidRDefault="00837DB6" w:rsidP="006654AE">
      <w:r w:rsidRPr="00837DB6">
        <w:t xml:space="preserve">While reporting these overall outcomes we note as has been discussed that there appears to be some cause to consider that very tightly targeted income management may be beneficial as part of a package of strategies for high vulnerable groups and that those who have chosen </w:t>
      </w:r>
      <w:r w:rsidR="001544DF">
        <w:t>Voluntary Income Management</w:t>
      </w:r>
      <w:r w:rsidRPr="00837DB6">
        <w:t xml:space="preserve"> report positive outcomes</w:t>
      </w:r>
      <w:r w:rsidR="00AE733A">
        <w:t xml:space="preserve"> as well as there being some,</w:t>
      </w:r>
      <w:r w:rsidRPr="00837DB6">
        <w:t xml:space="preserve"> very limited</w:t>
      </w:r>
      <w:r w:rsidR="00AE733A">
        <w:t>,</w:t>
      </w:r>
      <w:r w:rsidRPr="00837DB6">
        <w:t xml:space="preserve"> evidence of some gains for this group</w:t>
      </w:r>
      <w:r>
        <w:t>.</w:t>
      </w:r>
    </w:p>
    <w:p w:rsidR="00417B51" w:rsidRPr="00DF38B2" w:rsidRDefault="00417B51" w:rsidP="006654AE">
      <w:pPr>
        <w:pStyle w:val="Heading3"/>
      </w:pPr>
      <w:bookmarkStart w:id="658" w:name="_Toc398131351"/>
      <w:bookmarkStart w:id="659" w:name="_Toc403739163"/>
      <w:bookmarkEnd w:id="658"/>
      <w:r w:rsidRPr="00DF38B2">
        <w:t>How has income management impacted on subgroups</w:t>
      </w:r>
      <w:r w:rsidR="00D80993">
        <w:t>?</w:t>
      </w:r>
      <w:bookmarkEnd w:id="659"/>
    </w:p>
    <w:p w:rsidR="00417B51" w:rsidRPr="00DF38B2" w:rsidRDefault="00417B51" w:rsidP="006654AE">
      <w:pPr>
        <w:pStyle w:val="Evalheadings"/>
      </w:pPr>
      <w:r w:rsidRPr="00DF38B2">
        <w:t>(a)</w:t>
      </w:r>
      <w:r w:rsidRPr="00DF38B2">
        <w:tab/>
        <w:t>How do these effects differ for the various streams of the program (mainstream, voluntary, child protection, vulnerable)?</w:t>
      </w:r>
    </w:p>
    <w:p w:rsidR="00417B51" w:rsidRPr="00DF38B2" w:rsidRDefault="00417B51" w:rsidP="006654AE">
      <w:r w:rsidRPr="00DF38B2">
        <w:t>The general finding that income management has not had significant or widespread impacts on a range of important outcome measures holds for both Compulsory and Voluntary Income Management</w:t>
      </w:r>
      <w:r w:rsidR="00A1421A">
        <w:t xml:space="preserve">. </w:t>
      </w:r>
    </w:p>
    <w:p w:rsidR="00417B51" w:rsidRPr="00DF38B2" w:rsidRDefault="00417B51" w:rsidP="006654AE">
      <w:pPr>
        <w:rPr>
          <w:szCs w:val="19"/>
        </w:rPr>
      </w:pPr>
      <w:r w:rsidRPr="00DF38B2">
        <w:rPr>
          <w:szCs w:val="19"/>
        </w:rPr>
        <w:t>For the most part</w:t>
      </w:r>
      <w:r w:rsidR="00D80993">
        <w:rPr>
          <w:szCs w:val="19"/>
        </w:rPr>
        <w:t>,</w:t>
      </w:r>
      <w:r w:rsidRPr="00DF38B2">
        <w:rPr>
          <w:szCs w:val="19"/>
        </w:rPr>
        <w:t xml:space="preserve"> expenditure patterns are similar for those on the voluntary and compulsory income management measures. While there are differences in the rates of failed transactions due to insufficient funds</w:t>
      </w:r>
      <w:r w:rsidR="00D80993">
        <w:rPr>
          <w:szCs w:val="19"/>
        </w:rPr>
        <w:t>,</w:t>
      </w:r>
      <w:r w:rsidRPr="00DF38B2">
        <w:rPr>
          <w:szCs w:val="19"/>
        </w:rPr>
        <w:t xml:space="preserve"> and </w:t>
      </w:r>
      <w:r w:rsidR="00D80993">
        <w:rPr>
          <w:szCs w:val="19"/>
        </w:rPr>
        <w:t xml:space="preserve">differences in the </w:t>
      </w:r>
      <w:r w:rsidRPr="00DF38B2">
        <w:rPr>
          <w:szCs w:val="19"/>
        </w:rPr>
        <w:t xml:space="preserve">number of replacement cards between the </w:t>
      </w:r>
      <w:r w:rsidR="00D80993">
        <w:rPr>
          <w:szCs w:val="19"/>
        </w:rPr>
        <w:t>various</w:t>
      </w:r>
      <w:r w:rsidR="00D80993" w:rsidRPr="00DF38B2">
        <w:rPr>
          <w:szCs w:val="19"/>
        </w:rPr>
        <w:t xml:space="preserve"> </w:t>
      </w:r>
      <w:r w:rsidRPr="00DF38B2">
        <w:rPr>
          <w:szCs w:val="19"/>
        </w:rPr>
        <w:t xml:space="preserve">income management measures, there is no evidence of different rates of change in these outcomes for most </w:t>
      </w:r>
      <w:r w:rsidR="00D80993">
        <w:rPr>
          <w:szCs w:val="19"/>
        </w:rPr>
        <w:t xml:space="preserve">of the </w:t>
      </w:r>
      <w:r w:rsidRPr="00DF38B2">
        <w:rPr>
          <w:szCs w:val="19"/>
        </w:rPr>
        <w:t>income management measures. The only exceptions are for those subject to the Disengaged Youth and SPAR measures</w:t>
      </w:r>
      <w:r w:rsidR="00D80993">
        <w:rPr>
          <w:szCs w:val="19"/>
        </w:rPr>
        <w:t>,</w:t>
      </w:r>
      <w:r w:rsidRPr="00DF38B2">
        <w:rPr>
          <w:szCs w:val="19"/>
        </w:rPr>
        <w:t xml:space="preserve"> who had an increase in the number of replacement BasicsCards being issued and </w:t>
      </w:r>
      <w:r w:rsidR="00D80993">
        <w:rPr>
          <w:szCs w:val="19"/>
        </w:rPr>
        <w:t xml:space="preserve">in </w:t>
      </w:r>
      <w:r w:rsidRPr="00DF38B2">
        <w:rPr>
          <w:szCs w:val="19"/>
        </w:rPr>
        <w:t xml:space="preserve">failed transactions. </w:t>
      </w:r>
    </w:p>
    <w:p w:rsidR="00470E86" w:rsidRPr="00470E86" w:rsidRDefault="00417B51" w:rsidP="006654AE">
      <w:pPr>
        <w:rPr>
          <w:szCs w:val="19"/>
        </w:rPr>
      </w:pPr>
      <w:r w:rsidRPr="00DF38B2">
        <w:rPr>
          <w:szCs w:val="19"/>
        </w:rPr>
        <w:t>While people on Voluntary Income Management are more positive about income management than those on the compulsory measures, there is</w:t>
      </w:r>
      <w:r w:rsidR="00470E86" w:rsidRPr="00470E86">
        <w:rPr>
          <w:szCs w:val="19"/>
        </w:rPr>
        <w:t xml:space="preserve"> inconsistent evidence on whether Voluntary Income Management </w:t>
      </w:r>
      <w:r w:rsidR="000C4773" w:rsidRPr="00470E86">
        <w:rPr>
          <w:szCs w:val="19"/>
        </w:rPr>
        <w:t>affects</w:t>
      </w:r>
      <w:r w:rsidR="00470E86" w:rsidRPr="00470E86">
        <w:rPr>
          <w:szCs w:val="19"/>
        </w:rPr>
        <w:t xml:space="preserve"> outcomes. In contrast to those on </w:t>
      </w:r>
      <w:r w:rsidR="00C54FFC">
        <w:rPr>
          <w:szCs w:val="19"/>
        </w:rPr>
        <w:t>the c</w:t>
      </w:r>
      <w:r w:rsidR="00C54FFC" w:rsidRPr="00470E86">
        <w:rPr>
          <w:szCs w:val="19"/>
        </w:rPr>
        <w:t xml:space="preserve">ompulsory </w:t>
      </w:r>
      <w:r w:rsidR="00C54FFC">
        <w:rPr>
          <w:szCs w:val="19"/>
        </w:rPr>
        <w:t>i</w:t>
      </w:r>
      <w:r w:rsidR="00470E86" w:rsidRPr="00470E86">
        <w:rPr>
          <w:szCs w:val="19"/>
        </w:rPr>
        <w:t xml:space="preserve">ncome </w:t>
      </w:r>
      <w:r w:rsidR="00C54FFC">
        <w:rPr>
          <w:szCs w:val="19"/>
        </w:rPr>
        <w:t>m</w:t>
      </w:r>
      <w:r w:rsidR="00470E86" w:rsidRPr="00470E86">
        <w:rPr>
          <w:szCs w:val="19"/>
        </w:rPr>
        <w:t xml:space="preserve">anagement </w:t>
      </w:r>
      <w:r w:rsidR="00C54FFC">
        <w:rPr>
          <w:szCs w:val="19"/>
        </w:rPr>
        <w:t xml:space="preserve">measures </w:t>
      </w:r>
      <w:r w:rsidR="00470E86" w:rsidRPr="00470E86">
        <w:rPr>
          <w:szCs w:val="19"/>
        </w:rPr>
        <w:t>where there is no evidence of improvement in specific household outcomes with respect to running out of money for food and in being able to pay bills the data for those on Voluntary Income Management suggests some gains may have been achieved on these specific items, although as with other groups on income management there is no improvement in the aggregate measure of household financial well-being outcomes. There are also contradictory findings for those on Voluntary Income Management at the household level on ‘humbugging’ and problems relating to alcohol drugs and gambling, and a reported lack of improvement in these problems, and related issues, at the community level.</w:t>
      </w:r>
    </w:p>
    <w:p w:rsidR="00470E86" w:rsidRPr="00470E86" w:rsidRDefault="00470E86" w:rsidP="006654AE">
      <w:pPr>
        <w:rPr>
          <w:szCs w:val="19"/>
        </w:rPr>
      </w:pPr>
      <w:r w:rsidRPr="00470E86">
        <w:rPr>
          <w:szCs w:val="19"/>
        </w:rPr>
        <w:t>More generally it can be suggested that there is evidence of a range of subgroups in terms of the program effects:</w:t>
      </w:r>
    </w:p>
    <w:p w:rsidR="00470E86" w:rsidRPr="00470E86" w:rsidRDefault="00470E86" w:rsidP="006654AE">
      <w:pPr>
        <w:pStyle w:val="dot"/>
      </w:pPr>
      <w:r w:rsidRPr="00470E86">
        <w:t xml:space="preserve">A group comprising mainly those on Voluntary Income Management and some of those on compulsory measures, more so those in remote locations, who feel that income management has made </w:t>
      </w:r>
      <w:r w:rsidRPr="00470E86">
        <w:lastRenderedPageBreak/>
        <w:t xml:space="preserve">managing their money easier, however as discussed above, with some </w:t>
      </w:r>
      <w:r>
        <w:t xml:space="preserve">possible but not conclusive </w:t>
      </w:r>
      <w:r w:rsidRPr="00470E86">
        <w:t xml:space="preserve">exceptions for those on the voluntary measure, there is no evidence of </w:t>
      </w:r>
      <w:r>
        <w:t xml:space="preserve">any significant </w:t>
      </w:r>
      <w:r w:rsidRPr="00470E86">
        <w:t>change in outcomes nor of improvements in financial management capability and behaviours</w:t>
      </w:r>
      <w:r w:rsidR="00C54FFC">
        <w:t>.</w:t>
      </w:r>
    </w:p>
    <w:p w:rsidR="00470E86" w:rsidRPr="00470E86" w:rsidRDefault="00470E86" w:rsidP="006654AE">
      <w:pPr>
        <w:pStyle w:val="dot"/>
      </w:pPr>
      <w:r w:rsidRPr="00470E86">
        <w:t>A small group of highly vulnerable people for whom income management is only part of the range of interventions. Anecdotal evidence suggests that where people are motivated some in this group have found income management a useful tool to stabilise their situation while other interventions seek to address problems, for others it is simply a tool to manage their spending</w:t>
      </w:r>
      <w:r w:rsidR="00C54FFC">
        <w:t>.</w:t>
      </w:r>
    </w:p>
    <w:p w:rsidR="00470E86" w:rsidRPr="00470E86" w:rsidRDefault="00470E86" w:rsidP="006654AE">
      <w:pPr>
        <w:pStyle w:val="dot"/>
      </w:pPr>
      <w:r w:rsidRPr="00470E86">
        <w:t>A group who are largely unaffected by the program, some of whom have quite negative sentiments about being subject to income management and its consequences</w:t>
      </w:r>
      <w:r w:rsidR="00C54FFC">
        <w:t>.</w:t>
      </w:r>
    </w:p>
    <w:p w:rsidR="00417B51" w:rsidRPr="00DF38B2" w:rsidRDefault="00470E86" w:rsidP="006654AE">
      <w:pPr>
        <w:pStyle w:val="dot"/>
      </w:pPr>
      <w:r w:rsidRPr="00470E86">
        <w:t>A group who feel that the program has made things worse for them, with income management creating difficulties including paying rent and other expenditures and who find that the income management curtails their independence. This group is much more likely to be urban and non-Indigenous</w:t>
      </w:r>
      <w:r w:rsidR="00C54FFC">
        <w:t>.</w:t>
      </w:r>
    </w:p>
    <w:p w:rsidR="00417B51" w:rsidRPr="00DF38B2" w:rsidRDefault="00417B51" w:rsidP="006654AE">
      <w:pPr>
        <w:pStyle w:val="Evalheadings"/>
      </w:pPr>
      <w:r w:rsidRPr="00DF38B2">
        <w:rPr>
          <w:b/>
        </w:rPr>
        <w:t>(e)</w:t>
      </w:r>
      <w:r w:rsidRPr="00DF38B2">
        <w:rPr>
          <w:b/>
        </w:rPr>
        <w:tab/>
      </w:r>
      <w:r w:rsidRPr="00DF38B2">
        <w:t xml:space="preserve">Do the four streams achieve appropriate outcomes for their participants? </w:t>
      </w:r>
    </w:p>
    <w:p w:rsidR="00417B51" w:rsidRPr="00DF38B2" w:rsidRDefault="00417B51" w:rsidP="006654AE">
      <w:r w:rsidRPr="00DF38B2">
        <w:t>The broad conclusion is that there is no evidence that income management results in significant widespread improvements in outcomes</w:t>
      </w:r>
      <w:r w:rsidR="00837DB6">
        <w:t xml:space="preserve"> </w:t>
      </w:r>
      <w:r w:rsidR="00837DB6" w:rsidRPr="00837DB6">
        <w:t>although substantial proportions of people on the program report that the program has made things either better or worse</w:t>
      </w:r>
      <w:r w:rsidRPr="00DF38B2">
        <w:t xml:space="preserve">. </w:t>
      </w:r>
    </w:p>
    <w:p w:rsidR="00417B51" w:rsidRPr="00DF38B2" w:rsidRDefault="00417B51" w:rsidP="006654AE">
      <w:r w:rsidRPr="00DF38B2">
        <w:t xml:space="preserve">For the small number of people subject to assessed Vulnerable Income Management there is only limited data on outcomes, but the available data </w:t>
      </w:r>
      <w:r w:rsidR="00D80993">
        <w:t xml:space="preserve">– </w:t>
      </w:r>
      <w:r w:rsidRPr="00DF38B2">
        <w:t>primarily from the qualitative interviews with intermediaries</w:t>
      </w:r>
      <w:r w:rsidR="00D80993">
        <w:t xml:space="preserve"> –</w:t>
      </w:r>
      <w:r w:rsidRPr="00DF38B2">
        <w:t xml:space="preserve"> do indicate that Vulnerable Income Management provides a degree of </w:t>
      </w:r>
      <w:r w:rsidR="00D80993">
        <w:t>“</w:t>
      </w:r>
      <w:r w:rsidRPr="00DF38B2">
        <w:t>harm minimisation</w:t>
      </w:r>
      <w:r w:rsidR="00D80993">
        <w:t>”</w:t>
      </w:r>
      <w:r w:rsidRPr="00DF38B2">
        <w:t xml:space="preserve"> but does not address the underlying chronic difficulties of the clients</w:t>
      </w:r>
      <w:r w:rsidR="00D80993">
        <w:t>,</w:t>
      </w:r>
      <w:r w:rsidRPr="00DF38B2">
        <w:t xml:space="preserve"> which requires a high level of support that is often not available</w:t>
      </w:r>
      <w:r w:rsidR="00D80993">
        <w:t>.</w:t>
      </w:r>
    </w:p>
    <w:p w:rsidR="00417B51" w:rsidRPr="00DF38B2" w:rsidRDefault="00BD1599" w:rsidP="006654AE">
      <w:r w:rsidRPr="00BD1599">
        <w:t xml:space="preserve">For the small number of people subject to Child Protection Income Management there is also relatively little data on outcomes, with the evaluation relying on the views from child protection caseworkers. The interviews with child protection caseworks suggests that this measure is a tool which, when used in conjunction with other services and interventions, can sometimes be useful in stabilising families and limiting access to money for alcohol, illegal substances and gambling. </w:t>
      </w:r>
    </w:p>
    <w:p w:rsidR="00417B51" w:rsidRPr="00DF38B2" w:rsidRDefault="00417B51" w:rsidP="006654AE">
      <w:pPr>
        <w:pStyle w:val="Evalheadings"/>
      </w:pPr>
      <w:r w:rsidRPr="00DF38B2">
        <w:rPr>
          <w:b/>
        </w:rPr>
        <w:t>(g)</w:t>
      </w:r>
      <w:r w:rsidRPr="00DF38B2">
        <w:rPr>
          <w:b/>
        </w:rPr>
        <w:tab/>
      </w:r>
      <w:r w:rsidRPr="00DF38B2">
        <w:t>Are there differential effects for different groups? (</w:t>
      </w:r>
      <w:proofErr w:type="gramStart"/>
      <w:r w:rsidRPr="00DF38B2">
        <w:t>including</w:t>
      </w:r>
      <w:proofErr w:type="gramEnd"/>
      <w:r w:rsidRPr="00DF38B2">
        <w:t xml:space="preserve"> — if sufficient data is available — by Indigeneity, gender, location, age, educational status, work status, income, length of time on income support, marital status, family composition and diverse cultural and linguistic background) </w:t>
      </w:r>
    </w:p>
    <w:p w:rsidR="00417B51" w:rsidRPr="00DF38B2" w:rsidRDefault="00417B51" w:rsidP="006654AE">
      <w:r w:rsidRPr="00DF38B2">
        <w:t xml:space="preserve">The evaluation has undertaken extensive analysis of whether </w:t>
      </w:r>
      <w:r w:rsidR="00AE733A">
        <w:t xml:space="preserve">different </w:t>
      </w:r>
      <w:proofErr w:type="gramStart"/>
      <w:r w:rsidR="00AE733A">
        <w:t xml:space="preserve">impacts </w:t>
      </w:r>
      <w:r w:rsidR="00AE733A" w:rsidRPr="00DF38B2">
        <w:t xml:space="preserve"> </w:t>
      </w:r>
      <w:r w:rsidRPr="00DF38B2">
        <w:t>of</w:t>
      </w:r>
      <w:proofErr w:type="gramEnd"/>
      <w:r w:rsidRPr="00DF38B2">
        <w:t xml:space="preserve"> income management can be found for people with different characteristics</w:t>
      </w:r>
      <w:r w:rsidR="009E23C8">
        <w:t xml:space="preserve">, </w:t>
      </w:r>
      <w:r w:rsidRPr="00DF38B2">
        <w:t xml:space="preserve">including many of those identified in the evaluation question. The evaluation data suggest that none of the key individual or family characteristics define specific groups for which there is evidence that income management has a positive impact upon outcomes. </w:t>
      </w:r>
    </w:p>
    <w:p w:rsidR="00417B51" w:rsidRDefault="00417B51" w:rsidP="006654AE">
      <w:r w:rsidRPr="00DF38B2">
        <w:t xml:space="preserve">Across the information considered by the evaluation there are </w:t>
      </w:r>
      <w:r w:rsidR="00AE733A">
        <w:t xml:space="preserve">though </w:t>
      </w:r>
      <w:r w:rsidRPr="00DF38B2">
        <w:t>some clear differences in the way in which income management impact</w:t>
      </w:r>
      <w:r w:rsidR="009E23C8">
        <w:t>s</w:t>
      </w:r>
      <w:r w:rsidRPr="00DF38B2">
        <w:t xml:space="preserve"> on urban areas relative to remote locations. In particular</w:t>
      </w:r>
      <w:r w:rsidR="009E23C8">
        <w:t>,</w:t>
      </w:r>
      <w:r w:rsidRPr="00DF38B2">
        <w:t xml:space="preserve"> in urban locations there were </w:t>
      </w:r>
      <w:r w:rsidR="00AE733A">
        <w:t>higher</w:t>
      </w:r>
      <w:r w:rsidR="00AE733A" w:rsidRPr="00DF38B2">
        <w:t xml:space="preserve"> </w:t>
      </w:r>
      <w:r w:rsidRPr="00DF38B2">
        <w:t>levels of reporting of problems</w:t>
      </w:r>
      <w:r w:rsidR="009E23C8">
        <w:t>,</w:t>
      </w:r>
      <w:r w:rsidRPr="00DF38B2">
        <w:t xml:space="preserve"> in particular around paying for housing and using a diverse range of shopping outlets. The mechanisms of income management were not seen as </w:t>
      </w:r>
      <w:r w:rsidR="009E23C8">
        <w:t xml:space="preserve">sufficiently </w:t>
      </w:r>
      <w:r w:rsidRPr="00DF38B2">
        <w:t xml:space="preserve">flexible across the range of different tenure arrangements, nor for more informal shopping arrangements. These </w:t>
      </w:r>
      <w:r w:rsidR="009E23C8" w:rsidRPr="00DF38B2">
        <w:t xml:space="preserve">in turn </w:t>
      </w:r>
      <w:r w:rsidRPr="00DF38B2">
        <w:t>were reflected in people reporting higher levels of problems because of income management.</w:t>
      </w:r>
      <w:r w:rsidR="00837DB6" w:rsidRPr="00837DB6">
        <w:t xml:space="preserve"> In remote areas there was greater evidence of the program having been embedded in the lifestyle of people, and it was viewed more positively, especially the BasicsCard including its role as a low cost transaction card</w:t>
      </w:r>
      <w:r w:rsidR="00837DB6">
        <w:t>.</w:t>
      </w:r>
    </w:p>
    <w:p w:rsidR="00417B51" w:rsidRPr="00DF38B2" w:rsidRDefault="00417B51" w:rsidP="006654AE">
      <w:pPr>
        <w:pStyle w:val="Heading3"/>
      </w:pPr>
      <w:bookmarkStart w:id="660" w:name="_Toc398131353"/>
      <w:bookmarkStart w:id="661" w:name="_Toc403739164"/>
      <w:bookmarkEnd w:id="660"/>
      <w:r w:rsidRPr="00DF38B2">
        <w:lastRenderedPageBreak/>
        <w:t>Broader questions</w:t>
      </w:r>
      <w:bookmarkEnd w:id="661"/>
    </w:p>
    <w:p w:rsidR="00417B51" w:rsidRPr="00DF38B2" w:rsidRDefault="00417B51" w:rsidP="006654AE">
      <w:pPr>
        <w:pStyle w:val="Evalheadings"/>
      </w:pPr>
      <w:r w:rsidRPr="00DF38B2">
        <w:t xml:space="preserve">(c) What impact does New Income Management have on movement in and out of Northern Territory among people on the measure? </w:t>
      </w:r>
    </w:p>
    <w:p w:rsidR="00417B51" w:rsidRPr="00DF38B2" w:rsidRDefault="00417B51" w:rsidP="006654AE">
      <w:r w:rsidRPr="00DF38B2">
        <w:t xml:space="preserve">This question was addressed in the </w:t>
      </w:r>
      <w:r w:rsidR="002B3CEA">
        <w:t>F</w:t>
      </w:r>
      <w:r w:rsidRPr="00DF38B2">
        <w:t xml:space="preserve">irst </w:t>
      </w:r>
      <w:r w:rsidR="002B3CEA">
        <w:t>E</w:t>
      </w:r>
      <w:r w:rsidRPr="00DF38B2">
        <w:t xml:space="preserve">valuation </w:t>
      </w:r>
      <w:r w:rsidR="002B3CEA">
        <w:t>R</w:t>
      </w:r>
      <w:r w:rsidRPr="00DF38B2">
        <w:t xml:space="preserve">eport. The evaluation finding was that there is no evidence of any change in the level of movement in and out of </w:t>
      </w:r>
      <w:r w:rsidR="009E23C8">
        <w:t xml:space="preserve">the </w:t>
      </w:r>
      <w:r w:rsidRPr="00DF38B2">
        <w:t xml:space="preserve">Northern Territory among people on the measure. </w:t>
      </w:r>
    </w:p>
    <w:p w:rsidR="00417B51" w:rsidRPr="00DF38B2" w:rsidRDefault="00417B51" w:rsidP="006654AE">
      <w:r w:rsidRPr="00DF38B2">
        <w:t>While a number of the people identified as exiting income management are recorded as continuing to receive income support in locations outside the Northern Territory</w:t>
      </w:r>
      <w:r w:rsidR="009E23C8">
        <w:t>,</w:t>
      </w:r>
      <w:r w:rsidRPr="00DF38B2">
        <w:t xml:space="preserve"> the extent to which this occurs is not inconsistent with other indicators of mobility.</w:t>
      </w:r>
    </w:p>
    <w:p w:rsidR="00417B51" w:rsidRPr="00DF38B2" w:rsidRDefault="00417B51" w:rsidP="006654AE">
      <w:r w:rsidRPr="00DF38B2">
        <w:t>Given these initial findings no further analysis on this question has been undertaken.</w:t>
      </w:r>
    </w:p>
    <w:p w:rsidR="00417B51" w:rsidRPr="00DF38B2" w:rsidRDefault="00417B51" w:rsidP="006654AE">
      <w:pPr>
        <w:pStyle w:val="Evalheadings"/>
      </w:pPr>
      <w:r w:rsidRPr="00DF38B2">
        <w:t>(h)</w:t>
      </w:r>
      <w:r w:rsidRPr="00DF38B2">
        <w:tab/>
        <w:t xml:space="preserve">Does income management provide value for money by comparison with other interventions? </w:t>
      </w:r>
    </w:p>
    <w:p w:rsidR="00417B51" w:rsidRPr="00DF38B2" w:rsidRDefault="00417B51" w:rsidP="006654AE">
      <w:pPr>
        <w:spacing w:line="276" w:lineRule="auto"/>
      </w:pPr>
      <w:r w:rsidRPr="00DF38B2">
        <w:t xml:space="preserve">As noted in Chapter 1, this component of the evaluation has not been undertaken. DSS requested, because of the problems of trying to disentangle the specific expenditures on income management from other </w:t>
      </w:r>
      <w:r w:rsidR="00C54FFC" w:rsidRPr="00DF38B2">
        <w:t>D</w:t>
      </w:r>
      <w:r w:rsidR="00C54FFC">
        <w:t>SS</w:t>
      </w:r>
      <w:r w:rsidR="00C54FFC" w:rsidRPr="00DF38B2">
        <w:t xml:space="preserve"> </w:t>
      </w:r>
      <w:r w:rsidRPr="00DF38B2">
        <w:t>and DHS expenditures, and the problem of identifying quantifiable outcomes to which a value can be attached, that this element of the evaluation not be taken forward .</w:t>
      </w:r>
    </w:p>
    <w:p w:rsidR="00417B51" w:rsidRPr="00DF38B2" w:rsidRDefault="00417B51" w:rsidP="006654AE">
      <w:r w:rsidRPr="00DF38B2">
        <w:t>While we have not attempted to estimate the economic return from income management, the combination of it being a relatively expensive program with an average cost of around $5,000 per person per year</w:t>
      </w:r>
      <w:r w:rsidR="009E23C8">
        <w:t>,</w:t>
      </w:r>
      <w:r w:rsidRPr="00DF38B2">
        <w:t xml:space="preserve"> and the lack of evidence for widespread positive impacts means that the cost of any benefits would be very high. For example, a five per cent improvement in an outcome would cost the government about $100,000 </w:t>
      </w:r>
      <w:r w:rsidR="006E2187" w:rsidRPr="00DF38B2">
        <w:t xml:space="preserve">per year for each </w:t>
      </w:r>
      <w:r w:rsidRPr="00DF38B2">
        <w:t xml:space="preserve">person who benefits. </w:t>
      </w:r>
    </w:p>
    <w:p w:rsidR="00417B51" w:rsidRPr="00DF38B2" w:rsidRDefault="00417B51" w:rsidP="006654AE">
      <w:pPr>
        <w:pStyle w:val="Heading2"/>
      </w:pPr>
      <w:bookmarkStart w:id="662" w:name="_Toc403739165"/>
      <w:r w:rsidRPr="00DF38B2">
        <w:t>Research questions for specific streams of the</w:t>
      </w:r>
      <w:r w:rsidR="00C32D5A">
        <w:t xml:space="preserve"> New Income Management</w:t>
      </w:r>
      <w:r w:rsidRPr="00DF38B2">
        <w:t xml:space="preserve"> model</w:t>
      </w:r>
      <w:bookmarkEnd w:id="662"/>
    </w:p>
    <w:p w:rsidR="00417B51" w:rsidRPr="00DF38B2" w:rsidRDefault="00417B51" w:rsidP="006654AE">
      <w:r w:rsidRPr="00DF38B2">
        <w:t>The Evaluation framework contained a set of specific questions on</w:t>
      </w:r>
      <w:r w:rsidR="00C54FFC">
        <w:t>:</w:t>
      </w:r>
    </w:p>
    <w:p w:rsidR="00417B51" w:rsidRPr="00DF38B2" w:rsidRDefault="00417B51" w:rsidP="006654AE">
      <w:pPr>
        <w:pStyle w:val="dot"/>
      </w:pPr>
      <w:r w:rsidRPr="00DF38B2">
        <w:t>Compulsory Income Management</w:t>
      </w:r>
    </w:p>
    <w:p w:rsidR="00417B51" w:rsidRPr="00DF38B2" w:rsidRDefault="00417B51" w:rsidP="006654AE">
      <w:pPr>
        <w:pStyle w:val="dot"/>
      </w:pPr>
      <w:r w:rsidRPr="00DF38B2">
        <w:t>Vulnerable Income Management</w:t>
      </w:r>
    </w:p>
    <w:p w:rsidR="00417B51" w:rsidRPr="00DF38B2" w:rsidRDefault="00417B51" w:rsidP="006654AE">
      <w:pPr>
        <w:pStyle w:val="dot"/>
      </w:pPr>
      <w:r w:rsidRPr="00DF38B2">
        <w:t>V</w:t>
      </w:r>
      <w:r w:rsidR="009E23C8">
        <w:t>oluntary</w:t>
      </w:r>
      <w:r w:rsidRPr="00DF38B2">
        <w:t xml:space="preserve"> Income Management</w:t>
      </w:r>
    </w:p>
    <w:p w:rsidR="00417B51" w:rsidRPr="00DF38B2" w:rsidRDefault="00417B51" w:rsidP="006654AE">
      <w:pPr>
        <w:pStyle w:val="dot"/>
      </w:pPr>
      <w:r w:rsidRPr="00DF38B2">
        <w:t>Child Protection Income Management</w:t>
      </w:r>
      <w:r w:rsidR="00821E1A">
        <w:t>.</w:t>
      </w:r>
    </w:p>
    <w:p w:rsidR="00417B51" w:rsidRDefault="00187191" w:rsidP="006654AE">
      <w:r>
        <w:t xml:space="preserve">These </w:t>
      </w:r>
      <w:r w:rsidR="00BD1599">
        <w:t xml:space="preserve">questions </w:t>
      </w:r>
      <w:r>
        <w:t>are considered below.</w:t>
      </w:r>
    </w:p>
    <w:p w:rsidR="00C47730" w:rsidRPr="00DF38B2" w:rsidRDefault="00C47730" w:rsidP="006654AE">
      <w:pPr>
        <w:pStyle w:val="tablefootnoteslastline"/>
      </w:pPr>
    </w:p>
    <w:p w:rsidR="00417B51" w:rsidRPr="00DF38B2" w:rsidRDefault="00417B51" w:rsidP="006654AE">
      <w:pPr>
        <w:pStyle w:val="Heading3"/>
        <w:tabs>
          <w:tab w:val="left" w:pos="2357"/>
        </w:tabs>
      </w:pPr>
      <w:bookmarkStart w:id="663" w:name="_Toc403739166"/>
      <w:r w:rsidRPr="00DF38B2">
        <w:t>Questions specific to the Compulsory Income Management stream</w:t>
      </w:r>
      <w:r w:rsidRPr="00DF38B2">
        <w:rPr>
          <w:rStyle w:val="FootnoteReference"/>
        </w:rPr>
        <w:footnoteReference w:id="157"/>
      </w:r>
      <w:bookmarkEnd w:id="663"/>
    </w:p>
    <w:p w:rsidR="00417B51" w:rsidRPr="00DF38B2" w:rsidRDefault="00417B51" w:rsidP="006654AE">
      <w:pPr>
        <w:pStyle w:val="Evalheadings"/>
      </w:pPr>
      <w:r w:rsidRPr="00DF38B2">
        <w:t>1.</w:t>
      </w:r>
      <w:r w:rsidRPr="00DF38B2">
        <w:tab/>
        <w:t xml:space="preserve">Has New Income Management helped to facilitate better management of finances in the short, medium and long-term for people on income management and their families? </w:t>
      </w:r>
    </w:p>
    <w:p w:rsidR="00417B51" w:rsidRPr="00DF38B2" w:rsidRDefault="00417B51" w:rsidP="006654AE">
      <w:r w:rsidRPr="00DF38B2">
        <w:t xml:space="preserve">As discussed in relation to the overall assessment of the impact of income management on financial management skills, the evaluation evidence is that income management has not assisted the vast majority of people subject to Compulsory Income Management to </w:t>
      </w:r>
      <w:r w:rsidR="00D22917">
        <w:t xml:space="preserve">improve their </w:t>
      </w:r>
      <w:r w:rsidRPr="00DF38B2">
        <w:t>manage</w:t>
      </w:r>
      <w:r w:rsidR="00D22917">
        <w:t>ment of</w:t>
      </w:r>
      <w:r w:rsidRPr="00DF38B2">
        <w:t xml:space="preserve"> their finances over the short, medium or long term</w:t>
      </w:r>
      <w:r w:rsidR="00D22917">
        <w:t>,</w:t>
      </w:r>
      <w:r w:rsidRPr="00DF38B2">
        <w:t xml:space="preserve"> or to develop financial management skills.</w:t>
      </w:r>
    </w:p>
    <w:p w:rsidR="00417B51" w:rsidRPr="00DF38B2" w:rsidRDefault="00417B51" w:rsidP="006654AE">
      <w:pPr>
        <w:pStyle w:val="Evalheadings"/>
      </w:pPr>
      <w:r w:rsidRPr="00DF38B2">
        <w:lastRenderedPageBreak/>
        <w:t>2.</w:t>
      </w:r>
      <w:r w:rsidRPr="00DF38B2">
        <w:tab/>
        <w:t xml:space="preserve">Has access to services or interventions improved for those families? </w:t>
      </w:r>
    </w:p>
    <w:p w:rsidR="00417B51" w:rsidRPr="00DF38B2" w:rsidRDefault="00417B51" w:rsidP="006654AE">
      <w:r w:rsidRPr="00DF38B2">
        <w:t xml:space="preserve">The evaluation has not been able to quantify changes in access to services, nor to assess the quality of service provision in the Northern Territory and how this has changed over time. However, there are many new service initiatives instigated in the Northern Territory and services continue to be implemented. </w:t>
      </w:r>
    </w:p>
    <w:p w:rsidR="00417B51" w:rsidRPr="00DF38B2" w:rsidRDefault="00417B51" w:rsidP="006654AE">
      <w:r w:rsidRPr="00DF38B2">
        <w:t xml:space="preserve">There is no evidence that income management has contributed to better access to services or interventions for families, other than money management and financial counselling services </w:t>
      </w:r>
      <w:r w:rsidR="00D22917">
        <w:t>that</w:t>
      </w:r>
      <w:r w:rsidRPr="00DF38B2">
        <w:t xml:space="preserve"> are funded as part of New Income Management, and Intensive Family Support Services</w:t>
      </w:r>
      <w:r w:rsidR="00D22917">
        <w:t xml:space="preserve"> that</w:t>
      </w:r>
      <w:r w:rsidRPr="00DF38B2">
        <w:t xml:space="preserve"> are linked to Child Protection Income Management</w:t>
      </w:r>
      <w:r w:rsidR="00D22917">
        <w:t xml:space="preserve"> – </w:t>
      </w:r>
      <w:r w:rsidRPr="00DF38B2">
        <w:t xml:space="preserve">and which will be discussed with the findings from that stream. </w:t>
      </w:r>
    </w:p>
    <w:p w:rsidR="00417B51" w:rsidRPr="00DF38B2" w:rsidRDefault="00417B51" w:rsidP="006654AE">
      <w:pPr>
        <w:pStyle w:val="Evalheadings"/>
      </w:pPr>
      <w:r w:rsidRPr="00DF38B2">
        <w:t>3.</w:t>
      </w:r>
      <w:r w:rsidRPr="00DF38B2">
        <w:tab/>
        <w:t>Have other changes in the wellbeing and capabilities of the individuals and families occurred?</w:t>
      </w:r>
    </w:p>
    <w:p w:rsidR="00417B51" w:rsidRPr="00DF38B2" w:rsidRDefault="006E2187" w:rsidP="006654AE">
      <w:r w:rsidRPr="00DF38B2">
        <w:t xml:space="preserve">There is no </w:t>
      </w:r>
      <w:r w:rsidR="00417B51" w:rsidRPr="00DF38B2">
        <w:t>evidence of other changes in the wellbeing and capabilities of the individuals subject to Compulsory Income Management or that of their families that can be attributed to income management.</w:t>
      </w:r>
    </w:p>
    <w:p w:rsidR="00417B51" w:rsidRPr="00DF38B2" w:rsidRDefault="00417B51" w:rsidP="006654AE">
      <w:pPr>
        <w:pStyle w:val="tablefootnoteslastline"/>
      </w:pPr>
    </w:p>
    <w:p w:rsidR="00417B51" w:rsidRPr="00DF38B2" w:rsidRDefault="00417B51" w:rsidP="006654AE">
      <w:pPr>
        <w:pStyle w:val="Heading3"/>
      </w:pPr>
      <w:bookmarkStart w:id="664" w:name="_Ref392582991"/>
      <w:bookmarkStart w:id="665" w:name="_Toc403739167"/>
      <w:r w:rsidRPr="00DF38B2">
        <w:t>Questions specific to the vulnerable stream</w:t>
      </w:r>
      <w:bookmarkEnd w:id="664"/>
      <w:bookmarkEnd w:id="665"/>
      <w:r w:rsidRPr="00DF38B2">
        <w:t xml:space="preserve"> </w:t>
      </w:r>
    </w:p>
    <w:p w:rsidR="00417B51" w:rsidRPr="00DF38B2" w:rsidRDefault="00417B51" w:rsidP="006654AE">
      <w:r w:rsidRPr="00DF38B2">
        <w:t xml:space="preserve">When New Income Management was introduced there was a single steam of Vulnerable Income Management, with people being placed on this form of income management on the basis of assessment by a Centrelink social </w:t>
      </w:r>
      <w:proofErr w:type="gramStart"/>
      <w:r w:rsidRPr="00DF38B2">
        <w:t>worker.</w:t>
      </w:r>
      <w:proofErr w:type="gramEnd"/>
      <w:r w:rsidRPr="00DF38B2">
        <w:t xml:space="preserve"> From July 2013 three new forms of Vulnerable Income Management were introduced </w:t>
      </w:r>
      <w:r w:rsidR="00D22917">
        <w:t>that</w:t>
      </w:r>
      <w:r w:rsidRPr="00DF38B2">
        <w:t xml:space="preserve"> have an automatic trigger which results in people </w:t>
      </w:r>
      <w:r w:rsidR="00D22917">
        <w:t xml:space="preserve">being </w:t>
      </w:r>
      <w:r w:rsidRPr="00DF38B2">
        <w:t>placed on the measure. The trigger</w:t>
      </w:r>
      <w:r w:rsidR="00D22917">
        <w:t xml:space="preserve"> criteria</w:t>
      </w:r>
      <w:r w:rsidRPr="00DF38B2">
        <w:t xml:space="preserve"> are</w:t>
      </w:r>
      <w:r w:rsidR="00D22917">
        <w:t>:</w:t>
      </w:r>
      <w:r w:rsidRPr="00DF38B2">
        <w:t xml:space="preserve"> being assessed as being Un</w:t>
      </w:r>
      <w:r w:rsidR="00EF3E03">
        <w:t>reason</w:t>
      </w:r>
      <w:r w:rsidRPr="00DF38B2">
        <w:t>able to Live at Home for the purposes of Youth Allowance</w:t>
      </w:r>
      <w:r w:rsidR="00D22917">
        <w:t>;</w:t>
      </w:r>
      <w:r w:rsidRPr="00DF38B2">
        <w:t xml:space="preserve"> being under 16 years of age and receiving</w:t>
      </w:r>
      <w:r w:rsidR="00B84AFE">
        <w:t xml:space="preserve"> </w:t>
      </w:r>
      <w:r w:rsidRPr="00DF38B2">
        <w:t>Special Benefit</w:t>
      </w:r>
      <w:r w:rsidR="00D22917">
        <w:t>;</w:t>
      </w:r>
      <w:r w:rsidRPr="00DF38B2">
        <w:t xml:space="preserve"> and being under 25 years of age</w:t>
      </w:r>
      <w:r w:rsidR="00AE733A">
        <w:t>;</w:t>
      </w:r>
      <w:r w:rsidRPr="00DF38B2">
        <w:t xml:space="preserve"> and receiving a Crisis Payment on release from prison</w:t>
      </w:r>
      <w:r w:rsidR="00A1421A">
        <w:t xml:space="preserve">. </w:t>
      </w:r>
    </w:p>
    <w:p w:rsidR="00417B51" w:rsidRPr="00DF38B2" w:rsidRDefault="00417B51" w:rsidP="006654AE">
      <w:r w:rsidRPr="00DF38B2">
        <w:t xml:space="preserve">In December 2013, there were 170 people subject to assessed Vulnerable Income Management and 255 </w:t>
      </w:r>
      <w:r w:rsidR="00D22917">
        <w:t xml:space="preserve">people </w:t>
      </w:r>
      <w:r w:rsidRPr="00DF38B2">
        <w:t>subject to automatic Vulnerable (165 on Un</w:t>
      </w:r>
      <w:r w:rsidR="00EF3E03">
        <w:t>reason</w:t>
      </w:r>
      <w:r w:rsidRPr="00DF38B2">
        <w:t>able to Live at Home, 3 on Special Benefit</w:t>
      </w:r>
      <w:r w:rsidR="00D22917">
        <w:t>,</w:t>
      </w:r>
      <w:r w:rsidRPr="00DF38B2">
        <w:t xml:space="preserve"> and 87 on Crisis Payment). While the evaluation considers</w:t>
      </w:r>
      <w:r w:rsidR="00D22917" w:rsidRPr="00D22917">
        <w:t xml:space="preserve"> </w:t>
      </w:r>
      <w:r w:rsidR="00D22917" w:rsidRPr="00DF38B2">
        <w:t>the automatic Vulnerable measures</w:t>
      </w:r>
      <w:r w:rsidRPr="00DF38B2">
        <w:t xml:space="preserve"> to the extent that there </w:t>
      </w:r>
      <w:r w:rsidR="00D22917">
        <w:t>are</w:t>
      </w:r>
      <w:r w:rsidRPr="00DF38B2">
        <w:t xml:space="preserve"> available data, the recent introduction of these measures and the small numbers of people on them means that there is little evidence available on outcomes.</w:t>
      </w:r>
    </w:p>
    <w:p w:rsidR="00417B51" w:rsidRPr="00DF38B2" w:rsidRDefault="00417B51" w:rsidP="006654AE">
      <w:pPr>
        <w:pStyle w:val="Evalheadings"/>
      </w:pPr>
      <w:r w:rsidRPr="00DF38B2">
        <w:t>1.</w:t>
      </w:r>
      <w:r w:rsidRPr="00DF38B2">
        <w:tab/>
        <w:t xml:space="preserve">Are vulnerable people appropriately targeted by this measure? </w:t>
      </w:r>
    </w:p>
    <w:p w:rsidR="00417B51" w:rsidRPr="00DF38B2" w:rsidRDefault="00417B51" w:rsidP="006654AE">
      <w:r w:rsidRPr="00DF38B2">
        <w:t xml:space="preserve">Assessed Vulnerable Income Management is used in a very small number of cases and as discussed in relation to the overall question about the targeting of income management, assessed Vulnerable is possibly crowded out by Compulsory Income Management and Voluntary Income Management. In December 2013, </w:t>
      </w:r>
      <w:r w:rsidR="00D22917">
        <w:t>98</w:t>
      </w:r>
      <w:r w:rsidRPr="00DF38B2">
        <w:t> per cent of those on assessed Vulnerable Income Management were Indigenous</w:t>
      </w:r>
      <w:r w:rsidR="00D22917">
        <w:t>,</w:t>
      </w:r>
      <w:r w:rsidRPr="00DF38B2">
        <w:t xml:space="preserve"> and it is not clear why so few non-Indigenous Centrelink clients are deemed to be suitable for this measure despite the fact that there are likely to be many non-Indigenous income support recipients who are equally vulnerable.</w:t>
      </w:r>
    </w:p>
    <w:p w:rsidR="00417B51" w:rsidRPr="00DF38B2" w:rsidRDefault="00417B51" w:rsidP="006654AE">
      <w:r w:rsidRPr="00DF38B2">
        <w:t xml:space="preserve">The indicators are that many of the people subject to Vulnerable Income Management have long-term chronic conditions </w:t>
      </w:r>
      <w:r w:rsidR="00D22917">
        <w:t>that</w:t>
      </w:r>
      <w:r w:rsidRPr="00DF38B2">
        <w:t xml:space="preserve"> limit their ability to care for </w:t>
      </w:r>
      <w:proofErr w:type="gramStart"/>
      <w:r w:rsidRPr="00DF38B2">
        <w:t>themselves</w:t>
      </w:r>
      <w:proofErr w:type="gramEnd"/>
      <w:r w:rsidR="006063DD">
        <w:t>;</w:t>
      </w:r>
      <w:r w:rsidRPr="00DF38B2">
        <w:t xml:space="preserve"> analysis of numbers of replacement BasicsCards being issued, failed transactions</w:t>
      </w:r>
      <w:r w:rsidR="006063DD">
        <w:t>,</w:t>
      </w:r>
      <w:r w:rsidRPr="00DF38B2">
        <w:t xml:space="preserve"> and income management account balances suggests that the group has very poor financial management skills.</w:t>
      </w:r>
    </w:p>
    <w:p w:rsidR="00417B51" w:rsidRPr="00DF38B2" w:rsidRDefault="00417B51" w:rsidP="006654AE">
      <w:r w:rsidRPr="00DF38B2">
        <w:t>The reasons why there are so few non-Indigenous people on the Vulnerable measure requires further investigation, especially since there are large numbers of non-Indigenous</w:t>
      </w:r>
      <w:r w:rsidR="00B84AFE">
        <w:t xml:space="preserve"> </w:t>
      </w:r>
      <w:r w:rsidRPr="00DF38B2">
        <w:t>income support recipients on D</w:t>
      </w:r>
      <w:r w:rsidR="00C54FFC">
        <w:t xml:space="preserve">isability </w:t>
      </w:r>
      <w:r w:rsidRPr="00DF38B2">
        <w:t>S</w:t>
      </w:r>
      <w:r w:rsidR="00C54FFC">
        <w:t xml:space="preserve">upport </w:t>
      </w:r>
      <w:r w:rsidRPr="00DF38B2">
        <w:t>P</w:t>
      </w:r>
      <w:r w:rsidR="00C54FFC">
        <w:t>ension</w:t>
      </w:r>
      <w:r w:rsidRPr="00DF38B2">
        <w:t xml:space="preserve"> and Age Pension, which are most associated with this measure.</w:t>
      </w:r>
    </w:p>
    <w:p w:rsidR="00417B51" w:rsidRPr="00DF38B2" w:rsidRDefault="00417B51" w:rsidP="006654AE">
      <w:r w:rsidRPr="00DF38B2">
        <w:t>In contrast</w:t>
      </w:r>
      <w:r w:rsidR="006063DD">
        <w:t>,</w:t>
      </w:r>
      <w:r w:rsidRPr="00DF38B2">
        <w:t xml:space="preserve"> the automatic Vulnerable measure</w:t>
      </w:r>
      <w:r w:rsidR="006063DD">
        <w:t>,</w:t>
      </w:r>
      <w:r w:rsidRPr="00DF38B2">
        <w:t xml:space="preserve"> in particular those on the </w:t>
      </w:r>
      <w:r w:rsidR="00C54FFC">
        <w:t xml:space="preserve">Unreasonable to </w:t>
      </w:r>
      <w:proofErr w:type="gramStart"/>
      <w:r w:rsidR="00C54FFC">
        <w:t>Live</w:t>
      </w:r>
      <w:proofErr w:type="gramEnd"/>
      <w:r w:rsidR="00C54FFC">
        <w:t xml:space="preserve"> at Home</w:t>
      </w:r>
      <w:r w:rsidR="00C54FFC" w:rsidRPr="00DF38B2">
        <w:t xml:space="preserve"> </w:t>
      </w:r>
      <w:r w:rsidRPr="00DF38B2">
        <w:t>measure</w:t>
      </w:r>
      <w:r w:rsidR="006063DD">
        <w:t>,</w:t>
      </w:r>
      <w:r w:rsidRPr="00DF38B2">
        <w:t xml:space="preserve"> do not</w:t>
      </w:r>
      <w:r w:rsidR="0007578C">
        <w:t xml:space="preserve"> appear to</w:t>
      </w:r>
      <w:r w:rsidRPr="00DF38B2">
        <w:t xml:space="preserve"> have particularly </w:t>
      </w:r>
      <w:r w:rsidR="00A8053C" w:rsidRPr="00DF38B2">
        <w:t>poor financial</w:t>
      </w:r>
      <w:r w:rsidRPr="00DF38B2">
        <w:t xml:space="preserve"> management</w:t>
      </w:r>
      <w:r w:rsidR="00AF5B1C">
        <w:t xml:space="preserve"> outcomes</w:t>
      </w:r>
      <w:r w:rsidR="00A1421A">
        <w:t xml:space="preserve">. </w:t>
      </w:r>
      <w:r w:rsidRPr="00DF38B2">
        <w:t>The small numbers on the other measures limit our capacity to make any substantive finding</w:t>
      </w:r>
    </w:p>
    <w:p w:rsidR="00417B51" w:rsidRPr="00DF38B2" w:rsidRDefault="00417B51" w:rsidP="006654AE">
      <w:pPr>
        <w:pStyle w:val="Evalheadings"/>
      </w:pPr>
      <w:r w:rsidRPr="00DF38B2">
        <w:lastRenderedPageBreak/>
        <w:t>2.</w:t>
      </w:r>
      <w:r w:rsidRPr="00DF38B2">
        <w:tab/>
        <w:t xml:space="preserve">How does income management impact on the vulnerability of individuals? </w:t>
      </w:r>
    </w:p>
    <w:p w:rsidR="00417B51" w:rsidRPr="00DF38B2" w:rsidRDefault="00417B51" w:rsidP="006654AE">
      <w:r w:rsidRPr="00DF38B2">
        <w:t xml:space="preserve">Evaluation evidence is that </w:t>
      </w:r>
      <w:r w:rsidR="006063DD">
        <w:t xml:space="preserve">assessed </w:t>
      </w:r>
      <w:r w:rsidRPr="00DF38B2">
        <w:t xml:space="preserve">Vulnerable Income Management can provide a degree of </w:t>
      </w:r>
      <w:r w:rsidR="006063DD">
        <w:t>“</w:t>
      </w:r>
      <w:r w:rsidRPr="00DF38B2">
        <w:t>harm minimisation</w:t>
      </w:r>
      <w:r w:rsidR="006063DD">
        <w:t>”</w:t>
      </w:r>
      <w:r w:rsidRPr="00DF38B2">
        <w:t xml:space="preserve"> for people who are vulnerable by assisting in coping with their financial situation and possibly by reducing, but not eliminating, financial harassment. </w:t>
      </w:r>
      <w:r w:rsidR="006063DD">
        <w:t>The V</w:t>
      </w:r>
      <w:r w:rsidR="00AF5B1C">
        <w:t xml:space="preserve">ulnerable </w:t>
      </w:r>
      <w:r w:rsidR="006063DD">
        <w:t>I</w:t>
      </w:r>
      <w:r w:rsidR="00AF5B1C">
        <w:t xml:space="preserve">ncome </w:t>
      </w:r>
      <w:r w:rsidR="006063DD">
        <w:t>M</w:t>
      </w:r>
      <w:r w:rsidR="00AF5B1C">
        <w:t>anagement</w:t>
      </w:r>
      <w:r w:rsidR="006063DD">
        <w:t xml:space="preserve"> program</w:t>
      </w:r>
      <w:r w:rsidRPr="00DF38B2">
        <w:t xml:space="preserve"> has </w:t>
      </w:r>
      <w:r w:rsidR="006063DD" w:rsidRPr="00DF38B2">
        <w:t xml:space="preserve">also </w:t>
      </w:r>
      <w:r w:rsidRPr="00DF38B2">
        <w:t xml:space="preserve">increased the extent to which people are assessed regularly by Centrelink and have regular contact with Centrelink. </w:t>
      </w:r>
    </w:p>
    <w:p w:rsidR="00417B51" w:rsidRPr="00DF38B2" w:rsidRDefault="00417B51" w:rsidP="006654AE">
      <w:r w:rsidRPr="00DF38B2">
        <w:t>However, it does not address the underlying chronic difficulties of the clients which, in the view</w:t>
      </w:r>
      <w:r w:rsidR="006063DD">
        <w:t xml:space="preserve"> of respondents</w:t>
      </w:r>
      <w:r w:rsidRPr="00DF38B2">
        <w:t>, require a high level of support that is often not available. The evaluation data suggest that people on Vulnerable Income Management have long durations on income management</w:t>
      </w:r>
      <w:r w:rsidR="00A1421A">
        <w:t xml:space="preserve">. </w:t>
      </w:r>
    </w:p>
    <w:p w:rsidR="00417B51" w:rsidRPr="00DF38B2" w:rsidRDefault="00417B51" w:rsidP="006654AE">
      <w:pPr>
        <w:pStyle w:val="Evalheadings"/>
      </w:pPr>
      <w:r w:rsidRPr="00DF38B2">
        <w:t>3.</w:t>
      </w:r>
      <w:r w:rsidRPr="00DF38B2">
        <w:tab/>
        <w:t>Have people on this stream experienced changes in the level of harassment (e.g. humbugging)?</w:t>
      </w:r>
      <w:r w:rsidRPr="00DF38B2">
        <w:tab/>
      </w:r>
    </w:p>
    <w:p w:rsidR="00417B51" w:rsidRPr="00DF38B2" w:rsidRDefault="00417B51" w:rsidP="006654AE">
      <w:r w:rsidRPr="00DF38B2">
        <w:t xml:space="preserve">Evaluation evidence is that income management that assessed Vulnerable Income Management can provide a degree of </w:t>
      </w:r>
      <w:r w:rsidR="006063DD">
        <w:t>“</w:t>
      </w:r>
      <w:r w:rsidRPr="00DF38B2">
        <w:t>harm minimisation</w:t>
      </w:r>
      <w:r w:rsidR="006063DD">
        <w:t>”</w:t>
      </w:r>
      <w:r w:rsidRPr="00DF38B2">
        <w:t xml:space="preserve"> and can help </w:t>
      </w:r>
      <w:r w:rsidR="006063DD">
        <w:t xml:space="preserve">to </w:t>
      </w:r>
      <w:r w:rsidRPr="00DF38B2">
        <w:t>reduce, but not eliminate, financial harassment. However, it does not address the underlying chronic difficulties of the clients which, in their view, require a high level of support that is often not available</w:t>
      </w:r>
      <w:r w:rsidR="00A1421A">
        <w:t xml:space="preserve">. </w:t>
      </w:r>
      <w:r w:rsidRPr="00DF38B2">
        <w:t xml:space="preserve">We have not been able to collect data on this group to </w:t>
      </w:r>
      <w:r w:rsidR="006063DD">
        <w:t>determine</w:t>
      </w:r>
      <w:r w:rsidRPr="00DF38B2">
        <w:t xml:space="preserve"> whether they have increased their own level of humbugging.</w:t>
      </w:r>
    </w:p>
    <w:p w:rsidR="00417B51" w:rsidRDefault="00417B51" w:rsidP="006654AE">
      <w:r w:rsidRPr="00DF38B2">
        <w:t xml:space="preserve">Centrelink staff value assessed Vulnerable Income Management as an option for vulnerable clients without seeking legal guardianship or similar measures. </w:t>
      </w:r>
    </w:p>
    <w:p w:rsidR="00C47730" w:rsidRPr="00DF38B2" w:rsidRDefault="00C47730" w:rsidP="006654AE"/>
    <w:p w:rsidR="00417B51" w:rsidRPr="00DF38B2" w:rsidRDefault="00417B51" w:rsidP="006654AE">
      <w:pPr>
        <w:pStyle w:val="Heading3"/>
      </w:pPr>
      <w:bookmarkStart w:id="666" w:name="_Toc395086596"/>
      <w:bookmarkStart w:id="667" w:name="_Toc395100691"/>
      <w:bookmarkStart w:id="668" w:name="_Toc403739168"/>
      <w:bookmarkEnd w:id="666"/>
      <w:bookmarkEnd w:id="667"/>
      <w:r w:rsidRPr="00DF38B2">
        <w:t>Questions specific to the voluntary stream</w:t>
      </w:r>
      <w:bookmarkEnd w:id="668"/>
    </w:p>
    <w:p w:rsidR="00417B51" w:rsidRPr="00DF38B2" w:rsidRDefault="00417B51" w:rsidP="006654AE">
      <w:r w:rsidRPr="00DF38B2">
        <w:t xml:space="preserve">Under this stream people who are not subject to </w:t>
      </w:r>
      <w:r w:rsidR="00C54FFC">
        <w:t>C</w:t>
      </w:r>
      <w:r w:rsidRPr="00DF38B2">
        <w:t xml:space="preserve">ompulsory </w:t>
      </w:r>
      <w:r w:rsidR="00C54FFC">
        <w:t>I</w:t>
      </w:r>
      <w:r w:rsidRPr="00DF38B2">
        <w:t xml:space="preserve">ncome </w:t>
      </w:r>
      <w:r w:rsidR="00C54FFC">
        <w:t>M</w:t>
      </w:r>
      <w:r w:rsidRPr="00DF38B2">
        <w:t>anagement</w:t>
      </w:r>
      <w:r w:rsidR="00C54FFC">
        <w:t xml:space="preserve"> (including the targeted measures)</w:t>
      </w:r>
      <w:r w:rsidRPr="00DF38B2">
        <w:t xml:space="preserve"> </w:t>
      </w:r>
      <w:r w:rsidR="00C54FFC">
        <w:t>can</w:t>
      </w:r>
      <w:r w:rsidRPr="00DF38B2">
        <w:t xml:space="preserve"> choose to be income managed</w:t>
      </w:r>
      <w:r w:rsidR="00A1421A">
        <w:t xml:space="preserve">. </w:t>
      </w:r>
      <w:r w:rsidRPr="00DF38B2">
        <w:t xml:space="preserve">People who choose to go onto the measure are paid a </w:t>
      </w:r>
      <w:r w:rsidR="006063DD">
        <w:t>“</w:t>
      </w:r>
      <w:r w:rsidRPr="00DF38B2">
        <w:t>Voluntary Income Management Incentive Payment</w:t>
      </w:r>
      <w:r w:rsidR="006063DD">
        <w:t>”</w:t>
      </w:r>
      <w:r w:rsidRPr="00DF38B2">
        <w:t xml:space="preserve"> of $250 for every 26 continuous weeks they remain on the program</w:t>
      </w:r>
      <w:r w:rsidR="00A1421A">
        <w:t xml:space="preserve">. </w:t>
      </w:r>
      <w:r w:rsidRPr="00DF38B2">
        <w:rPr>
          <w:color w:val="000000"/>
          <w:szCs w:val="19"/>
        </w:rPr>
        <w:t xml:space="preserve">In December 2013 there were </w:t>
      </w:r>
      <w:r w:rsidRPr="00DF38B2">
        <w:t>3,675 people on Voluntary Income Management in the Northern Territory. The number on Voluntary Income Management has gradually declined from its peak of 4,707</w:t>
      </w:r>
      <w:r w:rsidR="006063DD">
        <w:t>,</w:t>
      </w:r>
      <w:r w:rsidRPr="00DF38B2">
        <w:t xml:space="preserve"> which occurred with the </w:t>
      </w:r>
      <w:r w:rsidR="00D76AEA">
        <w:t>rollout</w:t>
      </w:r>
      <w:r w:rsidRPr="00DF38B2">
        <w:t xml:space="preserve"> of New Income Management during the second half of 2010. </w:t>
      </w:r>
    </w:p>
    <w:p w:rsidR="00417B51" w:rsidRPr="00DF38B2" w:rsidRDefault="00417B51" w:rsidP="006654AE">
      <w:r w:rsidRPr="00DF38B2">
        <w:t>This decline is a result of a range of factors</w:t>
      </w:r>
      <w:r w:rsidR="006063DD">
        <w:t>,</w:t>
      </w:r>
      <w:r w:rsidRPr="00DF38B2">
        <w:t xml:space="preserve"> with people exiting due to death, due to leaving income support</w:t>
      </w:r>
      <w:r w:rsidR="006063DD">
        <w:t>,</w:t>
      </w:r>
      <w:r w:rsidRPr="00DF38B2">
        <w:t xml:space="preserve"> and partly due to those leaving income management but remaining in receipt of an income support payment.</w:t>
      </w:r>
    </w:p>
    <w:p w:rsidR="00417B51" w:rsidRPr="00DF38B2" w:rsidRDefault="00417B51" w:rsidP="006654AE">
      <w:pPr>
        <w:shd w:val="clear" w:color="auto" w:fill="FFFFFF"/>
        <w:rPr>
          <w:color w:val="000000"/>
        </w:rPr>
      </w:pPr>
      <w:r w:rsidRPr="00DF38B2">
        <w:rPr>
          <w:color w:val="000000"/>
          <w:szCs w:val="19"/>
        </w:rPr>
        <w:t>Voluntary Income Management is general</w:t>
      </w:r>
      <w:r w:rsidR="006063DD">
        <w:rPr>
          <w:color w:val="000000"/>
          <w:szCs w:val="19"/>
        </w:rPr>
        <w:t>ly</w:t>
      </w:r>
      <w:r w:rsidRPr="00DF38B2">
        <w:rPr>
          <w:color w:val="000000"/>
          <w:szCs w:val="19"/>
        </w:rPr>
        <w:t xml:space="preserve"> viewed positively by those on the program</w:t>
      </w:r>
      <w:r w:rsidR="006063DD">
        <w:rPr>
          <w:color w:val="000000"/>
          <w:szCs w:val="19"/>
        </w:rPr>
        <w:t>:</w:t>
      </w:r>
      <w:r w:rsidRPr="00DF38B2">
        <w:rPr>
          <w:color w:val="000000"/>
          <w:szCs w:val="19"/>
        </w:rPr>
        <w:t xml:space="preserve"> they perceive it </w:t>
      </w:r>
      <w:r w:rsidR="006063DD">
        <w:rPr>
          <w:color w:val="000000"/>
          <w:szCs w:val="19"/>
        </w:rPr>
        <w:t xml:space="preserve">as </w:t>
      </w:r>
      <w:r w:rsidRPr="00DF38B2">
        <w:rPr>
          <w:color w:val="000000"/>
          <w:szCs w:val="19"/>
        </w:rPr>
        <w:t xml:space="preserve">making their lives </w:t>
      </w:r>
      <w:proofErr w:type="gramStart"/>
      <w:r w:rsidRPr="00DF38B2">
        <w:rPr>
          <w:color w:val="000000"/>
          <w:szCs w:val="19"/>
        </w:rPr>
        <w:t>easier,</w:t>
      </w:r>
      <w:proofErr w:type="gramEnd"/>
      <w:r w:rsidRPr="00DF38B2">
        <w:rPr>
          <w:color w:val="000000"/>
          <w:szCs w:val="19"/>
        </w:rPr>
        <w:t xml:space="preserve"> and providing access to a free transaction card</w:t>
      </w:r>
      <w:r w:rsidR="006063DD">
        <w:rPr>
          <w:color w:val="000000"/>
          <w:szCs w:val="19"/>
        </w:rPr>
        <w:t>. However,</w:t>
      </w:r>
      <w:r w:rsidRPr="00DF38B2">
        <w:rPr>
          <w:color w:val="000000"/>
          <w:szCs w:val="19"/>
        </w:rPr>
        <w:t xml:space="preserve"> </w:t>
      </w:r>
      <w:r w:rsidR="00837DB6">
        <w:rPr>
          <w:color w:val="000000"/>
          <w:szCs w:val="19"/>
        </w:rPr>
        <w:t xml:space="preserve">as documented elsewhere in this </w:t>
      </w:r>
      <w:r w:rsidR="000C4773">
        <w:rPr>
          <w:color w:val="000000"/>
          <w:szCs w:val="19"/>
        </w:rPr>
        <w:t>chapter,</w:t>
      </w:r>
      <w:r w:rsidR="000C4773" w:rsidRPr="00DF38B2">
        <w:rPr>
          <w:color w:val="000000"/>
          <w:szCs w:val="19"/>
        </w:rPr>
        <w:t xml:space="preserve"> it</w:t>
      </w:r>
      <w:r w:rsidRPr="00DF38B2">
        <w:rPr>
          <w:color w:val="000000"/>
          <w:szCs w:val="19"/>
        </w:rPr>
        <w:t xml:space="preserve"> has </w:t>
      </w:r>
      <w:r w:rsidR="00837DB6">
        <w:rPr>
          <w:color w:val="000000"/>
          <w:szCs w:val="19"/>
        </w:rPr>
        <w:t xml:space="preserve">relatively </w:t>
      </w:r>
      <w:r w:rsidRPr="00DF38B2">
        <w:rPr>
          <w:color w:val="000000"/>
          <w:szCs w:val="19"/>
        </w:rPr>
        <w:t xml:space="preserve">little impact on outcomes, and because of its attraction is likely to make people less likely to move off income support. Given the population is largely on the Disability Support Pension and Age Pension and living in circumstances </w:t>
      </w:r>
      <w:r w:rsidR="00817C48">
        <w:rPr>
          <w:color w:val="000000"/>
          <w:szCs w:val="19"/>
        </w:rPr>
        <w:t>in which</w:t>
      </w:r>
      <w:r w:rsidRPr="00DF38B2">
        <w:rPr>
          <w:color w:val="000000"/>
          <w:szCs w:val="19"/>
        </w:rPr>
        <w:t xml:space="preserve"> they are unlikely to gain employment</w:t>
      </w:r>
      <w:r w:rsidR="00817C48">
        <w:rPr>
          <w:color w:val="000000"/>
          <w:szCs w:val="19"/>
        </w:rPr>
        <w:t>,</w:t>
      </w:r>
      <w:r w:rsidRPr="00DF38B2">
        <w:rPr>
          <w:color w:val="000000"/>
          <w:szCs w:val="19"/>
        </w:rPr>
        <w:t xml:space="preserve"> this however is of limited consequence</w:t>
      </w:r>
      <w:r w:rsidR="00A1421A">
        <w:rPr>
          <w:color w:val="000000"/>
          <w:szCs w:val="19"/>
        </w:rPr>
        <w:t xml:space="preserve">. </w:t>
      </w:r>
    </w:p>
    <w:p w:rsidR="00417B51" w:rsidRPr="00DF38B2" w:rsidRDefault="00417B51" w:rsidP="006654AE">
      <w:pPr>
        <w:pStyle w:val="Evalheadings"/>
      </w:pPr>
      <w:r w:rsidRPr="00DF38B2">
        <w:t>1.</w:t>
      </w:r>
      <w:r w:rsidRPr="00DF38B2">
        <w:tab/>
        <w:t xml:space="preserve">Have people who volunteered for income management been able to make an informed choice? </w:t>
      </w:r>
    </w:p>
    <w:p w:rsidR="00417B51" w:rsidRPr="00DF38B2" w:rsidRDefault="00417B51" w:rsidP="006654AE">
      <w:pPr>
        <w:spacing w:line="276" w:lineRule="auto"/>
        <w:rPr>
          <w:b/>
        </w:rPr>
      </w:pPr>
      <w:r w:rsidRPr="00DF38B2">
        <w:t>There is some evidence that Centrelink pushed individuals from NTER Income Management into Voluntary Income Management (</w:t>
      </w:r>
      <w:r w:rsidR="00817C48">
        <w:t xml:space="preserve">as </w:t>
      </w:r>
      <w:r w:rsidRPr="00DF38B2">
        <w:t>reported in the first report). While there was considerable lack of clarity in the responses to the first wave of the longitudinal survey as to whether people felt that they had chosen to go on this program, at the time of the second interview (about two</w:t>
      </w:r>
      <w:r w:rsidR="006E2187" w:rsidRPr="00DF38B2">
        <w:t xml:space="preserve"> </w:t>
      </w:r>
      <w:r w:rsidRPr="00DF38B2">
        <w:t>years later)</w:t>
      </w:r>
      <w:r w:rsidR="00AF5B1C">
        <w:t>,</w:t>
      </w:r>
      <w:r w:rsidRPr="00DF38B2">
        <w:t xml:space="preserve"> around 80 per cent of people on Voluntary Income Management </w:t>
      </w:r>
      <w:r w:rsidR="006F28A7">
        <w:t xml:space="preserve">who participated in the LSNIM </w:t>
      </w:r>
      <w:r w:rsidRPr="00DF38B2">
        <w:t>report</w:t>
      </w:r>
      <w:r w:rsidR="00817C48">
        <w:t>ed</w:t>
      </w:r>
      <w:r w:rsidRPr="00DF38B2">
        <w:t xml:space="preserve"> that they wished to stay on income management. Nevertheless, quantitative and qualitative interviews </w:t>
      </w:r>
      <w:r w:rsidR="00817C48">
        <w:t xml:space="preserve">have </w:t>
      </w:r>
      <w:r w:rsidRPr="00DF38B2">
        <w:t xml:space="preserve">confirmed that there is confusion </w:t>
      </w:r>
      <w:r w:rsidR="00817C48" w:rsidRPr="00DF38B2">
        <w:t xml:space="preserve">for some </w:t>
      </w:r>
      <w:r w:rsidRPr="00DF38B2">
        <w:t xml:space="preserve">about their status and their right to opt out of income management. </w:t>
      </w:r>
    </w:p>
    <w:p w:rsidR="00417B51" w:rsidRPr="00DF38B2" w:rsidRDefault="00417B51" w:rsidP="006654AE">
      <w:pPr>
        <w:pStyle w:val="Evalheadings"/>
      </w:pPr>
      <w:r w:rsidRPr="00DF38B2">
        <w:lastRenderedPageBreak/>
        <w:t>2.</w:t>
      </w:r>
      <w:r w:rsidRPr="00DF38B2">
        <w:tab/>
        <w:t xml:space="preserve">How long do Voluntary Income Management recipients stay on the measure? </w:t>
      </w:r>
    </w:p>
    <w:p w:rsidR="00417B51" w:rsidRPr="00DF38B2" w:rsidRDefault="00417B51" w:rsidP="006654AE">
      <w:pPr>
        <w:spacing w:line="276" w:lineRule="auto"/>
      </w:pPr>
      <w:r w:rsidRPr="00DF38B2">
        <w:t>On average, people on Voluntary Income Management remain on income management for long periods of time. The data suggests that 82.0 per cent of people on Voluntary Income Management were still on income management after 52 weeks, 72.2 per cent were still on income management 104 weeks later</w:t>
      </w:r>
      <w:r w:rsidR="00817C48">
        <w:t>,</w:t>
      </w:r>
      <w:r w:rsidRPr="00DF38B2">
        <w:t xml:space="preserve"> and after 15</w:t>
      </w:r>
      <w:r w:rsidR="006F28A7">
        <w:t>6</w:t>
      </w:r>
      <w:r w:rsidRPr="00DF38B2">
        <w:t xml:space="preserve"> weeks 62.9 per cent were still on income management. Given that there are a range of reasons people cease receiving </w:t>
      </w:r>
      <w:r w:rsidR="009D7612">
        <w:t>income support</w:t>
      </w:r>
      <w:r w:rsidRPr="00DF38B2">
        <w:t xml:space="preserve"> payments </w:t>
      </w:r>
      <w:r w:rsidR="00817C48">
        <w:t>– for example,</w:t>
      </w:r>
      <w:r w:rsidRPr="00DF38B2">
        <w:t xml:space="preserve"> finding paid employment, changes in their family circumstances, incarceration</w:t>
      </w:r>
      <w:r w:rsidR="00817C48">
        <w:t>, a</w:t>
      </w:r>
      <w:r w:rsidRPr="00DF38B2">
        <w:t>nd death</w:t>
      </w:r>
      <w:r w:rsidR="00817C48">
        <w:t xml:space="preserve"> –</w:t>
      </w:r>
      <w:r w:rsidRPr="00DF38B2">
        <w:t xml:space="preserve"> these are long durations on income management.</w:t>
      </w:r>
    </w:p>
    <w:p w:rsidR="00417B51" w:rsidRPr="00DF38B2" w:rsidRDefault="00417B51" w:rsidP="006654AE">
      <w:pPr>
        <w:spacing w:line="276" w:lineRule="auto"/>
        <w:rPr>
          <w:szCs w:val="19"/>
        </w:rPr>
      </w:pPr>
      <w:r w:rsidRPr="00DF38B2">
        <w:rPr>
          <w:szCs w:val="19"/>
        </w:rPr>
        <w:t>While there has been considerable movement over time on</w:t>
      </w:r>
      <w:r w:rsidR="00817C48">
        <w:rPr>
          <w:szCs w:val="19"/>
        </w:rPr>
        <w:t>to</w:t>
      </w:r>
      <w:r w:rsidRPr="00DF38B2">
        <w:rPr>
          <w:szCs w:val="19"/>
        </w:rPr>
        <w:t xml:space="preserve"> and off the program, 86.5 per cent of the population on Voluntary Income Management in December 2013 had originally been on </w:t>
      </w:r>
      <w:r w:rsidR="00832E2A">
        <w:rPr>
          <w:szCs w:val="19"/>
        </w:rPr>
        <w:t>NTER</w:t>
      </w:r>
      <w:r w:rsidRPr="00DF38B2">
        <w:rPr>
          <w:szCs w:val="19"/>
        </w:rPr>
        <w:t xml:space="preserve"> Income Management</w:t>
      </w:r>
      <w:r w:rsidR="00817C48">
        <w:rPr>
          <w:szCs w:val="19"/>
        </w:rPr>
        <w:t>,</w:t>
      </w:r>
      <w:r w:rsidRPr="00DF38B2">
        <w:rPr>
          <w:szCs w:val="19"/>
        </w:rPr>
        <w:t xml:space="preserve"> and hence had been on income management three years or </w:t>
      </w:r>
      <w:proofErr w:type="gramStart"/>
      <w:r w:rsidRPr="00DF38B2">
        <w:rPr>
          <w:szCs w:val="19"/>
        </w:rPr>
        <w:t>more earlier</w:t>
      </w:r>
      <w:proofErr w:type="gramEnd"/>
      <w:r w:rsidRPr="00DF38B2">
        <w:rPr>
          <w:szCs w:val="19"/>
        </w:rPr>
        <w:t>.</w:t>
      </w:r>
    </w:p>
    <w:p w:rsidR="00417B51" w:rsidRPr="00DF38B2" w:rsidRDefault="00417B51" w:rsidP="006654AE">
      <w:pPr>
        <w:spacing w:line="276" w:lineRule="auto"/>
        <w:rPr>
          <w:szCs w:val="19"/>
        </w:rPr>
      </w:pPr>
      <w:r w:rsidRPr="00DF38B2">
        <w:rPr>
          <w:szCs w:val="19"/>
        </w:rPr>
        <w:t>The evaluation evidence is that a large majority of people on Voluntary Income Management want to remain on income management (80.0 per cent)</w:t>
      </w:r>
      <w:r w:rsidR="00817C48">
        <w:rPr>
          <w:szCs w:val="19"/>
        </w:rPr>
        <w:t>,</w:t>
      </w:r>
      <w:r w:rsidRPr="00DF38B2">
        <w:rPr>
          <w:szCs w:val="19"/>
        </w:rPr>
        <w:t xml:space="preserve"> with 8.8 per cent not sure and just 11.2 per cent wanting to come of income management.</w:t>
      </w:r>
    </w:p>
    <w:p w:rsidR="00417B51" w:rsidRPr="00DF38B2" w:rsidRDefault="00417B51" w:rsidP="006654AE">
      <w:pPr>
        <w:pStyle w:val="Evalheadings"/>
      </w:pPr>
      <w:r w:rsidRPr="00DF38B2">
        <w:t>3.</w:t>
      </w:r>
      <w:r w:rsidRPr="00DF38B2">
        <w:tab/>
        <w:t>What are the key motivations for people who voluntarily access income management, and why do they stop?</w:t>
      </w:r>
    </w:p>
    <w:p w:rsidR="00417B51" w:rsidRPr="00DF38B2" w:rsidRDefault="00417B51" w:rsidP="006654AE">
      <w:pPr>
        <w:spacing w:line="276" w:lineRule="auto"/>
        <w:rPr>
          <w:szCs w:val="19"/>
        </w:rPr>
      </w:pPr>
      <w:r w:rsidRPr="00DF38B2">
        <w:rPr>
          <w:szCs w:val="19"/>
        </w:rPr>
        <w:t xml:space="preserve">As mentioned above, the majority of people subject to </w:t>
      </w:r>
      <w:r w:rsidR="001544DF">
        <w:rPr>
          <w:szCs w:val="19"/>
        </w:rPr>
        <w:t>Voluntary Income Management</w:t>
      </w:r>
      <w:r w:rsidRPr="00DF38B2">
        <w:rPr>
          <w:szCs w:val="19"/>
        </w:rPr>
        <w:t xml:space="preserve"> were previously on the NTER Income Management</w:t>
      </w:r>
      <w:r w:rsidR="00817C48">
        <w:rPr>
          <w:szCs w:val="19"/>
        </w:rPr>
        <w:t xml:space="preserve"> initiative</w:t>
      </w:r>
      <w:r w:rsidRPr="00DF38B2">
        <w:rPr>
          <w:szCs w:val="19"/>
        </w:rPr>
        <w:t xml:space="preserve">. The primary motivation for being on Voluntary Income Management is the perception that being on </w:t>
      </w:r>
      <w:r w:rsidR="00AB7B73">
        <w:rPr>
          <w:szCs w:val="19"/>
        </w:rPr>
        <w:t>income management</w:t>
      </w:r>
      <w:r w:rsidRPr="00DF38B2">
        <w:rPr>
          <w:szCs w:val="19"/>
        </w:rPr>
        <w:t xml:space="preserve"> makes their life easier, and that the BasicsCard provides them with some advantages, especially as a no-cost banking service.</w:t>
      </w:r>
    </w:p>
    <w:p w:rsidR="00417B51" w:rsidRDefault="00417B51" w:rsidP="006654AE">
      <w:r w:rsidRPr="00DF38B2">
        <w:rPr>
          <w:szCs w:val="19"/>
        </w:rPr>
        <w:t xml:space="preserve">The vast majority of people on Voluntary Income Management remain on for long periods of time. Of those who exit from Voluntary Income Management off all forms of Northern Territory </w:t>
      </w:r>
      <w:r w:rsidR="00AB7B73">
        <w:rPr>
          <w:szCs w:val="19"/>
        </w:rPr>
        <w:t>income management</w:t>
      </w:r>
      <w:r w:rsidRPr="00DF38B2">
        <w:rPr>
          <w:szCs w:val="19"/>
        </w:rPr>
        <w:t xml:space="preserve">, about 55 per cent </w:t>
      </w:r>
      <w:r w:rsidRPr="00DF38B2">
        <w:t>remained on income support in the Northern Territory</w:t>
      </w:r>
      <w:r w:rsidR="00817C48">
        <w:t>,</w:t>
      </w:r>
      <w:r w:rsidRPr="00DF38B2">
        <w:t xml:space="preserve"> and about 40 per cent were no longer on income support.</w:t>
      </w:r>
    </w:p>
    <w:p w:rsidR="00BD1599" w:rsidRPr="008411D0" w:rsidRDefault="00BD1599" w:rsidP="006654AE">
      <w:pPr>
        <w:pStyle w:val="Heading3"/>
      </w:pPr>
      <w:bookmarkStart w:id="669" w:name="_Toc403739169"/>
      <w:r w:rsidRPr="008411D0">
        <w:t>Questions specific to the child protection stream</w:t>
      </w:r>
      <w:bookmarkEnd w:id="669"/>
      <w:r w:rsidRPr="008411D0">
        <w:t xml:space="preserve"> </w:t>
      </w:r>
    </w:p>
    <w:p w:rsidR="00BD1599" w:rsidRDefault="00BD1599" w:rsidP="006654AE">
      <w:r>
        <w:t>In December 2013 there were 83 people on Child Protection Income Management. While the majority of those on Child Protection Income Management have dependent children, there is a minority who do not have dependent children living with them. This group includes people who have been subject to Child Protection Income Management and then subsequently lost the care of children or have been placed on Child Protection Income Management in preparation for reunification with a child who has previously been removed from their care.</w:t>
      </w:r>
    </w:p>
    <w:p w:rsidR="00BD1599" w:rsidRDefault="00BD1599" w:rsidP="006654AE">
      <w:r>
        <w:t xml:space="preserve">Child Protection Income Management differs from the other forms of income management operating in the Northern Territory in several ways. Placement of people on Child Protection Income Management occurs on the basis of a referral from the Northern Territory Department of Children and Families, rather than a decision taken by </w:t>
      </w:r>
      <w:r w:rsidR="00C54FFC">
        <w:t>DHS</w:t>
      </w:r>
      <w:r>
        <w:t xml:space="preserve">. A higher proportion of income support payments are subject to income management (70 per cent). A person can be placed on the measure for periods of between three and 12 months, with these periods able to be extended on the basis of a review. People can be placed on this measure while on other forms of income management. </w:t>
      </w:r>
    </w:p>
    <w:p w:rsidR="00BD1599" w:rsidRDefault="00BD1599" w:rsidP="006654AE">
      <w:r>
        <w:t>When interpreting the findings in relation to Child Protection Income Management it is important to bear in mind that the main technical difference between this and other New Income Management streams is that a higher proportion of income is managed under Child Protection Income Management than the other streams. The other main difference is that Child Protection Income Management is applied to families that are generally already heavily engaged with the service sector as part of dealing with the child protection concerns related to the family. In particular, families subject to Child Protection Income Management may also be eligible for Intensive Family Support Services, which provide a much higher level of services than those offered to most vulnerable families in the Northern Territory. This means that it is difficult to disentangle the impact of the higher proportion of funds income managed and the service system context in which income management is being applied.</w:t>
      </w:r>
    </w:p>
    <w:p w:rsidR="00BD1599" w:rsidRPr="00762649" w:rsidRDefault="00BD1599" w:rsidP="006654AE">
      <w:pPr>
        <w:pStyle w:val="Evalheadings"/>
      </w:pPr>
      <w:r>
        <w:lastRenderedPageBreak/>
        <w:t>1.</w:t>
      </w:r>
      <w:r>
        <w:tab/>
      </w:r>
      <w:r w:rsidRPr="00762649">
        <w:t xml:space="preserve">What has been the impact of income management on child neglect? </w:t>
      </w:r>
    </w:p>
    <w:p w:rsidR="00BD1599" w:rsidRDefault="00BD1599" w:rsidP="006654AE">
      <w:r>
        <w:t xml:space="preserve">Data suggests that the proportion of referrals to Child Protection Income Management relative to the number of child protection notifications and substantiations is relatively small. </w:t>
      </w:r>
    </w:p>
    <w:p w:rsidR="00BD1599" w:rsidRDefault="00BD1599" w:rsidP="006654AE">
      <w:r>
        <w:t>AIHW report that the rate of children on care and protection orders in the Northern Territory has increased from 11.1 per 1000 children aged up to 17 years as at 30 June in 2010 to 11.6 in 2011, 12.5 in 2012 and 12.9 in 2013</w:t>
      </w:r>
      <w:proofErr w:type="gramStart"/>
      <w:r>
        <w:t>.(</w:t>
      </w:r>
      <w:proofErr w:type="gramEnd"/>
      <w:r>
        <w:t>AIHW</w:t>
      </w:r>
      <w:r w:rsidR="008B284B">
        <w:t>,</w:t>
      </w:r>
      <w:r>
        <w:t xml:space="preserve"> 2014</w:t>
      </w:r>
      <w:r w:rsidR="00C54FFC">
        <w:t>.</w:t>
      </w:r>
      <w:r>
        <w:t>)</w:t>
      </w:r>
    </w:p>
    <w:p w:rsidR="00BD1599" w:rsidRDefault="00BD1599" w:rsidP="006654AE">
      <w:r>
        <w:t xml:space="preserve">Interviews with child protection caseworkers and a small number of </w:t>
      </w:r>
      <w:r w:rsidR="00C54FFC" w:rsidRPr="00C54FFC">
        <w:t>Intensive Family Support Services</w:t>
      </w:r>
      <w:r>
        <w:t xml:space="preserve"> staff indicate that while Child Protection Income Management does not, in and of itself, assist families with child neglect issues, it </w:t>
      </w:r>
      <w:r w:rsidRPr="007D4CEE">
        <w:t>can be useful</w:t>
      </w:r>
      <w:r>
        <w:t xml:space="preserve"> when used as part of a broader based service system response in assisting </w:t>
      </w:r>
      <w:r w:rsidRPr="007D4CEE">
        <w:t>families to address their needs where neglect exists due to money management issues</w:t>
      </w:r>
      <w:r>
        <w:t xml:space="preserve"> or alcohol and drug misuse</w:t>
      </w:r>
      <w:r w:rsidRPr="007D4CEE">
        <w:t xml:space="preserve">. </w:t>
      </w:r>
    </w:p>
    <w:p w:rsidR="00BD1599" w:rsidRDefault="00BD1599" w:rsidP="006654AE">
      <w:r>
        <w:t>The effectiveness was seen as being dependent upon the willingness of</w:t>
      </w:r>
      <w:r w:rsidRPr="007D4CEE">
        <w:t xml:space="preserve"> families to engage with service</w:t>
      </w:r>
      <w:r>
        <w:t>s</w:t>
      </w:r>
      <w:r w:rsidR="005D1CC5">
        <w:t xml:space="preserve"> and with a process of change. </w:t>
      </w:r>
      <w:r>
        <w:t>The measure is reported to have very little impact where parents/carer</w:t>
      </w:r>
      <w:r w:rsidR="005D1CC5">
        <w:t xml:space="preserve">s are not committed to change. </w:t>
      </w:r>
      <w:r>
        <w:t xml:space="preserve">In these cases a </w:t>
      </w:r>
      <w:r w:rsidRPr="007D4CEE">
        <w:t xml:space="preserve">number of strategies </w:t>
      </w:r>
      <w:r>
        <w:t xml:space="preserve">were used </w:t>
      </w:r>
      <w:r w:rsidRPr="007D4CEE">
        <w:t>to “work around” the restrictions.</w:t>
      </w:r>
      <w:r>
        <w:t xml:space="preserve"> As such Child Protection Income Management is a tool which when used by caseworkers in conjunction with other interventions can assist in improving outcomes for children who are experiencing neglect.</w:t>
      </w:r>
    </w:p>
    <w:p w:rsidR="00BD1599" w:rsidRPr="00747282" w:rsidRDefault="00BD1599" w:rsidP="006654AE">
      <w:r>
        <w:t>In summary there is no evidence of Child Protection Income Management having an overall impact on the level of child neglect, and given the magnitude of the measure it appears that</w:t>
      </w:r>
      <w:r w:rsidR="005D1CC5">
        <w:t xml:space="preserve"> any major impact is unlikely. </w:t>
      </w:r>
      <w:r>
        <w:t>Where used as part of a set of responses the measure, in particular where families are willing to engage with this and other services, can have an impact at the individual case level.</w:t>
      </w:r>
    </w:p>
    <w:p w:rsidR="00BD1599" w:rsidRPr="00762649" w:rsidRDefault="00BD1599" w:rsidP="006654AE">
      <w:pPr>
        <w:pStyle w:val="Evalheadings"/>
      </w:pPr>
      <w:r>
        <w:t>2.</w:t>
      </w:r>
      <w:r>
        <w:tab/>
      </w:r>
      <w:r w:rsidRPr="00762649">
        <w:t xml:space="preserve"> What has been the impact on child wellbeing in those families referred to the child protection measure? </w:t>
      </w:r>
    </w:p>
    <w:p w:rsidR="00BD1599" w:rsidRDefault="00BD1599" w:rsidP="006654AE">
      <w:r>
        <w:t>The interviews conducted with child protection caseworkers indicate, that in their experience, the</w:t>
      </w:r>
      <w:r w:rsidRPr="007D4CEE">
        <w:t xml:space="preserve"> primary contribution</w:t>
      </w:r>
      <w:r>
        <w:t xml:space="preserve"> is by assisting in </w:t>
      </w:r>
      <w:r w:rsidRPr="007D4CEE">
        <w:t>stabilising families and limiting access to money for alcohol, illegal substances and gambling while other interventions that can address broader issues experienced by these families are imple</w:t>
      </w:r>
      <w:r>
        <w:t>mented.</w:t>
      </w:r>
    </w:p>
    <w:p w:rsidR="00BD1599" w:rsidRPr="00762649" w:rsidRDefault="00BD1599" w:rsidP="006654AE">
      <w:pPr>
        <w:pStyle w:val="Evalheadings"/>
      </w:pPr>
      <w:r w:rsidRPr="00762649">
        <w:t xml:space="preserve">3. </w:t>
      </w:r>
      <w:r>
        <w:tab/>
      </w:r>
      <w:r w:rsidRPr="00762649">
        <w:t xml:space="preserve">What are the barriers and facilitating factors for child protection workers to use income management as a casework tool? </w:t>
      </w:r>
    </w:p>
    <w:p w:rsidR="00BD1599" w:rsidRDefault="00BD1599" w:rsidP="006654AE">
      <w:r>
        <w:t xml:space="preserve">While there is a policy requirement for child protection caseworkers to make a referral to Child Protection Income Management where there was a substantiation of neglect, the number of referrals to </w:t>
      </w:r>
      <w:r w:rsidR="00C54FFC" w:rsidRPr="00C54FFC">
        <w:t>Child Protection Income Management</w:t>
      </w:r>
      <w:r>
        <w:t xml:space="preserve"> was much lower than the number of cases substantiated for neglect. The non-referral occurs for a range of reasons including the assessment of the child protection caseworker that the issues for the family were not being caused by problems with financial management or related t</w:t>
      </w:r>
      <w:r w:rsidR="005D1CC5">
        <w:t xml:space="preserve">o substance abuse or gambling. </w:t>
      </w:r>
      <w:r>
        <w:t xml:space="preserve">Where child neglect arose from circumstances such as </w:t>
      </w:r>
      <w:r w:rsidRPr="00B75488">
        <w:t>problematic parent–child attachment, or simply to parents’ poor understanding of the physical and emotional needs of their children, and their children’s dependency on them to meet their basic need</w:t>
      </w:r>
      <w:r w:rsidR="00AE733A">
        <w:t>s</w:t>
      </w:r>
      <w:r>
        <w:t xml:space="preserve"> the role of income management as a caseworker tool was seen to be limited.</w:t>
      </w:r>
    </w:p>
    <w:p w:rsidR="00BD1599" w:rsidRDefault="00BD1599" w:rsidP="006654AE">
      <w:r>
        <w:t xml:space="preserve">Some </w:t>
      </w:r>
      <w:r w:rsidR="00C54FFC" w:rsidRPr="00C54FFC">
        <w:t>Northern Territory Department of Children and Families</w:t>
      </w:r>
      <w:r w:rsidR="00C54FFC" w:rsidRPr="00C54FFC" w:rsidDel="00C54FFC">
        <w:t xml:space="preserve"> </w:t>
      </w:r>
      <w:r>
        <w:t>staff expressed the view that there often seemed little point in making referrals as the passivity and acceptance of many clients around income management – especially those clients who were already subject to some form of compulsory income management meant it made little impact on clients’ desire to change.</w:t>
      </w:r>
    </w:p>
    <w:p w:rsidR="00BD1599" w:rsidRDefault="00BD1599" w:rsidP="006654AE">
      <w:r>
        <w:t xml:space="preserve">There was also some evidence that </w:t>
      </w:r>
      <w:r w:rsidR="00C54FFC" w:rsidRPr="00C54FFC">
        <w:t>Northern Territory Department of Children and Families</w:t>
      </w:r>
      <w:r>
        <w:t xml:space="preserve"> caseworkers were referring some families to Child Protection Income Management in order to access</w:t>
      </w:r>
      <w:r w:rsidR="00C54FFC">
        <w:t xml:space="preserve"> Intensive Family Support Services</w:t>
      </w:r>
      <w:r>
        <w:t xml:space="preserve">. </w:t>
      </w:r>
    </w:p>
    <w:p w:rsidR="00BD1599" w:rsidRPr="00762649" w:rsidRDefault="00BD1599" w:rsidP="006654AE">
      <w:pPr>
        <w:pStyle w:val="Evalheadings"/>
      </w:pPr>
      <w:r>
        <w:lastRenderedPageBreak/>
        <w:t>4</w:t>
      </w:r>
      <w:r>
        <w:tab/>
      </w:r>
      <w:r w:rsidRPr="00762649">
        <w:t xml:space="preserve"> </w:t>
      </w:r>
      <w:proofErr w:type="gramStart"/>
      <w:r w:rsidRPr="00762649">
        <w:t>What</w:t>
      </w:r>
      <w:proofErr w:type="gramEnd"/>
      <w:r w:rsidRPr="00762649">
        <w:t xml:space="preserve"> (if any) service delivery gaps have impacted on the usefulness of Child Protection Income Management?"</w:t>
      </w:r>
    </w:p>
    <w:p w:rsidR="00BD1599" w:rsidRDefault="00BD1599" w:rsidP="006654AE">
      <w:r>
        <w:t xml:space="preserve">While this was issue was not a major focus of the evaluation, the evaluation data clearly highlights that there are gaps in the service delivery system, particularly in the more remote communities. Child protection case workers identified that in these cases, service delivery system gaps – particularly financial counselling or money management services and other family support services </w:t>
      </w:r>
      <w:r w:rsidR="00AE733A">
        <w:t xml:space="preserve">– </w:t>
      </w:r>
      <w:r>
        <w:t xml:space="preserve">limited the effectiveness of Child Protection Income Management. </w:t>
      </w:r>
    </w:p>
    <w:p w:rsidR="00BD1599" w:rsidRPr="00DF38B2" w:rsidRDefault="00BD1599" w:rsidP="006654AE"/>
    <w:p w:rsidR="00417B51" w:rsidRPr="00DF38B2" w:rsidRDefault="00417B51" w:rsidP="006654AE">
      <w:pPr>
        <w:pStyle w:val="Heading2"/>
      </w:pPr>
      <w:bookmarkStart w:id="670" w:name="_Toc403739170"/>
      <w:r w:rsidRPr="00DF38B2">
        <w:t>Summary</w:t>
      </w:r>
      <w:bookmarkEnd w:id="670"/>
    </w:p>
    <w:p w:rsidR="00417B51" w:rsidRPr="00DF38B2" w:rsidRDefault="00417B51" w:rsidP="006654AE">
      <w:r w:rsidRPr="00DF38B2">
        <w:t>This chapter specifically responds to the questions identified in the evaluation framework</w:t>
      </w:r>
      <w:r w:rsidR="00A1421A">
        <w:t xml:space="preserve">. </w:t>
      </w:r>
      <w:r w:rsidRPr="00DF38B2">
        <w:t xml:space="preserve">The implications </w:t>
      </w:r>
      <w:r w:rsidR="00817C48">
        <w:t>of</w:t>
      </w:r>
      <w:r w:rsidRPr="00DF38B2">
        <w:t xml:space="preserve"> this for the program as a whole are considered in the final chapter of this report.</w:t>
      </w:r>
    </w:p>
    <w:p w:rsidR="00417B51" w:rsidRDefault="00417B51" w:rsidP="006654AE"/>
    <w:p w:rsidR="007C39E8" w:rsidRDefault="007C39E8" w:rsidP="006654AE"/>
    <w:p w:rsidR="007C39E8" w:rsidRPr="00DF38B2" w:rsidRDefault="007C39E8" w:rsidP="006654AE">
      <w:pPr>
        <w:sectPr w:rsidR="007C39E8" w:rsidRPr="00DF38B2" w:rsidSect="00285084">
          <w:headerReference w:type="even" r:id="rId200"/>
          <w:headerReference w:type="default" r:id="rId201"/>
          <w:footerReference w:type="even" r:id="rId202"/>
          <w:footerReference w:type="default" r:id="rId203"/>
          <w:headerReference w:type="first" r:id="rId204"/>
          <w:footerReference w:type="first" r:id="rId205"/>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71" w:name="_Toc403739171"/>
      <w:r w:rsidRPr="00DF38B2">
        <w:lastRenderedPageBreak/>
        <w:t>Conclusion</w:t>
      </w:r>
      <w:bookmarkEnd w:id="671"/>
    </w:p>
    <w:p w:rsidR="00417B51" w:rsidRPr="00DF38B2" w:rsidRDefault="00417B51" w:rsidP="00F42BEE">
      <w:pPr>
        <w:spacing w:before="1134" w:after="210"/>
      </w:pPr>
      <w:r w:rsidRPr="00DF38B2">
        <w:t>The findings presented in this evaluation report are those from an intensive research project. The evaluation has used data from a wide range of sources, including people subject to income management, people involved in implementing income management and working with people subject to income management, merchants, administrative data relating to people on income management</w:t>
      </w:r>
      <w:r w:rsidR="00817C48">
        <w:t>,</w:t>
      </w:r>
      <w:r w:rsidRPr="00DF38B2">
        <w:t xml:space="preserve"> including transaction data and aggregate outcome data for the Northern Territory. In Chapter </w:t>
      </w:r>
      <w:r w:rsidR="007C39E8" w:rsidRPr="00DF38B2">
        <w:t>1</w:t>
      </w:r>
      <w:r w:rsidR="007C39E8">
        <w:t>4</w:t>
      </w:r>
      <w:r w:rsidR="007C39E8" w:rsidRPr="00DF38B2">
        <w:t xml:space="preserve"> </w:t>
      </w:r>
      <w:r w:rsidRPr="00DF38B2">
        <w:t>the findings have been presented against the detailed evaluation questions</w:t>
      </w:r>
      <w:r w:rsidR="00817C48">
        <w:t>,</w:t>
      </w:r>
      <w:r w:rsidRPr="00DF38B2">
        <w:t xml:space="preserve"> which were set out in the framework established for the evaluation. This chapter presents these findings as a more general overview evaluation of the program as assessed against three questions which are framed around the policy objectives and the intended effect of income management:</w:t>
      </w:r>
    </w:p>
    <w:p w:rsidR="00417B51" w:rsidRPr="00DF38B2" w:rsidRDefault="00417B51" w:rsidP="006654AE">
      <w:pPr>
        <w:pStyle w:val="dot"/>
      </w:pPr>
      <w:r w:rsidRPr="00DF38B2">
        <w:t>What was the impact of income management in reducing adverse outcomes for individuals, their families and the communities in which they live?</w:t>
      </w:r>
    </w:p>
    <w:p w:rsidR="00417B51" w:rsidRPr="00DF38B2" w:rsidRDefault="00417B51" w:rsidP="006654AE">
      <w:pPr>
        <w:pStyle w:val="dot"/>
      </w:pPr>
      <w:r w:rsidRPr="00DF38B2">
        <w:t>Has income management improved individual capabilities</w:t>
      </w:r>
      <w:r w:rsidR="00D74155">
        <w:t>,</w:t>
      </w:r>
      <w:r w:rsidRPr="00DF38B2">
        <w:t xml:space="preserve"> including self-reliance?</w:t>
      </w:r>
    </w:p>
    <w:p w:rsidR="00417B51" w:rsidRPr="00DF38B2" w:rsidRDefault="00417B51" w:rsidP="006654AE">
      <w:pPr>
        <w:pStyle w:val="dot"/>
      </w:pPr>
      <w:r w:rsidRPr="00DF38B2">
        <w:t>Has income management been targeted appropriately?</w:t>
      </w:r>
    </w:p>
    <w:p w:rsidR="00417B51" w:rsidRPr="00DF38B2" w:rsidRDefault="00417B51" w:rsidP="006654AE">
      <w:pPr>
        <w:pStyle w:val="Heading2"/>
      </w:pPr>
      <w:bookmarkStart w:id="672" w:name="_Toc403739172"/>
      <w:r w:rsidRPr="00DF38B2">
        <w:t>Views and perceptions of income management</w:t>
      </w:r>
      <w:bookmarkEnd w:id="672"/>
    </w:p>
    <w:p w:rsidR="00417B51" w:rsidRPr="00DF38B2" w:rsidRDefault="00417B51" w:rsidP="006654AE">
      <w:r w:rsidRPr="00DF38B2">
        <w:t>There are diverse views and experiences of income management. The differences arise from different aspirations and values, the circumstances in which people live</w:t>
      </w:r>
      <w:r w:rsidR="00D74155">
        <w:t>,</w:t>
      </w:r>
      <w:r w:rsidRPr="00DF38B2">
        <w:t xml:space="preserve"> and the ways in which income management interacts with their day-to-day lives. This diversity of experience of income management is expressed in a range of positive and negative sentiments about income management as a whole</w:t>
      </w:r>
      <w:r w:rsidR="00D74155">
        <w:t>,</w:t>
      </w:r>
      <w:r w:rsidRPr="00DF38B2">
        <w:t xml:space="preserve"> and about particular aspects of income management.</w:t>
      </w:r>
    </w:p>
    <w:p w:rsidR="00417B51" w:rsidRPr="00DF38B2" w:rsidRDefault="00417B51" w:rsidP="006654AE">
      <w:r w:rsidRPr="00DF38B2">
        <w:t xml:space="preserve">From an evaluation perspective, while peoples’ views of income management are important, the essential question remains as to whether income management improves outcomes. Good policy may not always be seen positively by those whom it affects </w:t>
      </w:r>
      <w:r w:rsidR="006E2187" w:rsidRPr="00DF38B2">
        <w:t xml:space="preserve">or </w:t>
      </w:r>
      <w:r w:rsidRPr="00DF38B2">
        <w:t>by those implementing it, nor do positive feelings about a program mean that it is effective.</w:t>
      </w:r>
    </w:p>
    <w:p w:rsidR="00417B51" w:rsidRPr="00DF38B2" w:rsidRDefault="00417B51" w:rsidP="006654AE">
      <w:r w:rsidRPr="00DF38B2">
        <w:t>The survey of people subject to income management suggests that:</w:t>
      </w:r>
    </w:p>
    <w:p w:rsidR="00417B51" w:rsidRPr="00DF38B2" w:rsidRDefault="00417B51" w:rsidP="006654AE">
      <w:pPr>
        <w:pStyle w:val="dot"/>
      </w:pPr>
      <w:r w:rsidRPr="00DF38B2">
        <w:t>Around two-fifths of people thought that income management had made things better for them</w:t>
      </w:r>
      <w:r w:rsidR="00D74155">
        <w:t>;</w:t>
      </w:r>
      <w:r w:rsidRPr="00DF38B2">
        <w:t xml:space="preserve"> about one-third thought that it had made no difference</w:t>
      </w:r>
      <w:r w:rsidR="00D74155">
        <w:t>;</w:t>
      </w:r>
      <w:r w:rsidRPr="00DF38B2">
        <w:t xml:space="preserve"> and about one-quarter thought that income management had made things worse for them. </w:t>
      </w:r>
    </w:p>
    <w:p w:rsidR="00417B51" w:rsidRPr="00DF38B2" w:rsidRDefault="00417B51" w:rsidP="006654AE">
      <w:pPr>
        <w:pStyle w:val="dot"/>
      </w:pPr>
      <w:r w:rsidRPr="00DF38B2">
        <w:t>Around eight in ten people on Voluntary Income Management said they wished to remain on income management</w:t>
      </w:r>
      <w:r w:rsidR="00D74155">
        <w:t>,</w:t>
      </w:r>
      <w:r w:rsidRPr="00DF38B2">
        <w:t xml:space="preserve"> and between 30 and 50 per cent of those on the compulsory measures wished to remain on income management.</w:t>
      </w:r>
    </w:p>
    <w:p w:rsidR="00417B51" w:rsidRPr="00DF38B2" w:rsidRDefault="00417B51" w:rsidP="006654AE">
      <w:pPr>
        <w:pStyle w:val="dot"/>
      </w:pPr>
      <w:r w:rsidRPr="00DF38B2">
        <w:t xml:space="preserve">A substantial group of people subject to income management felt that income management is unfair, embarrassing and discriminatory. The extent to which people felt this way has, however, diminished over the years that income management has been operating. </w:t>
      </w:r>
      <w:r w:rsidR="00842824">
        <w:t xml:space="preserve">Only 20 per cent of those on Compulsory </w:t>
      </w:r>
      <w:r w:rsidR="00842824">
        <w:lastRenderedPageBreak/>
        <w:t xml:space="preserve">Income Management </w:t>
      </w:r>
      <w:r w:rsidR="007C39E8">
        <w:t xml:space="preserve">measures </w:t>
      </w:r>
      <w:r w:rsidR="00842824">
        <w:t>and 30 per cent of those on Voluntary Income Management reported never feeling that being on income management was unfair.</w:t>
      </w:r>
    </w:p>
    <w:p w:rsidR="00417B51" w:rsidRPr="00DF38B2" w:rsidRDefault="00417B51" w:rsidP="006654AE">
      <w:pPr>
        <w:pStyle w:val="Heading2"/>
      </w:pPr>
      <w:bookmarkStart w:id="673" w:name="_Toc403739173"/>
      <w:r w:rsidRPr="00DF38B2">
        <w:t>Impact on adverse outcomes</w:t>
      </w:r>
      <w:bookmarkEnd w:id="673"/>
    </w:p>
    <w:p w:rsidR="00417B51" w:rsidRPr="00DF38B2" w:rsidRDefault="00417B51" w:rsidP="006654AE">
      <w:r w:rsidRPr="00DF38B2">
        <w:t>The aim</w:t>
      </w:r>
      <w:r w:rsidR="00D74155">
        <w:t>s</w:t>
      </w:r>
      <w:r w:rsidRPr="00DF38B2">
        <w:t xml:space="preserve"> of income management </w:t>
      </w:r>
      <w:r w:rsidR="00D74155">
        <w:t xml:space="preserve">are </w:t>
      </w:r>
      <w:r w:rsidRPr="00DF38B2">
        <w:t>to improve the wellbeing of people receiving income support payments and to improve outcomes for themselves, their families, the communities they live in</w:t>
      </w:r>
      <w:r w:rsidR="00D74155">
        <w:t>,</w:t>
      </w:r>
      <w:r w:rsidRPr="00DF38B2">
        <w:t xml:space="preserve"> and the Northern Territory as a whole. Whether it achieves these is the basis on which it should primarily be assessed</w:t>
      </w:r>
      <w:r w:rsidR="00A1421A">
        <w:t xml:space="preserve">. </w:t>
      </w:r>
    </w:p>
    <w:p w:rsidR="00417B51" w:rsidRPr="00DF38B2" w:rsidRDefault="00417B51" w:rsidP="006654AE">
      <w:r w:rsidRPr="00DF38B2">
        <w:t>A wide range of measures related to consumption, financial capability, financial harassment, alcohol and related behaviours, child health, child neglect, developmental outcomes</w:t>
      </w:r>
      <w:r w:rsidR="00D74155">
        <w:t>,</w:t>
      </w:r>
      <w:r w:rsidRPr="00DF38B2">
        <w:t xml:space="preserve"> and school attendance have been considered as part of this evaluation. Some of these are at the individual level and others more widely across the population. In the previous chapter we have presented </w:t>
      </w:r>
      <w:r w:rsidR="00115F4A">
        <w:t>these data</w:t>
      </w:r>
      <w:r w:rsidRPr="00DF38B2">
        <w:t xml:space="preserve"> in detail against the specific evaluation questions. The key outcome measures, sources of evaluation data and findings are summarised in </w:t>
      </w:r>
      <w:r w:rsidRPr="00823476">
        <w:fldChar w:fldCharType="begin"/>
      </w:r>
      <w:r w:rsidRPr="00DF38B2">
        <w:instrText xml:space="preserve"> REF _Ref392750133 \h </w:instrText>
      </w:r>
      <w:r w:rsidRPr="00823476">
        <w:fldChar w:fldCharType="separate"/>
      </w:r>
      <w:r w:rsidR="00906D13" w:rsidRPr="00DF38B2">
        <w:t xml:space="preserve">Table </w:t>
      </w:r>
      <w:r w:rsidR="00906D13">
        <w:rPr>
          <w:noProof/>
        </w:rPr>
        <w:t>15</w:t>
      </w:r>
      <w:r w:rsidR="00906D13">
        <w:noBreakHyphen/>
      </w:r>
      <w:r w:rsidR="00906D13">
        <w:rPr>
          <w:noProof/>
        </w:rPr>
        <w:t>1</w:t>
      </w:r>
      <w:r w:rsidRPr="00823476">
        <w:fldChar w:fldCharType="end"/>
      </w:r>
      <w:r w:rsidRPr="00DF38B2">
        <w:t>.</w:t>
      </w:r>
      <w:r w:rsidRPr="00DF38B2">
        <w:rPr>
          <w:rStyle w:val="FootnoteReference"/>
        </w:rPr>
        <w:footnoteReference w:id="158"/>
      </w:r>
    </w:p>
    <w:p w:rsidR="00417B51" w:rsidRPr="00DF38B2" w:rsidRDefault="00417B51" w:rsidP="006654AE">
      <w:r w:rsidRPr="00DF38B2">
        <w:t>Despite the magnitude of the program the evaluation does not find any consistent evidence of income management having a significant systematic positive impact. Some 35,000 people have been on the program at some point</w:t>
      </w:r>
      <w:r w:rsidR="00D74155">
        <w:t>,</w:t>
      </w:r>
      <w:r w:rsidRPr="00DF38B2">
        <w:t xml:space="preserve"> and there were 18,000 people on </w:t>
      </w:r>
      <w:r w:rsidR="00D74155">
        <w:t xml:space="preserve">it </w:t>
      </w:r>
      <w:r w:rsidRPr="00DF38B2">
        <w:t>at the end of December 2013</w:t>
      </w:r>
      <w:r w:rsidR="00D74155">
        <w:t>,</w:t>
      </w:r>
      <w:r w:rsidRPr="00DF38B2">
        <w:t xml:space="preserve"> many of whom have been on for extended periods.</w:t>
      </w:r>
    </w:p>
    <w:p w:rsidR="00417B51" w:rsidRPr="00DF38B2" w:rsidRDefault="00417B51" w:rsidP="006654AE">
      <w:r w:rsidRPr="00DF38B2">
        <w:t>The key findings are:</w:t>
      </w:r>
    </w:p>
    <w:p w:rsidR="00417B51" w:rsidRPr="00DF38B2" w:rsidRDefault="00417B51" w:rsidP="006654AE">
      <w:pPr>
        <w:pStyle w:val="dot"/>
      </w:pPr>
      <w:r w:rsidRPr="00DF38B2">
        <w:t xml:space="preserve">Data on spending point to continued major problems of diet and poor levels of fruit and vegetable consumption, in particular </w:t>
      </w:r>
      <w:r w:rsidR="000660EF">
        <w:t xml:space="preserve">for </w:t>
      </w:r>
      <w:r w:rsidRPr="00DF38B2">
        <w:t>Indigenous people living in remote communities. There is no evidence of income management having resulted in changes in spending or consumption, including on alcohol, tobacco</w:t>
      </w:r>
      <w:r w:rsidR="000660EF">
        <w:t>,</w:t>
      </w:r>
      <w:r w:rsidRPr="00DF38B2">
        <w:t xml:space="preserve"> fresh fruit and vegetables. </w:t>
      </w:r>
    </w:p>
    <w:p w:rsidR="00417B51" w:rsidRPr="00DF38B2" w:rsidRDefault="00417B51" w:rsidP="006654AE">
      <w:pPr>
        <w:pStyle w:val="dot"/>
      </w:pPr>
      <w:r w:rsidRPr="00DF38B2">
        <w:t xml:space="preserve">At the household level across a wide range of measures there has been no aggregate improvement in financial </w:t>
      </w:r>
      <w:r w:rsidR="00593D5C">
        <w:t>wellbeing</w:t>
      </w:r>
      <w:r w:rsidR="000660EF">
        <w:t>;</w:t>
      </w:r>
      <w:r w:rsidRPr="00DF38B2">
        <w:t xml:space="preserve"> although some groups report an improvement in the level of financial harassment they experience, they also report more frequently having to ask others for money, and there has been no reported reduction in harassment at the community level.</w:t>
      </w:r>
    </w:p>
    <w:p w:rsidR="00417B51" w:rsidRPr="00DF38B2" w:rsidRDefault="00417B51" w:rsidP="006654AE">
      <w:pPr>
        <w:pStyle w:val="dot"/>
      </w:pPr>
      <w:r w:rsidRPr="00DF38B2">
        <w:t>At the family level individuals report there has been a decline in the overall incidence of any difficulties related to alcohol, drugs and gambling</w:t>
      </w:r>
      <w:r w:rsidR="00FF3C85">
        <w:t>,</w:t>
      </w:r>
      <w:r w:rsidRPr="00DF38B2">
        <w:t xml:space="preserve"> but no change in the incidence of severe problems from these. In fact</w:t>
      </w:r>
      <w:r w:rsidR="00FF3C85">
        <w:t>,</w:t>
      </w:r>
      <w:r w:rsidRPr="00DF38B2">
        <w:t xml:space="preserve"> all groups show a worsening of these severe problems, </w:t>
      </w:r>
      <w:r w:rsidR="00FF3C85">
        <w:t>al</w:t>
      </w:r>
      <w:r w:rsidRPr="00DF38B2">
        <w:t xml:space="preserve">though </w:t>
      </w:r>
      <w:r w:rsidR="00FF3C85">
        <w:t xml:space="preserve">this </w:t>
      </w:r>
      <w:r w:rsidRPr="00DF38B2">
        <w:t>is only statistically significant for Indigenous people on Voluntary Income Management. This group also reports specific improvement in problems from alcohol</w:t>
      </w:r>
      <w:r w:rsidR="00FF3C85">
        <w:t>,</w:t>
      </w:r>
      <w:r w:rsidRPr="00DF38B2">
        <w:t xml:space="preserve"> but worsening for gambling. At the community level no significant improvement has been reported</w:t>
      </w:r>
      <w:r w:rsidR="00FF3C85">
        <w:t>,</w:t>
      </w:r>
      <w:r w:rsidRPr="00DF38B2">
        <w:t xml:space="preserve"> and looking at broader measures across the Northern Territory</w:t>
      </w:r>
      <w:r w:rsidR="00FF3C85">
        <w:t>,</w:t>
      </w:r>
      <w:r w:rsidRPr="00DF38B2">
        <w:t xml:space="preserve"> there is little evidence of change in </w:t>
      </w:r>
      <w:r w:rsidR="00FE0C92">
        <w:t>alcohol-related</w:t>
      </w:r>
      <w:r w:rsidRPr="00DF38B2">
        <w:t xml:space="preserve"> harm</w:t>
      </w:r>
      <w:r w:rsidR="006E2187" w:rsidRPr="00DF38B2">
        <w:t>.</w:t>
      </w:r>
      <w:r w:rsidRPr="00DF38B2">
        <w:t xml:space="preserve"> </w:t>
      </w:r>
      <w:r w:rsidR="006E2187" w:rsidRPr="00DF38B2">
        <w:t>I</w:t>
      </w:r>
      <w:r w:rsidRPr="00DF38B2">
        <w:t>f anything</w:t>
      </w:r>
      <w:r w:rsidR="00FF3C85">
        <w:t>,</w:t>
      </w:r>
      <w:r w:rsidRPr="00DF38B2">
        <w:t xml:space="preserve"> these outcomes have worsened, although there is no evidence that this is in any way related to income management.</w:t>
      </w:r>
    </w:p>
    <w:p w:rsidR="00417B51" w:rsidRPr="00DF38B2" w:rsidRDefault="00417B51" w:rsidP="006654AE">
      <w:pPr>
        <w:pStyle w:val="dot"/>
      </w:pPr>
      <w:r w:rsidRPr="00DF38B2">
        <w:t xml:space="preserve">There is no evidence of changes in school enrolments or learning outcomes that can be attributed to income management, and in many locations there are stagnant or falling rates of school attendance. Those on income management report no significant change across a range of child </w:t>
      </w:r>
      <w:r w:rsidR="00593D5C">
        <w:t>wellbeing</w:t>
      </w:r>
      <w:r w:rsidRPr="00DF38B2">
        <w:t xml:space="preserve"> outcomes in their communities over the past two</w:t>
      </w:r>
      <w:r w:rsidR="00FF3C85">
        <w:t xml:space="preserve"> </w:t>
      </w:r>
      <w:r w:rsidRPr="00DF38B2">
        <w:t>years.</w:t>
      </w:r>
    </w:p>
    <w:p w:rsidR="00417B51" w:rsidRPr="00DF38B2" w:rsidRDefault="00417B51" w:rsidP="006654AE">
      <w:pPr>
        <w:pStyle w:val="Caption"/>
      </w:pPr>
      <w:bookmarkStart w:id="674" w:name="_Ref392750133"/>
      <w:bookmarkStart w:id="675" w:name="_Toc403739490"/>
      <w:r w:rsidRPr="00DF38B2">
        <w:lastRenderedPageBreak/>
        <w:t xml:space="preserve">Table </w:t>
      </w:r>
      <w:fldSimple w:instr=" STYLEREF 1 \s ">
        <w:r w:rsidR="00906D13">
          <w:rPr>
            <w:noProof/>
          </w:rPr>
          <w:t>15</w:t>
        </w:r>
      </w:fldSimple>
      <w:r w:rsidR="00D40B64">
        <w:noBreakHyphen/>
      </w:r>
      <w:fldSimple w:instr=" SEQ Table \* ARABIC \s 1 ">
        <w:r w:rsidR="00906D13">
          <w:rPr>
            <w:noProof/>
          </w:rPr>
          <w:t>1</w:t>
        </w:r>
      </w:fldSimple>
      <w:bookmarkEnd w:id="674"/>
      <w:r w:rsidR="00225D5C">
        <w:tab/>
      </w:r>
      <w:r w:rsidRPr="00DF38B2">
        <w:t>Summary of evidence of impact of income management on expenditure patterns, financial outcomes</w:t>
      </w:r>
      <w:r w:rsidR="00D675A7">
        <w:t>,</w:t>
      </w:r>
      <w:r w:rsidRPr="00DF38B2">
        <w:t xml:space="preserve"> and a range of individual and community level outcomes</w:t>
      </w:r>
      <w:bookmarkEnd w:id="675"/>
    </w:p>
    <w:tbl>
      <w:tblPr>
        <w:tblStyle w:val="TableGrid1"/>
        <w:tblW w:w="9746" w:type="dxa"/>
        <w:tblInd w:w="-573" w:type="dxa"/>
        <w:tblBorders>
          <w:left w:val="none" w:sz="0" w:space="0" w:color="auto"/>
          <w:right w:val="none" w:sz="0" w:space="0" w:color="auto"/>
          <w:insideV w:val="none" w:sz="0" w:space="0" w:color="auto"/>
        </w:tblBorders>
        <w:tblLook w:val="04A0" w:firstRow="1" w:lastRow="0" w:firstColumn="1" w:lastColumn="0" w:noHBand="0" w:noVBand="1"/>
        <w:tblDescription w:val="This is an extensive text table. It comprises a range of indicators under four headings: 1 - Alcohol, drugs, and gambling; 2 - Individual financial outcomes, 3  Child health and developmental outcomes and 4 - Child health and developmental outcomes, with columns providing details on the indicator, the source and time period of data and findings.&#10;All of the data items in the table and findings have been subject to extensive discussion in the text in earlier chapters.&#10;"/>
      </w:tblPr>
      <w:tblGrid>
        <w:gridCol w:w="1247"/>
        <w:gridCol w:w="1809"/>
        <w:gridCol w:w="1814"/>
        <w:gridCol w:w="4876"/>
      </w:tblGrid>
      <w:tr w:rsidR="00880014" w:rsidRPr="00DF38B2" w:rsidTr="00880014">
        <w:trPr>
          <w:tblHeader/>
        </w:trPr>
        <w:tc>
          <w:tcPr>
            <w:tcW w:w="1247" w:type="dxa"/>
          </w:tcPr>
          <w:p w:rsidR="00880014" w:rsidRPr="00DF38B2" w:rsidRDefault="00880014" w:rsidP="006654AE">
            <w:pPr>
              <w:pStyle w:val="tabletextleft"/>
              <w:jc w:val="left"/>
              <w:rPr>
                <w:b/>
                <w:sz w:val="16"/>
                <w:szCs w:val="16"/>
              </w:rPr>
            </w:pPr>
          </w:p>
        </w:tc>
        <w:tc>
          <w:tcPr>
            <w:tcW w:w="1809" w:type="dxa"/>
            <w:hideMark/>
          </w:tcPr>
          <w:p w:rsidR="00880014" w:rsidRPr="00DF38B2" w:rsidRDefault="00880014" w:rsidP="006654AE">
            <w:pPr>
              <w:pStyle w:val="tabletextleft"/>
              <w:jc w:val="left"/>
              <w:rPr>
                <w:b/>
                <w:sz w:val="16"/>
                <w:szCs w:val="16"/>
              </w:rPr>
            </w:pPr>
            <w:r w:rsidRPr="00DF38B2">
              <w:rPr>
                <w:b/>
                <w:sz w:val="16"/>
                <w:szCs w:val="16"/>
              </w:rPr>
              <w:t>Indicator</w:t>
            </w:r>
          </w:p>
        </w:tc>
        <w:tc>
          <w:tcPr>
            <w:tcW w:w="1814" w:type="dxa"/>
            <w:hideMark/>
          </w:tcPr>
          <w:p w:rsidR="00880014" w:rsidRPr="00DF38B2" w:rsidRDefault="00880014" w:rsidP="006654AE">
            <w:pPr>
              <w:pStyle w:val="tabletextleft"/>
              <w:jc w:val="left"/>
              <w:rPr>
                <w:b/>
                <w:sz w:val="16"/>
                <w:szCs w:val="16"/>
              </w:rPr>
            </w:pPr>
            <w:r w:rsidRPr="00DF38B2">
              <w:rPr>
                <w:b/>
                <w:sz w:val="16"/>
                <w:szCs w:val="16"/>
              </w:rPr>
              <w:t>Source and time period</w:t>
            </w:r>
          </w:p>
        </w:tc>
        <w:tc>
          <w:tcPr>
            <w:tcW w:w="4876" w:type="dxa"/>
            <w:hideMark/>
          </w:tcPr>
          <w:p w:rsidR="00880014" w:rsidRPr="00DF38B2" w:rsidRDefault="00880014" w:rsidP="006654AE">
            <w:pPr>
              <w:pStyle w:val="tabletextleft"/>
              <w:jc w:val="left"/>
              <w:rPr>
                <w:b/>
                <w:sz w:val="16"/>
                <w:szCs w:val="16"/>
              </w:rPr>
            </w:pPr>
            <w:r w:rsidRPr="00DF38B2">
              <w:rPr>
                <w:b/>
                <w:sz w:val="16"/>
                <w:szCs w:val="16"/>
              </w:rPr>
              <w:t>Finding</w:t>
            </w:r>
            <w:r>
              <w:rPr>
                <w:b/>
                <w:sz w:val="16"/>
                <w:szCs w:val="16"/>
              </w:rPr>
              <w:t>s</w:t>
            </w:r>
            <w:r w:rsidRPr="00DF38B2">
              <w:rPr>
                <w:b/>
                <w:sz w:val="16"/>
                <w:szCs w:val="16"/>
              </w:rPr>
              <w:t xml:space="preserve"> </w:t>
            </w:r>
          </w:p>
        </w:tc>
      </w:tr>
      <w:tr w:rsidR="00880014" w:rsidRPr="00DF38B2" w:rsidTr="00880014">
        <w:tc>
          <w:tcPr>
            <w:tcW w:w="1247" w:type="dxa"/>
            <w:vMerge w:val="restart"/>
          </w:tcPr>
          <w:p w:rsidR="00880014" w:rsidRPr="00DF38B2" w:rsidRDefault="00880014" w:rsidP="006654AE">
            <w:pPr>
              <w:pStyle w:val="tabletextleft"/>
              <w:jc w:val="left"/>
              <w:rPr>
                <w:sz w:val="16"/>
                <w:szCs w:val="16"/>
              </w:rPr>
            </w:pPr>
            <w:r>
              <w:rPr>
                <w:sz w:val="16"/>
                <w:szCs w:val="16"/>
              </w:rPr>
              <w:t>Alcohol, drugs &amp; gambling</w:t>
            </w:r>
          </w:p>
        </w:tc>
        <w:tc>
          <w:tcPr>
            <w:tcW w:w="1809" w:type="dxa"/>
            <w:hideMark/>
          </w:tcPr>
          <w:p w:rsidR="00880014" w:rsidRPr="00DF38B2" w:rsidRDefault="00880014" w:rsidP="006654AE">
            <w:pPr>
              <w:pStyle w:val="tabletextleft"/>
              <w:jc w:val="left"/>
              <w:rPr>
                <w:sz w:val="16"/>
                <w:szCs w:val="16"/>
              </w:rPr>
            </w:pPr>
            <w:r w:rsidRPr="00DF38B2">
              <w:rPr>
                <w:sz w:val="16"/>
                <w:szCs w:val="16"/>
              </w:rPr>
              <w:t>Incidence of adverse impacts on family from alcohol</w:t>
            </w:r>
            <w:r>
              <w:rPr>
                <w:sz w:val="16"/>
                <w:szCs w:val="16"/>
              </w:rPr>
              <w:t>,</w:t>
            </w:r>
            <w:r w:rsidRPr="00DF38B2">
              <w:rPr>
                <w:sz w:val="16"/>
                <w:szCs w:val="16"/>
              </w:rPr>
              <w:t xml:space="preserve"> drugs</w:t>
            </w:r>
            <w:r>
              <w:rPr>
                <w:sz w:val="16"/>
                <w:szCs w:val="16"/>
              </w:rPr>
              <w:t>,</w:t>
            </w:r>
            <w:r w:rsidRPr="00DF38B2">
              <w:rPr>
                <w:sz w:val="16"/>
                <w:szCs w:val="16"/>
              </w:rPr>
              <w:t xml:space="preserve"> and gambling</w:t>
            </w: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Change between 2011 and 2013</w:t>
            </w:r>
          </w:p>
        </w:tc>
        <w:tc>
          <w:tcPr>
            <w:tcW w:w="4876" w:type="dxa"/>
            <w:hideMark/>
          </w:tcPr>
          <w:p w:rsidR="00880014" w:rsidRPr="00DF38B2" w:rsidRDefault="00880014" w:rsidP="006654AE">
            <w:pPr>
              <w:pStyle w:val="tabletextleft"/>
              <w:jc w:val="left"/>
              <w:rPr>
                <w:sz w:val="16"/>
                <w:szCs w:val="16"/>
              </w:rPr>
            </w:pPr>
            <w:r w:rsidRPr="00DF38B2">
              <w:rPr>
                <w:sz w:val="16"/>
                <w:szCs w:val="16"/>
              </w:rPr>
              <w:t>No sig. change in specific problems for I</w:t>
            </w:r>
            <w:r>
              <w:rPr>
                <w:sz w:val="16"/>
                <w:szCs w:val="16"/>
              </w:rPr>
              <w:t>ndigenous</w:t>
            </w:r>
            <w:r w:rsidRPr="00DF38B2">
              <w:rPr>
                <w:sz w:val="16"/>
                <w:szCs w:val="16"/>
              </w:rPr>
              <w:t xml:space="preserve"> &amp; n</w:t>
            </w:r>
            <w:r>
              <w:rPr>
                <w:sz w:val="16"/>
                <w:szCs w:val="16"/>
              </w:rPr>
              <w:t>on-</w:t>
            </w:r>
            <w:r w:rsidRPr="00DF38B2">
              <w:rPr>
                <w:sz w:val="16"/>
                <w:szCs w:val="16"/>
              </w:rPr>
              <w:t>I</w:t>
            </w:r>
            <w:r>
              <w:rPr>
                <w:sz w:val="16"/>
                <w:szCs w:val="16"/>
              </w:rPr>
              <w:t>ndigenous</w:t>
            </w:r>
            <w:r w:rsidRPr="00DF38B2">
              <w:rPr>
                <w:sz w:val="16"/>
                <w:szCs w:val="16"/>
              </w:rPr>
              <w:t xml:space="preserve"> CIM. Improvement alcohol, deterioration gambling for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Improvement for all in any problem from these</w:t>
            </w:r>
            <w:r>
              <w:rPr>
                <w:sz w:val="16"/>
                <w:szCs w:val="16"/>
              </w:rPr>
              <w:t>,</w:t>
            </w:r>
            <w:r w:rsidRPr="00DF38B2">
              <w:rPr>
                <w:sz w:val="16"/>
                <w:szCs w:val="16"/>
              </w:rPr>
              <w:t xml:space="preserve"> but deterioration in severe problems, only sig. for I</w:t>
            </w:r>
            <w:r>
              <w:rPr>
                <w:sz w:val="16"/>
                <w:szCs w:val="16"/>
              </w:rPr>
              <w:t>ndigenous</w:t>
            </w:r>
            <w:r w:rsidRPr="00DF38B2">
              <w:rPr>
                <w:sz w:val="16"/>
                <w:szCs w:val="16"/>
              </w:rPr>
              <w:t xml:space="preserve"> VIM.</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Alcohol and tobacco consumption (Indigenous only)</w:t>
            </w:r>
          </w:p>
        </w:tc>
        <w:tc>
          <w:tcPr>
            <w:tcW w:w="1814" w:type="dxa"/>
            <w:hideMark/>
          </w:tcPr>
          <w:p w:rsidR="00880014" w:rsidRPr="00DF38B2" w:rsidRDefault="00880014" w:rsidP="006654AE">
            <w:pPr>
              <w:pStyle w:val="tabletextleft"/>
              <w:jc w:val="left"/>
              <w:rPr>
                <w:sz w:val="16"/>
                <w:szCs w:val="16"/>
              </w:rPr>
            </w:pPr>
            <w:r w:rsidRPr="00DF38B2">
              <w:rPr>
                <w:sz w:val="16"/>
                <w:szCs w:val="16"/>
              </w:rPr>
              <w:t>NATSIHS</w:t>
            </w:r>
          </w:p>
          <w:p w:rsidR="00880014" w:rsidRPr="00DF38B2" w:rsidRDefault="00880014" w:rsidP="006654AE">
            <w:pPr>
              <w:pStyle w:val="tabletextleft"/>
              <w:jc w:val="left"/>
              <w:rPr>
                <w:sz w:val="16"/>
                <w:szCs w:val="16"/>
              </w:rPr>
            </w:pPr>
            <w:r w:rsidRPr="00DF38B2">
              <w:rPr>
                <w:sz w:val="16"/>
                <w:szCs w:val="16"/>
              </w:rPr>
              <w:t>2004-05 to 2012-13</w:t>
            </w:r>
          </w:p>
        </w:tc>
        <w:tc>
          <w:tcPr>
            <w:tcW w:w="4876" w:type="dxa"/>
            <w:hideMark/>
          </w:tcPr>
          <w:p w:rsidR="00880014" w:rsidRPr="00DF38B2" w:rsidRDefault="00880014" w:rsidP="006654AE">
            <w:pPr>
              <w:pStyle w:val="tabletextleft"/>
              <w:jc w:val="left"/>
              <w:rPr>
                <w:sz w:val="16"/>
                <w:szCs w:val="16"/>
              </w:rPr>
            </w:pPr>
            <w:r w:rsidRPr="00DF38B2">
              <w:rPr>
                <w:sz w:val="16"/>
                <w:szCs w:val="16"/>
              </w:rPr>
              <w:t>Indigenous adults 2004</w:t>
            </w:r>
            <w:r>
              <w:rPr>
                <w:sz w:val="16"/>
                <w:szCs w:val="16"/>
              </w:rPr>
              <w:t>–0</w:t>
            </w:r>
            <w:r w:rsidRPr="00DF38B2">
              <w:rPr>
                <w:sz w:val="16"/>
                <w:szCs w:val="16"/>
              </w:rPr>
              <w:t>5 to 2012</w:t>
            </w:r>
            <w:r>
              <w:rPr>
                <w:sz w:val="16"/>
                <w:szCs w:val="16"/>
              </w:rPr>
              <w:t>–</w:t>
            </w:r>
            <w:r w:rsidRPr="00DF38B2">
              <w:rPr>
                <w:sz w:val="16"/>
                <w:szCs w:val="16"/>
              </w:rPr>
              <w:t>13, no change in risky levels of alcohol consumption</w:t>
            </w:r>
            <w:r>
              <w:rPr>
                <w:sz w:val="16"/>
                <w:szCs w:val="16"/>
              </w:rPr>
              <w:t>,</w:t>
            </w:r>
            <w:r w:rsidRPr="00DF38B2">
              <w:rPr>
                <w:sz w:val="16"/>
                <w:szCs w:val="16"/>
              </w:rPr>
              <w:t xml:space="preserve"> and smoking rate increased slightly.</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Alcohol supply</w:t>
            </w:r>
          </w:p>
        </w:tc>
        <w:tc>
          <w:tcPr>
            <w:tcW w:w="1814" w:type="dxa"/>
            <w:hideMark/>
          </w:tcPr>
          <w:p w:rsidR="00880014" w:rsidRPr="00DF38B2" w:rsidRDefault="00880014" w:rsidP="006654AE">
            <w:pPr>
              <w:pStyle w:val="tabletextleft"/>
              <w:jc w:val="left"/>
              <w:rPr>
                <w:sz w:val="16"/>
                <w:szCs w:val="16"/>
              </w:rPr>
            </w:pPr>
            <w:r w:rsidRPr="00DF38B2">
              <w:rPr>
                <w:sz w:val="16"/>
                <w:szCs w:val="16"/>
              </w:rPr>
              <w:t>Wholesale alcohol supply data</w:t>
            </w:r>
          </w:p>
          <w:p w:rsidR="00880014" w:rsidRPr="00DF38B2" w:rsidRDefault="00880014" w:rsidP="006654AE">
            <w:pPr>
              <w:pStyle w:val="tabletextleft"/>
              <w:jc w:val="left"/>
              <w:rPr>
                <w:sz w:val="16"/>
                <w:szCs w:val="16"/>
              </w:rPr>
            </w:pPr>
            <w:r w:rsidRPr="00DF38B2">
              <w:rPr>
                <w:sz w:val="16"/>
                <w:szCs w:val="16"/>
              </w:rPr>
              <w:t>2002 to 2012</w:t>
            </w:r>
          </w:p>
        </w:tc>
        <w:tc>
          <w:tcPr>
            <w:tcW w:w="4876" w:type="dxa"/>
            <w:hideMark/>
          </w:tcPr>
          <w:p w:rsidR="00880014" w:rsidRPr="00DF38B2" w:rsidRDefault="00880014" w:rsidP="006654AE">
            <w:pPr>
              <w:pStyle w:val="tabletextleft"/>
              <w:jc w:val="left"/>
              <w:rPr>
                <w:sz w:val="16"/>
                <w:szCs w:val="16"/>
              </w:rPr>
            </w:pPr>
            <w:r w:rsidRPr="00DF38B2">
              <w:rPr>
                <w:sz w:val="16"/>
                <w:szCs w:val="16"/>
              </w:rPr>
              <w:t>Per capita alcohol supply decreased starting in 2005</w:t>
            </w:r>
            <w:r>
              <w:rPr>
                <w:sz w:val="16"/>
                <w:szCs w:val="16"/>
              </w:rPr>
              <w:t>.</w:t>
            </w:r>
          </w:p>
          <w:p w:rsidR="00880014" w:rsidRPr="00DF38B2" w:rsidRDefault="00880014" w:rsidP="006654AE">
            <w:pPr>
              <w:pStyle w:val="tabletextleft"/>
              <w:jc w:val="left"/>
              <w:rPr>
                <w:sz w:val="16"/>
                <w:szCs w:val="16"/>
              </w:rPr>
            </w:pPr>
            <w:r w:rsidRPr="00DF38B2">
              <w:rPr>
                <w:sz w:val="16"/>
                <w:szCs w:val="16"/>
              </w:rPr>
              <w:t>No change in trend apparent following NTER IM and NIM being introduced</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tcPr>
          <w:p w:rsidR="00880014" w:rsidRPr="00DF38B2" w:rsidRDefault="00880014" w:rsidP="006654AE">
            <w:pPr>
              <w:pStyle w:val="tabletextleft"/>
              <w:jc w:val="left"/>
              <w:rPr>
                <w:sz w:val="16"/>
                <w:szCs w:val="16"/>
              </w:rPr>
            </w:pPr>
            <w:r w:rsidRPr="00DF38B2">
              <w:rPr>
                <w:sz w:val="16"/>
                <w:szCs w:val="16"/>
              </w:rPr>
              <w:t>Community level problems: drinking, financial harassment, child health and education</w:t>
            </w:r>
          </w:p>
          <w:p w:rsidR="00880014" w:rsidRPr="00DF38B2" w:rsidRDefault="00880014" w:rsidP="006654AE">
            <w:pPr>
              <w:pStyle w:val="tabletextleft"/>
              <w:jc w:val="left"/>
              <w:rPr>
                <w:sz w:val="16"/>
                <w:szCs w:val="16"/>
              </w:rPr>
            </w:pP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Change between 2011 and 2013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Children not looked after </w:t>
            </w:r>
            <w:r>
              <w:rPr>
                <w:sz w:val="16"/>
                <w:szCs w:val="16"/>
              </w:rPr>
              <w:t>–</w:t>
            </w:r>
            <w:r w:rsidRPr="00DF38B2">
              <w:rPr>
                <w:sz w:val="16"/>
                <w:szCs w:val="16"/>
              </w:rPr>
              <w:t xml:space="preserve"> sig deterioration I</w:t>
            </w:r>
            <w:r>
              <w:rPr>
                <w:sz w:val="16"/>
                <w:szCs w:val="16"/>
              </w:rPr>
              <w:t>ndigenous</w:t>
            </w:r>
            <w:r w:rsidRPr="00DF38B2">
              <w:rPr>
                <w:sz w:val="16"/>
                <w:szCs w:val="16"/>
              </w:rPr>
              <w:t xml:space="preserve"> CIM, not going to school </w:t>
            </w:r>
            <w:r>
              <w:rPr>
                <w:sz w:val="16"/>
                <w:szCs w:val="16"/>
              </w:rPr>
              <w:t>–</w:t>
            </w:r>
            <w:r w:rsidRPr="00DF38B2">
              <w:rPr>
                <w:sz w:val="16"/>
                <w:szCs w:val="16"/>
              </w:rPr>
              <w:t xml:space="preserve"> deterioration sig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Child outcome aggregate </w:t>
            </w:r>
            <w:r>
              <w:rPr>
                <w:sz w:val="16"/>
                <w:szCs w:val="16"/>
              </w:rPr>
              <w:t>–</w:t>
            </w:r>
            <w:r w:rsidRPr="00DF38B2">
              <w:rPr>
                <w:sz w:val="16"/>
                <w:szCs w:val="16"/>
              </w:rPr>
              <w:t xml:space="preserve"> no change</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Community drinking </w:t>
            </w:r>
            <w:r>
              <w:rPr>
                <w:sz w:val="16"/>
                <w:szCs w:val="16"/>
              </w:rPr>
              <w:t>–</w:t>
            </w:r>
            <w:r w:rsidRPr="00DF38B2">
              <w:rPr>
                <w:sz w:val="16"/>
                <w:szCs w:val="16"/>
              </w:rPr>
              <w:t xml:space="preserve"> deterioration all but not sig. Hassling for money </w:t>
            </w:r>
            <w:r>
              <w:rPr>
                <w:sz w:val="16"/>
                <w:szCs w:val="16"/>
              </w:rPr>
              <w:t xml:space="preserve">– </w:t>
            </w:r>
            <w:r w:rsidRPr="00DF38B2">
              <w:rPr>
                <w:sz w:val="16"/>
                <w:szCs w:val="16"/>
              </w:rPr>
              <w:t>sig deterioration I</w:t>
            </w:r>
            <w:r>
              <w:rPr>
                <w:sz w:val="16"/>
                <w:szCs w:val="16"/>
              </w:rPr>
              <w:t>ndigenous</w:t>
            </w:r>
            <w:r w:rsidRPr="00DF38B2">
              <w:rPr>
                <w:sz w:val="16"/>
                <w:szCs w:val="16"/>
              </w:rPr>
              <w:t xml:space="preserve"> CIM, non sig improvement I</w:t>
            </w:r>
            <w:r>
              <w:rPr>
                <w:sz w:val="16"/>
                <w:szCs w:val="16"/>
              </w:rPr>
              <w:t>ndigenous</w:t>
            </w:r>
            <w:r w:rsidRPr="00DF38B2">
              <w:rPr>
                <w:sz w:val="16"/>
                <w:szCs w:val="16"/>
              </w:rPr>
              <w:t xml:space="preserve"> VIM and non sig deterioration n</w:t>
            </w:r>
            <w:r>
              <w:rPr>
                <w:sz w:val="16"/>
                <w:szCs w:val="16"/>
              </w:rPr>
              <w:t>on-</w:t>
            </w:r>
            <w:r w:rsidRPr="00DF38B2">
              <w:rPr>
                <w:sz w:val="16"/>
                <w:szCs w:val="16"/>
              </w:rPr>
              <w:t>I</w:t>
            </w:r>
            <w:r>
              <w:rPr>
                <w:sz w:val="16"/>
                <w:szCs w:val="16"/>
              </w:rPr>
              <w:t>ndigenous</w:t>
            </w:r>
            <w:r w:rsidRPr="00DF38B2">
              <w:rPr>
                <w:sz w:val="16"/>
                <w:szCs w:val="16"/>
              </w:rPr>
              <w:t xml:space="preserve"> CIM</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Community aggregate </w:t>
            </w:r>
            <w:r>
              <w:rPr>
                <w:sz w:val="16"/>
                <w:szCs w:val="16"/>
              </w:rPr>
              <w:t>–</w:t>
            </w:r>
            <w:r w:rsidRPr="00DF38B2">
              <w:rPr>
                <w:sz w:val="16"/>
                <w:szCs w:val="16"/>
              </w:rPr>
              <w:t xml:space="preserve"> non sig deterioration all</w:t>
            </w:r>
            <w:r>
              <w:rPr>
                <w:sz w:val="16"/>
                <w:szCs w:val="16"/>
              </w:rPr>
              <w:t>.</w:t>
            </w:r>
          </w:p>
        </w:tc>
      </w:tr>
      <w:tr w:rsidR="00880014" w:rsidRPr="00DF38B2" w:rsidTr="00880014">
        <w:tc>
          <w:tcPr>
            <w:tcW w:w="1247" w:type="dxa"/>
            <w:vMerge/>
          </w:tcPr>
          <w:p w:rsidR="00880014"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Pr>
                <w:sz w:val="16"/>
                <w:szCs w:val="16"/>
              </w:rPr>
              <w:t>Alcohol-related</w:t>
            </w:r>
            <w:r w:rsidRPr="00DF38B2">
              <w:rPr>
                <w:sz w:val="16"/>
                <w:szCs w:val="16"/>
              </w:rPr>
              <w:t xml:space="preserve"> harm</w:t>
            </w:r>
          </w:p>
        </w:tc>
        <w:tc>
          <w:tcPr>
            <w:tcW w:w="1814" w:type="dxa"/>
            <w:hideMark/>
          </w:tcPr>
          <w:p w:rsidR="00880014" w:rsidRPr="00DF38B2" w:rsidRDefault="00880014" w:rsidP="006654AE">
            <w:pPr>
              <w:pStyle w:val="tabletextleft"/>
              <w:jc w:val="left"/>
              <w:rPr>
                <w:sz w:val="16"/>
                <w:szCs w:val="16"/>
              </w:rPr>
            </w:pPr>
            <w:r w:rsidRPr="00DF38B2">
              <w:rPr>
                <w:sz w:val="16"/>
                <w:szCs w:val="16"/>
              </w:rPr>
              <w:t>NT Health Department</w:t>
            </w:r>
          </w:p>
          <w:p w:rsidR="00880014" w:rsidRPr="00DF38B2" w:rsidRDefault="00880014" w:rsidP="006654AE">
            <w:pPr>
              <w:pStyle w:val="tabletextleft"/>
              <w:jc w:val="left"/>
              <w:rPr>
                <w:sz w:val="16"/>
                <w:szCs w:val="16"/>
              </w:rPr>
            </w:pPr>
            <w:r w:rsidRPr="00DF38B2">
              <w:rPr>
                <w:sz w:val="16"/>
                <w:szCs w:val="16"/>
              </w:rPr>
              <w:t>2005 to 2013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Number of </w:t>
            </w:r>
            <w:r>
              <w:rPr>
                <w:sz w:val="16"/>
                <w:szCs w:val="16"/>
              </w:rPr>
              <w:t>alcohol-related</w:t>
            </w:r>
            <w:r w:rsidRPr="00DF38B2">
              <w:rPr>
                <w:sz w:val="16"/>
                <w:szCs w:val="16"/>
              </w:rPr>
              <w:t xml:space="preserve"> presentations to emergency departments and hospital admissions has increased sharply – very unlikely to be directly linked to IM</w:t>
            </w:r>
            <w:r>
              <w:rPr>
                <w:sz w:val="16"/>
                <w:szCs w:val="16"/>
              </w:rPr>
              <w:t>.</w:t>
            </w:r>
          </w:p>
        </w:tc>
      </w:tr>
      <w:tr w:rsidR="00880014" w:rsidRPr="00DF38B2" w:rsidTr="00880014">
        <w:tc>
          <w:tcPr>
            <w:tcW w:w="1247" w:type="dxa"/>
          </w:tcPr>
          <w:p w:rsidR="00880014" w:rsidRPr="00DF38B2" w:rsidRDefault="00880014" w:rsidP="006654AE">
            <w:pPr>
              <w:pStyle w:val="tabletextleft"/>
              <w:jc w:val="left"/>
              <w:rPr>
                <w:sz w:val="16"/>
                <w:szCs w:val="16"/>
              </w:rPr>
            </w:pPr>
            <w:r>
              <w:rPr>
                <w:sz w:val="16"/>
                <w:szCs w:val="16"/>
              </w:rPr>
              <w:t>Individual financial outcomes</w:t>
            </w:r>
          </w:p>
        </w:tc>
        <w:tc>
          <w:tcPr>
            <w:tcW w:w="1809" w:type="dxa"/>
          </w:tcPr>
          <w:p w:rsidR="00880014" w:rsidRPr="00DF38B2" w:rsidRDefault="00880014" w:rsidP="006654AE">
            <w:pPr>
              <w:pStyle w:val="tabletextleft"/>
              <w:jc w:val="left"/>
              <w:rPr>
                <w:sz w:val="16"/>
                <w:szCs w:val="16"/>
              </w:rPr>
            </w:pPr>
            <w:r w:rsidRPr="00DF38B2">
              <w:rPr>
                <w:sz w:val="16"/>
                <w:szCs w:val="16"/>
              </w:rPr>
              <w:t>Individual financial outcomes and financial harassment</w:t>
            </w:r>
          </w:p>
          <w:p w:rsidR="00880014" w:rsidRPr="00DF38B2" w:rsidRDefault="00880014" w:rsidP="006654AE">
            <w:pPr>
              <w:pStyle w:val="tabletextleft"/>
              <w:jc w:val="left"/>
              <w:rPr>
                <w:sz w:val="16"/>
                <w:szCs w:val="16"/>
              </w:rPr>
            </w:pP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Pre</w:t>
            </w:r>
            <w:r>
              <w:rPr>
                <w:sz w:val="16"/>
                <w:szCs w:val="16"/>
              </w:rPr>
              <w:t>-</w:t>
            </w:r>
            <w:r w:rsidRPr="00DF38B2">
              <w:rPr>
                <w:sz w:val="16"/>
                <w:szCs w:val="16"/>
              </w:rPr>
              <w:t>income management to 2014</w:t>
            </w:r>
          </w:p>
        </w:tc>
        <w:tc>
          <w:tcPr>
            <w:tcW w:w="4876" w:type="dxa"/>
            <w:hideMark/>
          </w:tcPr>
          <w:p w:rsidR="00880014" w:rsidRPr="00DF38B2" w:rsidRDefault="00880014" w:rsidP="006654AE">
            <w:pPr>
              <w:pStyle w:val="tabletextleft"/>
              <w:jc w:val="left"/>
              <w:rPr>
                <w:sz w:val="16"/>
                <w:szCs w:val="16"/>
              </w:rPr>
            </w:pPr>
            <w:r w:rsidRPr="00DF38B2">
              <w:rPr>
                <w:sz w:val="16"/>
                <w:szCs w:val="16"/>
              </w:rPr>
              <w:t>Problems as a result of giving money to others</w:t>
            </w:r>
            <w:r>
              <w:rPr>
                <w:sz w:val="16"/>
                <w:szCs w:val="16"/>
              </w:rPr>
              <w:t xml:space="preserve"> –</w:t>
            </w:r>
            <w:r w:rsidRPr="00DF38B2">
              <w:rPr>
                <w:sz w:val="16"/>
                <w:szCs w:val="16"/>
              </w:rPr>
              <w:t xml:space="preserve"> improvement sig I</w:t>
            </w:r>
            <w:r>
              <w:rPr>
                <w:sz w:val="16"/>
                <w:szCs w:val="16"/>
              </w:rPr>
              <w:t>ndigenous</w:t>
            </w:r>
            <w:r w:rsidRPr="00DF38B2">
              <w:rPr>
                <w:sz w:val="16"/>
                <w:szCs w:val="16"/>
              </w:rPr>
              <w:t xml:space="preserve"> CIM, weakly sig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Asking others for money for essentials </w:t>
            </w:r>
            <w:r>
              <w:rPr>
                <w:sz w:val="16"/>
                <w:szCs w:val="16"/>
              </w:rPr>
              <w:t>–</w:t>
            </w:r>
            <w:r w:rsidRPr="00DF38B2">
              <w:rPr>
                <w:sz w:val="16"/>
                <w:szCs w:val="16"/>
              </w:rPr>
              <w:t xml:space="preserve"> worsening sig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Running out of food </w:t>
            </w:r>
            <w:r>
              <w:rPr>
                <w:sz w:val="16"/>
                <w:szCs w:val="16"/>
              </w:rPr>
              <w:t>–</w:t>
            </w:r>
            <w:r w:rsidRPr="00DF38B2">
              <w:rPr>
                <w:sz w:val="16"/>
                <w:szCs w:val="16"/>
              </w:rPr>
              <w:t xml:space="preserve"> improvement</w:t>
            </w:r>
            <w:r>
              <w:rPr>
                <w:sz w:val="16"/>
                <w:szCs w:val="16"/>
              </w:rPr>
              <w:t xml:space="preserve"> weakly</w:t>
            </w:r>
            <w:r w:rsidRPr="00DF38B2">
              <w:rPr>
                <w:sz w:val="16"/>
                <w:szCs w:val="16"/>
              </w:rPr>
              <w:t xml:space="preserve"> sig for I</w:t>
            </w:r>
            <w:r>
              <w:rPr>
                <w:sz w:val="16"/>
                <w:szCs w:val="16"/>
              </w:rPr>
              <w:t>ndigenous</w:t>
            </w:r>
            <w:r w:rsidRPr="00DF38B2">
              <w:rPr>
                <w:sz w:val="16"/>
                <w:szCs w:val="16"/>
              </w:rPr>
              <w:t xml:space="preserve"> VIM, not sig for I</w:t>
            </w:r>
            <w:r>
              <w:rPr>
                <w:sz w:val="16"/>
                <w:szCs w:val="16"/>
              </w:rPr>
              <w:t>ndigenous</w:t>
            </w:r>
            <w:r w:rsidRPr="00DF38B2">
              <w:rPr>
                <w:sz w:val="16"/>
                <w:szCs w:val="16"/>
              </w:rPr>
              <w:t xml:space="preserve"> CIM, deterioration n</w:t>
            </w:r>
            <w:r>
              <w:rPr>
                <w:sz w:val="16"/>
                <w:szCs w:val="16"/>
              </w:rPr>
              <w:t>on-</w:t>
            </w:r>
            <w:r w:rsidRPr="00DF38B2">
              <w:rPr>
                <w:sz w:val="16"/>
                <w:szCs w:val="16"/>
              </w:rPr>
              <w:t>I</w:t>
            </w:r>
            <w:r>
              <w:rPr>
                <w:sz w:val="16"/>
                <w:szCs w:val="16"/>
              </w:rPr>
              <w:t>ndigenous</w:t>
            </w:r>
            <w:r w:rsidRPr="00DF38B2">
              <w:rPr>
                <w:sz w:val="16"/>
                <w:szCs w:val="16"/>
              </w:rPr>
              <w:t xml:space="preserve"> CIM.</w:t>
            </w:r>
          </w:p>
          <w:p w:rsidR="00880014" w:rsidRPr="00DF38B2" w:rsidRDefault="00880014" w:rsidP="006654AE">
            <w:pPr>
              <w:pStyle w:val="tabletextleft"/>
              <w:jc w:val="left"/>
              <w:rPr>
                <w:sz w:val="16"/>
                <w:szCs w:val="16"/>
              </w:rPr>
            </w:pPr>
            <w:r w:rsidRPr="00DF38B2">
              <w:rPr>
                <w:sz w:val="16"/>
                <w:szCs w:val="16"/>
              </w:rPr>
              <w:t>Problem paying bills on time – improvement</w:t>
            </w:r>
            <w:r>
              <w:rPr>
                <w:sz w:val="16"/>
                <w:szCs w:val="16"/>
              </w:rPr>
              <w:t>,</w:t>
            </w:r>
            <w:r w:rsidRPr="00DF38B2">
              <w:rPr>
                <w:sz w:val="16"/>
                <w:szCs w:val="16"/>
              </w:rPr>
              <w:t xml:space="preserve"> only sig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Absence of financial stress </w:t>
            </w:r>
            <w:r>
              <w:rPr>
                <w:sz w:val="16"/>
                <w:szCs w:val="16"/>
              </w:rPr>
              <w:t>–</w:t>
            </w:r>
            <w:r w:rsidRPr="00DF38B2">
              <w:rPr>
                <w:sz w:val="16"/>
                <w:szCs w:val="16"/>
              </w:rPr>
              <w:t xml:space="preserve"> small deterioration non sig for all.</w:t>
            </w:r>
          </w:p>
          <w:p w:rsidR="00880014" w:rsidRPr="00DF38B2" w:rsidRDefault="00880014" w:rsidP="006654AE">
            <w:pPr>
              <w:pStyle w:val="tabletextleft"/>
              <w:jc w:val="left"/>
              <w:rPr>
                <w:sz w:val="16"/>
                <w:szCs w:val="16"/>
              </w:rPr>
            </w:pPr>
            <w:r w:rsidRPr="00DF38B2">
              <w:rPr>
                <w:sz w:val="16"/>
                <w:szCs w:val="16"/>
              </w:rPr>
              <w:t>Only 30%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 who want to stay on IM say harassment a reason; 10% I</w:t>
            </w:r>
            <w:r>
              <w:rPr>
                <w:sz w:val="16"/>
                <w:szCs w:val="16"/>
              </w:rPr>
              <w:t xml:space="preserve">ndigenous </w:t>
            </w:r>
            <w:r w:rsidRPr="00DF38B2">
              <w:rPr>
                <w:sz w:val="16"/>
                <w:szCs w:val="16"/>
              </w:rPr>
              <w:t>CIM &amp; 0% I</w:t>
            </w:r>
            <w:r>
              <w:rPr>
                <w:sz w:val="16"/>
                <w:szCs w:val="16"/>
              </w:rPr>
              <w:t>ndigenous</w:t>
            </w:r>
            <w:r w:rsidRPr="00DF38B2">
              <w:rPr>
                <w:sz w:val="16"/>
                <w:szCs w:val="16"/>
              </w:rPr>
              <w:t xml:space="preserve"> VIM as main reason.</w:t>
            </w:r>
          </w:p>
        </w:tc>
      </w:tr>
      <w:tr w:rsidR="00880014" w:rsidRPr="00DF38B2" w:rsidTr="00880014">
        <w:trPr>
          <w:trHeight w:val="696"/>
        </w:trPr>
        <w:tc>
          <w:tcPr>
            <w:tcW w:w="1247" w:type="dxa"/>
            <w:vMerge w:val="restart"/>
          </w:tcPr>
          <w:p w:rsidR="00880014" w:rsidRPr="00DF38B2" w:rsidRDefault="00880014" w:rsidP="006654AE">
            <w:pPr>
              <w:pStyle w:val="tabletextleft"/>
              <w:jc w:val="left"/>
              <w:rPr>
                <w:sz w:val="16"/>
                <w:szCs w:val="16"/>
              </w:rPr>
            </w:pPr>
            <w:r>
              <w:rPr>
                <w:sz w:val="16"/>
                <w:szCs w:val="16"/>
              </w:rPr>
              <w:t>Child health &amp; developmental outcomes</w:t>
            </w:r>
          </w:p>
        </w:tc>
        <w:tc>
          <w:tcPr>
            <w:tcW w:w="1809" w:type="dxa"/>
            <w:hideMark/>
          </w:tcPr>
          <w:p w:rsidR="00880014" w:rsidRPr="00DF38B2" w:rsidRDefault="00880014" w:rsidP="006654AE">
            <w:pPr>
              <w:pStyle w:val="tabletextleft"/>
              <w:jc w:val="left"/>
              <w:rPr>
                <w:sz w:val="16"/>
                <w:szCs w:val="16"/>
              </w:rPr>
            </w:pPr>
            <w:r w:rsidRPr="00DF38B2">
              <w:rPr>
                <w:sz w:val="16"/>
                <w:szCs w:val="16"/>
              </w:rPr>
              <w:t xml:space="preserve">Child developmental and learning outcomes </w:t>
            </w:r>
          </w:p>
        </w:tc>
        <w:tc>
          <w:tcPr>
            <w:tcW w:w="1814" w:type="dxa"/>
          </w:tcPr>
          <w:p w:rsidR="00880014" w:rsidRPr="00DF38B2" w:rsidRDefault="00880014" w:rsidP="006654AE">
            <w:pPr>
              <w:pStyle w:val="tabletextleft"/>
              <w:jc w:val="left"/>
              <w:rPr>
                <w:sz w:val="16"/>
                <w:szCs w:val="16"/>
              </w:rPr>
            </w:pPr>
            <w:r w:rsidRPr="00DF38B2">
              <w:rPr>
                <w:sz w:val="16"/>
                <w:szCs w:val="16"/>
              </w:rPr>
              <w:t>AEDI</w:t>
            </w:r>
          </w:p>
          <w:p w:rsidR="00880014" w:rsidRPr="00DF38B2" w:rsidRDefault="00880014" w:rsidP="006654AE">
            <w:pPr>
              <w:pStyle w:val="tabletextleft"/>
              <w:jc w:val="left"/>
              <w:rPr>
                <w:sz w:val="16"/>
                <w:szCs w:val="16"/>
              </w:rPr>
            </w:pPr>
            <w:r w:rsidRPr="00DF38B2">
              <w:rPr>
                <w:sz w:val="16"/>
                <w:szCs w:val="16"/>
              </w:rPr>
              <w:t>2009 to 2012</w:t>
            </w:r>
          </w:p>
          <w:p w:rsidR="00880014" w:rsidRPr="00DF38B2" w:rsidRDefault="00880014" w:rsidP="006654AE">
            <w:pPr>
              <w:pStyle w:val="tabletextleft"/>
              <w:jc w:val="left"/>
              <w:rPr>
                <w:sz w:val="16"/>
                <w:szCs w:val="16"/>
              </w:rPr>
            </w:pPr>
          </w:p>
        </w:tc>
        <w:tc>
          <w:tcPr>
            <w:tcW w:w="4876" w:type="dxa"/>
            <w:hideMark/>
          </w:tcPr>
          <w:p w:rsidR="00880014" w:rsidRPr="00DF38B2" w:rsidRDefault="00880014" w:rsidP="006654AE">
            <w:pPr>
              <w:pStyle w:val="tabletextleft"/>
              <w:jc w:val="left"/>
              <w:rPr>
                <w:sz w:val="16"/>
                <w:szCs w:val="16"/>
              </w:rPr>
            </w:pPr>
            <w:r w:rsidRPr="00DF38B2">
              <w:rPr>
                <w:sz w:val="16"/>
                <w:szCs w:val="16"/>
              </w:rPr>
              <w:t>AEDI for NT children still very poor</w:t>
            </w:r>
            <w:r>
              <w:rPr>
                <w:sz w:val="16"/>
                <w:szCs w:val="16"/>
              </w:rPr>
              <w:t xml:space="preserve">. Between </w:t>
            </w:r>
            <w:r w:rsidRPr="00DF38B2">
              <w:rPr>
                <w:sz w:val="16"/>
                <w:szCs w:val="16"/>
              </w:rPr>
              <w:t xml:space="preserve">2009 </w:t>
            </w:r>
            <w:r>
              <w:rPr>
                <w:sz w:val="16"/>
                <w:szCs w:val="16"/>
              </w:rPr>
              <w:t>and</w:t>
            </w:r>
            <w:r w:rsidRPr="00DF38B2">
              <w:rPr>
                <w:sz w:val="16"/>
                <w:szCs w:val="16"/>
              </w:rPr>
              <w:t xml:space="preserve"> 2012 rate of improvement </w:t>
            </w:r>
            <w:r>
              <w:rPr>
                <w:sz w:val="16"/>
                <w:szCs w:val="16"/>
              </w:rPr>
              <w:t xml:space="preserve">in the NT </w:t>
            </w:r>
            <w:r w:rsidRPr="00DF38B2">
              <w:rPr>
                <w:sz w:val="16"/>
                <w:szCs w:val="16"/>
              </w:rPr>
              <w:t>was above national in three domains lower in two. Largest gap and lowest rate of improvement in language and cognitive skills</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Child learning outcomes</w:t>
            </w:r>
          </w:p>
        </w:tc>
        <w:tc>
          <w:tcPr>
            <w:tcW w:w="1814" w:type="dxa"/>
            <w:hideMark/>
          </w:tcPr>
          <w:p w:rsidR="00880014" w:rsidRPr="00DF38B2" w:rsidRDefault="00880014" w:rsidP="006654AE">
            <w:pPr>
              <w:pStyle w:val="tabletextleft"/>
              <w:jc w:val="left"/>
              <w:rPr>
                <w:sz w:val="16"/>
                <w:szCs w:val="16"/>
              </w:rPr>
            </w:pPr>
            <w:r w:rsidRPr="00DF38B2">
              <w:rPr>
                <w:sz w:val="16"/>
                <w:szCs w:val="16"/>
              </w:rPr>
              <w:t>NAPLAN</w:t>
            </w:r>
          </w:p>
          <w:p w:rsidR="00880014" w:rsidRPr="00DF38B2" w:rsidRDefault="00880014" w:rsidP="006654AE">
            <w:pPr>
              <w:pStyle w:val="tabletextleft"/>
              <w:jc w:val="left"/>
              <w:rPr>
                <w:sz w:val="16"/>
                <w:szCs w:val="16"/>
              </w:rPr>
            </w:pPr>
            <w:r w:rsidRPr="00DF38B2">
              <w:rPr>
                <w:sz w:val="16"/>
                <w:szCs w:val="16"/>
              </w:rPr>
              <w:t>2008</w:t>
            </w:r>
            <w:r>
              <w:rPr>
                <w:sz w:val="16"/>
                <w:szCs w:val="16"/>
              </w:rPr>
              <w:t>–</w:t>
            </w:r>
            <w:r w:rsidRPr="00DF38B2">
              <w:rPr>
                <w:sz w:val="16"/>
                <w:szCs w:val="16"/>
              </w:rPr>
              <w:t>20113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Some improvements in NAPLAN (early years only) but these are consistent with national trends, years 7 </w:t>
            </w:r>
            <w:r>
              <w:rPr>
                <w:sz w:val="16"/>
                <w:szCs w:val="16"/>
              </w:rPr>
              <w:t>and</w:t>
            </w:r>
            <w:r w:rsidRPr="00DF38B2">
              <w:rPr>
                <w:sz w:val="16"/>
                <w:szCs w:val="16"/>
              </w:rPr>
              <w:t xml:space="preserve"> 9 mixed results – no general improvement.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School enrolments and attendance</w:t>
            </w:r>
          </w:p>
        </w:tc>
        <w:tc>
          <w:tcPr>
            <w:tcW w:w="1814" w:type="dxa"/>
            <w:hideMark/>
          </w:tcPr>
          <w:p w:rsidR="00880014" w:rsidRPr="00DF38B2" w:rsidRDefault="00880014" w:rsidP="006654AE">
            <w:pPr>
              <w:pStyle w:val="tabletextleft"/>
              <w:jc w:val="left"/>
              <w:rPr>
                <w:sz w:val="16"/>
                <w:szCs w:val="16"/>
              </w:rPr>
            </w:pPr>
            <w:r w:rsidRPr="00DF38B2">
              <w:rPr>
                <w:sz w:val="16"/>
                <w:szCs w:val="16"/>
              </w:rPr>
              <w:t>NT Government Education Department</w:t>
            </w:r>
          </w:p>
          <w:p w:rsidR="00880014" w:rsidRPr="00DF38B2" w:rsidRDefault="00880014" w:rsidP="006654AE">
            <w:pPr>
              <w:pStyle w:val="tabletextleft"/>
              <w:jc w:val="left"/>
              <w:rPr>
                <w:sz w:val="16"/>
                <w:szCs w:val="16"/>
              </w:rPr>
            </w:pPr>
            <w:r w:rsidRPr="00DF38B2">
              <w:rPr>
                <w:sz w:val="16"/>
                <w:szCs w:val="16"/>
              </w:rPr>
              <w:t>ABS estimates</w:t>
            </w:r>
          </w:p>
        </w:tc>
        <w:tc>
          <w:tcPr>
            <w:tcW w:w="4876" w:type="dxa"/>
            <w:hideMark/>
          </w:tcPr>
          <w:p w:rsidR="00880014" w:rsidRPr="00DF38B2" w:rsidRDefault="00880014" w:rsidP="006654AE">
            <w:pPr>
              <w:pStyle w:val="tabletextleft"/>
              <w:jc w:val="left"/>
              <w:rPr>
                <w:sz w:val="16"/>
                <w:szCs w:val="16"/>
              </w:rPr>
            </w:pPr>
            <w:r w:rsidRPr="00DF38B2">
              <w:rPr>
                <w:sz w:val="16"/>
                <w:szCs w:val="16"/>
              </w:rPr>
              <w:t>Indigenous school attendance fell slightly 69.7% 2009 to 67.8%</w:t>
            </w:r>
            <w:r>
              <w:rPr>
                <w:sz w:val="16"/>
                <w:szCs w:val="16"/>
              </w:rPr>
              <w:t xml:space="preserve"> in 2012</w:t>
            </w:r>
            <w:r w:rsidRPr="00DF38B2">
              <w:rPr>
                <w:sz w:val="16"/>
                <w:szCs w:val="16"/>
              </w:rPr>
              <w:t>. Total attendance has improved at provincial level, stable or fallen in remote and non-remote location.</w:t>
            </w:r>
          </w:p>
          <w:p w:rsidR="00880014" w:rsidRPr="00DF38B2" w:rsidRDefault="00880014" w:rsidP="006654AE">
            <w:pPr>
              <w:pStyle w:val="tabletextleft"/>
              <w:jc w:val="left"/>
              <w:rPr>
                <w:sz w:val="16"/>
                <w:szCs w:val="16"/>
              </w:rPr>
            </w:pPr>
            <w:r w:rsidRPr="00DF38B2">
              <w:rPr>
                <w:sz w:val="16"/>
                <w:szCs w:val="16"/>
              </w:rPr>
              <w:t>Increase in school participation rate consistent with national trend (ABS)</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Child health</w:t>
            </w:r>
          </w:p>
        </w:tc>
        <w:tc>
          <w:tcPr>
            <w:tcW w:w="1814" w:type="dxa"/>
            <w:hideMark/>
          </w:tcPr>
          <w:p w:rsidR="00880014" w:rsidRPr="00DF38B2" w:rsidRDefault="00880014" w:rsidP="006654AE">
            <w:pPr>
              <w:pStyle w:val="tabletextleft"/>
              <w:jc w:val="left"/>
              <w:rPr>
                <w:sz w:val="16"/>
                <w:szCs w:val="16"/>
              </w:rPr>
            </w:pPr>
            <w:r w:rsidRPr="00DF38B2">
              <w:rPr>
                <w:sz w:val="16"/>
                <w:szCs w:val="16"/>
              </w:rPr>
              <w:t xml:space="preserve">Range of data including from NT government, ABS and AIHW </w:t>
            </w:r>
          </w:p>
        </w:tc>
        <w:tc>
          <w:tcPr>
            <w:tcW w:w="4876" w:type="dxa"/>
            <w:hideMark/>
          </w:tcPr>
          <w:p w:rsidR="00880014" w:rsidRPr="00DF38B2" w:rsidRDefault="00880014" w:rsidP="006654AE">
            <w:pPr>
              <w:pStyle w:val="tabletextleft"/>
              <w:jc w:val="left"/>
              <w:rPr>
                <w:sz w:val="16"/>
                <w:szCs w:val="16"/>
              </w:rPr>
            </w:pPr>
            <w:r w:rsidRPr="00DF38B2">
              <w:rPr>
                <w:sz w:val="16"/>
                <w:szCs w:val="16"/>
              </w:rPr>
              <w:t>Across a wide range of child health indicators there is no evidence of any consistent positive change</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BasicsCard expenditure</w:t>
            </w:r>
          </w:p>
        </w:tc>
        <w:tc>
          <w:tcPr>
            <w:tcW w:w="1814" w:type="dxa"/>
            <w:hideMark/>
          </w:tcPr>
          <w:p w:rsidR="00880014" w:rsidRPr="00DF38B2" w:rsidRDefault="00880014" w:rsidP="006654AE">
            <w:pPr>
              <w:pStyle w:val="tabletextleft"/>
              <w:jc w:val="left"/>
              <w:rPr>
                <w:sz w:val="16"/>
                <w:szCs w:val="16"/>
              </w:rPr>
            </w:pPr>
            <w:r w:rsidRPr="00DF38B2">
              <w:rPr>
                <w:sz w:val="16"/>
                <w:szCs w:val="16"/>
              </w:rPr>
              <w:t>Transaction data from retailers in remote and non-remote areas</w:t>
            </w:r>
          </w:p>
        </w:tc>
        <w:tc>
          <w:tcPr>
            <w:tcW w:w="4876" w:type="dxa"/>
            <w:hideMark/>
          </w:tcPr>
          <w:p w:rsidR="00880014" w:rsidRPr="00DF38B2" w:rsidRDefault="00880014" w:rsidP="006654AE">
            <w:pPr>
              <w:pStyle w:val="tabletextleft"/>
              <w:jc w:val="left"/>
              <w:rPr>
                <w:sz w:val="16"/>
                <w:szCs w:val="16"/>
              </w:rPr>
            </w:pPr>
            <w:r w:rsidRPr="00DF38B2">
              <w:rPr>
                <w:sz w:val="16"/>
                <w:szCs w:val="16"/>
              </w:rPr>
              <w:t>Disproportionately low proportion of BasicsCard expenditure on fruit and vegetables in both remote and urban areas. Absolute level</w:t>
            </w:r>
            <w:r>
              <w:rPr>
                <w:sz w:val="16"/>
                <w:szCs w:val="16"/>
              </w:rPr>
              <w:t xml:space="preserve"> </w:t>
            </w:r>
            <w:r w:rsidRPr="00DF38B2">
              <w:rPr>
                <w:sz w:val="16"/>
                <w:szCs w:val="16"/>
              </w:rPr>
              <w:t>in remote very poor, high sales of sugar</w:t>
            </w:r>
            <w:r>
              <w:rPr>
                <w:sz w:val="16"/>
                <w:szCs w:val="16"/>
              </w:rPr>
              <w:t>-</w:t>
            </w:r>
            <w:r w:rsidRPr="00DF38B2">
              <w:rPr>
                <w:sz w:val="16"/>
                <w:szCs w:val="16"/>
              </w:rPr>
              <w:t>sweetened soft-drinks</w:t>
            </w:r>
            <w:r>
              <w:rPr>
                <w:sz w:val="16"/>
                <w:szCs w:val="16"/>
              </w:rPr>
              <w:t>.</w:t>
            </w:r>
          </w:p>
          <w:p w:rsidR="00880014" w:rsidRPr="00DF38B2" w:rsidRDefault="00880014" w:rsidP="006654AE">
            <w:pPr>
              <w:pStyle w:val="tabletextleft"/>
              <w:jc w:val="left"/>
              <w:rPr>
                <w:sz w:val="16"/>
                <w:szCs w:val="16"/>
              </w:rPr>
            </w:pPr>
            <w:r w:rsidRPr="00DF38B2">
              <w:rPr>
                <w:sz w:val="16"/>
                <w:szCs w:val="16"/>
              </w:rPr>
              <w:t>No increase in fruit and vegetable sales or decreases in tobacco sales since 2009 in remote community stores</w:t>
            </w:r>
            <w:r>
              <w:rPr>
                <w:sz w:val="16"/>
                <w:szCs w:val="16"/>
              </w:rPr>
              <w:t>.</w:t>
            </w:r>
          </w:p>
        </w:tc>
      </w:tr>
      <w:tr w:rsidR="00880014" w:rsidRPr="00DF38B2" w:rsidTr="00880014">
        <w:tc>
          <w:tcPr>
            <w:tcW w:w="1247" w:type="dxa"/>
            <w:vMerge w:val="restart"/>
          </w:tcPr>
          <w:p w:rsidR="00880014" w:rsidRPr="00DF38B2" w:rsidRDefault="00880014" w:rsidP="006654AE">
            <w:pPr>
              <w:pStyle w:val="tabletextleft"/>
              <w:jc w:val="left"/>
              <w:rPr>
                <w:sz w:val="16"/>
                <w:szCs w:val="16"/>
              </w:rPr>
            </w:pPr>
            <w:r>
              <w:rPr>
                <w:sz w:val="16"/>
                <w:szCs w:val="16"/>
              </w:rPr>
              <w:t>Criminal justice</w:t>
            </w:r>
          </w:p>
        </w:tc>
        <w:tc>
          <w:tcPr>
            <w:tcW w:w="1809" w:type="dxa"/>
            <w:hideMark/>
          </w:tcPr>
          <w:p w:rsidR="00880014" w:rsidRPr="00DF38B2" w:rsidRDefault="00880014" w:rsidP="006654AE">
            <w:pPr>
              <w:pStyle w:val="tabletextleft"/>
              <w:jc w:val="left"/>
              <w:rPr>
                <w:sz w:val="16"/>
                <w:szCs w:val="16"/>
              </w:rPr>
            </w:pPr>
            <w:r w:rsidRPr="00DF38B2">
              <w:rPr>
                <w:sz w:val="16"/>
                <w:szCs w:val="16"/>
              </w:rPr>
              <w:t>Imprisonment rates</w:t>
            </w:r>
          </w:p>
        </w:tc>
        <w:tc>
          <w:tcPr>
            <w:tcW w:w="1814" w:type="dxa"/>
            <w:hideMark/>
          </w:tcPr>
          <w:p w:rsidR="00880014" w:rsidRPr="00DF38B2" w:rsidRDefault="00880014" w:rsidP="006654AE">
            <w:pPr>
              <w:pStyle w:val="tabletextleft"/>
              <w:jc w:val="left"/>
              <w:rPr>
                <w:sz w:val="16"/>
                <w:szCs w:val="16"/>
              </w:rPr>
            </w:pPr>
            <w:r w:rsidRPr="00DF38B2">
              <w:rPr>
                <w:sz w:val="16"/>
                <w:szCs w:val="16"/>
              </w:rPr>
              <w:t>ABS National Prisoner Census</w:t>
            </w:r>
          </w:p>
          <w:p w:rsidR="00880014" w:rsidRPr="00DF38B2" w:rsidRDefault="00880014" w:rsidP="006654AE">
            <w:pPr>
              <w:pStyle w:val="tabletextleft"/>
              <w:jc w:val="left"/>
              <w:rPr>
                <w:sz w:val="16"/>
                <w:szCs w:val="16"/>
              </w:rPr>
            </w:pPr>
            <w:r w:rsidRPr="00DF38B2">
              <w:rPr>
                <w:sz w:val="16"/>
                <w:szCs w:val="16"/>
              </w:rPr>
              <w:t>2002</w:t>
            </w:r>
            <w:r>
              <w:rPr>
                <w:sz w:val="16"/>
                <w:szCs w:val="16"/>
              </w:rPr>
              <w:t xml:space="preserve"> </w:t>
            </w:r>
            <w:r w:rsidRPr="00DF38B2">
              <w:rPr>
                <w:sz w:val="16"/>
                <w:szCs w:val="16"/>
              </w:rPr>
              <w:t>to 2012</w:t>
            </w:r>
          </w:p>
        </w:tc>
        <w:tc>
          <w:tcPr>
            <w:tcW w:w="4876" w:type="dxa"/>
            <w:hideMark/>
          </w:tcPr>
          <w:p w:rsidR="00880014" w:rsidRPr="00DF38B2" w:rsidRDefault="00880014" w:rsidP="006654AE">
            <w:pPr>
              <w:pStyle w:val="tabletextleft"/>
              <w:jc w:val="left"/>
              <w:rPr>
                <w:sz w:val="16"/>
                <w:szCs w:val="16"/>
              </w:rPr>
            </w:pPr>
            <w:r w:rsidRPr="00DF38B2">
              <w:rPr>
                <w:sz w:val="16"/>
                <w:szCs w:val="16"/>
              </w:rPr>
              <w:t>Increased for Indigenous and has increased for Indigenous NT at a faster rate than Indigenous Australia</w:t>
            </w:r>
            <w:r>
              <w:rPr>
                <w:sz w:val="16"/>
                <w:szCs w:val="16"/>
              </w:rPr>
              <w:t>-</w:t>
            </w:r>
            <w:r w:rsidRPr="00DF38B2">
              <w:rPr>
                <w:sz w:val="16"/>
                <w:szCs w:val="16"/>
              </w:rPr>
              <w:t>wide, including strong increase in 2010 to 2012</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Assault rates</w:t>
            </w:r>
          </w:p>
        </w:tc>
        <w:tc>
          <w:tcPr>
            <w:tcW w:w="1814" w:type="dxa"/>
            <w:hideMark/>
          </w:tcPr>
          <w:p w:rsidR="00880014" w:rsidRPr="00DF38B2" w:rsidRDefault="00880014" w:rsidP="006654AE">
            <w:pPr>
              <w:pStyle w:val="tabletextleft"/>
              <w:jc w:val="left"/>
              <w:rPr>
                <w:sz w:val="16"/>
                <w:szCs w:val="16"/>
              </w:rPr>
            </w:pPr>
            <w:r w:rsidRPr="00DF38B2">
              <w:rPr>
                <w:sz w:val="16"/>
                <w:szCs w:val="16"/>
              </w:rPr>
              <w:t>NT Government crime statistics</w:t>
            </w:r>
          </w:p>
          <w:p w:rsidR="00880014" w:rsidRPr="00DF38B2" w:rsidRDefault="00880014" w:rsidP="006654AE">
            <w:pPr>
              <w:pStyle w:val="tabletextleft"/>
              <w:jc w:val="left"/>
              <w:rPr>
                <w:sz w:val="16"/>
                <w:szCs w:val="16"/>
              </w:rPr>
            </w:pPr>
            <w:r w:rsidRPr="00DF38B2">
              <w:rPr>
                <w:sz w:val="16"/>
                <w:szCs w:val="16"/>
              </w:rPr>
              <w:t>2007-08 to 2011-12</w:t>
            </w:r>
          </w:p>
        </w:tc>
        <w:tc>
          <w:tcPr>
            <w:tcW w:w="4876" w:type="dxa"/>
            <w:hideMark/>
          </w:tcPr>
          <w:p w:rsidR="00880014" w:rsidRPr="00DF38B2" w:rsidRDefault="00880014" w:rsidP="006654AE">
            <w:pPr>
              <w:pStyle w:val="tabletextleft"/>
              <w:jc w:val="left"/>
              <w:rPr>
                <w:sz w:val="16"/>
                <w:szCs w:val="16"/>
              </w:rPr>
            </w:pPr>
            <w:r w:rsidRPr="00DF38B2">
              <w:rPr>
                <w:sz w:val="16"/>
                <w:szCs w:val="16"/>
              </w:rPr>
              <w:t>Increases in assault rates, including 24% increase June 11 to June 2013</w:t>
            </w:r>
            <w:r>
              <w:rPr>
                <w:sz w:val="16"/>
                <w:szCs w:val="16"/>
              </w:rPr>
              <w:t>.</w:t>
            </w:r>
          </w:p>
        </w:tc>
      </w:tr>
    </w:tbl>
    <w:p w:rsidR="007C39E8" w:rsidRDefault="00417B51" w:rsidP="006654AE">
      <w:pPr>
        <w:pStyle w:val="tablenotes"/>
        <w:keepNext w:val="0"/>
        <w:ind w:left="1418" w:hanging="709"/>
      </w:pPr>
      <w:r w:rsidRPr="00DF38B2">
        <w:t>Notes:</w:t>
      </w:r>
      <w:r w:rsidR="00A8053C">
        <w:tab/>
      </w:r>
      <w:r w:rsidRPr="00DF38B2">
        <w:t>CIM Compulsory Income Management</w:t>
      </w:r>
      <w:r w:rsidR="007763C2">
        <w:t>;</w:t>
      </w:r>
      <w:r w:rsidRPr="00DF38B2">
        <w:t xml:space="preserve"> VIM </w:t>
      </w:r>
      <w:r w:rsidR="00AB7B73">
        <w:t>V</w:t>
      </w:r>
      <w:r w:rsidRPr="00DF38B2">
        <w:t>oluntary Income Management</w:t>
      </w:r>
      <w:r w:rsidR="007763C2">
        <w:t>;</w:t>
      </w:r>
      <w:r w:rsidRPr="00DF38B2">
        <w:t xml:space="preserve"> sig. statistically significant</w:t>
      </w:r>
      <w:r w:rsidR="00A8053C">
        <w:t>.</w:t>
      </w:r>
    </w:p>
    <w:p w:rsidR="007C39E8" w:rsidRDefault="007C39E8" w:rsidP="006654AE"/>
    <w:p w:rsidR="007C39E8" w:rsidRPr="00DF38B2" w:rsidRDefault="007C39E8" w:rsidP="006654AE">
      <w:r w:rsidRPr="00DF38B2">
        <w:t xml:space="preserve">A wider concern is that not only are many of these indicators ones which could have been expected to change in the light of the aspirations for the impact of income management, but they are also areas which have </w:t>
      </w:r>
      <w:r w:rsidR="00AE733A">
        <w:t xml:space="preserve">been </w:t>
      </w:r>
      <w:r w:rsidRPr="00DF38B2">
        <w:t>targeted by and had large investments through other programs.</w:t>
      </w:r>
    </w:p>
    <w:p w:rsidR="007C39E8" w:rsidRPr="00DF38B2" w:rsidRDefault="007C39E8" w:rsidP="006654AE">
      <w:r w:rsidRPr="00DF38B2">
        <w:lastRenderedPageBreak/>
        <w:t xml:space="preserve">While there are some individuals, in particular those who chose to go on the voluntary stream, </w:t>
      </w:r>
      <w:proofErr w:type="gramStart"/>
      <w:r w:rsidRPr="00DF38B2">
        <w:t>who</w:t>
      </w:r>
      <w:proofErr w:type="gramEnd"/>
      <w:r w:rsidRPr="00DF38B2">
        <w:t xml:space="preserve"> find income management a useful tool and say that it has produced benefits for them, there is no systematic evidence of this generating change </w:t>
      </w:r>
      <w:r>
        <w:t>that</w:t>
      </w:r>
      <w:r w:rsidRPr="00DF38B2">
        <w:t xml:space="preserve"> can be identified across the income</w:t>
      </w:r>
      <w:r>
        <w:t xml:space="preserve"> </w:t>
      </w:r>
      <w:r w:rsidRPr="00DF38B2">
        <w:t>managed populations and the communities they live in as a whole</w:t>
      </w:r>
      <w:r>
        <w:t xml:space="preserve">. </w:t>
      </w:r>
    </w:p>
    <w:p w:rsidR="00417B51" w:rsidRPr="00DF38B2" w:rsidRDefault="00417B51" w:rsidP="006654AE">
      <w:pPr>
        <w:pStyle w:val="Heading2"/>
      </w:pPr>
      <w:bookmarkStart w:id="676" w:name="_Toc399681912"/>
      <w:bookmarkStart w:id="677" w:name="_Toc399687504"/>
      <w:bookmarkStart w:id="678" w:name="_Toc403739174"/>
      <w:bookmarkEnd w:id="676"/>
      <w:bookmarkEnd w:id="677"/>
      <w:r w:rsidRPr="00DF38B2">
        <w:t>Improved capabilities</w:t>
      </w:r>
      <w:bookmarkEnd w:id="678"/>
    </w:p>
    <w:p w:rsidR="00417B51" w:rsidRPr="00DF38B2" w:rsidRDefault="00417B51" w:rsidP="006654AE">
      <w:r w:rsidRPr="00DF38B2">
        <w:t>One of the key mechanisms by which income management was expected over the longer</w:t>
      </w:r>
      <w:r w:rsidR="007763C2">
        <w:t xml:space="preserve"> </w:t>
      </w:r>
      <w:r w:rsidRPr="00DF38B2">
        <w:t>term to tackle the “intergenerational cycle of passive welfare” is via improved financial management, capabilities and building independence over the long</w:t>
      </w:r>
      <w:r w:rsidR="007763C2">
        <w:t xml:space="preserve"> </w:t>
      </w:r>
      <w:r w:rsidRPr="00DF38B2">
        <w:t>term.</w:t>
      </w:r>
    </w:p>
    <w:p w:rsidR="00417B51" w:rsidRPr="00DF38B2" w:rsidRDefault="00417B51" w:rsidP="006654AE">
      <w:r w:rsidRPr="00DF38B2">
        <w:t>The evaluation has drawn on several sources of data</w:t>
      </w:r>
      <w:r w:rsidR="007C39E8">
        <w:t xml:space="preserve"> </w:t>
      </w:r>
      <w:r w:rsidR="007C39E8" w:rsidRPr="007C39E8">
        <w:t>in order to evaluate the impact of income manage</w:t>
      </w:r>
      <w:r w:rsidR="00FF555C">
        <w:t>ment on individual capabilities</w:t>
      </w:r>
      <w:r w:rsidRPr="00DF38B2">
        <w:t xml:space="preserve">, including people subject to income management, merchants, </w:t>
      </w:r>
      <w:r w:rsidR="00060511">
        <w:t>DHS</w:t>
      </w:r>
      <w:r w:rsidRPr="00DF38B2">
        <w:t xml:space="preserve"> administrative data on BasicsCard use, and intermediaries involved with implementing income management or working with people subject to income management. The evaluation evidence on the impacts of income management on individual capabilities is summarised in </w:t>
      </w:r>
      <w:r w:rsidRPr="00FE502F">
        <w:fldChar w:fldCharType="begin"/>
      </w:r>
      <w:r w:rsidRPr="00DF38B2">
        <w:instrText xml:space="preserve"> REF _Ref392769796 \h </w:instrText>
      </w:r>
      <w:r w:rsidRPr="00FE502F">
        <w:fldChar w:fldCharType="separate"/>
      </w:r>
      <w:r w:rsidR="00906D13" w:rsidRPr="00DF38B2">
        <w:t xml:space="preserve">Table </w:t>
      </w:r>
      <w:r w:rsidR="00906D13">
        <w:rPr>
          <w:noProof/>
        </w:rPr>
        <w:t>15</w:t>
      </w:r>
      <w:r w:rsidR="00906D13">
        <w:noBreakHyphen/>
      </w:r>
      <w:r w:rsidR="00906D13">
        <w:rPr>
          <w:noProof/>
        </w:rPr>
        <w:t>2</w:t>
      </w:r>
      <w:r w:rsidRPr="00FE502F">
        <w:fldChar w:fldCharType="end"/>
      </w:r>
      <w:r w:rsidRPr="00DF38B2">
        <w:t>.</w:t>
      </w:r>
    </w:p>
    <w:p w:rsidR="00417B51" w:rsidRPr="00DF38B2" w:rsidRDefault="00417B51" w:rsidP="006654AE">
      <w:pPr>
        <w:pStyle w:val="Caption"/>
      </w:pPr>
      <w:bookmarkStart w:id="679" w:name="_Ref392769796"/>
      <w:bookmarkStart w:id="680" w:name="_Toc403739491"/>
      <w:r w:rsidRPr="00DF38B2">
        <w:t xml:space="preserve">Table </w:t>
      </w:r>
      <w:fldSimple w:instr=" STYLEREF 1 \s ">
        <w:r w:rsidR="00906D13">
          <w:rPr>
            <w:noProof/>
          </w:rPr>
          <w:t>15</w:t>
        </w:r>
      </w:fldSimple>
      <w:r w:rsidR="00D40B64">
        <w:noBreakHyphen/>
      </w:r>
      <w:fldSimple w:instr=" SEQ Table \* ARABIC \s 1 ">
        <w:r w:rsidR="00906D13">
          <w:rPr>
            <w:noProof/>
          </w:rPr>
          <w:t>2</w:t>
        </w:r>
      </w:fldSimple>
      <w:bookmarkEnd w:id="679"/>
      <w:r w:rsidRPr="00DF38B2">
        <w:t xml:space="preserve"> </w:t>
      </w:r>
      <w:r w:rsidR="00225D5C">
        <w:tab/>
      </w:r>
      <w:r w:rsidRPr="00DF38B2">
        <w:t>Summary of evidence of impact of income management on individual capabilities</w:t>
      </w:r>
      <w:bookmarkEnd w:id="680"/>
    </w:p>
    <w:tbl>
      <w:tblPr>
        <w:tblStyle w:val="TableGrid1"/>
        <w:tblW w:w="8613" w:type="dxa"/>
        <w:tblBorders>
          <w:left w:val="none" w:sz="0" w:space="0" w:color="auto"/>
          <w:right w:val="none" w:sz="0" w:space="0" w:color="auto"/>
          <w:insideV w:val="none" w:sz="0" w:space="0" w:color="auto"/>
        </w:tblBorders>
        <w:tblLook w:val="04A0" w:firstRow="1" w:lastRow="0" w:firstColumn="1" w:lastColumn="0" w:noHBand="0" w:noVBand="1"/>
        <w:tblDescription w:val="This table reports on seven capability outcomes with seven rows reporting on these indicators with the columns providing information on the indicator, on the source and time period of data about the indicator, and findings.&#10;All of the data items in the table and findings have been subject to extensive discussion in the text in earlier chapters.&#10;&#10;"/>
      </w:tblPr>
      <w:tblGrid>
        <w:gridCol w:w="2170"/>
        <w:gridCol w:w="2191"/>
        <w:gridCol w:w="4252"/>
      </w:tblGrid>
      <w:tr w:rsidR="00417B51" w:rsidRPr="00DF38B2" w:rsidTr="00AA62FD">
        <w:trPr>
          <w:tblHeader/>
        </w:trPr>
        <w:tc>
          <w:tcPr>
            <w:tcW w:w="2170" w:type="dxa"/>
          </w:tcPr>
          <w:p w:rsidR="00417B51" w:rsidRPr="009655C3" w:rsidRDefault="00417B51" w:rsidP="006654AE">
            <w:pPr>
              <w:pStyle w:val="tabletextleft"/>
              <w:rPr>
                <w:b/>
              </w:rPr>
            </w:pPr>
            <w:r w:rsidRPr="009655C3">
              <w:rPr>
                <w:b/>
              </w:rPr>
              <w:t>Indicator</w:t>
            </w:r>
          </w:p>
        </w:tc>
        <w:tc>
          <w:tcPr>
            <w:tcW w:w="2191" w:type="dxa"/>
            <w:hideMark/>
          </w:tcPr>
          <w:p w:rsidR="00417B51" w:rsidRPr="009655C3" w:rsidRDefault="00417B51" w:rsidP="006654AE">
            <w:pPr>
              <w:pStyle w:val="tabletextleft"/>
              <w:rPr>
                <w:b/>
              </w:rPr>
            </w:pPr>
            <w:r w:rsidRPr="009655C3">
              <w:rPr>
                <w:b/>
              </w:rPr>
              <w:t>Source and time period</w:t>
            </w:r>
          </w:p>
        </w:tc>
        <w:tc>
          <w:tcPr>
            <w:tcW w:w="4252" w:type="dxa"/>
            <w:hideMark/>
          </w:tcPr>
          <w:p w:rsidR="00417B51" w:rsidRPr="00DF38B2" w:rsidRDefault="00417B51" w:rsidP="006654AE">
            <w:pPr>
              <w:pStyle w:val="tabletextleft"/>
              <w:rPr>
                <w:b/>
              </w:rPr>
            </w:pPr>
            <w:r w:rsidRPr="00DF38B2">
              <w:rPr>
                <w:b/>
              </w:rPr>
              <w:t>Finding</w:t>
            </w:r>
            <w:r w:rsidR="007775D9">
              <w:rPr>
                <w:b/>
              </w:rPr>
              <w:t>s</w:t>
            </w:r>
            <w:r w:rsidRPr="00DF38B2">
              <w:rPr>
                <w:b/>
              </w:rPr>
              <w:t xml:space="preserve"> </w:t>
            </w:r>
          </w:p>
        </w:tc>
      </w:tr>
      <w:tr w:rsidR="008459FB" w:rsidRPr="00DF38B2" w:rsidTr="007C39E8">
        <w:tc>
          <w:tcPr>
            <w:tcW w:w="2170" w:type="dxa"/>
            <w:tcMar>
              <w:top w:w="57" w:type="dxa"/>
              <w:bottom w:w="57" w:type="dxa"/>
            </w:tcMar>
          </w:tcPr>
          <w:p w:rsidR="008459FB" w:rsidRPr="00DF38B2" w:rsidRDefault="008459FB" w:rsidP="006654AE">
            <w:pPr>
              <w:pStyle w:val="tabletextleft"/>
              <w:jc w:val="left"/>
            </w:pPr>
            <w:r w:rsidRPr="00DF38B2">
              <w:t>Minimum Balances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October 2011 to Oct 2013</w:t>
            </w:r>
          </w:p>
        </w:tc>
        <w:tc>
          <w:tcPr>
            <w:tcW w:w="4252" w:type="dxa"/>
            <w:tcMar>
              <w:top w:w="57" w:type="dxa"/>
              <w:bottom w:w="57" w:type="dxa"/>
            </w:tcMar>
            <w:hideMark/>
          </w:tcPr>
          <w:p w:rsidR="008459FB" w:rsidRPr="00DF38B2" w:rsidRDefault="008459FB" w:rsidP="006654AE">
            <w:pPr>
              <w:pStyle w:val="tabletextleft"/>
              <w:jc w:val="left"/>
            </w:pPr>
            <w:r w:rsidRPr="00DF38B2">
              <w:t>Proportion with minimum balance &lt;$10 in f</w:t>
            </w:r>
            <w:r>
              <w:t>ortnight</w:t>
            </w:r>
            <w:r w:rsidRPr="00DF38B2">
              <w:t xml:space="preserve"> increased marginally from 81.2% to 82.3%. Prop</w:t>
            </w:r>
            <w:r>
              <w:t>ortion</w:t>
            </w:r>
            <w:r w:rsidRPr="00DF38B2">
              <w:t xml:space="preserve"> with balance &lt;$10 for more than half of </w:t>
            </w:r>
            <w:r>
              <w:t>fortnight</w:t>
            </w:r>
            <w:r w:rsidRPr="00DF38B2">
              <w:t xml:space="preserve"> fell </w:t>
            </w:r>
            <w:r>
              <w:t>slightly</w:t>
            </w:r>
            <w:r w:rsidRPr="00DF38B2">
              <w:t xml:space="preserve"> from 28.0</w:t>
            </w:r>
            <w:r w:rsidR="00A47E26">
              <w:t xml:space="preserve">% </w:t>
            </w:r>
            <w:r w:rsidRPr="00DF38B2">
              <w:t>to 26.0</w:t>
            </w:r>
            <w:r w:rsidR="00A47E26">
              <w:t>%</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BasicsCard replacement cards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Replacement rate of cards is high</w:t>
            </w:r>
            <w:r>
              <w:t>:</w:t>
            </w:r>
            <w:r w:rsidRPr="00DF38B2">
              <w:t xml:space="preserve"> about 30 cards per 100 person</w:t>
            </w:r>
            <w:r>
              <w:t>s</w:t>
            </w:r>
            <w:r w:rsidRPr="00DF38B2">
              <w:t xml:space="preserve"> on </w:t>
            </w:r>
            <w:r>
              <w:t xml:space="preserve">income management </w:t>
            </w:r>
            <w:r w:rsidRPr="00DF38B2">
              <w:t>per month</w:t>
            </w:r>
            <w:r>
              <w:t>;</w:t>
            </w:r>
            <w:r w:rsidRPr="00DF38B2">
              <w:t xml:space="preserve"> no </w:t>
            </w:r>
            <w:r>
              <w:t>reduction in rate of issue of replacement cards</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Failed transactions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Around 10</w:t>
            </w:r>
            <w:r>
              <w:t>%</w:t>
            </w:r>
            <w:r w:rsidRPr="00DF38B2">
              <w:t xml:space="preserve"> of transactions fail due to insufficient funds</w:t>
            </w:r>
            <w:r>
              <w:t>.</w:t>
            </w:r>
            <w:r w:rsidRPr="00DF38B2">
              <w:t xml:space="preserve"> Some minor decline over time</w:t>
            </w:r>
            <w:r>
              <w:t>:</w:t>
            </w:r>
            <w:r w:rsidRPr="00DF38B2">
              <w:t xml:space="preserve"> around 0.6 percentage points per year</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 xml:space="preserve">Matched Savings Scheme </w:t>
            </w:r>
            <w:r>
              <w:t>P</w:t>
            </w:r>
            <w:r w:rsidRPr="00DF38B2">
              <w:t>ayments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D95B12" w:rsidP="006654AE">
            <w:pPr>
              <w:pStyle w:val="tabletextleft"/>
              <w:jc w:val="left"/>
            </w:pPr>
            <w:r>
              <w:t>Only 31 Matched Savings Scheme P</w:t>
            </w:r>
            <w:r w:rsidR="008459FB" w:rsidRPr="00DF38B2">
              <w:t>ayments made over period 2010</w:t>
            </w:r>
            <w:r w:rsidR="008459FB">
              <w:t>–</w:t>
            </w:r>
            <w:r w:rsidR="008459FB" w:rsidRPr="00DF38B2">
              <w:t>13</w:t>
            </w:r>
            <w:r w:rsidR="00AE733A">
              <w:t>.</w:t>
            </w:r>
          </w:p>
        </w:tc>
      </w:tr>
      <w:tr w:rsidR="008459FB" w:rsidRPr="00DF38B2" w:rsidTr="007C39E8">
        <w:tc>
          <w:tcPr>
            <w:tcW w:w="2170" w:type="dxa"/>
            <w:tcMar>
              <w:top w:w="57" w:type="dxa"/>
              <w:bottom w:w="57" w:type="dxa"/>
            </w:tcMar>
          </w:tcPr>
          <w:p w:rsidR="008459FB" w:rsidRPr="00DF38B2" w:rsidRDefault="008459FB" w:rsidP="006654AE">
            <w:pPr>
              <w:pStyle w:val="tabletextleft"/>
              <w:jc w:val="left"/>
            </w:pPr>
            <w:r w:rsidRPr="00DF38B2">
              <w:t>Skills learnt from being income managed</w:t>
            </w:r>
          </w:p>
        </w:tc>
        <w:tc>
          <w:tcPr>
            <w:tcW w:w="2191" w:type="dxa"/>
            <w:tcMar>
              <w:top w:w="57" w:type="dxa"/>
              <w:bottom w:w="57" w:type="dxa"/>
            </w:tcMar>
          </w:tcPr>
          <w:p w:rsidR="008459FB" w:rsidRPr="00DF38B2" w:rsidRDefault="008459FB" w:rsidP="006654AE">
            <w:pPr>
              <w:pStyle w:val="tabletextleft"/>
            </w:pPr>
            <w:r w:rsidRPr="00DF38B2">
              <w:t>LSNIM 2013</w:t>
            </w:r>
          </w:p>
        </w:tc>
        <w:tc>
          <w:tcPr>
            <w:tcW w:w="4252" w:type="dxa"/>
            <w:tcMar>
              <w:top w:w="57" w:type="dxa"/>
              <w:bottom w:w="57" w:type="dxa"/>
            </w:tcMar>
          </w:tcPr>
          <w:p w:rsidR="008459FB" w:rsidRPr="00DF38B2" w:rsidRDefault="008459FB" w:rsidP="006654AE">
            <w:pPr>
              <w:pStyle w:val="tabletextleft"/>
              <w:jc w:val="left"/>
            </w:pPr>
            <w:r w:rsidRPr="00DF38B2">
              <w:t>Just 1</w:t>
            </w:r>
            <w:r>
              <w:t>%</w:t>
            </w:r>
            <w:r w:rsidRPr="00DF38B2">
              <w:t xml:space="preserve"> of those on C</w:t>
            </w:r>
            <w:r>
              <w:t xml:space="preserve">ompulsory </w:t>
            </w:r>
            <w:r w:rsidRPr="00DF38B2">
              <w:t>I</w:t>
            </w:r>
            <w:r>
              <w:t xml:space="preserve">ncome </w:t>
            </w:r>
            <w:r w:rsidRPr="00DF38B2">
              <w:t>M</w:t>
            </w:r>
            <w:r>
              <w:t>anagement</w:t>
            </w:r>
            <w:r w:rsidRPr="00DF38B2">
              <w:t xml:space="preserve"> give having gained skills from being on </w:t>
            </w:r>
            <w:r>
              <w:t>income management as the main reason for wanting to exit income management</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Exemption rate</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Exemption rate is low and has been trending downwards</w:t>
            </w:r>
            <w:r>
              <w:t>; e</w:t>
            </w:r>
            <w:r w:rsidRPr="00DF38B2">
              <w:t>xemption rate close to zero for Indigenous in remote areas</w:t>
            </w:r>
            <w:r>
              <w:t>; e</w:t>
            </w:r>
            <w:r w:rsidRPr="00DF38B2">
              <w:t>xemption rate 0.6</w:t>
            </w:r>
            <w:r>
              <w:t xml:space="preserve">% </w:t>
            </w:r>
            <w:r w:rsidRPr="00DF38B2">
              <w:t>for those without children and 0.4</w:t>
            </w:r>
            <w:r>
              <w:t>%</w:t>
            </w:r>
            <w:r w:rsidRPr="00DF38B2">
              <w:t xml:space="preserve"> for Indigenous men</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Views of Centrelink, money management and financial counselling and other service provider staff</w:t>
            </w:r>
          </w:p>
        </w:tc>
        <w:tc>
          <w:tcPr>
            <w:tcW w:w="2191" w:type="dxa"/>
            <w:tcMar>
              <w:top w:w="57" w:type="dxa"/>
              <w:bottom w:w="57" w:type="dxa"/>
            </w:tcMar>
            <w:hideMark/>
          </w:tcPr>
          <w:p w:rsidR="008459FB" w:rsidRPr="00DF38B2" w:rsidRDefault="008459FB" w:rsidP="006654AE">
            <w:pPr>
              <w:pStyle w:val="tabletextleft"/>
            </w:pPr>
            <w:r w:rsidRPr="00DF38B2">
              <w:t>Interviews</w:t>
            </w:r>
          </w:p>
          <w:p w:rsidR="008459FB" w:rsidRPr="00DF38B2" w:rsidRDefault="008459FB" w:rsidP="006654AE">
            <w:pPr>
              <w:pStyle w:val="tabletextleft"/>
            </w:pPr>
            <w:r w:rsidRPr="00DF38B2">
              <w:t>2011, 2012 and 2014</w:t>
            </w:r>
          </w:p>
        </w:tc>
        <w:tc>
          <w:tcPr>
            <w:tcW w:w="4252" w:type="dxa"/>
            <w:tcMar>
              <w:top w:w="57" w:type="dxa"/>
              <w:bottom w:w="57" w:type="dxa"/>
            </w:tcMar>
            <w:hideMark/>
          </w:tcPr>
          <w:p w:rsidR="008459FB" w:rsidRPr="00DF38B2" w:rsidRDefault="008459FB" w:rsidP="006654AE">
            <w:pPr>
              <w:pStyle w:val="tabletextleft"/>
              <w:jc w:val="left"/>
            </w:pPr>
            <w:r w:rsidRPr="00DF38B2">
              <w:t xml:space="preserve">Mixed views from Centrelink staff about whether </w:t>
            </w:r>
            <w:r>
              <w:t>income management</w:t>
            </w:r>
            <w:r w:rsidRPr="00DF38B2">
              <w:t xml:space="preserve"> builds individual capability</w:t>
            </w:r>
            <w:r>
              <w:t>,</w:t>
            </w:r>
            <w:r w:rsidRPr="00DF38B2">
              <w:t xml:space="preserve"> but money management and financial</w:t>
            </w:r>
            <w:r>
              <w:t xml:space="preserve"> </w:t>
            </w:r>
            <w:r w:rsidRPr="00DF38B2">
              <w:t xml:space="preserve">counselling and other service providers generally take the view that </w:t>
            </w:r>
            <w:r>
              <w:t xml:space="preserve">income management </w:t>
            </w:r>
            <w:r w:rsidRPr="00DF38B2">
              <w:t>has not built individual capabilities</w:t>
            </w:r>
            <w:r w:rsidR="00AE733A">
              <w:t>.</w:t>
            </w:r>
          </w:p>
        </w:tc>
      </w:tr>
    </w:tbl>
    <w:p w:rsidR="00417B51" w:rsidRDefault="00417B51" w:rsidP="006654AE">
      <w:pPr>
        <w:pStyle w:val="tablefootnoteslastline"/>
      </w:pPr>
    </w:p>
    <w:p w:rsidR="007C39E8" w:rsidRPr="00DF38B2" w:rsidRDefault="007C39E8" w:rsidP="006654AE">
      <w:r w:rsidRPr="007C39E8">
        <w:t xml:space="preserve">No </w:t>
      </w:r>
      <w:r w:rsidR="008459FB">
        <w:t xml:space="preserve">substantive </w:t>
      </w:r>
      <w:r w:rsidRPr="007C39E8">
        <w:t xml:space="preserve">evidence that income management is resulting in improvements in financial management skills or of its impact on building financial capabilities has been found. In particular, the aspects of income management that are designed to assist people to improve their money management skills have been ineffective. This is most obvious in the case of the Matched Savings Payment, which has only been paid to 31 people on income management since 2010. </w:t>
      </w:r>
      <w:r w:rsidRPr="009655C3">
        <w:t>Similarly</w:t>
      </w:r>
      <w:r>
        <w:t>,</w:t>
      </w:r>
      <w:r w:rsidRPr="009655C3">
        <w:t xml:space="preserve"> the exemption provisions of New Income Management, although providing a means for some, in particular non-Indigenous women in urban areas</w:t>
      </w:r>
      <w:r>
        <w:t>,</w:t>
      </w:r>
      <w:r w:rsidRPr="009655C3">
        <w:t xml:space="preserve"> to avoid being placed on income management, do not appear to be working as an incentive for people to change their behaviours. Just 0.4 per cent of men and 0.9 per cent of women w</w:t>
      </w:r>
      <w:r w:rsidRPr="00DF38B2">
        <w:t>ithout children have been able to gain an exemption.</w:t>
      </w:r>
    </w:p>
    <w:p w:rsidR="00417B51" w:rsidRPr="00DF38B2" w:rsidRDefault="00417B51" w:rsidP="00AD3907">
      <w:pPr>
        <w:pStyle w:val="h4l3"/>
      </w:pPr>
      <w:r w:rsidRPr="00DF38B2">
        <w:lastRenderedPageBreak/>
        <w:t>Reliance upon income management</w:t>
      </w:r>
    </w:p>
    <w:p w:rsidR="00417B51" w:rsidRPr="00DF38B2" w:rsidRDefault="00417B51" w:rsidP="006654AE">
      <w:r w:rsidRPr="00DF38B2">
        <w:t>Many of those on income management want to remain on income management indefinitely</w:t>
      </w:r>
      <w:r w:rsidR="008459FB">
        <w:t xml:space="preserve">. This is </w:t>
      </w:r>
      <w:r w:rsidRPr="00DF38B2">
        <w:t xml:space="preserve">particularly </w:t>
      </w:r>
      <w:r w:rsidR="008459FB">
        <w:t xml:space="preserve">the case </w:t>
      </w:r>
      <w:r w:rsidRPr="00DF38B2">
        <w:t>amongst the Indigenous population</w:t>
      </w:r>
      <w:r w:rsidR="008459FB">
        <w:t xml:space="preserve"> for which</w:t>
      </w:r>
      <w:r w:rsidRPr="00DF38B2">
        <w:t xml:space="preserve"> rates of income management are much higher and many people have been on income management for a number of years. Just </w:t>
      </w:r>
      <w:proofErr w:type="gramStart"/>
      <w:r w:rsidRPr="00DF38B2">
        <w:t>under</w:t>
      </w:r>
      <w:proofErr w:type="gramEnd"/>
      <w:r w:rsidRPr="00DF38B2">
        <w:t xml:space="preserve"> one-half of Indigenous men and just over one-third of Indigenous women on </w:t>
      </w:r>
      <w:r w:rsidR="00821E1A">
        <w:t>c</w:t>
      </w:r>
      <w:r w:rsidRPr="00DF38B2">
        <w:t xml:space="preserve">ompulsory </w:t>
      </w:r>
      <w:r w:rsidR="00821E1A">
        <w:t>i</w:t>
      </w:r>
      <w:r w:rsidRPr="00DF38B2">
        <w:t xml:space="preserve">ncome </w:t>
      </w:r>
      <w:r w:rsidR="00821E1A">
        <w:t>m</w:t>
      </w:r>
      <w:r w:rsidRPr="00DF38B2">
        <w:t xml:space="preserve">anagement </w:t>
      </w:r>
      <w:r w:rsidR="008459FB">
        <w:t xml:space="preserve">measures who were surveyed in this evaluation </w:t>
      </w:r>
      <w:r w:rsidRPr="00DF38B2">
        <w:t>aim to get off income management.</w:t>
      </w:r>
    </w:p>
    <w:p w:rsidR="00417B51" w:rsidRPr="00DF38B2" w:rsidRDefault="00417B51" w:rsidP="006654AE">
      <w:r w:rsidRPr="00DF38B2">
        <w:t>Several factors appear to contribute to this. From the perspective of many of those on income management the BasicsCard has provided easy and fee</w:t>
      </w:r>
      <w:r w:rsidR="00681677">
        <w:t>-</w:t>
      </w:r>
      <w:r w:rsidRPr="00DF38B2">
        <w:t>free banking</w:t>
      </w:r>
      <w:r w:rsidR="00A1421A">
        <w:t xml:space="preserve">. </w:t>
      </w:r>
      <w:r w:rsidRPr="00DF38B2">
        <w:t>In association with this and other provisions people report that income management simply makes it easier to manage their money</w:t>
      </w:r>
      <w:r w:rsidR="00A1421A">
        <w:t xml:space="preserve">. </w:t>
      </w:r>
      <w:r w:rsidRPr="00DF38B2">
        <w:t xml:space="preserve">There also appears to be a degree of habituation; people have been on income management for a number of </w:t>
      </w:r>
      <w:proofErr w:type="gramStart"/>
      <w:r w:rsidRPr="00DF38B2">
        <w:t>years,</w:t>
      </w:r>
      <w:proofErr w:type="gramEnd"/>
      <w:r w:rsidRPr="00DF38B2">
        <w:t xml:space="preserve"> have got</w:t>
      </w:r>
      <w:r w:rsidR="007775D9">
        <w:t>ten</w:t>
      </w:r>
      <w:r w:rsidRPr="00DF38B2">
        <w:t xml:space="preserve"> used to it, and to change this situation is threatening.</w:t>
      </w:r>
    </w:p>
    <w:p w:rsidR="00417B51" w:rsidRPr="00DF38B2" w:rsidRDefault="00417B51" w:rsidP="006654AE">
      <w:r w:rsidRPr="00DF38B2">
        <w:t>As such</w:t>
      </w:r>
      <w:r w:rsidR="007775D9">
        <w:t>,</w:t>
      </w:r>
      <w:r w:rsidRPr="00DF38B2">
        <w:t xml:space="preserve"> rather than the program building people’s capacity and motivating them to take responsibility and become independent and self-reliant, for these people it has acted to make their lives more comfortable by relieving them of having to take responsibility for some aspects of their financial management</w:t>
      </w:r>
      <w:r w:rsidR="00A1421A">
        <w:t xml:space="preserve">. </w:t>
      </w:r>
      <w:r w:rsidRPr="00DF38B2">
        <w:t>This in turn has made them more dependent and reliant upon welfare</w:t>
      </w:r>
    </w:p>
    <w:p w:rsidR="00417B51" w:rsidRPr="00DF38B2" w:rsidRDefault="00417B51" w:rsidP="006654AE">
      <w:pPr>
        <w:pStyle w:val="Heading2"/>
      </w:pPr>
      <w:bookmarkStart w:id="681" w:name="_Toc403739175"/>
      <w:r w:rsidRPr="00DF38B2">
        <w:t>Targeting</w:t>
      </w:r>
      <w:bookmarkEnd w:id="681"/>
    </w:p>
    <w:p w:rsidR="00417B51" w:rsidRPr="00DF38B2" w:rsidRDefault="00417B51" w:rsidP="006654AE">
      <w:r w:rsidRPr="00DF38B2">
        <w:t xml:space="preserve">The data analysed for the evaluation shows that many people in the Northern Territory on income support payments experience poor outcomes and financial hardship. They face many challenges in their lives and frequently have, in addition to low incomes, poor health, low education, </w:t>
      </w:r>
      <w:r w:rsidR="007775D9">
        <w:t xml:space="preserve">and </w:t>
      </w:r>
      <w:r w:rsidRPr="00DF38B2">
        <w:t xml:space="preserve">extensive family and other community responsibilities. The poor financial management </w:t>
      </w:r>
      <w:proofErr w:type="gramStart"/>
      <w:r w:rsidRPr="00DF38B2">
        <w:t>skills of some is</w:t>
      </w:r>
      <w:proofErr w:type="gramEnd"/>
      <w:r w:rsidRPr="00DF38B2">
        <w:t xml:space="preserve"> only one factor that contributes to the problems this group experiences.</w:t>
      </w:r>
    </w:p>
    <w:p w:rsidR="00417B51" w:rsidRPr="00DF38B2" w:rsidRDefault="00417B51" w:rsidP="006654AE">
      <w:r w:rsidRPr="00DF38B2">
        <w:t>There was no evidence that targeting income management on the basis of duration in receipt of income support payment provides an effective basis for identifying those with particular vulnerabilities or a low level of money management skills. Similarly</w:t>
      </w:r>
      <w:r w:rsidR="007775D9">
        <w:t>,</w:t>
      </w:r>
      <w:r w:rsidRPr="00DF38B2">
        <w:t xml:space="preserve"> there is no evidence that the range of income support payments at which Compulsory Income Management is targeted reflects the groups at highest risk. Compulsory Income Management is imposed upon a large group of people whom income management does not assist. This imposes costs upon those subject to income management and to the government.</w:t>
      </w:r>
    </w:p>
    <w:p w:rsidR="00417B51" w:rsidRPr="00DF38B2" w:rsidRDefault="00417B51" w:rsidP="006654AE">
      <w:r w:rsidRPr="00DF38B2">
        <w:t>The evaluation evidence indicates that the targeting of assessed Vulnerable Income Management has been effective at identifying</w:t>
      </w:r>
      <w:r w:rsidR="00B84AFE">
        <w:t xml:space="preserve"> </w:t>
      </w:r>
      <w:r w:rsidRPr="00DF38B2">
        <w:t>a group of highly vulnerable individuals</w:t>
      </w:r>
      <w:r w:rsidR="007775D9">
        <w:t>.</w:t>
      </w:r>
      <w:r w:rsidRPr="00DF38B2">
        <w:t xml:space="preserve"> For a number of people </w:t>
      </w:r>
      <w:r w:rsidR="008B3D14">
        <w:t xml:space="preserve">in </w:t>
      </w:r>
      <w:r w:rsidRPr="00DF38B2">
        <w:t>this small group (around 150 at any one time) some positive outcomes from income management have been reported. At the same time the evidence we have collected suggest</w:t>
      </w:r>
      <w:r w:rsidR="008B3D14">
        <w:t>s</w:t>
      </w:r>
      <w:r w:rsidR="00A1081F">
        <w:t>,</w:t>
      </w:r>
      <w:r w:rsidRPr="00DF38B2">
        <w:t xml:space="preserve"> that while income management is one of the tools that can assist in harm minimisation for this groups, they also need other supports</w:t>
      </w:r>
      <w:r w:rsidR="00A1421A">
        <w:t xml:space="preserve">. </w:t>
      </w:r>
      <w:r w:rsidRPr="00DF38B2">
        <w:t>Further</w:t>
      </w:r>
      <w:r w:rsidR="008B3D14">
        <w:t>more,</w:t>
      </w:r>
      <w:r w:rsidRPr="00DF38B2">
        <w:t xml:space="preserve"> it is unlikely that income management can effectively build the capabilities of this group, but rather they will need this intervention on an ongoing basis.</w:t>
      </w:r>
    </w:p>
    <w:p w:rsidR="00417B51" w:rsidRPr="00DF38B2" w:rsidRDefault="00417B51" w:rsidP="006654AE">
      <w:r w:rsidRPr="00DF38B2">
        <w:t>In summary</w:t>
      </w:r>
      <w:r w:rsidR="008B3D14">
        <w:t>,</w:t>
      </w:r>
      <w:r w:rsidRPr="00DF38B2">
        <w:t xml:space="preserve"> where the targeting is based on individual assessment it appears to be successful in identifying those who are most vulnerable and with low skills. However</w:t>
      </w:r>
      <w:r w:rsidR="008B3D14">
        <w:t>,</w:t>
      </w:r>
      <w:r w:rsidRPr="00DF38B2">
        <w:t xml:space="preserve"> where the targeting is based on automatic criteria such as program type and duration, this is not the case</w:t>
      </w:r>
      <w:r w:rsidR="00A1421A">
        <w:t xml:space="preserve">. </w:t>
      </w:r>
    </w:p>
    <w:p w:rsidR="00417B51" w:rsidRPr="00DF38B2" w:rsidRDefault="00417B51" w:rsidP="00AD3907">
      <w:pPr>
        <w:pStyle w:val="h4l3"/>
      </w:pPr>
      <w:r w:rsidRPr="00DF38B2">
        <w:t>Exemptions</w:t>
      </w:r>
    </w:p>
    <w:p w:rsidR="00417B51" w:rsidRPr="00DF38B2" w:rsidRDefault="00417B51" w:rsidP="006654AE">
      <w:r w:rsidRPr="00DF38B2">
        <w:t>The second dimension of targeting is that of exemptions. As has been discussed above, this was seen as a mechanism with two functions</w:t>
      </w:r>
      <w:r w:rsidR="008B3D14">
        <w:t>: f</w:t>
      </w:r>
      <w:r w:rsidRPr="00DF38B2">
        <w:t>irst</w:t>
      </w:r>
      <w:r w:rsidR="008B3D14">
        <w:t>,</w:t>
      </w:r>
      <w:r w:rsidRPr="00DF38B2">
        <w:t xml:space="preserve"> to provide incentives</w:t>
      </w:r>
      <w:r w:rsidR="008B3D14">
        <w:t>;</w:t>
      </w:r>
      <w:r w:rsidRPr="00DF38B2">
        <w:t xml:space="preserve"> and second</w:t>
      </w:r>
      <w:r w:rsidR="008B3D14">
        <w:t>,</w:t>
      </w:r>
      <w:r w:rsidRPr="00DF38B2">
        <w:t xml:space="preserve"> to minimise the extent to which people who were financially capable were placed on Compulsory Income Management simply by virtue of their length of time on income support payments. As noted above</w:t>
      </w:r>
      <w:r w:rsidR="008B3D14">
        <w:t>,</w:t>
      </w:r>
      <w:r w:rsidRPr="00DF38B2">
        <w:t xml:space="preserve"> it has achieved little with respect to the first</w:t>
      </w:r>
      <w:r w:rsidR="008B3D14">
        <w:t xml:space="preserve"> function</w:t>
      </w:r>
      <w:r w:rsidRPr="00DF38B2">
        <w:t xml:space="preserve">. With respect to the second it can only be considered as partially effective. It has </w:t>
      </w:r>
      <w:r w:rsidR="008B3D14" w:rsidRPr="00DF38B2">
        <w:t xml:space="preserve">only </w:t>
      </w:r>
      <w:r w:rsidRPr="00DF38B2">
        <w:t xml:space="preserve">offered </w:t>
      </w:r>
      <w:proofErr w:type="gramStart"/>
      <w:r w:rsidRPr="00DF38B2">
        <w:t>a real opportunit</w:t>
      </w:r>
      <w:r w:rsidR="008B3D14">
        <w:t>ies</w:t>
      </w:r>
      <w:proofErr w:type="gramEnd"/>
      <w:r w:rsidRPr="00DF38B2">
        <w:t xml:space="preserve"> for those with children, and in particular non-Indigenous people in urban locations. Many others find the system hard</w:t>
      </w:r>
      <w:r w:rsidR="008B3D14">
        <w:t xml:space="preserve"> </w:t>
      </w:r>
      <w:r w:rsidRPr="00DF38B2">
        <w:t>to deal with.</w:t>
      </w:r>
    </w:p>
    <w:p w:rsidR="00417B51" w:rsidRPr="00DF38B2" w:rsidRDefault="00417B51" w:rsidP="006654AE">
      <w:pPr>
        <w:pStyle w:val="Heading2"/>
      </w:pPr>
      <w:bookmarkStart w:id="682" w:name="_Toc393913070"/>
      <w:bookmarkStart w:id="683" w:name="_Toc393921588"/>
      <w:bookmarkStart w:id="684" w:name="_Toc395086604"/>
      <w:bookmarkStart w:id="685" w:name="_Toc395100699"/>
      <w:bookmarkStart w:id="686" w:name="_Toc403739176"/>
      <w:bookmarkEnd w:id="682"/>
      <w:bookmarkEnd w:id="683"/>
      <w:bookmarkEnd w:id="684"/>
      <w:bookmarkEnd w:id="685"/>
      <w:r w:rsidRPr="00DF38B2">
        <w:t>Conclusion</w:t>
      </w:r>
      <w:bookmarkEnd w:id="686"/>
    </w:p>
    <w:p w:rsidR="00417B51" w:rsidRPr="00DF38B2" w:rsidRDefault="008459FB" w:rsidP="006654AE">
      <w:r>
        <w:t>I</w:t>
      </w:r>
      <w:r w:rsidRPr="008459FB">
        <w:t xml:space="preserve">n the previous chapter </w:t>
      </w:r>
      <w:r>
        <w:t>w</w:t>
      </w:r>
      <w:r w:rsidR="00417B51" w:rsidRPr="00DF38B2">
        <w:t>e have presented our findings against the detailed evaluation criteria for New Income Management operating in the Northern Territory</w:t>
      </w:r>
      <w:r w:rsidR="008B3D14">
        <w:t>,</w:t>
      </w:r>
      <w:r w:rsidR="00AD7014">
        <w:t xml:space="preserve"> which</w:t>
      </w:r>
      <w:r w:rsidR="00417B51" w:rsidRPr="00DF38B2">
        <w:t xml:space="preserve"> were agreed with the then Department of </w:t>
      </w:r>
      <w:r w:rsidR="00417B51" w:rsidRPr="00DF38B2">
        <w:lastRenderedPageBreak/>
        <w:t>Families, Housing, Community Services and Indigenous Affairs</w:t>
      </w:r>
      <w:r w:rsidR="00AD7014">
        <w:t xml:space="preserve"> as the basis against which we would evaluate the program</w:t>
      </w:r>
      <w:r w:rsidR="00417B51" w:rsidRPr="00DF38B2">
        <w:t xml:space="preserve">. Across most </w:t>
      </w:r>
      <w:r>
        <w:t xml:space="preserve">of the evaluation </w:t>
      </w:r>
      <w:r w:rsidR="00417B51" w:rsidRPr="00DF38B2">
        <w:t xml:space="preserve">criteria we find that income management has not achieved its objectives. </w:t>
      </w:r>
    </w:p>
    <w:p w:rsidR="00417B51" w:rsidRPr="00DF38B2" w:rsidRDefault="00417B51" w:rsidP="006654AE">
      <w:r w:rsidRPr="00DF38B2">
        <w:t>We have looked here at the evidence against the criteria of better outcomes, improved capabilities and appropriate targeting</w:t>
      </w:r>
      <w:r w:rsidR="00A1421A">
        <w:t xml:space="preserve">. </w:t>
      </w:r>
      <w:r w:rsidRPr="00DF38B2">
        <w:t>Again</w:t>
      </w:r>
      <w:r w:rsidR="008B3D14">
        <w:t>,</w:t>
      </w:r>
      <w:r w:rsidRPr="00DF38B2">
        <w:t xml:space="preserve"> we report </w:t>
      </w:r>
      <w:r w:rsidR="008B3D14">
        <w:t xml:space="preserve">that </w:t>
      </w:r>
      <w:r w:rsidRPr="00DF38B2">
        <w:t>evidence for the program having achieved its goals is absent.</w:t>
      </w:r>
      <w:r w:rsidR="00EE003F">
        <w:t xml:space="preserve"> </w:t>
      </w:r>
      <w:r w:rsidR="00EE003F" w:rsidRPr="00EE003F">
        <w:t>There is, though, evidence of a diverse range of impacts of income management on perceived well-being, in some cases this is positive and in others negative. Strongly positive perceptions were reported by those on Voluntary Income Management where there is some, but not wholly consistent, evidence of improvement in some aspects of household outcomes for this group. This is not the case for those on compulsory measures where the balance of evidence clearly points to no improvement.</w:t>
      </w:r>
    </w:p>
    <w:p w:rsidR="00417B51" w:rsidRPr="00DF38B2" w:rsidRDefault="00417B51" w:rsidP="006654AE">
      <w:r w:rsidRPr="00DF38B2">
        <w:t>Indeed</w:t>
      </w:r>
      <w:r w:rsidR="008B3D14">
        <w:t>,</w:t>
      </w:r>
      <w:r w:rsidRPr="00DF38B2">
        <w:t xml:space="preserve"> rather than promoting independence and the building of skills and capabilities, New Income Management in the Northern Territory appears to have encouraged increasing dependence upon the welfare system, and the tools which were envisaged as providing </w:t>
      </w:r>
      <w:r w:rsidR="00EE003F">
        <w:t>people</w:t>
      </w:r>
      <w:r w:rsidRPr="00DF38B2">
        <w:t xml:space="preserve"> with the skills to manage have rather become instruments </w:t>
      </w:r>
      <w:r w:rsidR="008B3D14">
        <w:t>that</w:t>
      </w:r>
      <w:r w:rsidRPr="00DF38B2">
        <w:t xml:space="preserve"> relieve them of the burden of management</w:t>
      </w:r>
      <w:r w:rsidR="00A1421A">
        <w:t xml:space="preserve">. </w:t>
      </w:r>
      <w:r w:rsidRPr="00DF38B2">
        <w:t>While at one level, and for some groups, this may be still seen as a positive outcome and one which they report as having improved their quality of life</w:t>
      </w:r>
      <w:r w:rsidR="008B3D14">
        <w:t xml:space="preserve"> –</w:t>
      </w:r>
      <w:r w:rsidRPr="00DF38B2">
        <w:t xml:space="preserve"> and it is possible that some may be able to lift themselves out of their situation</w:t>
      </w:r>
      <w:r w:rsidR="008B3D14">
        <w:t xml:space="preserve"> –</w:t>
      </w:r>
      <w:r w:rsidRPr="00DF38B2">
        <w:t xml:space="preserve"> more broadly it also comes at a cost of greater dependence</w:t>
      </w:r>
      <w:r w:rsidR="00A1421A">
        <w:t xml:space="preserve">. </w:t>
      </w:r>
    </w:p>
    <w:p w:rsidR="00417B51" w:rsidRPr="00DF38B2" w:rsidRDefault="00417B51" w:rsidP="006654AE">
      <w:r w:rsidRPr="00DF38B2">
        <w:t>This</w:t>
      </w:r>
      <w:r w:rsidR="008B3D14">
        <w:t>, however,</w:t>
      </w:r>
      <w:r w:rsidRPr="00DF38B2">
        <w:t xml:space="preserve"> is not the whole</w:t>
      </w:r>
      <w:r w:rsidR="00EE003F">
        <w:t>, nor majority,</w:t>
      </w:r>
      <w:r w:rsidRPr="00DF38B2">
        <w:t xml:space="preserve"> story of income management</w:t>
      </w:r>
      <w:r w:rsidR="008459FB">
        <w:t>. M</w:t>
      </w:r>
      <w:r w:rsidRPr="00DF38B2">
        <w:t xml:space="preserve">any people report having been largely </w:t>
      </w:r>
      <w:r w:rsidR="008459FB" w:rsidRPr="00DF38B2">
        <w:t>un</w:t>
      </w:r>
      <w:r w:rsidR="008459FB">
        <w:t>affected</w:t>
      </w:r>
      <w:r w:rsidR="008459FB" w:rsidRPr="00DF38B2">
        <w:t xml:space="preserve"> </w:t>
      </w:r>
      <w:r w:rsidRPr="00DF38B2">
        <w:t>by the measure since they are already managing effectively</w:t>
      </w:r>
      <w:r w:rsidR="008B3D14">
        <w:t>;</w:t>
      </w:r>
      <w:r w:rsidRPr="00DF38B2">
        <w:t xml:space="preserve"> others report that the program has been a major inconvenience</w:t>
      </w:r>
      <w:r w:rsidR="008B3D14">
        <w:t>,</w:t>
      </w:r>
      <w:r w:rsidRPr="00DF38B2">
        <w:t xml:space="preserve"> making life more difficult without changing outcomes and, as noted previously, many </w:t>
      </w:r>
      <w:r w:rsidR="00EE003F">
        <w:t xml:space="preserve">within this group and more widely </w:t>
      </w:r>
      <w:r w:rsidRPr="00DF38B2">
        <w:t>report a sense of unfairness.</w:t>
      </w:r>
    </w:p>
    <w:p w:rsidR="00417B51" w:rsidRPr="00DF38B2" w:rsidRDefault="008459FB" w:rsidP="006654AE">
      <w:r w:rsidRPr="008459FB">
        <w:t xml:space="preserve">There is some evidence to show that income management may be a successful intervention when used as part of an individually tailored program for some individuals who have been specifically targeted as a result of their identified individual vulnerability or problem such as child protection. The evidence is that some people within this group can use it as an effective tool, including </w:t>
      </w:r>
      <w:proofErr w:type="gramStart"/>
      <w:r w:rsidRPr="008459FB">
        <w:t>to stabilise</w:t>
      </w:r>
      <w:proofErr w:type="gramEnd"/>
      <w:r w:rsidRPr="008459FB">
        <w:t xml:space="preserve"> their situation while other initiatives seek to address underlying problems. However, taken as a whole, there is no evidence to indicate that income management </w:t>
      </w:r>
      <w:proofErr w:type="gramStart"/>
      <w:r w:rsidRPr="008459FB">
        <w:t>has</w:t>
      </w:r>
      <w:proofErr w:type="gramEnd"/>
      <w:r w:rsidRPr="008459FB">
        <w:t xml:space="preserve"> any effects at the community level, nor that income management, in itself, facilitates long-term behavioural change.</w:t>
      </w:r>
    </w:p>
    <w:p w:rsidR="00417B51" w:rsidRPr="00DF38B2" w:rsidRDefault="00417B51" w:rsidP="00AD3907">
      <w:pPr>
        <w:pStyle w:val="h4l3"/>
      </w:pPr>
      <w:r w:rsidRPr="00DF38B2">
        <w:t>Why may this have occurred?</w:t>
      </w:r>
    </w:p>
    <w:p w:rsidR="00417B51" w:rsidRPr="00DF38B2" w:rsidRDefault="00417B51" w:rsidP="006654AE">
      <w:r w:rsidRPr="00DF38B2">
        <w:t xml:space="preserve">While the evaluation is not able to definitely identify the reasons for New Income Management in the Northern Territory failing to achieve the objectives set for it, in our view one of the major reasons </w:t>
      </w:r>
      <w:r w:rsidR="005E41A1">
        <w:t xml:space="preserve">for this </w:t>
      </w:r>
      <w:r w:rsidRPr="00DF38B2">
        <w:t>is that several of the policy assumptions and assessments that were made when designing income management have turned out to be incorrect. These include</w:t>
      </w:r>
      <w:r w:rsidR="00DC73F7">
        <w:t xml:space="preserve"> the following</w:t>
      </w:r>
      <w:r w:rsidRPr="00DF38B2">
        <w:t>:</w:t>
      </w:r>
    </w:p>
    <w:p w:rsidR="00417B51" w:rsidRPr="00DF38B2" w:rsidRDefault="00821E1A" w:rsidP="006654AE">
      <w:pPr>
        <w:pStyle w:val="dot"/>
      </w:pPr>
      <w:r>
        <w:t>That most people</w:t>
      </w:r>
      <w:r w:rsidR="00417B51" w:rsidRPr="00DF38B2">
        <w:t xml:space="preserve"> who met the criteria for compulsory income management were </w:t>
      </w:r>
      <w:r>
        <w:t xml:space="preserve">not </w:t>
      </w:r>
      <w:r w:rsidR="00417B51" w:rsidRPr="00DF38B2">
        <w:t>spending more than half their income on alcohol, tobacco, gambling and pornography. For people spending less than half of their income on prohibited items</w:t>
      </w:r>
      <w:r w:rsidR="00DC73F7">
        <w:t>,</w:t>
      </w:r>
      <w:r w:rsidR="00417B51" w:rsidRPr="00DF38B2">
        <w:t xml:space="preserve"> income management did not act to constrain their expenditure</w:t>
      </w:r>
      <w:r>
        <w:t xml:space="preserve"> on these items</w:t>
      </w:r>
      <w:r w:rsidR="00DC73F7">
        <w:t>.</w:t>
      </w:r>
    </w:p>
    <w:p w:rsidR="00417B51" w:rsidRPr="00DF38B2" w:rsidRDefault="00417B51" w:rsidP="006654AE">
      <w:pPr>
        <w:pStyle w:val="dot"/>
      </w:pPr>
      <w:r w:rsidRPr="00DF38B2">
        <w:t xml:space="preserve">The expectation that income management would prevent financial harassment and abuse because people could not withdraw their </w:t>
      </w:r>
      <w:r w:rsidR="00A04470">
        <w:t>income managed</w:t>
      </w:r>
      <w:r w:rsidR="00307C76">
        <w:t xml:space="preserve"> funds</w:t>
      </w:r>
      <w:r w:rsidRPr="00DF38B2">
        <w:t xml:space="preserve"> in cash. While there are problems of financial harassment and abuse, this does not just relate to people wanting cash</w:t>
      </w:r>
      <w:r w:rsidR="00A1421A">
        <w:t xml:space="preserve">. </w:t>
      </w:r>
      <w:r w:rsidRPr="00DF38B2">
        <w:t xml:space="preserve">People are still harassed for their </w:t>
      </w:r>
      <w:r w:rsidR="00A04470">
        <w:t>income managed</w:t>
      </w:r>
      <w:r w:rsidR="00307C76">
        <w:t xml:space="preserve"> funds</w:t>
      </w:r>
      <w:r w:rsidR="00A1081F">
        <w:t xml:space="preserve"> and items they purchase with these</w:t>
      </w:r>
      <w:r w:rsidRPr="00DF38B2">
        <w:t xml:space="preserve">. Addressing financial harassment and abuse requires both individual and community action. </w:t>
      </w:r>
    </w:p>
    <w:p w:rsidR="00417B51" w:rsidRPr="00DF38B2" w:rsidRDefault="00417B51" w:rsidP="006654AE">
      <w:pPr>
        <w:pStyle w:val="dot"/>
      </w:pPr>
      <w:r w:rsidRPr="00DF38B2">
        <w:t xml:space="preserve">The belief that by offering the incentive of a matched savings </w:t>
      </w:r>
      <w:r w:rsidR="00D075EE">
        <w:t xml:space="preserve">payment </w:t>
      </w:r>
      <w:r w:rsidRPr="00DF38B2">
        <w:t>and imposing some restriction on how people spen</w:t>
      </w:r>
      <w:r w:rsidR="00DC73F7">
        <w:t>d</w:t>
      </w:r>
      <w:r w:rsidRPr="00DF38B2">
        <w:t xml:space="preserve"> half of their government benefits would assist them to develop financial management skills. This has proven to be incorrect.</w:t>
      </w:r>
    </w:p>
    <w:p w:rsidR="00B85179" w:rsidRDefault="00417B51" w:rsidP="006654AE">
      <w:pPr>
        <w:rPr>
          <w:szCs w:val="19"/>
        </w:rPr>
      </w:pPr>
      <w:r w:rsidRPr="00DF38B2">
        <w:t xml:space="preserve">Making income management a large-scale program </w:t>
      </w:r>
      <w:r w:rsidR="00DC73F7">
        <w:t xml:space="preserve">– </w:t>
      </w:r>
      <w:r w:rsidRPr="00DF38B2">
        <w:t>in the context of the Northern Territory where it applies to a substantial proportion of income support recipients</w:t>
      </w:r>
      <w:r w:rsidR="00DC73F7">
        <w:t xml:space="preserve"> –</w:t>
      </w:r>
      <w:r w:rsidRPr="00DF38B2">
        <w:t xml:space="preserve"> has meant that by-and-large income management has been implemented as an operational process with limited working with individuals and tailoring the program to their needs. Building capacity is a challenging process that requires time and resources</w:t>
      </w:r>
      <w:r w:rsidR="00DC73F7">
        <w:t>,</w:t>
      </w:r>
      <w:r w:rsidRPr="00DF38B2">
        <w:t xml:space="preserve"> and it cannot be developed by simply imposing restraints</w:t>
      </w:r>
      <w:r w:rsidR="00A1421A">
        <w:t xml:space="preserve">. </w:t>
      </w:r>
      <w:r w:rsidR="00B85179">
        <w:rPr>
          <w:szCs w:val="19"/>
        </w:rPr>
        <w:br w:type="page"/>
      </w:r>
    </w:p>
    <w:p w:rsidR="00B85179" w:rsidRDefault="00B85179" w:rsidP="006654AE">
      <w:pPr>
        <w:spacing w:line="276" w:lineRule="auto"/>
        <w:jc w:val="left"/>
        <w:rPr>
          <w:szCs w:val="19"/>
        </w:rPr>
      </w:pPr>
    </w:p>
    <w:p w:rsidR="00B85179" w:rsidRPr="00DF38B2" w:rsidRDefault="00B85179" w:rsidP="006654AE">
      <w:pPr>
        <w:rPr>
          <w:szCs w:val="19"/>
        </w:rPr>
      </w:pPr>
    </w:p>
    <w:p w:rsidR="00417B51" w:rsidRPr="00DF38B2" w:rsidRDefault="00417B51" w:rsidP="006654AE">
      <w:pPr>
        <w:sectPr w:rsidR="00417B51" w:rsidRPr="00DF38B2" w:rsidSect="00285084">
          <w:headerReference w:type="even" r:id="rId206"/>
          <w:headerReference w:type="default" r:id="rId207"/>
          <w:footerReference w:type="even" r:id="rId208"/>
          <w:footerReference w:type="default" r:id="rId209"/>
          <w:headerReference w:type="first" r:id="rId210"/>
          <w:footerReference w:type="first" r:id="rId211"/>
          <w:pgSz w:w="11906" w:h="16838" w:code="9"/>
          <w:pgMar w:top="1247" w:right="1701" w:bottom="1134" w:left="1871" w:header="567" w:footer="340" w:gutter="0"/>
          <w:cols w:space="708"/>
          <w:titlePg/>
          <w:docGrid w:linePitch="360"/>
        </w:sectPr>
      </w:pPr>
    </w:p>
    <w:p w:rsidR="00E75AB0" w:rsidRDefault="00E75AB0" w:rsidP="004F3A3D">
      <w:pPr>
        <w:pStyle w:val="Heading1"/>
      </w:pPr>
      <w:bookmarkStart w:id="687" w:name="_Toc403739177"/>
      <w:r w:rsidRPr="00BA5F8B">
        <w:lastRenderedPageBreak/>
        <w:t>Epilogue</w:t>
      </w:r>
      <w:r>
        <w:t xml:space="preserve"> – Reporting Back</w:t>
      </w:r>
      <w:bookmarkEnd w:id="687"/>
    </w:p>
    <w:p w:rsidR="00E75AB0" w:rsidRDefault="00E75AB0" w:rsidP="00F42BEE">
      <w:pPr>
        <w:spacing w:before="1134" w:after="210" w:line="276" w:lineRule="auto"/>
      </w:pPr>
      <w:r>
        <w:t xml:space="preserve">After the completion of our evaluation of New Income Management as recorded in earlier chapters of this report, the final phase of the project involved the evaluation team engaging in </w:t>
      </w:r>
      <w:r w:rsidDel="006019A1">
        <w:t xml:space="preserve">a final round of </w:t>
      </w:r>
      <w:r>
        <w:t>consultations</w:t>
      </w:r>
      <w:r w:rsidR="00A1081F">
        <w:t>,</w:t>
      </w:r>
      <w:r>
        <w:t xml:space="preserve"> feedback visits and discussions about the evaluation findings. These involved meetings with key intermediaries in the Northern Territory including Commonwealth and Territory Government Departments, peak representative organisations, groups involved in the provision of services to people impacted by income management and meeting with members of urban and remote Indigenous communities.</w:t>
      </w:r>
    </w:p>
    <w:p w:rsidR="00E75AB0" w:rsidRDefault="00E75AB0" w:rsidP="006654AE">
      <w:pPr>
        <w:spacing w:line="276" w:lineRule="auto"/>
      </w:pPr>
      <w:r>
        <w:t>These discussions served a number of purposes. The meetings with peak organisations and intermediaries were primarily focused on providing information on our initial findings and testing these in discussions. In the case of communities, in addition to undertaking the above two functions, the visits were an opportunity to again thank communities, elders of these communities and participants in the LSNIM for assisting with the project and to provide feedback to individual communities on what the information collected in the LSNIM said about their own community.</w:t>
      </w:r>
      <w:r>
        <w:rPr>
          <w:rStyle w:val="FootnoteReference"/>
        </w:rPr>
        <w:footnoteReference w:id="159"/>
      </w:r>
    </w:p>
    <w:p w:rsidR="00E75AB0" w:rsidRDefault="00E75AB0" w:rsidP="006654AE">
      <w:pPr>
        <w:spacing w:line="276" w:lineRule="auto"/>
      </w:pPr>
      <w:r>
        <w:t>In finalising this report we have decided to report on these discussions in this final, epilogue chapter, rather than seeking to incorporate the material from our meetings and discussions into the body of the report.</w:t>
      </w:r>
    </w:p>
    <w:p w:rsidR="00E75AB0" w:rsidRDefault="00E75AB0" w:rsidP="006654AE">
      <w:pPr>
        <w:spacing w:line="276" w:lineRule="auto"/>
      </w:pPr>
      <w:r>
        <w:t>We have done so for two reasons. The first is that in large part this final reporting back process did not lead us to any major revisions of our report and the findings contained in it. Secondly in the discussions many of the matters raised by people, especially in communities, go beyond the scope of the evaluation and do not fit within th</w:t>
      </w:r>
      <w:r w:rsidR="005D1CC5">
        <w:t xml:space="preserve">e structure of the report. </w:t>
      </w:r>
      <w:r>
        <w:t>While the process was, as discussed above, primarily a feedback process and not a formal process of consultation to the extent people raised issues with us we believe we have an obligation to report on these, but would stress that these are not presented here as formal community views, although frequently the people involved were senior elders of the community.</w:t>
      </w:r>
    </w:p>
    <w:p w:rsidR="00E75AB0" w:rsidRDefault="00E75AB0" w:rsidP="006654AE">
      <w:pPr>
        <w:pStyle w:val="Heading2"/>
      </w:pPr>
      <w:bookmarkStart w:id="688" w:name="_Toc403739178"/>
      <w:r>
        <w:t>Perspectives on income management</w:t>
      </w:r>
      <w:bookmarkEnd w:id="688"/>
    </w:p>
    <w:p w:rsidR="00E75AB0" w:rsidRDefault="00E75AB0" w:rsidP="006654AE">
      <w:pPr>
        <w:spacing w:line="276" w:lineRule="auto"/>
      </w:pPr>
      <w:r>
        <w:t>Consistent with material presented in earlier chapters of this report these consultations identified a diverse range of views about income management at the individual level. Many people spoke about the program in a positive way, especially their use of the BasicsCard (“it is my food and clothing money”), and in some communities, but not others, a number of the people with whom we spoke said that the program has been beneficial for them.</w:t>
      </w:r>
      <w:r>
        <w:rPr>
          <w:rStyle w:val="FootnoteReference"/>
        </w:rPr>
        <w:footnoteReference w:id="160"/>
      </w:r>
      <w:r>
        <w:t xml:space="preserve"> Many others expressed strongly negative views. These were motivated by negative experiences – such as limited shopping choices, or more generally about the nature of the program itself: “they treat us like we are little kids”.</w:t>
      </w:r>
    </w:p>
    <w:p w:rsidR="00E75AB0" w:rsidRDefault="00E75AB0" w:rsidP="006654AE">
      <w:pPr>
        <w:pStyle w:val="Heading3"/>
      </w:pPr>
      <w:bookmarkStart w:id="689" w:name="_Toc403739179"/>
      <w:r w:rsidRPr="00E75AB0">
        <w:lastRenderedPageBreak/>
        <w:t>Response</w:t>
      </w:r>
      <w:r>
        <w:t xml:space="preserve"> to major findings</w:t>
      </w:r>
      <w:bookmarkEnd w:id="689"/>
    </w:p>
    <w:p w:rsidR="00E75AB0" w:rsidRDefault="00E75AB0" w:rsidP="006654AE">
      <w:pPr>
        <w:spacing w:line="276" w:lineRule="auto"/>
      </w:pPr>
      <w:r>
        <w:t>Notwithstanding this diversity of views when we reported the main conclusions of the evaluation, across the range of consultations, there was in general strong endorsement of the overall findings. Specifically:</w:t>
      </w:r>
    </w:p>
    <w:p w:rsidR="00E75AB0" w:rsidRDefault="00E75AB0" w:rsidP="006654AE">
      <w:pPr>
        <w:pStyle w:val="dot"/>
      </w:pPr>
      <w:r>
        <w:t>There was little surprise, and indeed in general strong agreement in almost all discussions, about the finding of a lack of any substantive change in outcomes as a result of income management. Quite simply the program was not seen in general as being transformative of either individuals or communities. To the extent changes were reported at the community level the people we spoke with tended to credit these to other programs and initiatives. They mentioned, for example, the introduction of Opal fuel, specific football programs to channel the energies of young people, the extent to which some communities had been able to restore cultural practices including the reintroduction of ceremonies or, in some communities, other aspects of the intervention.</w:t>
      </w:r>
    </w:p>
    <w:p w:rsidR="00E75AB0" w:rsidRDefault="00E75AB0" w:rsidP="006654AE">
      <w:pPr>
        <w:pStyle w:val="dot"/>
      </w:pPr>
      <w:r>
        <w:t xml:space="preserve">There was general agreement with the conclusion of the evaluation that there was a tendency for income management to increase dependence on the welfare system. While some saw this as a problem others did not. Increasing dependence was variously described. In some discussions it was related to fewer decisions people had to make, in others it was described in terms of some people just acquiescing to the measures, and in others to </w:t>
      </w:r>
      <w:proofErr w:type="spellStart"/>
      <w:r>
        <w:t>habitualisation</w:t>
      </w:r>
      <w:proofErr w:type="spellEnd"/>
      <w:r>
        <w:t>. With respect to this latter a number of people made reference to the fact that while the program had been introduced as a short term stabilisation policy, the program had now been in place in their communities for seven years.</w:t>
      </w:r>
    </w:p>
    <w:p w:rsidR="00E75AB0" w:rsidRDefault="00E75AB0" w:rsidP="006654AE">
      <w:pPr>
        <w:pStyle w:val="dot"/>
      </w:pPr>
      <w:r>
        <w:t>At the same time the BasicsCard is strongly supported and valued by many (but far from all) who consider it made their lives better, with some also reporting that they had modified some of their behaviours. In some discussion the positive aspect was described in terms of a reduction in the temptation of cash.</w:t>
      </w:r>
    </w:p>
    <w:p w:rsidR="00E75AB0" w:rsidRDefault="00E75AB0" w:rsidP="006654AE">
      <w:pPr>
        <w:pStyle w:val="dot"/>
      </w:pPr>
      <w:r>
        <w:t>There was rarely a total rejection of income management as a possible tool to be used for some people in these discussions. Rather people said it should be targeted at those who are having particularly poor outcomes due to their inability to manage their money, and those who wish to use it. In particular there continue to be some strong sentiments expressed about the way it had been imposed on Aboriginal people. Some saw it as just continuing paternalistic practices – e.g.</w:t>
      </w:r>
      <w:r w:rsidR="00A8053C">
        <w:t>, “</w:t>
      </w:r>
      <w:r>
        <w:t>my mother used to go to the mission store to collect her rations in a wheelbarrow – now I have a shopping trolley and BasicsCard”.</w:t>
      </w:r>
      <w:r>
        <w:rPr>
          <w:rStyle w:val="FootnoteReference"/>
        </w:rPr>
        <w:footnoteReference w:id="161"/>
      </w:r>
    </w:p>
    <w:p w:rsidR="00E75AB0" w:rsidRDefault="00E75AB0" w:rsidP="006654AE">
      <w:pPr>
        <w:spacing w:line="276" w:lineRule="auto"/>
      </w:pPr>
      <w:r>
        <w:t>We were frequently asked about the cost of income management and whether we had done any cost benefit analysis of the effectiveness of this program relative to other initiatives that could have been undertaken to improve outcomes in communities.</w:t>
      </w:r>
    </w:p>
    <w:p w:rsidR="00E75AB0" w:rsidRDefault="00E75AB0" w:rsidP="006654AE">
      <w:pPr>
        <w:pStyle w:val="Heading3"/>
      </w:pPr>
      <w:bookmarkStart w:id="690" w:name="_Toc403739180"/>
      <w:r>
        <w:t xml:space="preserve">Other </w:t>
      </w:r>
      <w:r w:rsidRPr="00E75AB0">
        <w:t>Income</w:t>
      </w:r>
      <w:r>
        <w:t xml:space="preserve"> Management issues</w:t>
      </w:r>
      <w:bookmarkEnd w:id="690"/>
    </w:p>
    <w:p w:rsidR="00E75AB0" w:rsidRDefault="00E75AB0" w:rsidP="006654AE">
      <w:pPr>
        <w:spacing w:line="276" w:lineRule="auto"/>
      </w:pPr>
      <w:r>
        <w:t xml:space="preserve">Many of the issues raised by people in our conversations reflected matters reported in the body of the report, but given the timing of these consultations, it is noted that they continue to persist. These include the problems of checking BasicsCard balances. There were recurrent complaints about the waiting times with telephone calls to Centrelink – very frequently by people having to wait on the phone in front of a store for an extended period to find out what their balance was so that they could undertake their shopping. Other automated systems were frequently non-functional, and in at least one community people raised the problem of communication breakdowns which resulted in stores being unable to perform BasicsCard transactions and as a consequence having to go without food. </w:t>
      </w:r>
    </w:p>
    <w:p w:rsidR="00E75AB0" w:rsidRDefault="00E75AB0" w:rsidP="006654AE">
      <w:pPr>
        <w:spacing w:line="276" w:lineRule="auto"/>
      </w:pPr>
      <w:r>
        <w:t xml:space="preserve">Many of the people we spoke with reiterated that they were perplexed as to why they could use the card to purchase some items (such as takeaway food and electronic items) at one store but not another. As in the report the limited acceptance of the card at some clothing and sporting goods stores was seen as being a real problem and a number of people raised the problem of trying to purchase cars in informal arrangements. Others reported that while it was easy to obtain petrol when travelling they had experienced </w:t>
      </w:r>
      <w:r>
        <w:lastRenderedPageBreak/>
        <w:t>problems with purchasing other motor vehicle related items such as tyres. In a number of places we have added additional material to the report, primarily through footnotes, to incorporate these matters.</w:t>
      </w:r>
    </w:p>
    <w:p w:rsidR="00E75AB0" w:rsidRDefault="00E75AB0" w:rsidP="006654AE">
      <w:pPr>
        <w:spacing w:line="276" w:lineRule="auto"/>
      </w:pPr>
      <w:r>
        <w:t xml:space="preserve">Problems of Centrelink reliance upon written correspondence was raised in many communities – with reports of large numbers of </w:t>
      </w:r>
      <w:r w:rsidR="00A1081F">
        <w:t xml:space="preserve">mail </w:t>
      </w:r>
      <w:r>
        <w:t>items being returned to Centrelink as being undeliverable and of many items going astray.</w:t>
      </w:r>
    </w:p>
    <w:p w:rsidR="00E75AB0" w:rsidRDefault="00E75AB0" w:rsidP="006654AE">
      <w:pPr>
        <w:spacing w:line="276" w:lineRule="auto"/>
      </w:pPr>
      <w:r>
        <w:t xml:space="preserve">Across almost all communities people saw a strong need for better money management education – but again there was very widespread criticism of existing services, about how they engage with communities and the materials they use. People were frequently aware of the services that have been funded but felt that the mere existence of services was not sufficient: “they are popping up everywhere and they don’t do anything for our people”. </w:t>
      </w:r>
    </w:p>
    <w:p w:rsidR="00E75AB0" w:rsidRDefault="00E75AB0" w:rsidP="006654AE">
      <w:pPr>
        <w:pStyle w:val="Heading3"/>
      </w:pPr>
      <w:bookmarkStart w:id="691" w:name="_Toc403739181"/>
      <w:r>
        <w:t xml:space="preserve">How </w:t>
      </w:r>
      <w:r w:rsidRPr="00E75AB0">
        <w:t>individuals</w:t>
      </w:r>
      <w:r>
        <w:t xml:space="preserve"> engage with Income Management</w:t>
      </w:r>
      <w:bookmarkEnd w:id="691"/>
    </w:p>
    <w:p w:rsidR="00E75AB0" w:rsidRDefault="00E75AB0" w:rsidP="006654AE">
      <w:pPr>
        <w:spacing w:line="276" w:lineRule="auto"/>
      </w:pPr>
      <w:r>
        <w:t>The discussions which arose in the feedback process revealed a wide range of different ways in which individuals “made income management work for them”. In many cases these were contradictory, while some reported that they could walk past people seeking money from them and wave their BasicsCard at them and say “all my money is on my card”, others reported that people were harassed for the</w:t>
      </w:r>
      <w:r w:rsidR="00A1081F">
        <w:t>ir</w:t>
      </w:r>
      <w:r>
        <w:t xml:space="preserve"> BasicsCard. </w:t>
      </w:r>
    </w:p>
    <w:p w:rsidR="00E75AB0" w:rsidRDefault="00E75AB0" w:rsidP="006654AE">
      <w:pPr>
        <w:spacing w:line="276" w:lineRule="auto"/>
      </w:pPr>
      <w:r>
        <w:t xml:space="preserve">Some talked about their BasicsCard money effectively being their money to live on and the balance of their payments being for recreation and other uses while others spoke of the money on BasicsCard not being seen as ‘real money’ since they never really held it and they were limited with what they could spend it on, “it doesn’t feel like your money”. In the first group people talked about the BasicsCard being safer in that it enabled them to have a separate source of money for food – than taking the risk of cash being dissipated. Some reported that while they kept their Key Card (debit card) secure, they allowed others to use their BasicsCard. One woman reported leaving it to her daughter to use for caring for her children (which she explained in terms of being a cultural obligation as a grandparent) while she was away from the community, while many others talked about BasicsCard use by others – with and without permission. </w:t>
      </w:r>
    </w:p>
    <w:p w:rsidR="00E75AB0" w:rsidRDefault="00E75AB0" w:rsidP="006654AE">
      <w:pPr>
        <w:spacing w:line="276" w:lineRule="auto"/>
      </w:pPr>
      <w:r>
        <w:t>Many discussed undertaking shopping and using their BasicsCard on a collective basis with others “we share – that’s the Aboriginal way”. Although some suggested the use of photographic identification on BasicsCards this was generally advanced as an anti-theft strategy rather than a limitation on using it on a collective basis.</w:t>
      </w:r>
    </w:p>
    <w:p w:rsidR="00E75AB0" w:rsidRDefault="00E75AB0" w:rsidP="006654AE">
      <w:pPr>
        <w:pStyle w:val="Heading3"/>
      </w:pPr>
      <w:bookmarkStart w:id="692" w:name="_Toc403739182"/>
      <w:r>
        <w:t>Humbug and harassment</w:t>
      </w:r>
      <w:bookmarkEnd w:id="692"/>
    </w:p>
    <w:p w:rsidR="00E75AB0" w:rsidRDefault="00E75AB0" w:rsidP="006654AE">
      <w:pPr>
        <w:spacing w:line="276" w:lineRule="auto"/>
      </w:pPr>
      <w:r>
        <w:t>There was considerable discussion about humbug. This revealed many subtle and complex aspects to the practice. Many indicated that it was inextricably linked with sharing and to their Indigenous identity. “There will always be problems with humbug because Aboriginal people have obligations”. Others sought to differentiate between good and bad humbug “humbug is sharing – it’s bad humbug when they use it on wrong things”. In some communities different experiences of humbug were given by different people – with this not necessarily being consistent. In some communities people talked about bad humbug of vulnerable older people by youth (including taking people’s BasicsCard to go shopping in major towns), in others older people (often elders) reported having no problems with humbug, while younger people, including sole parents said it was an issue.</w:t>
      </w:r>
    </w:p>
    <w:p w:rsidR="00E75AB0" w:rsidRDefault="00E75AB0" w:rsidP="006654AE">
      <w:pPr>
        <w:spacing w:line="276" w:lineRule="auto"/>
      </w:pPr>
      <w:r>
        <w:t xml:space="preserve">While as reported above some people used their BasicsCard as a means of simply addressing attempts to humbug them in particular situations, across all communities people did not report any overall reduction in the level of humbug as a consequence of the introduction of BasicsCard. A number of people spoke of being subject to humbug for food rather than cash since the introduction of income management. In several of our meetings people identified cases where humbug had increased for some people who gained cash earnings from employment – and where people had quit their jobs in response. There were mixed reports as to whether there was humbug for the earnings of artists. In some communities this was reported as being avoided through strategies such as placing these earnings on store accounts. </w:t>
      </w:r>
    </w:p>
    <w:p w:rsidR="00E75AB0" w:rsidRDefault="00E75AB0" w:rsidP="006654AE">
      <w:pPr>
        <w:pStyle w:val="Heading2"/>
      </w:pPr>
      <w:bookmarkStart w:id="693" w:name="_Toc403739183"/>
      <w:r>
        <w:lastRenderedPageBreak/>
        <w:t xml:space="preserve">Income </w:t>
      </w:r>
      <w:r w:rsidRPr="00E75AB0">
        <w:t>management</w:t>
      </w:r>
      <w:r>
        <w:t xml:space="preserve"> and community priorities</w:t>
      </w:r>
      <w:bookmarkEnd w:id="693"/>
    </w:p>
    <w:p w:rsidR="00E75AB0" w:rsidRDefault="00E75AB0" w:rsidP="006654AE">
      <w:pPr>
        <w:spacing w:line="276" w:lineRule="auto"/>
      </w:pPr>
      <w:r>
        <w:t xml:space="preserve">Because we have been engaged to evaluate income management against the defined set of evaluation criteria, specific questions related to this have been the focus of our report and of the surveys, interviews and consultations we have undertaken as part of the project. In reporting back on the evaluation to communities, peak organisations and others it became obvious that while many people were interested in the impact that the program was having – and often had strong views on the measure – income management was not seen as being the key to obtaining change and that there were many other issues that they considered to be more important to improving outcomes and they wanted their views on these communicated. </w:t>
      </w:r>
    </w:p>
    <w:p w:rsidR="00E75AB0" w:rsidRDefault="00E75AB0" w:rsidP="006654AE">
      <w:pPr>
        <w:spacing w:line="276" w:lineRule="auto"/>
      </w:pPr>
      <w:r>
        <w:t xml:space="preserve">In reporting these, we would emphasise again that these views were not collected as part of a formal consultation with communities about these matters, and are not presented here as community views, but rather that as these matters were raised in our discussions we believe that it is appropriate to report on them. </w:t>
      </w:r>
    </w:p>
    <w:p w:rsidR="00E75AB0" w:rsidRDefault="00E75AB0" w:rsidP="006654AE">
      <w:pPr>
        <w:spacing w:line="276" w:lineRule="auto"/>
      </w:pPr>
      <w:r>
        <w:t>The most frequently raised issue was employment. At times this was couched in terms of the role of income management “BasicsCard works well for older people but young people need jobs”, or in other cases just raised in terms of what people felt the community needed. The question of employment was raised in almost all of our visits to communities. In these discussions there were persistent requests by individuals in a number of communities for the reintroduction of CDEP. This request was presented in many different ways. Central for many was the role of CDEP as a means of providing employment in communities – and linking income to work – not as ‘sit down’ money. It was also frequently put in terms of a way in which important services can be provided within communities by community members and also as means of the community controlling some aspect of its day to day life. More generally, in particular amongst remote communities, there was a strong emphasis in the views expressed by those people who were part of the discussions on the need for jobs to be developed within communities so as to enable young people to live and work in their community, rather than people having to leave communities if they wanted a job. To the extent improvements in outcomes were cited in some communities this was frequently put down to factors such as additional employment.</w:t>
      </w:r>
    </w:p>
    <w:p w:rsidR="00E75AB0" w:rsidRDefault="00E75AB0" w:rsidP="006654AE">
      <w:pPr>
        <w:spacing w:line="276" w:lineRule="auto"/>
      </w:pPr>
      <w:r>
        <w:t xml:space="preserve">Housing was raised by people in several communities with people pointing out that it was often exceptionally difficult to manage money (let alone achieve a quality life) in severely over-crowded housing, and that under these circumstances it was hard to see how income management could really affect things. In one of the communities it was reported that a recent community housing census identified 18 people living in a two bedroom house. </w:t>
      </w:r>
    </w:p>
    <w:p w:rsidR="00E75AB0" w:rsidRDefault="00E75AB0" w:rsidP="006654AE">
      <w:pPr>
        <w:spacing w:line="276" w:lineRule="auto"/>
      </w:pPr>
      <w:r>
        <w:t>In other cases the issues raised by people in the discussions were more immediate concerns such as difficulties in obtaining approval for alcohol management plans, and heavy handed police interventions.</w:t>
      </w:r>
    </w:p>
    <w:p w:rsidR="00E75AB0" w:rsidRDefault="00E75AB0" w:rsidP="006654AE">
      <w:pPr>
        <w:spacing w:line="276" w:lineRule="auto"/>
      </w:pPr>
      <w:r>
        <w:t xml:space="preserve">People were also concerned about education and training with some expressing a strong desire for young people to remain in education rather than being in receipt of income support. </w:t>
      </w:r>
      <w:r w:rsidRPr="004622D4">
        <w:t xml:space="preserve">In many, but not all, of the communities we visited </w:t>
      </w:r>
      <w:r>
        <w:t xml:space="preserve">a number of the </w:t>
      </w:r>
      <w:r w:rsidRPr="004622D4">
        <w:t xml:space="preserve">people </w:t>
      </w:r>
      <w:r>
        <w:t>we spoke with were</w:t>
      </w:r>
      <w:r w:rsidRPr="004622D4">
        <w:t xml:space="preserve"> very positive about the Remote School Attendance Strategy, “</w:t>
      </w:r>
      <w:r>
        <w:t>t</w:t>
      </w:r>
      <w:r w:rsidRPr="004622D4">
        <w:t>he yellow shirts”, and about what they saw as a marked improvement in school attendance.</w:t>
      </w:r>
      <w:r>
        <w:t xml:space="preserve"> Those who expressed this view</w:t>
      </w:r>
      <w:r w:rsidRPr="004622D4">
        <w:t xml:space="preserve"> felt that this initiative had been well developed in consultation with local communities, and employed community members who could work effectively and constructively with families where there were attendance problems, as well as with the school.</w:t>
      </w:r>
      <w:r>
        <w:t xml:space="preserve"> </w:t>
      </w:r>
      <w:r w:rsidRPr="004622D4">
        <w:t xml:space="preserve">Conversely in </w:t>
      </w:r>
      <w:r>
        <w:t>one location</w:t>
      </w:r>
      <w:r w:rsidRPr="004622D4">
        <w:t xml:space="preserve"> it was reported that the Town Camps had lost their school bus service, because of a decision </w:t>
      </w:r>
      <w:r>
        <w:t xml:space="preserve">had been taken by the schools </w:t>
      </w:r>
      <w:r w:rsidRPr="004622D4">
        <w:t>that this was the parents’ responsibility and not the schools</w:t>
      </w:r>
      <w:r>
        <w:t>’</w:t>
      </w:r>
      <w:r w:rsidRPr="004622D4">
        <w:t xml:space="preserve"> and that this had increased problems with school attendance and there were strongly negative feelings about the role of mainstream truancy office</w:t>
      </w:r>
      <w:r>
        <w:t>r</w:t>
      </w:r>
      <w:r w:rsidRPr="004622D4">
        <w:t>s</w:t>
      </w:r>
      <w:r w:rsidR="00FF555C">
        <w:t>.</w:t>
      </w:r>
      <w:r>
        <w:rPr>
          <w:rStyle w:val="FootnoteReference"/>
        </w:rPr>
        <w:footnoteReference w:id="162"/>
      </w:r>
    </w:p>
    <w:p w:rsidR="00E75AB0" w:rsidRDefault="00E75AB0" w:rsidP="006654AE">
      <w:pPr>
        <w:spacing w:line="276" w:lineRule="auto"/>
      </w:pPr>
      <w:r>
        <w:t xml:space="preserve">In a number of communities some people reported what they saw as a decline in community services and control with the extension of shires into local communities. A related issue, raised in some communities, </w:t>
      </w:r>
      <w:r>
        <w:lastRenderedPageBreak/>
        <w:t>was the extent to which some commercial operations such as bus services had resulted in a decline in community alternatives as well as resulting in high levels of spending.</w:t>
      </w:r>
    </w:p>
    <w:p w:rsidR="00E75AB0" w:rsidRDefault="00E75AB0" w:rsidP="006654AE">
      <w:pPr>
        <w:spacing w:line="276" w:lineRule="auto"/>
      </w:pPr>
      <w:r>
        <w:t xml:space="preserve">Finally there was a very strong view expressed by many of the people we spoke with that there was the need for policies to be built up at the community level and implemented by communities. There was strong resentment about the way in which the intervention (which is seen by communities as being the commencement of income management) was imposed without consultation; this was also the case in the small number of places where those who participated spoke quite positively about some aspects of the intervention. </w:t>
      </w:r>
    </w:p>
    <w:p w:rsidR="00E75AB0" w:rsidRDefault="00E75AB0" w:rsidP="006654AE">
      <w:pPr>
        <w:pStyle w:val="Heading2"/>
      </w:pPr>
      <w:bookmarkStart w:id="694" w:name="_Toc403739184"/>
      <w:r w:rsidRPr="00E75AB0">
        <w:t>Summary</w:t>
      </w:r>
      <w:bookmarkEnd w:id="694"/>
    </w:p>
    <w:p w:rsidR="00E75AB0" w:rsidRDefault="00E75AB0" w:rsidP="006654AE">
      <w:r>
        <w:t xml:space="preserve">The final phase of the evaluation involved feedback and </w:t>
      </w:r>
      <w:r w:rsidR="00F30AF5">
        <w:t xml:space="preserve">discussions </w:t>
      </w:r>
      <w:r>
        <w:t xml:space="preserve">on the findings of the evaluation. </w:t>
      </w:r>
      <w:r w:rsidR="00F30AF5">
        <w:t>T</w:t>
      </w:r>
      <w:r>
        <w:t>his process</w:t>
      </w:r>
      <w:r w:rsidR="00F30AF5">
        <w:t>, in large part saw strong agreement with our analysis and</w:t>
      </w:r>
      <w:r>
        <w:t xml:space="preserve"> did not lead to any substantive change in the findings of the evaluation.</w:t>
      </w:r>
    </w:p>
    <w:p w:rsidR="00E75AB0" w:rsidRDefault="00E75AB0" w:rsidP="006654AE">
      <w:r>
        <w:t>The process however did emphasise that while there are many views about income management</w:t>
      </w:r>
      <w:r w:rsidR="00F30AF5">
        <w:t>, including the extent to which some people value the initiative while others see it as a major imposition,</w:t>
      </w:r>
      <w:r w:rsidR="00A47E26">
        <w:t xml:space="preserve"> </w:t>
      </w:r>
      <w:r>
        <w:t xml:space="preserve">that </w:t>
      </w:r>
      <w:r w:rsidR="00F30AF5">
        <w:t xml:space="preserve">income management </w:t>
      </w:r>
      <w:r>
        <w:t>is not in general seen as being the key for changing community outcomes but rather changes to a diverse set of other policies and programs were considered to be priorities.</w:t>
      </w:r>
    </w:p>
    <w:p w:rsidR="0099066A" w:rsidRDefault="0099066A" w:rsidP="006654AE">
      <w:pPr>
        <w:spacing w:line="276" w:lineRule="auto"/>
        <w:jc w:val="left"/>
      </w:pPr>
      <w:r>
        <w:br w:type="page"/>
      </w:r>
    </w:p>
    <w:p w:rsidR="0099066A" w:rsidRDefault="0099066A" w:rsidP="006654AE"/>
    <w:p w:rsidR="00033E1C" w:rsidRDefault="00033E1C" w:rsidP="006654AE">
      <w:pPr>
        <w:spacing w:line="276" w:lineRule="auto"/>
        <w:jc w:val="left"/>
        <w:sectPr w:rsidR="00033E1C" w:rsidSect="00285084">
          <w:pgSz w:w="11906" w:h="16838" w:code="9"/>
          <w:pgMar w:top="1247" w:right="1701" w:bottom="1134" w:left="1871" w:header="567" w:footer="340" w:gutter="0"/>
          <w:cols w:space="708"/>
          <w:titlePg/>
          <w:docGrid w:linePitch="360"/>
        </w:sectPr>
      </w:pPr>
    </w:p>
    <w:p w:rsidR="005E1FE0" w:rsidRPr="00AD3907" w:rsidRDefault="002013D1" w:rsidP="00AD3907">
      <w:pPr>
        <w:pStyle w:val="pretitle"/>
      </w:pPr>
      <w:bookmarkStart w:id="695" w:name="_Toc403739185"/>
      <w:r w:rsidRPr="00DF38B2">
        <w:lastRenderedPageBreak/>
        <w:t>References</w:t>
      </w:r>
      <w:bookmarkEnd w:id="695"/>
    </w:p>
    <w:p w:rsidR="00646756" w:rsidRDefault="00646756" w:rsidP="006654AE">
      <w:pPr>
        <w:spacing w:line="276" w:lineRule="auto"/>
        <w:ind w:left="567" w:hanging="567"/>
        <w:jc w:val="left"/>
      </w:pPr>
      <w:r>
        <w:t>ABS – see Australian Bureau of Statistics</w:t>
      </w:r>
    </w:p>
    <w:p w:rsidR="00646756" w:rsidRDefault="00646756" w:rsidP="006654AE">
      <w:pPr>
        <w:spacing w:line="276" w:lineRule="auto"/>
        <w:ind w:left="567" w:hanging="567"/>
        <w:jc w:val="left"/>
      </w:pPr>
      <w:r>
        <w:t xml:space="preserve">ACARA – see </w:t>
      </w:r>
      <w:r w:rsidRPr="006C31EF">
        <w:t>Australian Curriculum, Assessment and Reporting Authority</w:t>
      </w:r>
    </w:p>
    <w:p w:rsidR="00646756" w:rsidRDefault="00646756" w:rsidP="006654AE">
      <w:pPr>
        <w:spacing w:line="276" w:lineRule="auto"/>
        <w:ind w:left="567" w:hanging="567"/>
        <w:jc w:val="left"/>
      </w:pPr>
      <w:r>
        <w:t xml:space="preserve">ACMA – see </w:t>
      </w:r>
      <w:r w:rsidRPr="003B078B">
        <w:t>Australian Communications and</w:t>
      </w:r>
      <w:r>
        <w:t xml:space="preserve"> Media Authority</w:t>
      </w:r>
    </w:p>
    <w:p w:rsidR="00646756" w:rsidRDefault="00646756" w:rsidP="006654AE">
      <w:pPr>
        <w:spacing w:line="276" w:lineRule="auto"/>
        <w:ind w:left="567" w:hanging="567"/>
        <w:jc w:val="left"/>
      </w:pPr>
      <w:r>
        <w:t>AIHW – see Australian Institute of Health and Welfare</w:t>
      </w:r>
    </w:p>
    <w:p w:rsidR="002F189D" w:rsidRPr="006C31EF" w:rsidRDefault="002F189D" w:rsidP="006654AE">
      <w:pPr>
        <w:spacing w:line="276" w:lineRule="auto"/>
        <w:ind w:left="567" w:hanging="567"/>
        <w:jc w:val="left"/>
      </w:pPr>
      <w:r w:rsidRPr="006C31EF">
        <w:t xml:space="preserve">Australia Post (2013) </w:t>
      </w:r>
      <w:r w:rsidRPr="006C31EF">
        <w:rPr>
          <w:i/>
        </w:rPr>
        <w:t xml:space="preserve">How Australia Post </w:t>
      </w:r>
      <w:r w:rsidR="006C31EF">
        <w:rPr>
          <w:i/>
        </w:rPr>
        <w:t>Helped Make BasicsCard Services More A</w:t>
      </w:r>
      <w:r w:rsidRPr="006C31EF">
        <w:rPr>
          <w:i/>
        </w:rPr>
        <w:t>ccessible</w:t>
      </w:r>
      <w:r w:rsidRPr="006C31EF">
        <w:t xml:space="preserve">, </w:t>
      </w:r>
      <w:r w:rsidR="005216D5" w:rsidRPr="006C31EF">
        <w:t xml:space="preserve">Case Study, November, </w:t>
      </w:r>
      <w:r w:rsidRPr="006C31EF">
        <w:t>http://auspost.com.au/media/documents/case-study-DHS.pdf</w:t>
      </w:r>
      <w:r w:rsidRPr="006C31EF" w:rsidDel="009655C3">
        <w:t xml:space="preserve"> </w:t>
      </w:r>
    </w:p>
    <w:p w:rsidR="002013D1" w:rsidRPr="006C31EF" w:rsidRDefault="002013D1" w:rsidP="006654AE">
      <w:pPr>
        <w:ind w:left="567" w:hanging="567"/>
        <w:jc w:val="left"/>
      </w:pPr>
      <w:r w:rsidRPr="006C31EF">
        <w:t>Australian Bureau of Statistics (ABS) (2009-10</w:t>
      </w:r>
      <w:r w:rsidRPr="009C5F5A">
        <w:t>)</w:t>
      </w:r>
      <w:r w:rsidRPr="006C31EF">
        <w:rPr>
          <w:i/>
        </w:rPr>
        <w:t xml:space="preserve"> </w:t>
      </w:r>
      <w:proofErr w:type="spellStart"/>
      <w:r w:rsidRPr="006C31EF">
        <w:rPr>
          <w:i/>
        </w:rPr>
        <w:t>Microdata</w:t>
      </w:r>
      <w:proofErr w:type="spellEnd"/>
      <w:r w:rsidRPr="006C31EF">
        <w:rPr>
          <w:i/>
        </w:rPr>
        <w:t>: Household Expenditure Survey and Survey of Income and Housing, Australia, 2009-</w:t>
      </w:r>
      <w:proofErr w:type="gramStart"/>
      <w:r w:rsidRPr="006C31EF">
        <w:rPr>
          <w:i/>
        </w:rPr>
        <w:t>10</w:t>
      </w:r>
      <w:r w:rsidRPr="006C31EF">
        <w:t>,</w:t>
      </w:r>
      <w:proofErr w:type="gramEnd"/>
      <w:r w:rsidRPr="006C31EF">
        <w:t xml:space="preserve"> Cat. </w:t>
      </w:r>
      <w:proofErr w:type="gramStart"/>
      <w:r w:rsidRPr="006C31EF">
        <w:t xml:space="preserve">No. 6540.0, </w:t>
      </w:r>
      <w:r w:rsidR="006C31EF">
        <w:t xml:space="preserve">ABS, </w:t>
      </w:r>
      <w:r w:rsidRPr="006C31EF">
        <w:t>Canberra</w:t>
      </w:r>
      <w:r w:rsidR="009C5F5A">
        <w:t>.</w:t>
      </w:r>
      <w:proofErr w:type="gramEnd"/>
    </w:p>
    <w:p w:rsidR="002013D1" w:rsidRPr="006C31EF" w:rsidRDefault="003A3B53" w:rsidP="006654AE">
      <w:pPr>
        <w:ind w:left="567" w:hanging="567"/>
        <w:jc w:val="left"/>
      </w:pPr>
      <w:r>
        <w:t>———</w:t>
      </w:r>
      <w:r w:rsidR="009C5F5A">
        <w:t xml:space="preserve"> </w:t>
      </w:r>
      <w:r w:rsidR="002013D1" w:rsidRPr="006C31EF">
        <w:t>(2011</w:t>
      </w:r>
      <w:r w:rsidR="00EB570A" w:rsidRPr="006C31EF">
        <w:t>a</w:t>
      </w:r>
      <w:r w:rsidR="002013D1" w:rsidRPr="006C31EF">
        <w:t xml:space="preserve">) </w:t>
      </w:r>
      <w:r w:rsidR="002013D1" w:rsidRPr="006C31EF">
        <w:rPr>
          <w:i/>
        </w:rPr>
        <w:t>Australian Standard Geographical Classification (ASGC), July 2011</w:t>
      </w:r>
      <w:r w:rsidR="002013D1" w:rsidRPr="006C31EF">
        <w:t xml:space="preserve">, Cat. </w:t>
      </w:r>
      <w:proofErr w:type="gramStart"/>
      <w:r w:rsidR="002013D1" w:rsidRPr="006C31EF">
        <w:t xml:space="preserve">No. 1216.0, </w:t>
      </w:r>
      <w:r w:rsidR="006C31EF">
        <w:t xml:space="preserve">ABS, </w:t>
      </w:r>
      <w:r w:rsidR="002013D1" w:rsidRPr="006C31EF">
        <w:t>Canberra</w:t>
      </w:r>
      <w:r w:rsidR="009C5F5A">
        <w:t>.</w:t>
      </w:r>
      <w:proofErr w:type="gramEnd"/>
    </w:p>
    <w:p w:rsidR="00D7119A" w:rsidRPr="006C31EF" w:rsidRDefault="009C5F5A" w:rsidP="006654AE">
      <w:pPr>
        <w:spacing w:line="276" w:lineRule="auto"/>
        <w:ind w:left="567" w:hanging="567"/>
        <w:jc w:val="left"/>
      </w:pPr>
      <w:r>
        <w:t>———</w:t>
      </w:r>
      <w:r w:rsidRPr="006C31EF">
        <w:t xml:space="preserve"> </w:t>
      </w:r>
      <w:r w:rsidR="00D7119A" w:rsidRPr="006C31EF">
        <w:t xml:space="preserve">(2011b) </w:t>
      </w:r>
      <w:r w:rsidR="00D7119A" w:rsidRPr="006C31EF">
        <w:rPr>
          <w:i/>
        </w:rPr>
        <w:t>Household Expenditure Survey and Survey of Income and Housing, User Guide, Australia, 2009–10</w:t>
      </w:r>
      <w:r w:rsidR="00D7119A" w:rsidRPr="006C31EF">
        <w:t>, Cat</w:t>
      </w:r>
      <w:r w:rsidR="006C31EF">
        <w:t>.</w:t>
      </w:r>
      <w:r w:rsidR="00D7119A" w:rsidRPr="006C31EF">
        <w:t xml:space="preserve"> </w:t>
      </w:r>
      <w:proofErr w:type="gramStart"/>
      <w:r w:rsidR="00D7119A" w:rsidRPr="006C31EF">
        <w:t>No</w:t>
      </w:r>
      <w:r w:rsidR="006C31EF">
        <w:t>.</w:t>
      </w:r>
      <w:r w:rsidR="00D7119A" w:rsidRPr="006C31EF">
        <w:t>6503.0</w:t>
      </w:r>
      <w:r w:rsidR="006C31EF">
        <w:t>, ABS, Canberra.</w:t>
      </w:r>
      <w:proofErr w:type="gramEnd"/>
    </w:p>
    <w:p w:rsidR="006C31EF" w:rsidRDefault="009C5F5A" w:rsidP="006654AE">
      <w:pPr>
        <w:ind w:left="567" w:hanging="567"/>
        <w:jc w:val="left"/>
      </w:pPr>
      <w:r>
        <w:t>———</w:t>
      </w:r>
      <w:r w:rsidRPr="006C31EF" w:rsidDel="009C5F5A">
        <w:t xml:space="preserve"> </w:t>
      </w:r>
      <w:r w:rsidR="002013D1" w:rsidRPr="006C31EF">
        <w:t>(2011</w:t>
      </w:r>
      <w:r w:rsidR="00A47E26">
        <w:t>c</w:t>
      </w:r>
      <w:r w:rsidR="002013D1" w:rsidRPr="006C31EF">
        <w:t xml:space="preserve">) </w:t>
      </w:r>
      <w:proofErr w:type="gramStart"/>
      <w:r w:rsidR="002013D1" w:rsidRPr="006C31EF">
        <w:t>The</w:t>
      </w:r>
      <w:proofErr w:type="gramEnd"/>
      <w:r w:rsidR="002013D1" w:rsidRPr="006C31EF">
        <w:t xml:space="preserve"> Health and Welfare of Australia's Aboriginal and Torres Strait Islander Peoples, October 2010, Cat. </w:t>
      </w:r>
      <w:proofErr w:type="gramStart"/>
      <w:r w:rsidR="002013D1" w:rsidRPr="006C31EF">
        <w:t>No. 4704.0,</w:t>
      </w:r>
      <w:r w:rsidR="006C31EF">
        <w:t xml:space="preserve"> ABS,</w:t>
      </w:r>
      <w:r w:rsidR="002013D1" w:rsidRPr="006C31EF">
        <w:t xml:space="preserve"> Canberra.</w:t>
      </w:r>
      <w:proofErr w:type="gramEnd"/>
    </w:p>
    <w:p w:rsidR="002F189D" w:rsidRPr="006C31EF" w:rsidRDefault="009C5F5A" w:rsidP="006654AE">
      <w:pPr>
        <w:ind w:left="567" w:hanging="567"/>
        <w:jc w:val="left"/>
      </w:pPr>
      <w:r>
        <w:t>———</w:t>
      </w:r>
      <w:r w:rsidR="002F189D" w:rsidRPr="006C31EF">
        <w:t xml:space="preserve"> (2013</w:t>
      </w:r>
      <w:r w:rsidR="00EB570A" w:rsidRPr="006C31EF">
        <w:t>a</w:t>
      </w:r>
      <w:r w:rsidR="002F189D" w:rsidRPr="006C31EF">
        <w:t xml:space="preserve">) </w:t>
      </w:r>
      <w:r w:rsidR="002F189D" w:rsidRPr="006C31EF">
        <w:rPr>
          <w:i/>
        </w:rPr>
        <w:t>Estimates of Aboriginal and Torres Strait Islander Australians, Jun 2011</w:t>
      </w:r>
      <w:r w:rsidR="002F189D" w:rsidRPr="006C31EF">
        <w:t>, Cat</w:t>
      </w:r>
      <w:r w:rsidR="006C31EF">
        <w:t>.</w:t>
      </w:r>
      <w:r w:rsidR="002F189D" w:rsidRPr="006C31EF">
        <w:t xml:space="preserve"> No</w:t>
      </w:r>
      <w:r w:rsidR="006C31EF">
        <w:t>.</w:t>
      </w:r>
      <w:r w:rsidR="002F189D" w:rsidRPr="006C31EF">
        <w:t xml:space="preserve"> 3238.0.55.001</w:t>
      </w:r>
      <w:r w:rsidR="006C31EF">
        <w:t>, ABS, Canberra.</w:t>
      </w:r>
    </w:p>
    <w:p w:rsidR="009C5F5A" w:rsidRDefault="009C5F5A" w:rsidP="006654AE">
      <w:pPr>
        <w:ind w:left="567" w:hanging="567"/>
        <w:jc w:val="left"/>
      </w:pPr>
      <w:r>
        <w:t>———</w:t>
      </w:r>
      <w:r w:rsidR="00D7119A" w:rsidRPr="006C31EF">
        <w:t xml:space="preserve"> (2013b) </w:t>
      </w:r>
      <w:r w:rsidR="00D7119A" w:rsidRPr="006C31EF">
        <w:rPr>
          <w:i/>
        </w:rPr>
        <w:t>Life Tables for Aboriginal and Torres Strait Islanders, 2010-2012</w:t>
      </w:r>
      <w:r w:rsidR="006C31EF">
        <w:t xml:space="preserve">, </w:t>
      </w:r>
      <w:r w:rsidR="00D7119A" w:rsidRPr="006C31EF">
        <w:t xml:space="preserve">Cat. No. 3302.0.55.003, </w:t>
      </w:r>
      <w:r w:rsidR="006C31EF">
        <w:t xml:space="preserve">ABS, </w:t>
      </w:r>
      <w:r w:rsidR="00D7119A" w:rsidRPr="006C31EF">
        <w:t>Canberra.</w:t>
      </w:r>
    </w:p>
    <w:p w:rsidR="002013D1" w:rsidRPr="006C31EF" w:rsidRDefault="009C5F5A" w:rsidP="006654AE">
      <w:pPr>
        <w:ind w:left="567" w:hanging="567"/>
        <w:jc w:val="left"/>
      </w:pPr>
      <w:r>
        <w:t>———</w:t>
      </w:r>
      <w:r w:rsidR="002013D1" w:rsidRPr="006C31EF">
        <w:t xml:space="preserve"> (2013</w:t>
      </w:r>
      <w:r w:rsidR="00D7119A" w:rsidRPr="006C31EF">
        <w:t>c</w:t>
      </w:r>
      <w:r w:rsidR="002013D1" w:rsidRPr="006C31EF">
        <w:t xml:space="preserve">) </w:t>
      </w:r>
      <w:r w:rsidR="002013D1" w:rsidRPr="006C31EF">
        <w:rPr>
          <w:i/>
        </w:rPr>
        <w:t>Australian Health Survey: Updated Results, 2011-2012</w:t>
      </w:r>
      <w:r w:rsidR="002013D1" w:rsidRPr="006C31EF">
        <w:t>,</w:t>
      </w:r>
      <w:r w:rsidR="00B84AFE">
        <w:t xml:space="preserve"> </w:t>
      </w:r>
      <w:r w:rsidR="002013D1" w:rsidRPr="006C31EF">
        <w:t>Cat. No. 4364.0.55.003,</w:t>
      </w:r>
      <w:r w:rsidR="006C31EF">
        <w:t xml:space="preserve"> ABS,</w:t>
      </w:r>
      <w:r w:rsidR="002013D1" w:rsidRPr="006C31EF">
        <w:t xml:space="preserve"> Canberra.</w:t>
      </w:r>
    </w:p>
    <w:p w:rsidR="00EB570A" w:rsidRPr="006C31EF" w:rsidRDefault="009C5F5A" w:rsidP="006654AE">
      <w:pPr>
        <w:ind w:left="567" w:hanging="567"/>
        <w:jc w:val="left"/>
      </w:pPr>
      <w:r>
        <w:t>———</w:t>
      </w:r>
      <w:r w:rsidR="00EB570A" w:rsidRPr="006C31EF">
        <w:t xml:space="preserve"> (2013</w:t>
      </w:r>
      <w:r w:rsidR="00D7119A" w:rsidRPr="006C31EF">
        <w:t>d</w:t>
      </w:r>
      <w:r w:rsidR="00EB570A" w:rsidRPr="006C31EF">
        <w:t xml:space="preserve">) </w:t>
      </w:r>
      <w:r w:rsidR="00EB570A" w:rsidRPr="006C31EF">
        <w:rPr>
          <w:i/>
        </w:rPr>
        <w:t>Prisoners in Australia, 201</w:t>
      </w:r>
      <w:r w:rsidR="006C31EF" w:rsidRPr="006C31EF">
        <w:rPr>
          <w:i/>
        </w:rPr>
        <w:t>2</w:t>
      </w:r>
      <w:r w:rsidR="00EB570A" w:rsidRPr="006C31EF">
        <w:t xml:space="preserve">, Cat. No. 4517.0, </w:t>
      </w:r>
      <w:r w:rsidR="006C31EF">
        <w:t xml:space="preserve">ABS, </w:t>
      </w:r>
      <w:r w:rsidR="00EB570A" w:rsidRPr="006C31EF">
        <w:t xml:space="preserve">Canberra </w:t>
      </w:r>
    </w:p>
    <w:p w:rsidR="00EB570A" w:rsidRPr="006C31EF" w:rsidRDefault="009C5F5A" w:rsidP="006654AE">
      <w:pPr>
        <w:ind w:left="567" w:hanging="567"/>
        <w:jc w:val="left"/>
      </w:pPr>
      <w:r>
        <w:t>———</w:t>
      </w:r>
      <w:r w:rsidR="00EB570A" w:rsidRPr="006C31EF">
        <w:t xml:space="preserve"> (2014a) </w:t>
      </w:r>
      <w:r w:rsidR="00EB570A" w:rsidRPr="006C31EF">
        <w:rPr>
          <w:i/>
        </w:rPr>
        <w:t>Australian Demographic Statistics December 2013</w:t>
      </w:r>
      <w:r w:rsidR="00EB570A" w:rsidRPr="006C31EF">
        <w:t>, Cat No 3101.0</w:t>
      </w:r>
      <w:r w:rsidR="00D7119A" w:rsidRPr="006C31EF">
        <w:t xml:space="preserve">, </w:t>
      </w:r>
      <w:r w:rsidR="00EB570A" w:rsidRPr="006C31EF">
        <w:t>A</w:t>
      </w:r>
      <w:r w:rsidR="006C31EF">
        <w:t>BS,</w:t>
      </w:r>
      <w:r w:rsidR="00EB570A" w:rsidRPr="006C31EF">
        <w:t xml:space="preserve"> Canberra.</w:t>
      </w:r>
    </w:p>
    <w:p w:rsidR="002013D1" w:rsidRDefault="009C5F5A" w:rsidP="006654AE">
      <w:pPr>
        <w:ind w:left="567" w:hanging="567"/>
        <w:jc w:val="left"/>
      </w:pPr>
      <w:r>
        <w:t>———</w:t>
      </w:r>
      <w:r w:rsidR="002013D1" w:rsidRPr="006C31EF">
        <w:t xml:space="preserve"> (2014</w:t>
      </w:r>
      <w:r w:rsidR="00EB570A" w:rsidRPr="006C31EF">
        <w:t>b</w:t>
      </w:r>
      <w:r w:rsidR="002013D1" w:rsidRPr="006C31EF">
        <w:t xml:space="preserve">) </w:t>
      </w:r>
      <w:r w:rsidR="002013D1" w:rsidRPr="006C31EF">
        <w:rPr>
          <w:i/>
        </w:rPr>
        <w:t>Schools Australia, 2013</w:t>
      </w:r>
      <w:r w:rsidR="002013D1" w:rsidRPr="006C31EF">
        <w:t xml:space="preserve">, Cat. </w:t>
      </w:r>
      <w:proofErr w:type="gramStart"/>
      <w:r w:rsidR="002013D1" w:rsidRPr="006C31EF">
        <w:t xml:space="preserve">No. 4221.0, </w:t>
      </w:r>
      <w:r w:rsidR="006C31EF">
        <w:t xml:space="preserve">ABS, </w:t>
      </w:r>
      <w:r w:rsidR="002013D1" w:rsidRPr="006C31EF">
        <w:t>Canberra.</w:t>
      </w:r>
      <w:proofErr w:type="gramEnd"/>
    </w:p>
    <w:p w:rsidR="003B078B" w:rsidRDefault="003B078B" w:rsidP="006654AE">
      <w:pPr>
        <w:ind w:left="567" w:hanging="567"/>
        <w:jc w:val="left"/>
      </w:pPr>
      <w:r w:rsidRPr="003B078B">
        <w:t>Australian Communications and</w:t>
      </w:r>
      <w:r>
        <w:t xml:space="preserve"> Media Authority (ACMA) (2013) </w:t>
      </w:r>
      <w:r w:rsidRPr="003B078B">
        <w:rPr>
          <w:i/>
        </w:rPr>
        <w:t xml:space="preserve">Free means free calls from mobile phones to 18/1800 </w:t>
      </w:r>
      <w:proofErr w:type="spellStart"/>
      <w:r w:rsidRPr="003B078B">
        <w:rPr>
          <w:i/>
        </w:rPr>
        <w:t>freephone</w:t>
      </w:r>
      <w:proofErr w:type="spellEnd"/>
      <w:r w:rsidRPr="003B078B">
        <w:rPr>
          <w:i/>
        </w:rPr>
        <w:t xml:space="preserve"> numbers</w:t>
      </w:r>
      <w:r w:rsidRPr="003B078B">
        <w:t xml:space="preserve">, Media release 30/2013 - 22 May 2013. </w:t>
      </w:r>
      <w:hyperlink r:id="rId212" w:history="1">
        <w:r w:rsidR="00931DFC" w:rsidRPr="004E4E00">
          <w:rPr>
            <w:rStyle w:val="Hyperlink"/>
          </w:rPr>
          <w:t>http://www.acma.gov.au/Industry/Telco/Numbering/Numbering-Plan/free-means-free-calls-from-mobile-phones-to-18-1800-freephone-numbers</w:t>
        </w:r>
      </w:hyperlink>
    </w:p>
    <w:p w:rsidR="00931DFC" w:rsidRPr="006C31EF" w:rsidRDefault="00931DFC" w:rsidP="006654AE">
      <w:pPr>
        <w:ind w:left="567" w:hanging="567"/>
        <w:jc w:val="left"/>
      </w:pPr>
      <w:r w:rsidRPr="00931DFC">
        <w:t xml:space="preserve">Australian Competition and Consumer Commission (2008) </w:t>
      </w:r>
      <w:r w:rsidRPr="00931DFC">
        <w:rPr>
          <w:i/>
        </w:rPr>
        <w:t>Report of the ACCC inquiry into the competitiveness of retail prices for standard groceries</w:t>
      </w:r>
      <w:r w:rsidRPr="00931DFC">
        <w:t>, Australian Competition and Consumer Commission, Canberra</w:t>
      </w:r>
      <w:r>
        <w:t>.</w:t>
      </w:r>
    </w:p>
    <w:p w:rsidR="002013D1" w:rsidRPr="006C31EF" w:rsidRDefault="002013D1" w:rsidP="006654AE">
      <w:pPr>
        <w:ind w:left="567" w:hanging="567"/>
        <w:jc w:val="left"/>
      </w:pPr>
      <w:proofErr w:type="gramStart"/>
      <w:r w:rsidRPr="006C31EF">
        <w:t>Australian Curriculum, Assessment and Reporting Authority</w:t>
      </w:r>
      <w:r w:rsidR="00E75AB0">
        <w:t xml:space="preserve"> (ACARA</w:t>
      </w:r>
      <w:r w:rsidR="009C5F5A">
        <w:t>)</w:t>
      </w:r>
      <w:r w:rsidRPr="006C31EF">
        <w:t xml:space="preserve"> (</w:t>
      </w:r>
      <w:r w:rsidR="00593F5B" w:rsidRPr="006C31EF">
        <w:t>2008</w:t>
      </w:r>
      <w:r w:rsidRPr="006C31EF">
        <w:t xml:space="preserve">) </w:t>
      </w:r>
      <w:r w:rsidRPr="006C31EF">
        <w:rPr>
          <w:i/>
        </w:rPr>
        <w:t>National Assessment Program – Literacy and Numeracy NAPLAN National Report</w:t>
      </w:r>
      <w:r w:rsidR="00593F5B" w:rsidRPr="006C31EF">
        <w:rPr>
          <w:i/>
        </w:rPr>
        <w:t xml:space="preserve"> 2008</w:t>
      </w:r>
      <w:r w:rsidR="00593F5B" w:rsidRPr="006C31EF">
        <w:t>, ACARA, Sydney.</w:t>
      </w:r>
      <w:proofErr w:type="gramEnd"/>
      <w:r w:rsidRPr="006C31EF">
        <w:t xml:space="preserve"> </w:t>
      </w:r>
    </w:p>
    <w:p w:rsidR="00593F5B" w:rsidRPr="006C31EF" w:rsidRDefault="009C5F5A" w:rsidP="006654AE">
      <w:pPr>
        <w:ind w:left="567" w:hanging="567"/>
        <w:jc w:val="left"/>
      </w:pPr>
      <w:r>
        <w:t>———</w:t>
      </w:r>
      <w:r w:rsidR="00593F5B" w:rsidRPr="006C31EF">
        <w:t xml:space="preserve"> (2009) </w:t>
      </w:r>
      <w:r w:rsidR="00593F5B" w:rsidRPr="006C31EF">
        <w:rPr>
          <w:i/>
        </w:rPr>
        <w:t>National Assessment Program – Literacy and Numeracy NAPLAN National Report 2009</w:t>
      </w:r>
      <w:r w:rsidR="00593F5B" w:rsidRPr="006C31EF">
        <w:t xml:space="preserve">, ACARA, Sydney. </w:t>
      </w:r>
    </w:p>
    <w:p w:rsidR="00593F5B" w:rsidRPr="006C31EF" w:rsidRDefault="009C5F5A" w:rsidP="006654AE">
      <w:pPr>
        <w:ind w:left="567" w:hanging="567"/>
        <w:jc w:val="left"/>
      </w:pPr>
      <w:r>
        <w:t>———</w:t>
      </w:r>
      <w:r w:rsidR="00593F5B" w:rsidRPr="006C31EF">
        <w:t xml:space="preserve"> (2010) </w:t>
      </w:r>
      <w:r w:rsidR="00593F5B" w:rsidRPr="006C31EF">
        <w:rPr>
          <w:i/>
        </w:rPr>
        <w:t>National Assessment Program – Literacy and Numeracy NAPLAN National Report 2010</w:t>
      </w:r>
      <w:r w:rsidR="00593F5B" w:rsidRPr="006C31EF">
        <w:t xml:space="preserve">, ACARA, Sydney. </w:t>
      </w:r>
    </w:p>
    <w:p w:rsidR="00593F5B" w:rsidRPr="006C31EF" w:rsidRDefault="009C5F5A" w:rsidP="006654AE">
      <w:pPr>
        <w:ind w:left="567" w:hanging="567"/>
        <w:jc w:val="left"/>
      </w:pPr>
      <w:r>
        <w:t>———</w:t>
      </w:r>
      <w:r w:rsidR="00593F5B" w:rsidRPr="006C31EF">
        <w:t xml:space="preserve"> (2011) </w:t>
      </w:r>
      <w:r w:rsidR="00593F5B" w:rsidRPr="006C31EF">
        <w:rPr>
          <w:i/>
        </w:rPr>
        <w:t>National Assessment Program – Literacy and Numeracy NAPLAN National Report 2011</w:t>
      </w:r>
      <w:r w:rsidR="00593F5B" w:rsidRPr="006C31EF">
        <w:t xml:space="preserve">, ACARA, Sydney. </w:t>
      </w:r>
    </w:p>
    <w:p w:rsidR="00593F5B" w:rsidRPr="006C31EF" w:rsidRDefault="009C5F5A" w:rsidP="006654AE">
      <w:pPr>
        <w:ind w:left="567" w:hanging="567"/>
        <w:jc w:val="left"/>
      </w:pPr>
      <w:r>
        <w:lastRenderedPageBreak/>
        <w:t>———</w:t>
      </w:r>
      <w:r w:rsidR="00593F5B" w:rsidRPr="006C31EF">
        <w:t xml:space="preserve"> (2012) </w:t>
      </w:r>
      <w:r w:rsidR="00593F5B" w:rsidRPr="006C31EF">
        <w:rPr>
          <w:i/>
        </w:rPr>
        <w:t>National Assessment Program – Literacy and Numeracy NAPLAN National Report 2012</w:t>
      </w:r>
      <w:r w:rsidR="00593F5B" w:rsidRPr="006C31EF">
        <w:t xml:space="preserve">, ACARA, Sydney. </w:t>
      </w:r>
    </w:p>
    <w:p w:rsidR="00593F5B" w:rsidRDefault="009C5F5A" w:rsidP="006654AE">
      <w:pPr>
        <w:ind w:left="567" w:hanging="567"/>
        <w:jc w:val="left"/>
      </w:pPr>
      <w:r>
        <w:t>———</w:t>
      </w:r>
      <w:r w:rsidR="00593F5B" w:rsidRPr="006C31EF">
        <w:t xml:space="preserve"> (2013) </w:t>
      </w:r>
      <w:r w:rsidR="00593F5B" w:rsidRPr="006C31EF">
        <w:rPr>
          <w:i/>
        </w:rPr>
        <w:t>National Assessment Program – Literacy and Numeracy NAPLAN National Report 2013</w:t>
      </w:r>
      <w:r w:rsidR="00593F5B" w:rsidRPr="006C31EF">
        <w:t xml:space="preserve">, ACARA, Sydney. </w:t>
      </w:r>
    </w:p>
    <w:p w:rsidR="00215E2C" w:rsidRPr="006C31EF" w:rsidRDefault="00215E2C" w:rsidP="006654AE">
      <w:pPr>
        <w:ind w:left="567" w:hanging="567"/>
        <w:jc w:val="left"/>
      </w:pPr>
      <w:r w:rsidRPr="006C31EF">
        <w:t>Australian Institute of Health and Welfare</w:t>
      </w:r>
      <w:r w:rsidR="00B85179">
        <w:t xml:space="preserve"> (</w:t>
      </w:r>
      <w:r w:rsidR="00B85179" w:rsidRPr="006C31EF">
        <w:t>AIHW</w:t>
      </w:r>
      <w:r>
        <w:t>)</w:t>
      </w:r>
      <w:r w:rsidRPr="006C31EF">
        <w:t xml:space="preserve"> (2010) </w:t>
      </w:r>
      <w:r>
        <w:t>‘</w:t>
      </w:r>
      <w:r w:rsidRPr="006C31EF">
        <w:t>Evaluation of income management in the Northern Territory</w:t>
      </w:r>
      <w:r>
        <w:t>’</w:t>
      </w:r>
      <w:r w:rsidRPr="006C31EF">
        <w:t xml:space="preserve">, </w:t>
      </w:r>
      <w:r w:rsidRPr="004346BB">
        <w:rPr>
          <w:i/>
        </w:rPr>
        <w:t>Occasional Paper No. 34</w:t>
      </w:r>
      <w:r w:rsidRPr="006C31EF">
        <w:t>, Department of Families, Housing, Community Services and Indigenous Affairs, Canberra.</w:t>
      </w:r>
    </w:p>
    <w:p w:rsidR="00215E2C" w:rsidRDefault="00215E2C" w:rsidP="006654AE">
      <w:pPr>
        <w:ind w:left="567" w:hanging="567"/>
        <w:jc w:val="left"/>
      </w:pPr>
      <w:r>
        <w:t>———</w:t>
      </w:r>
      <w:r w:rsidRPr="006C31EF">
        <w:t xml:space="preserve"> (2012) Northern Territory Emergency Response Child Health Check Initiative: Follow up services for oral and ear health, final report, August 2007–June 2012, Cat. No. </w:t>
      </w:r>
      <w:proofErr w:type="gramStart"/>
      <w:r w:rsidRPr="006C31EF">
        <w:t>DEN 223, AIHW, Canberra.</w:t>
      </w:r>
      <w:proofErr w:type="gramEnd"/>
    </w:p>
    <w:p w:rsidR="00215E2C" w:rsidRDefault="00215E2C" w:rsidP="006654AE">
      <w:pPr>
        <w:ind w:left="567" w:hanging="567"/>
        <w:jc w:val="left"/>
      </w:pPr>
      <w:r>
        <w:t>———</w:t>
      </w:r>
      <w:r w:rsidRPr="006C31EF">
        <w:t xml:space="preserve"> (2012) </w:t>
      </w:r>
      <w:r w:rsidRPr="004346BB">
        <w:rPr>
          <w:i/>
        </w:rPr>
        <w:t>A Picture of Australia’s Children</w:t>
      </w:r>
      <w:r w:rsidRPr="006C31EF">
        <w:t xml:space="preserve">, AIHW, Canberra. </w:t>
      </w:r>
    </w:p>
    <w:p w:rsidR="003A3B53" w:rsidRPr="006C31EF" w:rsidRDefault="003A3B53" w:rsidP="006654AE">
      <w:pPr>
        <w:ind w:left="567" w:hanging="567"/>
        <w:jc w:val="left"/>
      </w:pPr>
      <w:r>
        <w:t>——— (2014</w:t>
      </w:r>
      <w:r w:rsidRPr="003A3B53">
        <w:rPr>
          <w:i/>
        </w:rPr>
        <w:t>) Child protection Australia: 2012–13</w:t>
      </w:r>
      <w:r w:rsidRPr="003A3B53">
        <w:t xml:space="preserve">, Child Welfare series 58, CWS 49, </w:t>
      </w:r>
      <w:r>
        <w:t xml:space="preserve">AIHW, </w:t>
      </w:r>
      <w:r w:rsidRPr="003A3B53">
        <w:t>Canberra</w:t>
      </w:r>
    </w:p>
    <w:p w:rsidR="002013D1" w:rsidRPr="006C31EF" w:rsidRDefault="002013D1" w:rsidP="006654AE">
      <w:pPr>
        <w:ind w:left="567" w:hanging="567"/>
        <w:jc w:val="left"/>
      </w:pPr>
      <w:r w:rsidRPr="006C31EF">
        <w:t xml:space="preserve">Australian Government (2009) </w:t>
      </w:r>
      <w:r w:rsidR="004F12BB" w:rsidRPr="004F12BB">
        <w:rPr>
          <w:i/>
        </w:rPr>
        <w:t>Policy statement : landmark reform to the welfare system, reinstatement of the Racial Discrimination Act and strengthening of the Northern Territory Emergency Response</w:t>
      </w:r>
      <w:r w:rsidRPr="006C31EF">
        <w:t>, Australian Government, Canberra.</w:t>
      </w:r>
    </w:p>
    <w:p w:rsidR="002013D1" w:rsidRDefault="009C5F5A" w:rsidP="006654AE">
      <w:pPr>
        <w:ind w:left="567" w:hanging="567"/>
        <w:jc w:val="left"/>
      </w:pPr>
      <w:r>
        <w:t>———</w:t>
      </w:r>
      <w:r w:rsidRPr="006C31EF" w:rsidDel="009C5F5A">
        <w:t xml:space="preserve"> </w:t>
      </w:r>
      <w:r w:rsidR="002013D1" w:rsidRPr="006C31EF">
        <w:t>(2013</w:t>
      </w:r>
      <w:r w:rsidR="003317E4">
        <w:t>a</w:t>
      </w:r>
      <w:r w:rsidR="002013D1" w:rsidRPr="006C31EF">
        <w:t xml:space="preserve">) </w:t>
      </w:r>
      <w:r w:rsidR="002013D1" w:rsidRPr="006C31EF">
        <w:rPr>
          <w:i/>
        </w:rPr>
        <w:t>A Snapshot of Early Childhood Development in Australia 2012</w:t>
      </w:r>
      <w:r>
        <w:rPr>
          <w:i/>
        </w:rPr>
        <w:t xml:space="preserve"> – </w:t>
      </w:r>
      <w:r w:rsidR="002013D1" w:rsidRPr="006C31EF">
        <w:rPr>
          <w:i/>
        </w:rPr>
        <w:t>AEDI National Report</w:t>
      </w:r>
      <w:r w:rsidR="002013D1" w:rsidRPr="006C31EF">
        <w:t>, Australian Government, Canberra.</w:t>
      </w:r>
    </w:p>
    <w:p w:rsidR="003317E4" w:rsidRPr="006C31EF" w:rsidRDefault="003317E4" w:rsidP="006654AE">
      <w:pPr>
        <w:ind w:left="567" w:hanging="567"/>
        <w:jc w:val="left"/>
      </w:pPr>
      <w:r>
        <w:t>———</w:t>
      </w:r>
      <w:r w:rsidRPr="006C31EF" w:rsidDel="009C5F5A">
        <w:t xml:space="preserve"> </w:t>
      </w:r>
      <w:r w:rsidRPr="006C31EF">
        <w:t>(2013</w:t>
      </w:r>
      <w:r>
        <w:t>b</w:t>
      </w:r>
      <w:r w:rsidRPr="006C31EF">
        <w:t>)</w:t>
      </w:r>
      <w:r>
        <w:t xml:space="preserve"> </w:t>
      </w:r>
      <w:r w:rsidRPr="003317E4">
        <w:t>‘Stronger Futures in the Northern Territory: Implementation approach for the Intensive Family Support Service’, (undated), http://www.dss.gov.au/sites/default/files/documents/</w:t>
      </w:r>
      <w:r>
        <w:br/>
      </w:r>
      <w:r w:rsidRPr="003317E4">
        <w:t>07_2013/intensive_family_support_services_cope_ip.docx</w:t>
      </w:r>
    </w:p>
    <w:p w:rsidR="002013D1" w:rsidRPr="006C31EF" w:rsidRDefault="009C5F5A" w:rsidP="006654AE">
      <w:pPr>
        <w:ind w:left="567" w:hanging="567"/>
        <w:jc w:val="left"/>
      </w:pPr>
      <w:r>
        <w:t>———</w:t>
      </w:r>
      <w:r w:rsidRPr="006C31EF" w:rsidDel="009C5F5A">
        <w:t xml:space="preserve"> </w:t>
      </w:r>
      <w:r w:rsidR="002013D1" w:rsidRPr="006C31EF">
        <w:t xml:space="preserve">(2014) </w:t>
      </w:r>
      <w:r w:rsidR="002013D1" w:rsidRPr="006C31EF">
        <w:rPr>
          <w:i/>
        </w:rPr>
        <w:t>Guide to Social Security Law Version 1.204</w:t>
      </w:r>
      <w:r w:rsidR="002013D1" w:rsidRPr="006C31EF">
        <w:t>, Released 12 May.</w:t>
      </w:r>
    </w:p>
    <w:p w:rsidR="002013D1" w:rsidRPr="006C31EF" w:rsidRDefault="002013D1" w:rsidP="006654AE">
      <w:pPr>
        <w:ind w:left="567" w:hanging="567"/>
        <w:jc w:val="left"/>
      </w:pPr>
      <w:r w:rsidRPr="006C31EF">
        <w:t xml:space="preserve">Australian National Audit Office (2013) </w:t>
      </w:r>
      <w:r w:rsidRPr="004346BB">
        <w:rPr>
          <w:i/>
        </w:rPr>
        <w:t>Administration of New Income Management in the Northern Territory</w:t>
      </w:r>
      <w:r w:rsidRPr="006C31EF">
        <w:t>, ANAO Audit Report No.</w:t>
      </w:r>
      <w:r w:rsidR="00DF38B2" w:rsidRPr="006C31EF">
        <w:t xml:space="preserve"> </w:t>
      </w:r>
      <w:r w:rsidRPr="006C31EF">
        <w:t>19 2012–13, Commonwealth of Australia, Canberra.</w:t>
      </w:r>
    </w:p>
    <w:p w:rsidR="002013D1" w:rsidRPr="006C31EF" w:rsidRDefault="002013D1" w:rsidP="006654AE">
      <w:pPr>
        <w:ind w:left="567" w:hanging="567"/>
        <w:jc w:val="left"/>
      </w:pPr>
      <w:proofErr w:type="spellStart"/>
      <w:r w:rsidRPr="006C31EF">
        <w:t>Bamblett</w:t>
      </w:r>
      <w:proofErr w:type="spellEnd"/>
      <w:r w:rsidRPr="006C31EF">
        <w:t xml:space="preserve">, M., Bath, H. and </w:t>
      </w:r>
      <w:proofErr w:type="spellStart"/>
      <w:r w:rsidRPr="006C31EF">
        <w:t>Roseby</w:t>
      </w:r>
      <w:proofErr w:type="spellEnd"/>
      <w:r w:rsidRPr="006C31EF">
        <w:t xml:space="preserve">, R. (2010) </w:t>
      </w:r>
      <w:r w:rsidRPr="006C31EF">
        <w:rPr>
          <w:i/>
        </w:rPr>
        <w:t>Growing them Strong, Together: Promoting the safety and wellbeing of the Northern Territory’s children</w:t>
      </w:r>
      <w:r w:rsidRPr="006C31EF">
        <w:t>, Report of the Board of Inquiry into the Child Protection System in the Northern Territory 2010 (The Bath Report), Northern Territory Government, Darwin.</w:t>
      </w:r>
    </w:p>
    <w:p w:rsidR="002013D1" w:rsidRDefault="002013D1" w:rsidP="006654AE">
      <w:pPr>
        <w:ind w:left="567" w:hanging="567"/>
        <w:jc w:val="left"/>
      </w:pPr>
      <w:r w:rsidRPr="006C31EF">
        <w:t>Biddle, N., Al-</w:t>
      </w:r>
      <w:proofErr w:type="spellStart"/>
      <w:r w:rsidRPr="006C31EF">
        <w:t>Yaman</w:t>
      </w:r>
      <w:proofErr w:type="spellEnd"/>
      <w:r w:rsidRPr="006C31EF">
        <w:t xml:space="preserve">, F., </w:t>
      </w:r>
      <w:proofErr w:type="spellStart"/>
      <w:r w:rsidRPr="006C31EF">
        <w:t>Gourley</w:t>
      </w:r>
      <w:proofErr w:type="spellEnd"/>
      <w:r w:rsidRPr="006C31EF">
        <w:t xml:space="preserve">, M., Gray, M., Bray, J.R., Brady, B., Pham, L., Williams, E. and Montaigne, M. (2012) </w:t>
      </w:r>
      <w:r w:rsidRPr="004346BB">
        <w:rPr>
          <w:i/>
        </w:rPr>
        <w:t>Indigenous Australians and the National Disability Insurance Scheme: The extent and nature of disability, measurement issues and service delivery models</w:t>
      </w:r>
      <w:r w:rsidRPr="006C31EF">
        <w:t>, Report to the Department of Families, Housing, Community Services and Indigenous Affairs, Canberra.</w:t>
      </w:r>
    </w:p>
    <w:p w:rsidR="00E75AB0" w:rsidRDefault="00E75AB0" w:rsidP="006654AE">
      <w:pPr>
        <w:ind w:left="567" w:hanging="567"/>
        <w:jc w:val="left"/>
      </w:pPr>
      <w:r w:rsidRPr="00E75AB0">
        <w:t>Bielefeld, S</w:t>
      </w:r>
      <w:r>
        <w:t>.</w:t>
      </w:r>
      <w:r w:rsidRPr="00E75AB0">
        <w:t xml:space="preserve"> (2012) “Compulsory Income Management and Indigenous Australians: Delivering Social Justice or Furthering Colonial Domination?</w:t>
      </w:r>
      <w:proofErr w:type="gramStart"/>
      <w:r w:rsidRPr="00E75AB0">
        <w:t>”,</w:t>
      </w:r>
      <w:proofErr w:type="gramEnd"/>
      <w:r w:rsidRPr="00E75AB0">
        <w:t xml:space="preserve"> </w:t>
      </w:r>
      <w:r w:rsidRPr="00E75AB0">
        <w:rPr>
          <w:i/>
        </w:rPr>
        <w:t>UNSW Law Journal</w:t>
      </w:r>
      <w:r w:rsidRPr="00E75AB0">
        <w:t xml:space="preserve">, Volume 35(2), </w:t>
      </w:r>
      <w:r>
        <w:t xml:space="preserve">522–562, </w:t>
      </w:r>
      <w:r w:rsidRPr="00E75AB0">
        <w:t>Sydney</w:t>
      </w:r>
    </w:p>
    <w:p w:rsidR="002013D1" w:rsidRPr="006C31EF" w:rsidRDefault="002013D1" w:rsidP="006654AE">
      <w:pPr>
        <w:ind w:left="567" w:hanging="567"/>
        <w:jc w:val="left"/>
      </w:pPr>
      <w:r w:rsidRPr="006C31EF">
        <w:t xml:space="preserve">Blundell, R., Costa Dias, M, 2009, ‘Alternative Approaches to Evaluation in Empirical Microeconomics’, </w:t>
      </w:r>
      <w:r w:rsidRPr="006C31EF">
        <w:rPr>
          <w:i/>
        </w:rPr>
        <w:t>Journal of Human Resources</w:t>
      </w:r>
      <w:r w:rsidRPr="006C31EF">
        <w:t>, 44(3), 565</w:t>
      </w:r>
      <w:r w:rsidR="00C52C6D">
        <w:t>–</w:t>
      </w:r>
      <w:r w:rsidRPr="006C31EF">
        <w:t>640.</w:t>
      </w:r>
    </w:p>
    <w:p w:rsidR="002013D1" w:rsidRPr="006C31EF" w:rsidRDefault="002013D1" w:rsidP="006654AE">
      <w:pPr>
        <w:ind w:left="567" w:hanging="567"/>
        <w:jc w:val="left"/>
      </w:pPr>
      <w:r w:rsidRPr="006C31EF">
        <w:t>Bray, J.R., Gray, M., Hand, K., Bradbury, B., Eastman, C. and Katz, I. (2012</w:t>
      </w:r>
      <w:r w:rsidR="00C52C6D">
        <w:t>)</w:t>
      </w:r>
      <w:r w:rsidRPr="006C31EF">
        <w:t xml:space="preserve"> </w:t>
      </w:r>
      <w:r w:rsidRPr="004346BB">
        <w:rPr>
          <w:i/>
        </w:rPr>
        <w:t>Evaluating New Income Management in the Northern Territory: First Evaluation Report</w:t>
      </w:r>
      <w:r w:rsidR="004346BB">
        <w:t>,</w:t>
      </w:r>
      <w:r w:rsidRPr="006C31EF">
        <w:t xml:space="preserve"> Department of Families, Housing, Community Services and Indigenous Affairs, Canberra.</w:t>
      </w:r>
    </w:p>
    <w:p w:rsidR="002013D1" w:rsidRPr="006C31EF" w:rsidRDefault="002013D1" w:rsidP="006654AE">
      <w:pPr>
        <w:ind w:left="567" w:hanging="567"/>
        <w:jc w:val="left"/>
      </w:pPr>
      <w:proofErr w:type="spellStart"/>
      <w:proofErr w:type="gramStart"/>
      <w:r w:rsidRPr="006C31EF">
        <w:t>Brimblecombe</w:t>
      </w:r>
      <w:proofErr w:type="spellEnd"/>
      <w:r w:rsidRPr="006C31EF">
        <w:t xml:space="preserve">, J., McDonnell, J., Barnes, A., </w:t>
      </w:r>
      <w:proofErr w:type="spellStart"/>
      <w:r w:rsidRPr="006C31EF">
        <w:t>Garnggulkpuy</w:t>
      </w:r>
      <w:proofErr w:type="spellEnd"/>
      <w:r w:rsidRPr="006C31EF">
        <w:t xml:space="preserve"> </w:t>
      </w:r>
      <w:proofErr w:type="spellStart"/>
      <w:r w:rsidRPr="006C31EF">
        <w:t>Dhurrkay</w:t>
      </w:r>
      <w:proofErr w:type="spellEnd"/>
      <w:r w:rsidRPr="006C31EF">
        <w:t>, J., Thomas, D. and Bailie, R. (2010</w:t>
      </w:r>
      <w:r w:rsidR="00C52C6D">
        <w:t>)</w:t>
      </w:r>
      <w:r w:rsidRPr="006C31EF">
        <w:t xml:space="preserve"> </w:t>
      </w:r>
      <w:r w:rsidR="004346BB">
        <w:t>‘</w:t>
      </w:r>
      <w:r w:rsidRPr="006C31EF">
        <w:t>Impact of income management on store sales in the Northern Territory</w:t>
      </w:r>
      <w:r w:rsidR="004346BB">
        <w:t>’</w:t>
      </w:r>
      <w:r w:rsidRPr="006C31EF">
        <w:t xml:space="preserve">, </w:t>
      </w:r>
      <w:r w:rsidRPr="006C31EF">
        <w:rPr>
          <w:i/>
        </w:rPr>
        <w:t>Medical Journal of Australia</w:t>
      </w:r>
      <w:r w:rsidRPr="006C31EF">
        <w:t>, 192(10), 549</w:t>
      </w:r>
      <w:r w:rsidR="00C52C6D">
        <w:t>–</w:t>
      </w:r>
      <w:r w:rsidRPr="006C31EF">
        <w:t>554.</w:t>
      </w:r>
      <w:proofErr w:type="gramEnd"/>
    </w:p>
    <w:p w:rsidR="002013D1" w:rsidRPr="006C31EF" w:rsidRDefault="002013D1" w:rsidP="006654AE">
      <w:pPr>
        <w:ind w:left="567" w:hanging="567"/>
        <w:jc w:val="left"/>
      </w:pPr>
      <w:proofErr w:type="spellStart"/>
      <w:proofErr w:type="gramStart"/>
      <w:r w:rsidRPr="006C31EF">
        <w:t>Brough</w:t>
      </w:r>
      <w:proofErr w:type="spellEnd"/>
      <w:r w:rsidRPr="006C31EF">
        <w:t>, M. (2007</w:t>
      </w:r>
      <w:r w:rsidR="00C52C6D">
        <w:t>)</w:t>
      </w:r>
      <w:r w:rsidRPr="006C31EF">
        <w:t xml:space="preserve"> </w:t>
      </w:r>
      <w:r w:rsidRPr="006C31EF">
        <w:rPr>
          <w:i/>
        </w:rPr>
        <w:t>National emergency response to protect Aboriginal Children in the NT</w:t>
      </w:r>
      <w:r w:rsidRPr="006C31EF">
        <w:t>, Media Release, 21 June 2007.</w:t>
      </w:r>
      <w:proofErr w:type="gramEnd"/>
    </w:p>
    <w:p w:rsidR="002013D1" w:rsidRPr="006C31EF" w:rsidRDefault="002013D1" w:rsidP="006654AE">
      <w:pPr>
        <w:ind w:left="567" w:hanging="567"/>
        <w:jc w:val="left"/>
      </w:pPr>
      <w:proofErr w:type="spellStart"/>
      <w:r w:rsidRPr="006C31EF">
        <w:t>Buckmaster</w:t>
      </w:r>
      <w:proofErr w:type="spellEnd"/>
      <w:r w:rsidRPr="006C31EF">
        <w:t xml:space="preserve">, L. and </w:t>
      </w:r>
      <w:proofErr w:type="spellStart"/>
      <w:r w:rsidRPr="006C31EF">
        <w:t>Ey</w:t>
      </w:r>
      <w:proofErr w:type="spellEnd"/>
      <w:r w:rsidRPr="006C31EF">
        <w:t>, C. (2012</w:t>
      </w:r>
      <w:r w:rsidR="00C52C6D">
        <w:t>)</w:t>
      </w:r>
      <w:r w:rsidRPr="006C31EF">
        <w:t xml:space="preserve"> </w:t>
      </w:r>
      <w:r w:rsidRPr="006C31EF">
        <w:rPr>
          <w:i/>
        </w:rPr>
        <w:t xml:space="preserve">Is </w:t>
      </w:r>
      <w:r w:rsidR="004346BB">
        <w:rPr>
          <w:i/>
        </w:rPr>
        <w:t>I</w:t>
      </w:r>
      <w:r w:rsidRPr="006C31EF">
        <w:rPr>
          <w:i/>
        </w:rPr>
        <w:t xml:space="preserve">ncome </w:t>
      </w:r>
      <w:r w:rsidR="004346BB">
        <w:rPr>
          <w:i/>
        </w:rPr>
        <w:t>M</w:t>
      </w:r>
      <w:r w:rsidRPr="006C31EF">
        <w:rPr>
          <w:i/>
        </w:rPr>
        <w:t xml:space="preserve">anagement </w:t>
      </w:r>
      <w:r w:rsidR="004346BB">
        <w:rPr>
          <w:i/>
        </w:rPr>
        <w:t>W</w:t>
      </w:r>
      <w:r w:rsidRPr="006C31EF">
        <w:rPr>
          <w:i/>
        </w:rPr>
        <w:t>orking</w:t>
      </w:r>
      <w:proofErr w:type="gramStart"/>
      <w:r w:rsidRPr="006C31EF">
        <w:rPr>
          <w:i/>
        </w:rPr>
        <w:t>?,</w:t>
      </w:r>
      <w:proofErr w:type="gramEnd"/>
      <w:r w:rsidRPr="006C31EF">
        <w:rPr>
          <w:i/>
        </w:rPr>
        <w:t xml:space="preserve"> </w:t>
      </w:r>
      <w:r w:rsidRPr="006C31EF">
        <w:t>Background Note, Parliamentary Library, Canberra.</w:t>
      </w:r>
    </w:p>
    <w:p w:rsidR="002013D1" w:rsidRPr="006C31EF" w:rsidRDefault="002013D1" w:rsidP="006654AE">
      <w:pPr>
        <w:ind w:left="567" w:hanging="567"/>
        <w:jc w:val="left"/>
      </w:pPr>
      <w:proofErr w:type="spellStart"/>
      <w:proofErr w:type="gramStart"/>
      <w:r w:rsidRPr="006C31EF">
        <w:lastRenderedPageBreak/>
        <w:t>Buckmaster</w:t>
      </w:r>
      <w:proofErr w:type="spellEnd"/>
      <w:r w:rsidRPr="006C31EF">
        <w:t xml:space="preserve">, L., </w:t>
      </w:r>
      <w:proofErr w:type="spellStart"/>
      <w:r w:rsidRPr="006C31EF">
        <w:t>Ey</w:t>
      </w:r>
      <w:proofErr w:type="spellEnd"/>
      <w:r w:rsidRPr="006C31EF">
        <w:t xml:space="preserve">, C. and </w:t>
      </w:r>
      <w:proofErr w:type="spellStart"/>
      <w:r w:rsidRPr="006C31EF">
        <w:t>Klapdor</w:t>
      </w:r>
      <w:proofErr w:type="spellEnd"/>
      <w:r w:rsidRPr="006C31EF">
        <w:t>, M. (2012</w:t>
      </w:r>
      <w:r w:rsidR="00C52C6D">
        <w:t>)</w:t>
      </w:r>
      <w:r w:rsidRPr="006C31EF">
        <w:t xml:space="preserve"> </w:t>
      </w:r>
      <w:r w:rsidRPr="004346BB">
        <w:rPr>
          <w:i/>
        </w:rPr>
        <w:t xml:space="preserve">Income </w:t>
      </w:r>
      <w:r w:rsidR="004346BB" w:rsidRPr="004346BB">
        <w:rPr>
          <w:i/>
        </w:rPr>
        <w:t>M</w:t>
      </w:r>
      <w:r w:rsidRPr="004346BB">
        <w:rPr>
          <w:i/>
        </w:rPr>
        <w:t xml:space="preserve">anagement: </w:t>
      </w:r>
      <w:r w:rsidR="004346BB" w:rsidRPr="004346BB">
        <w:rPr>
          <w:i/>
        </w:rPr>
        <w:t>A</w:t>
      </w:r>
      <w:r w:rsidRPr="004346BB">
        <w:rPr>
          <w:i/>
        </w:rPr>
        <w:t xml:space="preserve">n </w:t>
      </w:r>
      <w:r w:rsidR="004346BB" w:rsidRPr="004346BB">
        <w:rPr>
          <w:i/>
        </w:rPr>
        <w:t>O</w:t>
      </w:r>
      <w:r w:rsidRPr="004346BB">
        <w:rPr>
          <w:i/>
        </w:rPr>
        <w:t>verview</w:t>
      </w:r>
      <w:r w:rsidRPr="006C31EF">
        <w:t>, Background Note, Parliamentary Library, Canberra.</w:t>
      </w:r>
      <w:proofErr w:type="gramEnd"/>
    </w:p>
    <w:p w:rsidR="00F30AF5" w:rsidRDefault="00F30AF5" w:rsidP="006654AE">
      <w:pPr>
        <w:ind w:left="567" w:hanging="567"/>
        <w:jc w:val="left"/>
      </w:pPr>
      <w:r>
        <w:t xml:space="preserve">CIRCA – see </w:t>
      </w:r>
      <w:r w:rsidRPr="00F30AF5">
        <w:t>Cultural &amp; Indigenous Research Centre Australia</w:t>
      </w:r>
    </w:p>
    <w:p w:rsidR="00F30AF5" w:rsidRDefault="00F30AF5" w:rsidP="006654AE">
      <w:pPr>
        <w:ind w:left="567" w:hanging="567"/>
        <w:jc w:val="left"/>
      </w:pPr>
      <w:r>
        <w:t>CLC – see Central Land Council</w:t>
      </w:r>
    </w:p>
    <w:p w:rsidR="00DD4B14" w:rsidRPr="006C31EF" w:rsidRDefault="00DD4B14" w:rsidP="006654AE">
      <w:pPr>
        <w:ind w:left="567" w:hanging="567"/>
        <w:jc w:val="left"/>
      </w:pPr>
      <w:r w:rsidRPr="006C31EF">
        <w:t>Cultural &amp; Indigenous Research Centre Australia</w:t>
      </w:r>
      <w:r w:rsidR="00E75AB0">
        <w:t xml:space="preserve"> (</w:t>
      </w:r>
      <w:proofErr w:type="gramStart"/>
      <w:r w:rsidR="00E75AB0" w:rsidRPr="006C31EF">
        <w:t xml:space="preserve">CIRCA </w:t>
      </w:r>
      <w:r w:rsidRPr="006C31EF">
        <w:t>)</w:t>
      </w:r>
      <w:proofErr w:type="gramEnd"/>
      <w:r w:rsidRPr="006C31EF">
        <w:t xml:space="preserve"> (2011</w:t>
      </w:r>
      <w:r>
        <w:t>)</w:t>
      </w:r>
      <w:r w:rsidRPr="006C31EF">
        <w:t xml:space="preserve"> </w:t>
      </w:r>
      <w:r w:rsidRPr="004346BB">
        <w:rPr>
          <w:i/>
        </w:rPr>
        <w:t>Evaluation of the Community Stores Licensing Program, Final Report</w:t>
      </w:r>
      <w:r>
        <w:t>, Report to FaHCSIA, FaHCSIA, Canberra</w:t>
      </w:r>
      <w:r w:rsidRPr="006C31EF">
        <w:t>.</w:t>
      </w:r>
    </w:p>
    <w:p w:rsidR="000C5418" w:rsidRPr="006C31EF" w:rsidRDefault="000C5418" w:rsidP="006654AE">
      <w:pPr>
        <w:ind w:left="567" w:hanging="567"/>
        <w:jc w:val="left"/>
      </w:pPr>
      <w:r w:rsidRPr="006C31EF">
        <w:t>Central Land Council</w:t>
      </w:r>
      <w:r w:rsidR="00E75AB0">
        <w:t xml:space="preserve"> (</w:t>
      </w:r>
      <w:r w:rsidR="00E75AB0" w:rsidRPr="006C31EF">
        <w:t>CLC</w:t>
      </w:r>
      <w:r w:rsidR="00C52C6D">
        <w:t>)</w:t>
      </w:r>
      <w:r w:rsidRPr="006C31EF">
        <w:t xml:space="preserve"> (2008</w:t>
      </w:r>
      <w:r w:rsidR="00C52C6D">
        <w:t>)</w:t>
      </w:r>
      <w:r w:rsidRPr="006C31EF">
        <w:t xml:space="preserve"> </w:t>
      </w:r>
      <w:r w:rsidRPr="004346BB">
        <w:rPr>
          <w:i/>
        </w:rPr>
        <w:t xml:space="preserve">Reviewing the Northern Territory Emergency Response: </w:t>
      </w:r>
      <w:r w:rsidR="004346BB">
        <w:rPr>
          <w:i/>
        </w:rPr>
        <w:t>Perspectives from Six C</w:t>
      </w:r>
      <w:r w:rsidRPr="004346BB">
        <w:rPr>
          <w:i/>
        </w:rPr>
        <w:t>ommunities</w:t>
      </w:r>
      <w:r w:rsidRPr="006C31EF">
        <w:t xml:space="preserve">, CLC, </w:t>
      </w:r>
      <w:proofErr w:type="gramStart"/>
      <w:r w:rsidRPr="006C31EF">
        <w:t>Alice</w:t>
      </w:r>
      <w:proofErr w:type="gramEnd"/>
      <w:r w:rsidRPr="006C31EF">
        <w:t xml:space="preserve"> Springs.</w:t>
      </w:r>
    </w:p>
    <w:p w:rsidR="002013D1" w:rsidRPr="006C31EF" w:rsidRDefault="002013D1" w:rsidP="006654AE">
      <w:pPr>
        <w:ind w:left="567" w:hanging="567"/>
        <w:jc w:val="left"/>
      </w:pPr>
      <w:r w:rsidRPr="006C31EF">
        <w:t>Commonwealth Ombudsman (2012a</w:t>
      </w:r>
      <w:r w:rsidR="00C52C6D">
        <w:t>)</w:t>
      </w:r>
      <w:r w:rsidRPr="006C31EF">
        <w:t xml:space="preserve"> </w:t>
      </w:r>
      <w:r w:rsidRPr="006C31EF">
        <w:rPr>
          <w:i/>
        </w:rPr>
        <w:t>Review of Centrelink Income Management Decisions in the Northern Territory: Financial Vulnerability Exemption and Vulnerable Welfare Payment Recipient Decisions</w:t>
      </w:r>
      <w:r w:rsidR="004346BB">
        <w:t>,</w:t>
      </w:r>
      <w:r w:rsidRPr="006C31EF">
        <w:t xml:space="preserve"> Report No. 04|2012, Commonwealth Ombudsman, </w:t>
      </w:r>
      <w:proofErr w:type="gramStart"/>
      <w:r w:rsidRPr="006C31EF">
        <w:t>Canberra</w:t>
      </w:r>
      <w:proofErr w:type="gramEnd"/>
      <w:r w:rsidRPr="006C31EF">
        <w:t>.</w:t>
      </w:r>
    </w:p>
    <w:p w:rsidR="002013D1" w:rsidRDefault="00C52C6D" w:rsidP="006654AE">
      <w:pPr>
        <w:ind w:left="567" w:hanging="567"/>
        <w:jc w:val="left"/>
      </w:pPr>
      <w:r>
        <w:t>———</w:t>
      </w:r>
      <w:r w:rsidR="002013D1" w:rsidRPr="006C31EF">
        <w:t xml:space="preserve"> (2012b</w:t>
      </w:r>
      <w:r>
        <w:t>)</w:t>
      </w:r>
      <w:r w:rsidR="002013D1" w:rsidRPr="006C31EF">
        <w:t xml:space="preserve"> </w:t>
      </w:r>
      <w:r w:rsidR="002013D1" w:rsidRPr="006C31EF">
        <w:rPr>
          <w:i/>
        </w:rPr>
        <w:t xml:space="preserve">Ombudsman </w:t>
      </w:r>
      <w:r w:rsidR="004346BB">
        <w:rPr>
          <w:i/>
        </w:rPr>
        <w:t>R</w:t>
      </w:r>
      <w:r w:rsidR="002013D1" w:rsidRPr="006C31EF">
        <w:rPr>
          <w:i/>
        </w:rPr>
        <w:t xml:space="preserve">eview </w:t>
      </w:r>
      <w:r w:rsidR="004346BB">
        <w:rPr>
          <w:i/>
        </w:rPr>
        <w:t>L</w:t>
      </w:r>
      <w:r w:rsidR="002013D1" w:rsidRPr="006C31EF">
        <w:rPr>
          <w:i/>
        </w:rPr>
        <w:t xml:space="preserve">eads to an </w:t>
      </w:r>
      <w:r w:rsidR="004346BB">
        <w:rPr>
          <w:i/>
        </w:rPr>
        <w:t>O</w:t>
      </w:r>
      <w:r w:rsidR="002013D1" w:rsidRPr="006C31EF">
        <w:rPr>
          <w:i/>
        </w:rPr>
        <w:t xml:space="preserve">verhaul of Income Management </w:t>
      </w:r>
      <w:r w:rsidR="004346BB">
        <w:rPr>
          <w:i/>
        </w:rPr>
        <w:t>D</w:t>
      </w:r>
      <w:r w:rsidR="002013D1" w:rsidRPr="006C31EF">
        <w:rPr>
          <w:i/>
        </w:rPr>
        <w:t xml:space="preserve">ecision </w:t>
      </w:r>
      <w:r w:rsidR="004346BB">
        <w:rPr>
          <w:i/>
        </w:rPr>
        <w:t>M</w:t>
      </w:r>
      <w:r w:rsidR="002013D1" w:rsidRPr="006C31EF">
        <w:rPr>
          <w:i/>
        </w:rPr>
        <w:t>aking</w:t>
      </w:r>
      <w:r>
        <w:t>,</w:t>
      </w:r>
      <w:r w:rsidR="002013D1" w:rsidRPr="006C31EF">
        <w:t xml:space="preserve"> Media Release 7 June 2012, Commonwealth Ombudsman, Canberra.</w:t>
      </w:r>
    </w:p>
    <w:p w:rsidR="00646756" w:rsidRDefault="00646756" w:rsidP="006654AE">
      <w:pPr>
        <w:ind w:left="567" w:hanging="567"/>
        <w:jc w:val="left"/>
      </w:pPr>
      <w:r>
        <w:t xml:space="preserve">DAFF – see </w:t>
      </w:r>
      <w:r w:rsidRPr="00646756">
        <w:t>Department of Agric</w:t>
      </w:r>
      <w:r>
        <w:t xml:space="preserve">ulture, Fisheries and Forestry </w:t>
      </w:r>
    </w:p>
    <w:p w:rsidR="00646756" w:rsidRPr="006C31EF" w:rsidRDefault="00646756" w:rsidP="006654AE">
      <w:pPr>
        <w:ind w:left="567" w:hanging="567"/>
        <w:jc w:val="left"/>
      </w:pPr>
      <w:r>
        <w:t xml:space="preserve">DEEWR – see Department of Employment, Education, and Workplace Relations </w:t>
      </w:r>
    </w:p>
    <w:p w:rsidR="00246DF0" w:rsidRDefault="00246DF0" w:rsidP="006654AE">
      <w:pPr>
        <w:ind w:left="567" w:hanging="567"/>
        <w:jc w:val="left"/>
      </w:pPr>
      <w:r w:rsidRPr="00246DF0">
        <w:t>Department of Agriculture, Fisheries and Forestry</w:t>
      </w:r>
      <w:r w:rsidR="00E75AB0">
        <w:t xml:space="preserve"> (</w:t>
      </w:r>
      <w:r w:rsidR="00E75AB0" w:rsidRPr="00246DF0">
        <w:t>DAFF</w:t>
      </w:r>
      <w:r w:rsidRPr="00246DF0">
        <w:t>) (2013) ‘National Food Plan: Maintaining food security in Australia’, http://www.daff.gov.au/agriculture-food/food/publications/national_food</w:t>
      </w:r>
      <w:r>
        <w:br/>
      </w:r>
      <w:r w:rsidRPr="00246DF0">
        <w:t>_plan/white-paper/5-1-maintaining-food-security-in-australia</w:t>
      </w:r>
    </w:p>
    <w:p w:rsidR="008C1A2C" w:rsidRDefault="008C1A2C" w:rsidP="006654AE">
      <w:pPr>
        <w:ind w:left="567" w:hanging="567"/>
        <w:jc w:val="left"/>
      </w:pPr>
      <w:r w:rsidRPr="006C31EF">
        <w:t xml:space="preserve">Deloitte Access Economics </w:t>
      </w:r>
      <w:r>
        <w:t xml:space="preserve">(2012) ‘Analysis of the grocery industry’, Coles Supermarkets, Australia, October, </w:t>
      </w:r>
      <w:r w:rsidRPr="008C1A2C">
        <w:t>https://www.coles.com.au/Portals/0/content/pdf/Shareholders/Grocery%20</w:t>
      </w:r>
      <w:r>
        <w:br/>
      </w:r>
      <w:r w:rsidRPr="008C1A2C">
        <w:t xml:space="preserve">Industry%20Report.pdf </w:t>
      </w:r>
    </w:p>
    <w:p w:rsidR="002013D1" w:rsidRPr="006C31EF" w:rsidRDefault="00646756" w:rsidP="006654AE">
      <w:pPr>
        <w:ind w:left="567" w:hanging="567"/>
        <w:jc w:val="left"/>
      </w:pPr>
      <w:r>
        <w:t>———</w:t>
      </w:r>
      <w:r w:rsidRPr="006C31EF" w:rsidDel="009C5F5A">
        <w:t xml:space="preserve"> </w:t>
      </w:r>
      <w:r w:rsidR="002013D1" w:rsidRPr="006C31EF">
        <w:t>(2013</w:t>
      </w:r>
      <w:r w:rsidR="00C52C6D">
        <w:t>)</w:t>
      </w:r>
      <w:r w:rsidR="002013D1" w:rsidRPr="006C31EF">
        <w:t xml:space="preserve"> </w:t>
      </w:r>
      <w:r w:rsidR="002013D1" w:rsidRPr="006C31EF">
        <w:rPr>
          <w:i/>
        </w:rPr>
        <w:t>Evaluation Framework – Place Based Income Management</w:t>
      </w:r>
      <w:r w:rsidR="002013D1" w:rsidRPr="006C31EF">
        <w:t xml:space="preserve">, </w:t>
      </w:r>
      <w:r w:rsidR="00194C44">
        <w:t>FaHCSIA</w:t>
      </w:r>
      <w:r w:rsidR="002013D1" w:rsidRPr="006C31EF">
        <w:t>, Canberra.</w:t>
      </w:r>
    </w:p>
    <w:p w:rsidR="002013D1" w:rsidRDefault="00B764F5" w:rsidP="006654AE">
      <w:pPr>
        <w:ind w:left="567" w:hanging="567"/>
        <w:jc w:val="left"/>
      </w:pPr>
      <w:proofErr w:type="gramStart"/>
      <w:r>
        <w:t>Department of Employment, Education, and Workplace Relations</w:t>
      </w:r>
      <w:r w:rsidR="00646756">
        <w:t xml:space="preserve"> (</w:t>
      </w:r>
      <w:r w:rsidR="00646756" w:rsidRPr="006C31EF">
        <w:t>DEEWR</w:t>
      </w:r>
      <w:r>
        <w:t>)</w:t>
      </w:r>
      <w:r w:rsidR="002013D1" w:rsidRPr="006C31EF">
        <w:t xml:space="preserve"> (2012</w:t>
      </w:r>
      <w:r w:rsidR="00C52C6D">
        <w:t>)</w:t>
      </w:r>
      <w:r w:rsidR="002013D1" w:rsidRPr="006C31EF">
        <w:t xml:space="preserve"> </w:t>
      </w:r>
      <w:r w:rsidR="002013D1" w:rsidRPr="00194C44">
        <w:rPr>
          <w:i/>
        </w:rPr>
        <w:t>Improving School Enrolment and Attendance</w:t>
      </w:r>
      <w:r w:rsidR="002013D1" w:rsidRPr="006C31EF">
        <w:t>, D</w:t>
      </w:r>
      <w:r w:rsidR="00194C44">
        <w:t>EEWR, Canberra.</w:t>
      </w:r>
      <w:proofErr w:type="gramEnd"/>
    </w:p>
    <w:p w:rsidR="00215E2C" w:rsidRDefault="00215E2C" w:rsidP="006654AE">
      <w:pPr>
        <w:ind w:left="567" w:hanging="567"/>
        <w:jc w:val="left"/>
      </w:pPr>
      <w:r>
        <w:t xml:space="preserve">Department of Education </w:t>
      </w:r>
      <w:r w:rsidR="009D68AA">
        <w:t xml:space="preserve">(2013) </w:t>
      </w:r>
      <w:r w:rsidR="009D68AA" w:rsidRPr="009D68AA">
        <w:rPr>
          <w:i/>
        </w:rPr>
        <w:t>Indigenous Schooling: Improving School Enrolment and Attendance through Welfare Reform Measure (SEAM)</w:t>
      </w:r>
      <w:r w:rsidR="009D68AA">
        <w:t xml:space="preserve">, 6 November, </w:t>
      </w:r>
      <w:hyperlink r:id="rId213" w:history="1">
        <w:r w:rsidR="00646756" w:rsidRPr="00011E21">
          <w:rPr>
            <w:rStyle w:val="Hyperlink"/>
          </w:rPr>
          <w:t>https://education.gov.au/improving-school-enrolment-and-attendance-through-welfare-reform-measure-seam-0</w:t>
        </w:r>
      </w:hyperlink>
    </w:p>
    <w:p w:rsidR="00646756" w:rsidRPr="006C31EF" w:rsidRDefault="00646756" w:rsidP="006654AE">
      <w:pPr>
        <w:ind w:left="567" w:hanging="567"/>
        <w:jc w:val="left"/>
      </w:pPr>
      <w:r w:rsidRPr="00B764F5">
        <w:t>Department of Families, Housing, Community Services and Indigenous Affairs</w:t>
      </w:r>
      <w:r>
        <w:t xml:space="preserve"> (</w:t>
      </w:r>
      <w:r w:rsidRPr="006C31EF">
        <w:t>FaHCSIA</w:t>
      </w:r>
      <w:r>
        <w:t>)</w:t>
      </w:r>
      <w:r w:rsidRPr="00B764F5">
        <w:t xml:space="preserve"> </w:t>
      </w:r>
      <w:r w:rsidRPr="006C31EF">
        <w:t>(2009</w:t>
      </w:r>
      <w:r>
        <w:t>)</w:t>
      </w:r>
      <w:r w:rsidRPr="006C31EF">
        <w:t xml:space="preserve"> </w:t>
      </w:r>
      <w:r w:rsidRPr="006C31EF">
        <w:rPr>
          <w:i/>
        </w:rPr>
        <w:t>Final Stores Post Licensing Monitoring Report</w:t>
      </w:r>
      <w:r>
        <w:t>,</w:t>
      </w:r>
      <w:r w:rsidRPr="006C31EF">
        <w:t xml:space="preserve"> FaHCSIA, Canberra.</w:t>
      </w:r>
    </w:p>
    <w:p w:rsidR="00646756" w:rsidRPr="006C31EF" w:rsidRDefault="00646756" w:rsidP="006654AE">
      <w:pPr>
        <w:ind w:left="567" w:hanging="567"/>
        <w:jc w:val="left"/>
      </w:pPr>
      <w:r>
        <w:t>———</w:t>
      </w:r>
      <w:r w:rsidRPr="006C31EF">
        <w:t xml:space="preserve"> (2010</w:t>
      </w:r>
      <w:r>
        <w:rPr>
          <w:i/>
        </w:rPr>
        <w:t>)</w:t>
      </w:r>
      <w:r w:rsidRPr="00194C44">
        <w:rPr>
          <w:i/>
        </w:rPr>
        <w:t xml:space="preserve"> Closing the Gap Report in the Northern Territory: Monitoring Report January – June 2010 Part Two</w:t>
      </w:r>
      <w:r w:rsidRPr="006C31EF">
        <w:t>, FaHCSIA, Canberra.</w:t>
      </w:r>
    </w:p>
    <w:p w:rsidR="00646756" w:rsidRPr="006C31EF" w:rsidRDefault="00646756" w:rsidP="006654AE">
      <w:pPr>
        <w:ind w:left="567" w:hanging="567"/>
        <w:jc w:val="left"/>
      </w:pPr>
      <w:r>
        <w:t>———</w:t>
      </w:r>
      <w:r w:rsidRPr="006C31EF">
        <w:t xml:space="preserve"> (2010a</w:t>
      </w:r>
      <w:r>
        <w:t>)</w:t>
      </w:r>
      <w:r w:rsidRPr="006C31EF">
        <w:t xml:space="preserve"> Answer by Department of Human Services to Supplementary Estimates 21 October 2010 Question on Notice, Question Reference Number HS 16, Department of Families, Housing, Community Services and Indigenous Affairs, Canberra</w:t>
      </w:r>
      <w:r>
        <w:t xml:space="preserve">. </w:t>
      </w:r>
    </w:p>
    <w:p w:rsidR="00646756" w:rsidRPr="006C31EF" w:rsidRDefault="00646756" w:rsidP="006654AE">
      <w:pPr>
        <w:ind w:left="567" w:hanging="567"/>
        <w:jc w:val="left"/>
      </w:pPr>
      <w:r>
        <w:t>———</w:t>
      </w:r>
      <w:r w:rsidRPr="006C31EF">
        <w:t xml:space="preserve"> (2011a</w:t>
      </w:r>
      <w:r>
        <w:t>)</w:t>
      </w:r>
      <w:r w:rsidRPr="006C31EF">
        <w:t xml:space="preserve"> </w:t>
      </w:r>
      <w:r w:rsidRPr="006C31EF">
        <w:rPr>
          <w:i/>
        </w:rPr>
        <w:t>Northern Territory Emergency Response Evaluation Report 2011</w:t>
      </w:r>
      <w:r w:rsidRPr="006C31EF">
        <w:t>, FaHCSIA, Canberra.</w:t>
      </w:r>
    </w:p>
    <w:p w:rsidR="00646756" w:rsidRPr="006C31EF" w:rsidRDefault="00646756" w:rsidP="006654AE">
      <w:pPr>
        <w:ind w:left="567" w:hanging="567"/>
        <w:jc w:val="left"/>
      </w:pPr>
      <w:r>
        <w:t>———</w:t>
      </w:r>
      <w:r w:rsidRPr="006C31EF">
        <w:t xml:space="preserve"> (2011b</w:t>
      </w:r>
      <w:r>
        <w:t>)</w:t>
      </w:r>
      <w:r w:rsidRPr="006C31EF">
        <w:t xml:space="preserve"> Answers to Estimates Questions on Notice, Families, Housing, Community Services and Indigenous Affairs Portfolio, 2011-12 Budget Estimates Hearing. Question No. 76. </w:t>
      </w:r>
      <w:proofErr w:type="gramStart"/>
      <w:r w:rsidRPr="006C31EF">
        <w:t>Department of Families, Housing, Community Services and Indigenous Affairs, Canberra.</w:t>
      </w:r>
      <w:proofErr w:type="gramEnd"/>
    </w:p>
    <w:p w:rsidR="00646756" w:rsidRPr="006C31EF" w:rsidRDefault="00646756" w:rsidP="006654AE">
      <w:pPr>
        <w:ind w:left="567" w:hanging="567"/>
        <w:jc w:val="left"/>
      </w:pPr>
      <w:r>
        <w:t>———</w:t>
      </w:r>
      <w:r w:rsidRPr="006C31EF">
        <w:t xml:space="preserve"> (2012a</w:t>
      </w:r>
      <w:r>
        <w:t>)</w:t>
      </w:r>
      <w:r w:rsidRPr="006C31EF">
        <w:t xml:space="preserve"> Cape York Welfare Reform (CYWR) Evaluation Report – 2012, FaHCSIA, Canberra.</w:t>
      </w:r>
    </w:p>
    <w:p w:rsidR="00646756" w:rsidRPr="006C31EF" w:rsidDel="00BA4E03" w:rsidRDefault="00646756" w:rsidP="006654AE">
      <w:pPr>
        <w:ind w:left="567" w:hanging="567"/>
        <w:jc w:val="left"/>
      </w:pPr>
      <w:r>
        <w:t>———</w:t>
      </w:r>
      <w:r w:rsidRPr="006C31EF" w:rsidDel="00BA4E03">
        <w:t xml:space="preserve"> (2012</w:t>
      </w:r>
      <w:r>
        <w:t>b)</w:t>
      </w:r>
      <w:r w:rsidRPr="006C31EF" w:rsidDel="00BA4E03">
        <w:t xml:space="preserve"> </w:t>
      </w:r>
      <w:r w:rsidRPr="00842824" w:rsidDel="00BA4E03">
        <w:rPr>
          <w:i/>
        </w:rPr>
        <w:t>Closing the Gap Report in the Northern Territory: Monitoring Report January – June 2012 Part Two</w:t>
      </w:r>
      <w:r w:rsidRPr="006C31EF" w:rsidDel="00BA4E03">
        <w:t>, FaHCSIA, Canberra.</w:t>
      </w:r>
    </w:p>
    <w:p w:rsidR="00646756" w:rsidRPr="006C31EF" w:rsidRDefault="00646756" w:rsidP="006654AE">
      <w:pPr>
        <w:ind w:left="567" w:hanging="567"/>
        <w:jc w:val="left"/>
      </w:pPr>
      <w:r>
        <w:lastRenderedPageBreak/>
        <w:t>———</w:t>
      </w:r>
      <w:r w:rsidRPr="006C31EF">
        <w:t xml:space="preserve"> (2012</w:t>
      </w:r>
      <w:r>
        <w:t>c)</w:t>
      </w:r>
      <w:r w:rsidRPr="006C31EF">
        <w:t xml:space="preserve"> Money Management Information &amp; Education, FaHCSIA, Canberra.</w:t>
      </w:r>
    </w:p>
    <w:p w:rsidR="00EA5D5B" w:rsidRPr="00EA5D5B" w:rsidRDefault="00EA5D5B" w:rsidP="006654AE">
      <w:pPr>
        <w:ind w:left="567" w:hanging="567"/>
        <w:jc w:val="left"/>
      </w:pPr>
      <w:r>
        <w:t>Department of Health (2014) ‘</w:t>
      </w:r>
      <w:r w:rsidRPr="00EA5D5B">
        <w:t>Stronger Futures in the NT</w:t>
      </w:r>
      <w:r>
        <w:t xml:space="preserve"> – </w:t>
      </w:r>
      <w:r w:rsidRPr="00EA5D5B">
        <w:t>Health</w:t>
      </w:r>
      <w:r>
        <w:t>’,</w:t>
      </w:r>
      <w:r>
        <w:rPr>
          <w:i/>
        </w:rPr>
        <w:t xml:space="preserve"> Aboriginal and Torres Strait Islander Health: </w:t>
      </w:r>
      <w:r w:rsidRPr="00EA5D5B">
        <w:rPr>
          <w:i/>
        </w:rPr>
        <w:t>Closing the Gap</w:t>
      </w:r>
      <w:r>
        <w:rPr>
          <w:i/>
        </w:rPr>
        <w:t xml:space="preserve"> – </w:t>
      </w:r>
      <w:r w:rsidRPr="00EA5D5B">
        <w:rPr>
          <w:i/>
        </w:rPr>
        <w:t>Northern Territory (previously Northern Territory Emergency Response)</w:t>
      </w:r>
      <w:r>
        <w:rPr>
          <w:i/>
        </w:rPr>
        <w:t xml:space="preserve"> – </w:t>
      </w:r>
      <w:r w:rsidRPr="00EA5D5B">
        <w:rPr>
          <w:i/>
        </w:rPr>
        <w:t>July 2009 to June 2012</w:t>
      </w:r>
      <w:r>
        <w:rPr>
          <w:i/>
        </w:rPr>
        <w:t xml:space="preserve">: </w:t>
      </w:r>
      <w:r w:rsidRPr="00EA5D5B">
        <w:rPr>
          <w:i/>
        </w:rPr>
        <w:t>An overview of the initiatives under the Closing the Gap</w:t>
      </w:r>
      <w:r>
        <w:rPr>
          <w:i/>
        </w:rPr>
        <w:t xml:space="preserve"> – </w:t>
      </w:r>
      <w:r w:rsidRPr="00EA5D5B">
        <w:rPr>
          <w:i/>
        </w:rPr>
        <w:t>Northern Territory</w:t>
      </w:r>
      <w:r>
        <w:rPr>
          <w:i/>
        </w:rPr>
        <w:t xml:space="preserve"> – </w:t>
      </w:r>
      <w:r w:rsidRPr="00EA5D5B">
        <w:rPr>
          <w:i/>
        </w:rPr>
        <w:t>Nation</w:t>
      </w:r>
      <w:r>
        <w:rPr>
          <w:i/>
        </w:rPr>
        <w:t xml:space="preserve">al Partnership </w:t>
      </w:r>
      <w:r w:rsidRPr="00EA5D5B">
        <w:t>Agreement</w:t>
      </w:r>
      <w:r>
        <w:t xml:space="preserve">, </w:t>
      </w:r>
      <w:r w:rsidRPr="00EA5D5B">
        <w:t>http://www.health.gov.au/internet/main/publishing.nsf/Content/health-oatsih-nt</w:t>
      </w:r>
    </w:p>
    <w:p w:rsidR="004756D3" w:rsidRDefault="004756D3" w:rsidP="006654AE">
      <w:pPr>
        <w:ind w:left="567" w:hanging="567"/>
        <w:jc w:val="left"/>
      </w:pPr>
      <w:r>
        <w:t xml:space="preserve">Department of Human Services </w:t>
      </w:r>
      <w:r w:rsidR="00646756">
        <w:t xml:space="preserve">(DHS) </w:t>
      </w:r>
      <w:r>
        <w:t>(2014</w:t>
      </w:r>
      <w:r w:rsidR="00066FEF">
        <w:t>a</w:t>
      </w:r>
      <w:r>
        <w:t xml:space="preserve">) ‘Centrelink, BasicsCard, Merchant Application’, Centrelink, </w:t>
      </w:r>
      <w:r w:rsidRPr="004756D3">
        <w:t>http://www.humanservices.gov.au/spw/business/forms/resources/ss460-1401en.pdf</w:t>
      </w:r>
    </w:p>
    <w:p w:rsidR="00066FEF" w:rsidRDefault="00066FEF" w:rsidP="006654AE">
      <w:pPr>
        <w:ind w:left="567" w:hanging="567"/>
        <w:jc w:val="left"/>
      </w:pPr>
      <w:r>
        <w:t>——— (2014b) ‘</w:t>
      </w:r>
      <w:proofErr w:type="spellStart"/>
      <w:r w:rsidRPr="00066FEF">
        <w:t>BasicsCard</w:t>
      </w:r>
      <w:proofErr w:type="spellEnd"/>
      <w:r w:rsidRPr="00066FEF">
        <w:t xml:space="preserve"> Merchant Terms and Conditions</w:t>
      </w:r>
      <w:r>
        <w:t xml:space="preserve">’, Centrelink, </w:t>
      </w:r>
      <w:r w:rsidRPr="00066FEF">
        <w:t>http://www.humanservices</w:t>
      </w:r>
      <w:r>
        <w:br/>
      </w:r>
      <w:r w:rsidRPr="00066FEF">
        <w:t>.gov.au/</w:t>
      </w:r>
      <w:proofErr w:type="spellStart"/>
      <w:r w:rsidRPr="00066FEF">
        <w:t>spw</w:t>
      </w:r>
      <w:proofErr w:type="spellEnd"/>
      <w:r w:rsidRPr="00066FEF">
        <w:t>/business/publications/resources/8733/8733-1302en.pdf</w:t>
      </w:r>
    </w:p>
    <w:p w:rsidR="002F189D" w:rsidRPr="006C31EF" w:rsidRDefault="002F189D" w:rsidP="006654AE">
      <w:pPr>
        <w:ind w:left="567" w:hanging="567"/>
        <w:jc w:val="left"/>
      </w:pPr>
      <w:r w:rsidRPr="006C31EF">
        <w:t>Department of Immigration and Multicultural and Indigenous Affairs (2003</w:t>
      </w:r>
      <w:r w:rsidR="00C52C6D">
        <w:rPr>
          <w:i/>
        </w:rPr>
        <w:t>)</w:t>
      </w:r>
      <w:r w:rsidRPr="00194C44">
        <w:rPr>
          <w:i/>
        </w:rPr>
        <w:t xml:space="preserve"> 2001 Classification of Countries into English Proficiency Groups, Statistical Focus, C01.2.0, July 2003</w:t>
      </w:r>
      <w:r w:rsidRPr="006C31EF">
        <w:t xml:space="preserve">, Department of Immigration and Multicultural and Indigenous Affairs, Canberra. </w:t>
      </w:r>
    </w:p>
    <w:p w:rsidR="002013D1" w:rsidRDefault="002013D1" w:rsidP="006654AE">
      <w:pPr>
        <w:ind w:left="567" w:hanging="567"/>
        <w:jc w:val="left"/>
      </w:pPr>
      <w:proofErr w:type="gramStart"/>
      <w:r w:rsidRPr="006C31EF">
        <w:t>Department of Social Services</w:t>
      </w:r>
      <w:r w:rsidR="00646756">
        <w:t xml:space="preserve"> (</w:t>
      </w:r>
      <w:r w:rsidR="00646756" w:rsidRPr="006C31EF">
        <w:t>DSS</w:t>
      </w:r>
      <w:r w:rsidR="00B764F5">
        <w:t>)</w:t>
      </w:r>
      <w:r w:rsidRPr="006C31EF">
        <w:t xml:space="preserve"> (2014</w:t>
      </w:r>
      <w:r w:rsidR="00C77EB8">
        <w:t>a</w:t>
      </w:r>
      <w:r w:rsidR="00C52C6D">
        <w:t>)</w:t>
      </w:r>
      <w:r w:rsidRPr="006C31EF">
        <w:t xml:space="preserve"> </w:t>
      </w:r>
      <w:r w:rsidRPr="006C31EF">
        <w:rPr>
          <w:i/>
        </w:rPr>
        <w:t xml:space="preserve">A </w:t>
      </w:r>
      <w:r w:rsidR="00194C44">
        <w:rPr>
          <w:i/>
        </w:rPr>
        <w:t>R</w:t>
      </w:r>
      <w:r w:rsidRPr="006C31EF">
        <w:rPr>
          <w:i/>
        </w:rPr>
        <w:t>eview of Child Protection Income Management in Western Australia</w:t>
      </w:r>
      <w:r w:rsidRPr="006C31EF">
        <w:t xml:space="preserve">, </w:t>
      </w:r>
      <w:r w:rsidR="000C5418" w:rsidRPr="006C31EF">
        <w:t>DSS</w:t>
      </w:r>
      <w:r w:rsidRPr="006C31EF">
        <w:t>, Canberra.</w:t>
      </w:r>
      <w:proofErr w:type="gramEnd"/>
    </w:p>
    <w:p w:rsidR="00215E2C" w:rsidRDefault="00215E2C" w:rsidP="006654AE">
      <w:pPr>
        <w:ind w:left="567" w:hanging="567"/>
        <w:jc w:val="left"/>
      </w:pPr>
      <w:r>
        <w:t xml:space="preserve">——— (2014b) </w:t>
      </w:r>
      <w:r w:rsidRPr="00215E2C">
        <w:rPr>
          <w:i/>
        </w:rPr>
        <w:t>Closing the Gap for Indigenous Australians – Northern Territory – Government Business Managers</w:t>
      </w:r>
      <w:r>
        <w:t xml:space="preserve">, Department of Families, Housing, Community Services and Indigenous Affairs (FaHCSIA), </w:t>
      </w:r>
      <w:hyperlink r:id="rId214" w:history="1">
        <w:r w:rsidR="00A75096" w:rsidRPr="0011716E">
          <w:rPr>
            <w:rStyle w:val="Hyperlink"/>
          </w:rPr>
          <w:t>http://www.dss.gov.au/about-the-department/publications-articles/corporate-publications/budget-and-additional-estimates-statements/indigenous-budget-fact-sheets/closing-the-gap-for-indigenous-australians-northern-territory-government-business-managers</w:t>
        </w:r>
      </w:hyperlink>
    </w:p>
    <w:p w:rsidR="00F63215" w:rsidRDefault="00F63215" w:rsidP="006654AE">
      <w:pPr>
        <w:ind w:left="567" w:hanging="567"/>
        <w:jc w:val="left"/>
      </w:pPr>
      <w:r>
        <w:t xml:space="preserve">——— (2014c) </w:t>
      </w:r>
      <w:r w:rsidRPr="00215E2C">
        <w:rPr>
          <w:i/>
        </w:rPr>
        <w:t xml:space="preserve">Closing the Gap for Indigenous Australians – Northern Territory – </w:t>
      </w:r>
      <w:r>
        <w:rPr>
          <w:i/>
        </w:rPr>
        <w:t>School nutrition</w:t>
      </w:r>
      <w:r>
        <w:t xml:space="preserve">, </w:t>
      </w:r>
      <w:r w:rsidRPr="00F63215">
        <w:t>Department of Education, Employment and Workplace Relations (DEEWR),</w:t>
      </w:r>
      <w:r>
        <w:t xml:space="preserve"> </w:t>
      </w:r>
      <w:hyperlink r:id="rId215" w:history="1">
        <w:r w:rsidR="00A75096" w:rsidRPr="0011716E">
          <w:rPr>
            <w:rStyle w:val="Hyperlink"/>
          </w:rPr>
          <w:t>http://www.dss.gov.au/about-the-department/publications-articles/corporate-publications/budget-and-additional-estimates-statements/indigenous-budget-fact-sheets/closing-the-gap-for-indigenous-australians-northern-territory-school-nutrition</w:t>
        </w:r>
      </w:hyperlink>
    </w:p>
    <w:p w:rsidR="00A75096" w:rsidRDefault="00A75096" w:rsidP="006654AE">
      <w:pPr>
        <w:ind w:left="567" w:hanging="567"/>
        <w:jc w:val="left"/>
      </w:pPr>
      <w:r>
        <w:t xml:space="preserve">——— (2014d) </w:t>
      </w:r>
      <w:r>
        <w:rPr>
          <w:i/>
        </w:rPr>
        <w:t>Money Management Services Performance Reports – Northern Territory Services Support Income Management</w:t>
      </w:r>
      <w:r>
        <w:t>, Mimeo, July.</w:t>
      </w:r>
    </w:p>
    <w:p w:rsidR="00C62FE2" w:rsidRDefault="00C62FE2" w:rsidP="006654AE">
      <w:pPr>
        <w:ind w:left="567" w:hanging="567"/>
        <w:jc w:val="left"/>
      </w:pPr>
      <w:r>
        <w:t>——— (2014</w:t>
      </w:r>
      <w:r w:rsidR="00C77EB8">
        <w:t>e</w:t>
      </w:r>
      <w:r>
        <w:t xml:space="preserve">) </w:t>
      </w:r>
      <w:r w:rsidR="00AD4398">
        <w:t>‘</w:t>
      </w:r>
      <w:r>
        <w:t>Guide to Social Security Law</w:t>
      </w:r>
      <w:r w:rsidR="00AD4398">
        <w:t xml:space="preserve">: </w:t>
      </w:r>
      <w:r w:rsidR="00AD4398" w:rsidRPr="00AD4398">
        <w:t>11.1.14.10 Overview of Exemptions from Income Management</w:t>
      </w:r>
      <w:r w:rsidR="00AD4398">
        <w:t>’,</w:t>
      </w:r>
      <w:r>
        <w:t xml:space="preserve"> (Version 1.206 –</w:t>
      </w:r>
      <w:r w:rsidRPr="00C62FE2">
        <w:t xml:space="preserve"> Released 11 August 2014</w:t>
      </w:r>
      <w:r>
        <w:t>)</w:t>
      </w:r>
      <w:r w:rsidR="00AD4398">
        <w:t xml:space="preserve">, </w:t>
      </w:r>
      <w:r w:rsidR="00AD4398" w:rsidRPr="00AD4398">
        <w:t>http://guides.dss.gov.au/guide-social-security-law/11/1/14/10</w:t>
      </w:r>
    </w:p>
    <w:p w:rsidR="00AD4398" w:rsidRDefault="00AD4398" w:rsidP="006654AE">
      <w:pPr>
        <w:ind w:left="567" w:hanging="567"/>
        <w:jc w:val="left"/>
      </w:pPr>
      <w:r>
        <w:t>——— (2014</w:t>
      </w:r>
      <w:r w:rsidR="00C77EB8">
        <w:t>f</w:t>
      </w:r>
      <w:r>
        <w:t xml:space="preserve">) </w:t>
      </w:r>
      <w:r w:rsidR="00763B8A">
        <w:t xml:space="preserve">‘Families and Children: Income Management’, </w:t>
      </w:r>
      <w:r w:rsidR="00763B8A" w:rsidRPr="00763B8A">
        <w:t>http://www.dss.gov.au/our-responsibilities/families-and-children/programs-services/income-management</w:t>
      </w:r>
    </w:p>
    <w:p w:rsidR="00074155" w:rsidRDefault="00BD1A28" w:rsidP="006654AE">
      <w:pPr>
        <w:ind w:left="567" w:hanging="567"/>
        <w:jc w:val="left"/>
      </w:pPr>
      <w:r>
        <w:t>——— (2014</w:t>
      </w:r>
      <w:r w:rsidR="00C77EB8">
        <w:t>g</w:t>
      </w:r>
      <w:r>
        <w:t>) ‘Guide to Social Security Law: 11.1.7.30 Other Priority Needs under Income Management</w:t>
      </w:r>
      <w:r w:rsidR="00074155">
        <w:t xml:space="preserve">: </w:t>
      </w:r>
      <w:r>
        <w:t>Other priority needs</w:t>
      </w:r>
      <w:r w:rsidR="00074155">
        <w:t xml:space="preserve">: </w:t>
      </w:r>
      <w:r w:rsidR="00074155" w:rsidRPr="00074155">
        <w:t>School meals/nutrition programs</w:t>
      </w:r>
      <w:r w:rsidR="00074155">
        <w:t>’, (Version 1.206 –</w:t>
      </w:r>
      <w:r w:rsidR="00074155" w:rsidRPr="00C62FE2">
        <w:t xml:space="preserve"> Released 11 August 2014</w:t>
      </w:r>
      <w:r w:rsidR="00074155">
        <w:t xml:space="preserve">), </w:t>
      </w:r>
      <w:r w:rsidR="00074155" w:rsidRPr="00074155">
        <w:t>http://guides.dss.gov.au/guide-social-security-law/11/1/7/30</w:t>
      </w:r>
    </w:p>
    <w:p w:rsidR="00074155" w:rsidRDefault="00074155" w:rsidP="006654AE">
      <w:pPr>
        <w:ind w:left="567" w:hanging="567"/>
        <w:jc w:val="left"/>
      </w:pPr>
      <w:r>
        <w:t>——— (2014</w:t>
      </w:r>
      <w:r w:rsidR="00C77EB8">
        <w:t>h</w:t>
      </w:r>
      <w:r>
        <w:t>) ‘Guide to Social Security Law: 11.1.7.20 Other Priority Needs under Income Management: How priority needs are met’, (Version 1.206 –</w:t>
      </w:r>
      <w:r w:rsidRPr="00C62FE2">
        <w:t xml:space="preserve"> Released 11 August 2014</w:t>
      </w:r>
      <w:r>
        <w:t xml:space="preserve">), </w:t>
      </w:r>
      <w:r w:rsidRPr="00074155">
        <w:t>http://guides.dss.gov.au/</w:t>
      </w:r>
      <w:r>
        <w:br/>
      </w:r>
      <w:r w:rsidRPr="00074155">
        <w:t>gu</w:t>
      </w:r>
      <w:r>
        <w:t>ide-social-security-law/11/1/7/2</w:t>
      </w:r>
      <w:r w:rsidRPr="00074155">
        <w:t>0</w:t>
      </w:r>
    </w:p>
    <w:p w:rsidR="00066FEF" w:rsidRDefault="00066FEF" w:rsidP="006654AE">
      <w:pPr>
        <w:ind w:left="567" w:hanging="567"/>
        <w:jc w:val="left"/>
      </w:pPr>
      <w:r>
        <w:t>——— (2014</w:t>
      </w:r>
      <w:r w:rsidR="00C77EB8">
        <w:t>i</w:t>
      </w:r>
      <w:r>
        <w:t>) ‘Families and Children: How does income management work?</w:t>
      </w:r>
      <w:proofErr w:type="gramStart"/>
      <w:r>
        <w:t>’,</w:t>
      </w:r>
      <w:proofErr w:type="gramEnd"/>
      <w:r>
        <w:t xml:space="preserve"> </w:t>
      </w:r>
      <w:r w:rsidRPr="00763B8A">
        <w:t>http://www.dss.gov</w:t>
      </w:r>
      <w:r>
        <w:br/>
      </w:r>
      <w:r w:rsidRPr="00763B8A">
        <w:t>.au/our-responsibilities/families-and-children/programs-services/income-management</w:t>
      </w:r>
      <w:r>
        <w:t>/</w:t>
      </w:r>
      <w:r w:rsidRPr="00066FEF">
        <w:t>how-does-income-management-work</w:t>
      </w:r>
    </w:p>
    <w:p w:rsidR="00DC686F" w:rsidRDefault="00DC686F" w:rsidP="006654AE">
      <w:pPr>
        <w:ind w:left="567" w:hanging="567"/>
        <w:jc w:val="left"/>
      </w:pPr>
      <w:r>
        <w:t>——— (2014j) ‘Families and Children: How does income management work?</w:t>
      </w:r>
      <w:proofErr w:type="gramStart"/>
      <w:r>
        <w:t>’,</w:t>
      </w:r>
      <w:proofErr w:type="gramEnd"/>
      <w:r>
        <w:t xml:space="preserve"> </w:t>
      </w:r>
      <w:r w:rsidRPr="00763B8A">
        <w:t>http://www.dss.gov</w:t>
      </w:r>
      <w:r>
        <w:br/>
      </w:r>
      <w:r w:rsidRPr="00763B8A">
        <w:t>.au/our-responsibilities/families-and-children/programs-services/income-management</w:t>
      </w:r>
      <w:r>
        <w:t>/aims-of-income-management</w:t>
      </w:r>
    </w:p>
    <w:p w:rsidR="00646756" w:rsidRDefault="00646756" w:rsidP="006654AE">
      <w:pPr>
        <w:ind w:left="567" w:hanging="567"/>
        <w:jc w:val="left"/>
      </w:pPr>
      <w:r>
        <w:t>DHS – see Department of Human Services</w:t>
      </w:r>
    </w:p>
    <w:p w:rsidR="00646756" w:rsidRDefault="00646756" w:rsidP="006654AE">
      <w:pPr>
        <w:ind w:left="567" w:hanging="567"/>
        <w:jc w:val="left"/>
      </w:pPr>
      <w:r>
        <w:t>DSS – see Department of Social Services</w:t>
      </w:r>
    </w:p>
    <w:p w:rsidR="002013D1" w:rsidRDefault="002013D1" w:rsidP="006654AE">
      <w:pPr>
        <w:ind w:left="567" w:hanging="567"/>
        <w:jc w:val="left"/>
      </w:pPr>
      <w:r w:rsidRPr="006C31EF">
        <w:lastRenderedPageBreak/>
        <w:t>Equality Rights Alliance (2011</w:t>
      </w:r>
      <w:r w:rsidR="00C52C6D">
        <w:t>)</w:t>
      </w:r>
      <w:r w:rsidRPr="006C31EF">
        <w:t xml:space="preserve"> </w:t>
      </w:r>
      <w:r w:rsidRPr="006C31EF">
        <w:rPr>
          <w:i/>
        </w:rPr>
        <w:t>Women’s Experience of Income Management in the Northern Territory</w:t>
      </w:r>
      <w:r w:rsidR="00194C44">
        <w:rPr>
          <w:i/>
        </w:rPr>
        <w:t>,</w:t>
      </w:r>
      <w:r w:rsidRPr="006C31EF">
        <w:t xml:space="preserve"> Equality Rights Alliance, Canberra. </w:t>
      </w:r>
    </w:p>
    <w:p w:rsidR="00646756" w:rsidRPr="006C31EF" w:rsidRDefault="00646756" w:rsidP="006654AE">
      <w:pPr>
        <w:ind w:left="567" w:hanging="567"/>
        <w:jc w:val="left"/>
      </w:pPr>
      <w:r w:rsidRPr="00646756">
        <w:t xml:space="preserve">FaHCSIA </w:t>
      </w:r>
      <w:r>
        <w:t xml:space="preserve">– see </w:t>
      </w:r>
      <w:r w:rsidRPr="00B764F5">
        <w:t>Department of Families, Housing, Community Services and Indigenous Affairs</w:t>
      </w:r>
      <w:r>
        <w:t xml:space="preserve"> </w:t>
      </w:r>
    </w:p>
    <w:p w:rsidR="00BD2058" w:rsidRDefault="00BD2058" w:rsidP="006654AE">
      <w:pPr>
        <w:ind w:left="567" w:hanging="567"/>
        <w:jc w:val="left"/>
      </w:pPr>
      <w:r w:rsidRPr="00BD2058">
        <w:t>Forrest, A</w:t>
      </w:r>
      <w:r>
        <w:t>.</w:t>
      </w:r>
      <w:r w:rsidRPr="00BD2058">
        <w:t xml:space="preserve"> (2014) </w:t>
      </w:r>
      <w:r w:rsidRPr="00BD2058">
        <w:rPr>
          <w:i/>
        </w:rPr>
        <w:t>The Forrest Review - Creating Parity</w:t>
      </w:r>
      <w:r w:rsidRPr="00BD2058">
        <w:t>, Commonwealth of Australia</w:t>
      </w:r>
      <w:r>
        <w:t>, Canberra.</w:t>
      </w:r>
    </w:p>
    <w:p w:rsidR="002013D1" w:rsidRPr="006C31EF" w:rsidRDefault="002013D1" w:rsidP="006654AE">
      <w:pPr>
        <w:ind w:left="567" w:hanging="567"/>
        <w:jc w:val="left"/>
      </w:pPr>
      <w:r w:rsidRPr="006C31EF">
        <w:t>House of Representatives Standing Committee on Aboriginal and Torres Strait Islander Affairs (HOR ATSIA) (2009</w:t>
      </w:r>
      <w:r w:rsidR="00C52C6D">
        <w:t>)</w:t>
      </w:r>
      <w:r w:rsidRPr="006C31EF">
        <w:t xml:space="preserve"> </w:t>
      </w:r>
      <w:r w:rsidRPr="00194C44">
        <w:rPr>
          <w:i/>
        </w:rPr>
        <w:t>Everybody’s Business Remote Aboriginal and Torres Strait Community Stores</w:t>
      </w:r>
      <w:r w:rsidRPr="006C31EF">
        <w:t xml:space="preserve">, Commonwealth of Australia, Canberra. </w:t>
      </w:r>
    </w:p>
    <w:p w:rsidR="00BC4BAF" w:rsidRDefault="00BC4BAF" w:rsidP="006654AE">
      <w:pPr>
        <w:ind w:left="567" w:hanging="567"/>
        <w:jc w:val="left"/>
      </w:pPr>
      <w:proofErr w:type="spellStart"/>
      <w:r>
        <w:t>Larrakia</w:t>
      </w:r>
      <w:proofErr w:type="spellEnd"/>
      <w:r>
        <w:t xml:space="preserve"> Nation (2014) ‘Outreach Services: Return to Home’, </w:t>
      </w:r>
      <w:r w:rsidRPr="00BC4BAF">
        <w:t>http://larrakia.com/services/outreach-services/#return</w:t>
      </w:r>
    </w:p>
    <w:p w:rsidR="002013D1" w:rsidRPr="006C31EF" w:rsidRDefault="002013D1" w:rsidP="006654AE">
      <w:pPr>
        <w:ind w:left="567" w:hanging="567"/>
        <w:jc w:val="left"/>
      </w:pPr>
      <w:r w:rsidRPr="006C31EF">
        <w:t>Macklin, J. (2008</w:t>
      </w:r>
      <w:r w:rsidR="00C52C6D">
        <w:t>)</w:t>
      </w:r>
      <w:r w:rsidRPr="006C31EF">
        <w:t xml:space="preserve"> </w:t>
      </w:r>
      <w:r w:rsidRPr="006C31EF">
        <w:rPr>
          <w:i/>
        </w:rPr>
        <w:t xml:space="preserve">Compulsory </w:t>
      </w:r>
      <w:r w:rsidR="00194C44">
        <w:rPr>
          <w:i/>
        </w:rPr>
        <w:t>I</w:t>
      </w:r>
      <w:r w:rsidRPr="006C31EF">
        <w:rPr>
          <w:i/>
        </w:rPr>
        <w:t xml:space="preserve">ncome </w:t>
      </w:r>
      <w:r w:rsidR="00194C44">
        <w:rPr>
          <w:i/>
        </w:rPr>
        <w:t>M</w:t>
      </w:r>
      <w:r w:rsidRPr="006C31EF">
        <w:rPr>
          <w:i/>
        </w:rPr>
        <w:t xml:space="preserve">anagement to </w:t>
      </w:r>
      <w:r w:rsidR="00194C44">
        <w:rPr>
          <w:i/>
        </w:rPr>
        <w:t>C</w:t>
      </w:r>
      <w:r w:rsidRPr="006C31EF">
        <w:rPr>
          <w:i/>
        </w:rPr>
        <w:t xml:space="preserve">ontinue as </w:t>
      </w:r>
      <w:r w:rsidR="00194C44">
        <w:rPr>
          <w:i/>
        </w:rPr>
        <w:t>K</w:t>
      </w:r>
      <w:r w:rsidRPr="006C31EF">
        <w:rPr>
          <w:i/>
        </w:rPr>
        <w:t xml:space="preserve">ey NTER </w:t>
      </w:r>
      <w:r w:rsidR="00194C44">
        <w:rPr>
          <w:i/>
        </w:rPr>
        <w:t>M</w:t>
      </w:r>
      <w:r w:rsidRPr="006C31EF">
        <w:rPr>
          <w:i/>
        </w:rPr>
        <w:t xml:space="preserve">easure, </w:t>
      </w:r>
      <w:r w:rsidRPr="00194C44">
        <w:t>Press Release</w:t>
      </w:r>
      <w:r w:rsidR="00F40C29" w:rsidRPr="00194C44">
        <w:t>,</w:t>
      </w:r>
      <w:r w:rsidRPr="006C31EF">
        <w:t xml:space="preserve"> from the Hon</w:t>
      </w:r>
      <w:r w:rsidR="00B764F5">
        <w:t>.</w:t>
      </w:r>
      <w:r w:rsidRPr="006C31EF">
        <w:t xml:space="preserve"> Jenny Macklin MP, 23 October.</w:t>
      </w:r>
    </w:p>
    <w:p w:rsidR="002013D1" w:rsidRPr="006C31EF" w:rsidRDefault="00B764F5" w:rsidP="006654AE">
      <w:pPr>
        <w:ind w:left="567" w:hanging="567"/>
        <w:jc w:val="left"/>
      </w:pPr>
      <w:r>
        <w:t>———</w:t>
      </w:r>
      <w:r w:rsidR="002013D1" w:rsidRPr="006C31EF">
        <w:t xml:space="preserve"> (2009</w:t>
      </w:r>
      <w:r w:rsidR="00C52C6D">
        <w:t>)</w:t>
      </w:r>
      <w:r w:rsidR="002013D1" w:rsidRPr="006C31EF">
        <w:t xml:space="preserve"> </w:t>
      </w:r>
      <w:r w:rsidR="002013D1" w:rsidRPr="006C31EF">
        <w:rPr>
          <w:i/>
        </w:rPr>
        <w:t xml:space="preserve">Second </w:t>
      </w:r>
      <w:r w:rsidR="00194C44">
        <w:rPr>
          <w:i/>
        </w:rPr>
        <w:t>R</w:t>
      </w:r>
      <w:r w:rsidR="002013D1" w:rsidRPr="006C31EF">
        <w:rPr>
          <w:i/>
        </w:rPr>
        <w:t xml:space="preserve">eading </w:t>
      </w:r>
      <w:r w:rsidR="00194C44">
        <w:rPr>
          <w:i/>
        </w:rPr>
        <w:t>S</w:t>
      </w:r>
      <w:r w:rsidR="002013D1" w:rsidRPr="006C31EF">
        <w:rPr>
          <w:i/>
        </w:rPr>
        <w:t>peech: Social Security and Other Legislation Amendment (Welfare Reform and Reinstatement of Racial Discrimination Act) Bill 2009</w:t>
      </w:r>
      <w:r w:rsidR="002013D1" w:rsidRPr="006C31EF">
        <w:t xml:space="preserve">, House of Representatives, Debates, 25 November, pp. 12,783–12,787. </w:t>
      </w:r>
    </w:p>
    <w:p w:rsidR="002013D1" w:rsidRPr="006C31EF" w:rsidRDefault="00B764F5" w:rsidP="006654AE">
      <w:pPr>
        <w:ind w:left="567" w:hanging="567"/>
        <w:jc w:val="left"/>
      </w:pPr>
      <w:r>
        <w:t>———</w:t>
      </w:r>
      <w:r w:rsidR="002013D1" w:rsidRPr="006C31EF">
        <w:t xml:space="preserve"> (2010</w:t>
      </w:r>
      <w:r w:rsidR="00C52C6D">
        <w:t>)</w:t>
      </w:r>
      <w:r w:rsidR="002013D1" w:rsidRPr="006C31EF">
        <w:t xml:space="preserve"> </w:t>
      </w:r>
      <w:r w:rsidR="002013D1" w:rsidRPr="006C31EF">
        <w:rPr>
          <w:i/>
        </w:rPr>
        <w:t xml:space="preserve">Rolling </w:t>
      </w:r>
      <w:r w:rsidR="00194C44">
        <w:rPr>
          <w:i/>
        </w:rPr>
        <w:t>O</w:t>
      </w:r>
      <w:r w:rsidR="002013D1" w:rsidRPr="006C31EF">
        <w:rPr>
          <w:i/>
        </w:rPr>
        <w:t xml:space="preserve">ut </w:t>
      </w:r>
      <w:r w:rsidR="00194C44">
        <w:rPr>
          <w:i/>
        </w:rPr>
        <w:t>I</w:t>
      </w:r>
      <w:r w:rsidR="002013D1" w:rsidRPr="006C31EF">
        <w:rPr>
          <w:i/>
        </w:rPr>
        <w:t xml:space="preserve">ncome </w:t>
      </w:r>
      <w:r w:rsidR="00194C44">
        <w:rPr>
          <w:i/>
        </w:rPr>
        <w:t>M</w:t>
      </w:r>
      <w:r w:rsidR="002013D1" w:rsidRPr="006C31EF">
        <w:rPr>
          <w:i/>
        </w:rPr>
        <w:t>anagement in the Northern Territory</w:t>
      </w:r>
      <w:r w:rsidR="002013D1" w:rsidRPr="006C31EF">
        <w:t>, Media Release from The Hon</w:t>
      </w:r>
      <w:r>
        <w:t>.</w:t>
      </w:r>
      <w:r w:rsidR="002013D1" w:rsidRPr="006C31EF">
        <w:t xml:space="preserve"> Jenny Macklin MP, 8 October.</w:t>
      </w:r>
    </w:p>
    <w:p w:rsidR="004971AD" w:rsidRPr="006C31EF" w:rsidRDefault="00B764F5" w:rsidP="006654AE">
      <w:pPr>
        <w:ind w:left="567" w:hanging="567"/>
        <w:jc w:val="left"/>
      </w:pPr>
      <w:r>
        <w:t>———</w:t>
      </w:r>
      <w:r w:rsidR="004971AD" w:rsidRPr="006C31EF">
        <w:t xml:space="preserve"> (2011</w:t>
      </w:r>
      <w:r w:rsidR="00C52C6D">
        <w:t>)</w:t>
      </w:r>
      <w:r w:rsidR="004971AD" w:rsidRPr="006C31EF">
        <w:t xml:space="preserve"> </w:t>
      </w:r>
      <w:r w:rsidR="004971AD" w:rsidRPr="006C31EF">
        <w:rPr>
          <w:i/>
        </w:rPr>
        <w:t>Jenny Macklin to Frank Brennan</w:t>
      </w:r>
      <w:r w:rsidR="004971AD" w:rsidRPr="006C31EF">
        <w:t>, Letter, Eureka Street, 16 March.</w:t>
      </w:r>
    </w:p>
    <w:p w:rsidR="002013D1" w:rsidRPr="006C31EF" w:rsidRDefault="002013D1" w:rsidP="006654AE">
      <w:pPr>
        <w:ind w:left="567" w:hanging="567"/>
        <w:jc w:val="left"/>
      </w:pPr>
      <w:r w:rsidRPr="006C31EF">
        <w:t>Macklin, J. and Snowden, W. (2010</w:t>
      </w:r>
      <w:r w:rsidR="00C52C6D">
        <w:t>)</w:t>
      </w:r>
      <w:r w:rsidRPr="006C31EF">
        <w:rPr>
          <w:i/>
        </w:rPr>
        <w:t xml:space="preserve"> Racial Discrimination Act to be restored in the Northern Territory</w:t>
      </w:r>
      <w:r w:rsidRPr="006C31EF">
        <w:t>, Joint Press Release from the Hon</w:t>
      </w:r>
      <w:r w:rsidR="00B764F5">
        <w:t>.</w:t>
      </w:r>
      <w:r w:rsidRPr="006C31EF">
        <w:t xml:space="preserve"> Jenny Macklin MP and the Hon</w:t>
      </w:r>
      <w:r w:rsidR="00B764F5">
        <w:t>.</w:t>
      </w:r>
      <w:r w:rsidRPr="006C31EF">
        <w:t xml:space="preserve"> Warren Snowden MP, 22 June.</w:t>
      </w:r>
    </w:p>
    <w:p w:rsidR="001F5F6D" w:rsidRDefault="001F5F6D" w:rsidP="006654AE">
      <w:pPr>
        <w:ind w:left="567" w:hanging="567"/>
        <w:jc w:val="left"/>
      </w:pPr>
      <w:r>
        <w:t>Master Grocers Australia (2014) ‘</w:t>
      </w:r>
      <w:r w:rsidRPr="00F87E87">
        <w:rPr>
          <w:i/>
        </w:rPr>
        <w:t>MEDIA RELEASE: MGA opposes deregulation of trading hours: Coles and Woolworths trading hours push – another step to total market domination’</w:t>
      </w:r>
      <w:r>
        <w:t xml:space="preserve">, 26 May, </w:t>
      </w:r>
      <w:r w:rsidRPr="001F5F6D">
        <w:t>http://www.mga.asn.au/about-us/media-centre/media-releases/media-release-mga-opposes-deregulation-of-trading-hours/</w:t>
      </w:r>
    </w:p>
    <w:p w:rsidR="00B84834" w:rsidRDefault="00B84834" w:rsidP="006654AE">
      <w:pPr>
        <w:ind w:left="567" w:hanging="567"/>
        <w:jc w:val="left"/>
      </w:pPr>
      <w:proofErr w:type="spellStart"/>
      <w:r w:rsidRPr="006C31EF">
        <w:t>Mathers</w:t>
      </w:r>
      <w:proofErr w:type="spellEnd"/>
      <w:r w:rsidRPr="006C31EF">
        <w:t xml:space="preserve"> C., </w:t>
      </w:r>
      <w:proofErr w:type="spellStart"/>
      <w:r w:rsidRPr="006C31EF">
        <w:t>Vos</w:t>
      </w:r>
      <w:proofErr w:type="spellEnd"/>
      <w:r w:rsidRPr="006C31EF">
        <w:t>, T. and Steve</w:t>
      </w:r>
      <w:r w:rsidR="00194C44">
        <w:t>nson, C. (1999</w:t>
      </w:r>
      <w:r w:rsidR="00C52C6D">
        <w:t>)</w:t>
      </w:r>
      <w:r w:rsidR="00194C44">
        <w:t xml:space="preserve"> </w:t>
      </w:r>
      <w:proofErr w:type="gramStart"/>
      <w:r w:rsidR="00194C44" w:rsidRPr="00194C44">
        <w:rPr>
          <w:i/>
        </w:rPr>
        <w:t>The</w:t>
      </w:r>
      <w:proofErr w:type="gramEnd"/>
      <w:r w:rsidR="00194C44" w:rsidRPr="00194C44">
        <w:rPr>
          <w:i/>
        </w:rPr>
        <w:t xml:space="preserve"> Burden of D</w:t>
      </w:r>
      <w:r w:rsidRPr="00194C44">
        <w:rPr>
          <w:i/>
        </w:rPr>
        <w:t>isease</w:t>
      </w:r>
      <w:r w:rsidR="00194C44" w:rsidRPr="00194C44">
        <w:rPr>
          <w:i/>
        </w:rPr>
        <w:t xml:space="preserve"> and Injury in Australia</w:t>
      </w:r>
      <w:r w:rsidR="00194C44">
        <w:t>, Cat. N</w:t>
      </w:r>
      <w:r w:rsidRPr="006C31EF">
        <w:t>o. PHE 17, AIHW, Canberra.</w:t>
      </w:r>
    </w:p>
    <w:p w:rsidR="006759C9" w:rsidRDefault="006759C9" w:rsidP="006654AE">
      <w:pPr>
        <w:ind w:left="567" w:hanging="567"/>
        <w:jc w:val="left"/>
      </w:pPr>
      <w:r>
        <w:t>National Health and Medical Research Council</w:t>
      </w:r>
      <w:r w:rsidR="00646756" w:rsidRPr="00646756">
        <w:t xml:space="preserve"> </w:t>
      </w:r>
      <w:r w:rsidR="00646756">
        <w:t>(NHMRC</w:t>
      </w:r>
      <w:r>
        <w:t xml:space="preserve">) (2013) </w:t>
      </w:r>
      <w:r w:rsidRPr="006759C9">
        <w:rPr>
          <w:i/>
        </w:rPr>
        <w:t>Australian Dietary Guidelines</w:t>
      </w:r>
      <w:r>
        <w:t xml:space="preserve">, </w:t>
      </w:r>
      <w:hyperlink r:id="rId216" w:history="1">
        <w:r w:rsidR="00646756" w:rsidRPr="00011E21">
          <w:rPr>
            <w:rStyle w:val="Hyperlink"/>
          </w:rPr>
          <w:t>https://www.nhmrc.gov.au/guidelines/publications/n55</w:t>
        </w:r>
      </w:hyperlink>
    </w:p>
    <w:p w:rsidR="00646756" w:rsidRPr="006C31EF" w:rsidRDefault="00646756" w:rsidP="006654AE">
      <w:pPr>
        <w:ind w:left="567" w:hanging="567"/>
        <w:jc w:val="left"/>
      </w:pPr>
      <w:r>
        <w:t xml:space="preserve">NHMRC – see </w:t>
      </w:r>
      <w:r w:rsidRPr="00646756">
        <w:t>National Health and Medical Research Council</w:t>
      </w:r>
    </w:p>
    <w:p w:rsidR="003E6AB5" w:rsidRPr="006C31EF" w:rsidRDefault="003E6AB5" w:rsidP="006654AE">
      <w:pPr>
        <w:ind w:left="567" w:hanging="567"/>
        <w:jc w:val="left"/>
      </w:pPr>
      <w:r w:rsidRPr="006C31EF">
        <w:t>Northern Territory Department of the Attorney-General and Justice (2012</w:t>
      </w:r>
      <w:r w:rsidR="00C52C6D">
        <w:t>)</w:t>
      </w:r>
      <w:r w:rsidRPr="006C31EF">
        <w:t xml:space="preserve"> </w:t>
      </w:r>
      <w:r w:rsidRPr="00194C44">
        <w:rPr>
          <w:i/>
        </w:rPr>
        <w:t>Northern Territory Annual Crime Statistics, Issue 1: 2011-12</w:t>
      </w:r>
      <w:r w:rsidRPr="006C31EF">
        <w:t>, Northern Territory Department of the Attorney-General and Justice, Darwin.</w:t>
      </w:r>
    </w:p>
    <w:p w:rsidR="003E6AB5" w:rsidRPr="006C31EF" w:rsidRDefault="00B764F5" w:rsidP="006654AE">
      <w:pPr>
        <w:ind w:left="567" w:hanging="567"/>
        <w:jc w:val="left"/>
      </w:pPr>
      <w:r>
        <w:t>———</w:t>
      </w:r>
      <w:r w:rsidRPr="006C31EF" w:rsidDel="00B764F5">
        <w:t xml:space="preserve"> </w:t>
      </w:r>
      <w:r w:rsidR="003E6AB5" w:rsidRPr="006C31EF">
        <w:t>(2013</w:t>
      </w:r>
      <w:r w:rsidR="00C52C6D">
        <w:t>)</w:t>
      </w:r>
      <w:r w:rsidR="003E6AB5" w:rsidRPr="006C31EF">
        <w:t xml:space="preserve"> </w:t>
      </w:r>
      <w:r w:rsidR="003E6AB5" w:rsidRPr="00194C44">
        <w:rPr>
          <w:i/>
        </w:rPr>
        <w:t>Northern Territory Quarterly Crime Statistics, June Quarter 2013</w:t>
      </w:r>
      <w:r w:rsidR="003E6AB5" w:rsidRPr="006C31EF">
        <w:t>, Northern Territory Department of the Attorney-General and Justice, Darwin.</w:t>
      </w:r>
    </w:p>
    <w:p w:rsidR="002013D1" w:rsidRPr="006C31EF" w:rsidRDefault="002013D1" w:rsidP="006654AE">
      <w:pPr>
        <w:ind w:left="567" w:hanging="567"/>
        <w:jc w:val="left"/>
      </w:pPr>
      <w:r w:rsidRPr="006C31EF">
        <w:t>Northern Territory Department of Business</w:t>
      </w:r>
      <w:r w:rsidR="00DB6DF1" w:rsidRPr="006C31EF">
        <w:t xml:space="preserve"> (20</w:t>
      </w:r>
      <w:r w:rsidR="00D304D0" w:rsidRPr="006C31EF">
        <w:t>13)</w:t>
      </w:r>
      <w:r w:rsidRPr="006C31EF">
        <w:t xml:space="preserve"> </w:t>
      </w:r>
      <w:r w:rsidRPr="00194C44">
        <w:rPr>
          <w:i/>
        </w:rPr>
        <w:t>Northern Territory Wholesale Alcohol Supply – Northern Territory Department of Business 2005–2012</w:t>
      </w:r>
      <w:r w:rsidR="003E6AB5" w:rsidRPr="006C31EF">
        <w:t>, Northern Territory Department of Business, Darwin.</w:t>
      </w:r>
    </w:p>
    <w:p w:rsidR="002013D1" w:rsidRPr="006C31EF" w:rsidRDefault="002013D1" w:rsidP="006654AE">
      <w:pPr>
        <w:ind w:left="567" w:hanging="567"/>
        <w:jc w:val="left"/>
      </w:pPr>
      <w:r w:rsidRPr="006C31EF">
        <w:t>Northern Territory Department of Education (2013</w:t>
      </w:r>
      <w:r w:rsidR="00C52C6D">
        <w:t>)</w:t>
      </w:r>
      <w:r w:rsidRPr="006C31EF">
        <w:t xml:space="preserve"> </w:t>
      </w:r>
      <w:r w:rsidRPr="006C31EF">
        <w:rPr>
          <w:i/>
        </w:rPr>
        <w:t>Northern Territory Enrolment and Attendance Statistics 2009–2012</w:t>
      </w:r>
      <w:r w:rsidR="00087BE9" w:rsidRPr="006C31EF">
        <w:rPr>
          <w:i/>
        </w:rPr>
        <w:t>,</w:t>
      </w:r>
      <w:r w:rsidR="00087BE9" w:rsidRPr="006C31EF">
        <w:t xml:space="preserve"> </w:t>
      </w:r>
      <w:hyperlink r:id="rId217" w:history="1">
        <w:r w:rsidR="00087BE9" w:rsidRPr="00B764F5">
          <w:t>http://www.education.nt.gov.au/students/at-school/enrolment-attendance/enrolment-attendance-statistics/2013-enrolment-and-attendance-statistics</w:t>
        </w:r>
      </w:hyperlink>
      <w:r w:rsidR="003E6AB5" w:rsidRPr="006C31EF">
        <w:t>, Northern Territory Department of Education, Darwin.</w:t>
      </w:r>
    </w:p>
    <w:p w:rsidR="00B764F5" w:rsidRPr="006C31EF" w:rsidRDefault="00B764F5" w:rsidP="006654AE">
      <w:pPr>
        <w:ind w:left="567" w:hanging="567"/>
        <w:jc w:val="left"/>
      </w:pPr>
      <w:r>
        <w:t>———</w:t>
      </w:r>
      <w:r w:rsidRPr="006C31EF" w:rsidDel="00B764F5">
        <w:t xml:space="preserve"> </w:t>
      </w:r>
      <w:r w:rsidR="003E6AB5" w:rsidRPr="006C31EF" w:rsidDel="00087BE9">
        <w:t xml:space="preserve">(2014) 2013 enrolment and attendance statistics website: </w:t>
      </w:r>
      <w:hyperlink r:id="rId218" w:history="1">
        <w:r w:rsidR="003E6AB5" w:rsidRPr="00B764F5" w:rsidDel="00087BE9">
          <w:t>http://www.education.nt.gov.au/</w:t>
        </w:r>
        <w:r>
          <w:br/>
        </w:r>
        <w:r w:rsidR="003E6AB5" w:rsidRPr="00B764F5" w:rsidDel="00087BE9">
          <w:t>students/at-school/enrolment-attendance/enrolment-attendance-statistics/2013-enrolment-and-attendance-statistics</w:t>
        </w:r>
      </w:hyperlink>
      <w:r>
        <w:t xml:space="preserve">, </w:t>
      </w:r>
      <w:r w:rsidRPr="006C31EF">
        <w:t>Northern Territory Department of Education, Darwin.</w:t>
      </w:r>
    </w:p>
    <w:p w:rsidR="002013D1" w:rsidRDefault="002013D1" w:rsidP="006654AE">
      <w:pPr>
        <w:ind w:left="567" w:hanging="567"/>
        <w:jc w:val="left"/>
      </w:pPr>
      <w:r w:rsidRPr="006C31EF">
        <w:lastRenderedPageBreak/>
        <w:t>Northern Territory Department of Health (2013</w:t>
      </w:r>
      <w:r w:rsidR="002F74BE">
        <w:t>a</w:t>
      </w:r>
      <w:r w:rsidR="00C52C6D">
        <w:t>)</w:t>
      </w:r>
      <w:r w:rsidRPr="006C31EF">
        <w:t xml:space="preserve"> </w:t>
      </w:r>
      <w:r w:rsidRPr="006C31EF">
        <w:rPr>
          <w:i/>
        </w:rPr>
        <w:t>Northern Territory Market Basket Survey 2013</w:t>
      </w:r>
      <w:r w:rsidR="00087BE9" w:rsidRPr="00B764F5">
        <w:t>,</w:t>
      </w:r>
      <w:r w:rsidR="00087BE9" w:rsidRPr="006C31EF">
        <w:rPr>
          <w:i/>
        </w:rPr>
        <w:t xml:space="preserve"> </w:t>
      </w:r>
      <w:r w:rsidR="00087BE9" w:rsidRPr="006C31EF">
        <w:t>Northern Territory Department of Health, Darwin.</w:t>
      </w:r>
    </w:p>
    <w:p w:rsidR="002F74BE" w:rsidRPr="002F74BE" w:rsidRDefault="002F74BE" w:rsidP="006654AE">
      <w:pPr>
        <w:ind w:left="567" w:hanging="567"/>
        <w:jc w:val="left"/>
      </w:pPr>
      <w:r>
        <w:t>——— (2013b) ‘</w:t>
      </w:r>
      <w:r w:rsidRPr="002F74BE">
        <w:t>Alcohol Mandatory Treatment Act</w:t>
      </w:r>
      <w:r>
        <w:t>’</w:t>
      </w:r>
      <w:r w:rsidRPr="002F74BE">
        <w:t xml:space="preserve"> / </w:t>
      </w:r>
      <w:r>
        <w:t>‘</w:t>
      </w:r>
      <w:r w:rsidRPr="002F74BE">
        <w:t>Alcohol Mandatory Treatment Tribunal</w:t>
      </w:r>
      <w:r>
        <w:t>’</w:t>
      </w:r>
      <w:r w:rsidRPr="002F74BE">
        <w:t>,</w:t>
      </w:r>
      <w:r>
        <w:t xml:space="preserve"> </w:t>
      </w:r>
      <w:r w:rsidRPr="002F74BE">
        <w:rPr>
          <w:i/>
        </w:rPr>
        <w:t>Alcohol Mandatory Treatment</w:t>
      </w:r>
      <w:r>
        <w:t xml:space="preserve">, </w:t>
      </w:r>
      <w:r w:rsidRPr="002F74BE">
        <w:t>http://health.nt.gov.au/Alcohol_Mandatory_Treatment/index.aspx</w:t>
      </w:r>
    </w:p>
    <w:p w:rsidR="002013D1" w:rsidRDefault="00B764F5" w:rsidP="006654AE">
      <w:pPr>
        <w:ind w:left="567" w:hanging="567"/>
        <w:jc w:val="left"/>
      </w:pPr>
      <w:r>
        <w:t>———</w:t>
      </w:r>
      <w:r w:rsidR="002013D1" w:rsidRPr="006C31EF">
        <w:t xml:space="preserve"> (2014</w:t>
      </w:r>
      <w:r w:rsidR="00C52C6D">
        <w:t>)</w:t>
      </w:r>
      <w:r w:rsidR="002013D1" w:rsidRPr="006C31EF">
        <w:t xml:space="preserve"> </w:t>
      </w:r>
      <w:r w:rsidR="00FE0C92">
        <w:rPr>
          <w:i/>
        </w:rPr>
        <w:t>Alcohol-related</w:t>
      </w:r>
      <w:r w:rsidR="002013D1" w:rsidRPr="00194C44">
        <w:rPr>
          <w:i/>
        </w:rPr>
        <w:t xml:space="preserve"> Hospital Admissions and Emergency Department Presentations to Northern Territory Public Hospitals</w:t>
      </w:r>
      <w:r w:rsidR="003E6AB5" w:rsidRPr="006C31EF">
        <w:t>, Northern Territory Department of Health, Darwin.</w:t>
      </w:r>
    </w:p>
    <w:p w:rsidR="009E3B56" w:rsidRPr="006C31EF" w:rsidRDefault="009E3B56" w:rsidP="006654AE">
      <w:pPr>
        <w:ind w:left="567" w:hanging="567"/>
        <w:jc w:val="left"/>
      </w:pPr>
      <w:r w:rsidRPr="009E3B56">
        <w:t xml:space="preserve">Northern Territory Department of Justice (2009) </w:t>
      </w:r>
      <w:r w:rsidRPr="009E3B56">
        <w:rPr>
          <w:i/>
        </w:rPr>
        <w:t>Northern Territory Wholesale Alcohol Supply for the Period 2002–2009</w:t>
      </w:r>
      <w:r w:rsidRPr="009E3B56">
        <w:t>, Northern Territory Department of Justice, Darwin.</w:t>
      </w:r>
    </w:p>
    <w:p w:rsidR="002013D1" w:rsidRDefault="002013D1" w:rsidP="006654AE">
      <w:pPr>
        <w:ind w:left="567" w:hanging="567"/>
        <w:jc w:val="left"/>
      </w:pPr>
      <w:r w:rsidRPr="006C31EF">
        <w:t>Northern Territory Government (2007</w:t>
      </w:r>
      <w:r w:rsidR="00C52C6D">
        <w:t>)</w:t>
      </w:r>
      <w:r w:rsidRPr="006C31EF">
        <w:t xml:space="preserve"> </w:t>
      </w:r>
      <w:r w:rsidRPr="006C31EF">
        <w:rPr>
          <w:i/>
        </w:rPr>
        <w:t xml:space="preserve">Northern Territory Government Board of Inquiry into the Protection of Aboriginal Children from Sexual Abuse, </w:t>
      </w:r>
      <w:proofErr w:type="spellStart"/>
      <w:r w:rsidRPr="006C31EF">
        <w:rPr>
          <w:i/>
        </w:rPr>
        <w:t>Ampe</w:t>
      </w:r>
      <w:proofErr w:type="spellEnd"/>
      <w:r w:rsidRPr="006C31EF">
        <w:rPr>
          <w:i/>
        </w:rPr>
        <w:t xml:space="preserve"> </w:t>
      </w:r>
      <w:proofErr w:type="spellStart"/>
      <w:r w:rsidRPr="006C31EF">
        <w:rPr>
          <w:i/>
        </w:rPr>
        <w:t>Akelyernemane</w:t>
      </w:r>
      <w:proofErr w:type="spellEnd"/>
      <w:r w:rsidRPr="006C31EF">
        <w:rPr>
          <w:i/>
        </w:rPr>
        <w:t xml:space="preserve"> </w:t>
      </w:r>
      <w:proofErr w:type="spellStart"/>
      <w:r w:rsidRPr="006C31EF">
        <w:rPr>
          <w:i/>
        </w:rPr>
        <w:t>Meke</w:t>
      </w:r>
      <w:proofErr w:type="spellEnd"/>
      <w:r w:rsidRPr="006C31EF">
        <w:rPr>
          <w:i/>
        </w:rPr>
        <w:t xml:space="preserve"> </w:t>
      </w:r>
      <w:proofErr w:type="spellStart"/>
      <w:r w:rsidRPr="006C31EF">
        <w:rPr>
          <w:i/>
        </w:rPr>
        <w:t>Mekarle</w:t>
      </w:r>
      <w:proofErr w:type="spellEnd"/>
      <w:r w:rsidRPr="006C31EF">
        <w:rPr>
          <w:i/>
        </w:rPr>
        <w:t xml:space="preserve"> ‘Little Children are Sacred’</w:t>
      </w:r>
      <w:r w:rsidR="00194C44">
        <w:t>,</w:t>
      </w:r>
      <w:r w:rsidRPr="006C31EF">
        <w:t xml:space="preserve"> Northern Territory Government, Darwin.</w:t>
      </w:r>
    </w:p>
    <w:p w:rsidR="00437BA7" w:rsidRDefault="00437BA7" w:rsidP="006654AE">
      <w:pPr>
        <w:ind w:left="567" w:hanging="567"/>
        <w:jc w:val="left"/>
      </w:pPr>
      <w:r w:rsidRPr="00437BA7">
        <w:t>Northern Territory Government</w:t>
      </w:r>
      <w:r>
        <w:t xml:space="preserve"> (2011)</w:t>
      </w:r>
      <w:r w:rsidR="005D1CC5">
        <w:t xml:space="preserve"> </w:t>
      </w:r>
      <w:r w:rsidRPr="00437BA7">
        <w:rPr>
          <w:i/>
        </w:rPr>
        <w:t>Mortality in the Northern Territory 1967-2006, Factsheet</w:t>
      </w:r>
      <w:r w:rsidR="005D1CC5">
        <w:t xml:space="preserve">, </w:t>
      </w:r>
      <w:hyperlink r:id="rId219" w:history="1">
        <w:r w:rsidR="003A3B53" w:rsidRPr="00D831CF">
          <w:rPr>
            <w:rStyle w:val="Hyperlink"/>
          </w:rPr>
          <w:t>http://digitallibrary.health.nt.gov.au/dspace/bitstream/10137/480/1/Factsheet%202010_mortality_21Mar2011_final.pdf</w:t>
        </w:r>
      </w:hyperlink>
    </w:p>
    <w:p w:rsidR="003A3B53" w:rsidRPr="006C31EF" w:rsidRDefault="003A3B53" w:rsidP="006654AE">
      <w:pPr>
        <w:ind w:left="567" w:hanging="567"/>
        <w:jc w:val="left"/>
      </w:pPr>
      <w:r w:rsidRPr="003A3B53">
        <w:t xml:space="preserve">Office of the Children’s Commissioner (2013) </w:t>
      </w:r>
      <w:r w:rsidRPr="003A3B53">
        <w:rPr>
          <w:i/>
        </w:rPr>
        <w:t>Annual Report 2012–2013</w:t>
      </w:r>
      <w:r w:rsidRPr="003A3B53">
        <w:t>, Children’s Commissioner Northern Territory, Office of the Children’s Commissioner, Darwin, Northern Territory Government.</w:t>
      </w:r>
    </w:p>
    <w:p w:rsidR="002013D1" w:rsidRPr="006C31EF" w:rsidRDefault="002013D1" w:rsidP="006654AE">
      <w:pPr>
        <w:ind w:left="567" w:hanging="567"/>
        <w:jc w:val="left"/>
      </w:pPr>
      <w:proofErr w:type="gramStart"/>
      <w:r w:rsidRPr="006C31EF">
        <w:t>ORIMA Research (2010</w:t>
      </w:r>
      <w:r w:rsidR="00C52C6D">
        <w:t>)</w:t>
      </w:r>
      <w:r w:rsidRPr="006C31EF">
        <w:t xml:space="preserve"> </w:t>
      </w:r>
      <w:r w:rsidRPr="006C31EF">
        <w:rPr>
          <w:i/>
        </w:rPr>
        <w:t>Evaluation of the Child Protection Scheme of Income Management and Voluntary Income Management Measures in Western Australia</w:t>
      </w:r>
      <w:r w:rsidRPr="006C31EF">
        <w:t xml:space="preserve">, </w:t>
      </w:r>
      <w:r w:rsidR="00194C44">
        <w:t>FaHCSIA</w:t>
      </w:r>
      <w:r w:rsidRPr="006C31EF">
        <w:t>, Canberra.</w:t>
      </w:r>
      <w:proofErr w:type="gramEnd"/>
    </w:p>
    <w:p w:rsidR="002013D1" w:rsidRPr="006C31EF" w:rsidRDefault="002013D1" w:rsidP="006654AE">
      <w:pPr>
        <w:ind w:left="567" w:hanging="567"/>
        <w:jc w:val="left"/>
      </w:pPr>
      <w:proofErr w:type="gramStart"/>
      <w:r w:rsidRPr="006C31EF">
        <w:t>Pearson N. (2007</w:t>
      </w:r>
      <w:r w:rsidR="00C52C6D">
        <w:t>)</w:t>
      </w:r>
      <w:r w:rsidRPr="006C31EF">
        <w:t xml:space="preserve"> ‘An abyss beyond the bottle’, </w:t>
      </w:r>
      <w:r w:rsidRPr="006C31EF">
        <w:rPr>
          <w:i/>
        </w:rPr>
        <w:t>The Australian</w:t>
      </w:r>
      <w:r w:rsidRPr="006C31EF">
        <w:t>, July 14.</w:t>
      </w:r>
      <w:proofErr w:type="gramEnd"/>
      <w:r w:rsidRPr="006C31EF">
        <w:t xml:space="preserve"> </w:t>
      </w:r>
    </w:p>
    <w:p w:rsidR="002013D1" w:rsidRPr="006C31EF" w:rsidRDefault="00B764F5" w:rsidP="006654AE">
      <w:pPr>
        <w:ind w:left="567" w:hanging="567"/>
        <w:jc w:val="left"/>
      </w:pPr>
      <w:r>
        <w:t>———</w:t>
      </w:r>
      <w:r w:rsidRPr="006C31EF" w:rsidDel="00B764F5">
        <w:t xml:space="preserve"> </w:t>
      </w:r>
      <w:r w:rsidR="002013D1" w:rsidRPr="006C31EF">
        <w:t>(2011</w:t>
      </w:r>
      <w:r w:rsidR="00C52C6D">
        <w:t>)</w:t>
      </w:r>
      <w:r w:rsidR="002013D1" w:rsidRPr="006C31EF">
        <w:t xml:space="preserve"> </w:t>
      </w:r>
      <w:r w:rsidR="002013D1" w:rsidRPr="00194C44">
        <w:rPr>
          <w:i/>
        </w:rPr>
        <w:t>There is nothing the government can do for you that you are unwilling to do for yourself</w:t>
      </w:r>
      <w:r w:rsidR="002013D1" w:rsidRPr="006C31EF">
        <w:t>, Sir Robert Menzies Lecture 2011</w:t>
      </w:r>
      <w:r w:rsidR="003E6AB5" w:rsidRPr="006C31EF">
        <w:t>, 27 February, Melbourne.</w:t>
      </w:r>
    </w:p>
    <w:p w:rsidR="00435FB7" w:rsidRDefault="00435FB7" w:rsidP="006654AE">
      <w:pPr>
        <w:ind w:left="567" w:hanging="567"/>
        <w:jc w:val="left"/>
      </w:pPr>
      <w:r>
        <w:t xml:space="preserve">QSR International (2012) ‘Products’, </w:t>
      </w:r>
      <w:hyperlink r:id="rId220" w:history="1">
        <w:r w:rsidR="00931DFC" w:rsidRPr="004E4E00">
          <w:rPr>
            <w:rStyle w:val="Hyperlink"/>
          </w:rPr>
          <w:t>http://www.qsrinternational.com/products.aspx</w:t>
        </w:r>
      </w:hyperlink>
    </w:p>
    <w:p w:rsidR="00931DFC" w:rsidRDefault="00931DFC" w:rsidP="006654AE">
      <w:pPr>
        <w:ind w:left="567" w:hanging="567"/>
        <w:jc w:val="left"/>
      </w:pPr>
      <w:r>
        <w:t xml:space="preserve">Roy Morgan Research (2014) </w:t>
      </w:r>
      <w:r w:rsidRPr="00931DFC">
        <w:rPr>
          <w:i/>
        </w:rPr>
        <w:t>Market share narrows between Coles and Woolworths, while ALDI makes important gains</w:t>
      </w:r>
      <w:r>
        <w:t>”</w:t>
      </w:r>
      <w:r w:rsidRPr="00931DFC">
        <w:t xml:space="preserve"> Press Release, Finding No, 5427, February 12 2014, http://www.roymorgan.com/findings/5427-market-share-narrows-between-coles-woolworths-while-aldi-makes-gains-201402120013</w:t>
      </w:r>
    </w:p>
    <w:p w:rsidR="002013D1" w:rsidRDefault="002013D1" w:rsidP="006654AE">
      <w:pPr>
        <w:ind w:left="567" w:hanging="567"/>
        <w:jc w:val="left"/>
      </w:pPr>
      <w:r w:rsidRPr="006C31EF">
        <w:t>Social Policy Research Centre and Australian Institute of Family Studies (SPRC and AIFS) (2010</w:t>
      </w:r>
      <w:r w:rsidR="00C52C6D">
        <w:t>)</w:t>
      </w:r>
      <w:r w:rsidRPr="006C31EF">
        <w:t xml:space="preserve"> </w:t>
      </w:r>
      <w:r w:rsidRPr="00194C44">
        <w:rPr>
          <w:i/>
        </w:rPr>
        <w:t>Evaluation framework for New Income Management</w:t>
      </w:r>
      <w:r w:rsidRPr="006C31EF">
        <w:t xml:space="preserve">, </w:t>
      </w:r>
      <w:r w:rsidR="00194C44">
        <w:t>FaHCSIA</w:t>
      </w:r>
      <w:r w:rsidRPr="006C31EF">
        <w:t xml:space="preserve">, </w:t>
      </w:r>
      <w:proofErr w:type="gramStart"/>
      <w:r w:rsidRPr="006C31EF">
        <w:t>Canberra</w:t>
      </w:r>
      <w:proofErr w:type="gramEnd"/>
      <w:r w:rsidRPr="006C31EF">
        <w:t>.</w:t>
      </w:r>
    </w:p>
    <w:p w:rsidR="00646756" w:rsidRPr="006C31EF" w:rsidRDefault="00646756" w:rsidP="006654AE">
      <w:pPr>
        <w:ind w:left="567" w:hanging="567"/>
        <w:jc w:val="left"/>
      </w:pPr>
      <w:r>
        <w:t xml:space="preserve">SPRC – see </w:t>
      </w:r>
      <w:r w:rsidRPr="00646756">
        <w:t>Social Policy Research Centre</w:t>
      </w:r>
    </w:p>
    <w:p w:rsidR="002013D1" w:rsidRPr="006C31EF" w:rsidRDefault="002013D1" w:rsidP="006654AE">
      <w:pPr>
        <w:ind w:left="567" w:hanging="567"/>
        <w:jc w:val="left"/>
      </w:pPr>
      <w:r w:rsidRPr="006C31EF">
        <w:t>Swan, W. and Macklin, J. (2012</w:t>
      </w:r>
      <w:r w:rsidR="00C52C6D">
        <w:t>)</w:t>
      </w:r>
      <w:r w:rsidRPr="006C31EF">
        <w:t xml:space="preserve"> </w:t>
      </w:r>
      <w:r w:rsidRPr="00194C44">
        <w:rPr>
          <w:i/>
        </w:rPr>
        <w:t xml:space="preserve">Fairer </w:t>
      </w:r>
      <w:r w:rsidR="00194C44">
        <w:rPr>
          <w:i/>
        </w:rPr>
        <w:t>D</w:t>
      </w:r>
      <w:r w:rsidRPr="00194C44">
        <w:rPr>
          <w:i/>
        </w:rPr>
        <w:t xml:space="preserve">eal on ATMs for </w:t>
      </w:r>
      <w:r w:rsidR="00194C44">
        <w:rPr>
          <w:i/>
        </w:rPr>
        <w:t>R</w:t>
      </w:r>
      <w:r w:rsidRPr="00194C44">
        <w:rPr>
          <w:i/>
        </w:rPr>
        <w:t>emote Indigenous Communities</w:t>
      </w:r>
      <w:r w:rsidRPr="006C31EF">
        <w:t xml:space="preserve">, Joint Media Release, </w:t>
      </w:r>
      <w:proofErr w:type="gramStart"/>
      <w:r w:rsidRPr="006C31EF">
        <w:t>The</w:t>
      </w:r>
      <w:proofErr w:type="gramEnd"/>
      <w:r w:rsidRPr="006C31EF">
        <w:t xml:space="preserve"> Hon</w:t>
      </w:r>
      <w:r w:rsidR="00B764F5">
        <w:t>.</w:t>
      </w:r>
      <w:r w:rsidRPr="006C31EF">
        <w:t xml:space="preserve"> Wayne Swan MP and the Hon</w:t>
      </w:r>
      <w:r w:rsidR="00B764F5">
        <w:t>.</w:t>
      </w:r>
      <w:r w:rsidRPr="006C31EF">
        <w:t xml:space="preserve"> Jenny Macklin MP, 25 May. </w:t>
      </w:r>
    </w:p>
    <w:p w:rsidR="002013D1" w:rsidRDefault="002013D1" w:rsidP="006654AE">
      <w:pPr>
        <w:ind w:left="567" w:hanging="567"/>
        <w:jc w:val="left"/>
      </w:pPr>
      <w:r w:rsidRPr="006C31EF">
        <w:t>Treasury and Reserve Bank of Australia (2012</w:t>
      </w:r>
      <w:r w:rsidR="00C52C6D">
        <w:t>)</w:t>
      </w:r>
      <w:r w:rsidRPr="006C31EF">
        <w:t xml:space="preserve"> </w:t>
      </w:r>
      <w:r w:rsidRPr="006C31EF">
        <w:rPr>
          <w:i/>
        </w:rPr>
        <w:t>ATM Taskforce – Report on Indigenous ATM Issues</w:t>
      </w:r>
      <w:r w:rsidRPr="006C31EF">
        <w:t xml:space="preserve">, The Treasury, </w:t>
      </w:r>
      <w:proofErr w:type="gramStart"/>
      <w:r w:rsidRPr="006C31EF">
        <w:t>Canberra</w:t>
      </w:r>
      <w:proofErr w:type="gramEnd"/>
      <w:r w:rsidRPr="006C31EF">
        <w:t xml:space="preserve">. </w:t>
      </w:r>
    </w:p>
    <w:p w:rsidR="00A97240" w:rsidRPr="006C31EF" w:rsidRDefault="00A97240" w:rsidP="006654AE">
      <w:pPr>
        <w:ind w:left="567" w:hanging="567"/>
        <w:jc w:val="left"/>
      </w:pPr>
      <w:r>
        <w:t xml:space="preserve">Treasury, Australian Government, </w:t>
      </w:r>
      <w:r w:rsidRPr="00DD4B14">
        <w:t xml:space="preserve">‘Very remote Indigenous communities benefiting from ATM initiative - identified ATMs’ </w:t>
      </w:r>
      <w:r w:rsidRPr="00A97240">
        <w:rPr>
          <w:i/>
        </w:rPr>
        <w:t>Competitive</w:t>
      </w:r>
      <w:r>
        <w:rPr>
          <w:i/>
        </w:rPr>
        <w:t xml:space="preserve"> and Sustainable Banking System</w:t>
      </w:r>
      <w:r>
        <w:t xml:space="preserve">, </w:t>
      </w:r>
      <w:r w:rsidRPr="00DD4B14">
        <w:t>http://banking.treasury.gov.au/content/</w:t>
      </w:r>
      <w:r>
        <w:br/>
      </w:r>
      <w:r w:rsidRPr="00DD4B14">
        <w:t xml:space="preserve">identified_atms.asp </w:t>
      </w:r>
    </w:p>
    <w:p w:rsidR="002013D1" w:rsidRPr="006C31EF" w:rsidRDefault="002013D1" w:rsidP="006654AE">
      <w:pPr>
        <w:ind w:left="567" w:hanging="567"/>
        <w:jc w:val="left"/>
      </w:pPr>
      <w:r w:rsidRPr="006C31EF">
        <w:t>Villa, Juan M. (2012</w:t>
      </w:r>
      <w:r w:rsidR="00C52C6D">
        <w:t>)</w:t>
      </w:r>
      <w:r w:rsidRPr="006C31EF">
        <w:t xml:space="preserve"> </w:t>
      </w:r>
      <w:r w:rsidRPr="00194C44">
        <w:rPr>
          <w:i/>
        </w:rPr>
        <w:t>Simplifying the estimation of difference in differences treatment effects with Stata</w:t>
      </w:r>
      <w:r w:rsidRPr="006C31EF">
        <w:t xml:space="preserve">, MPRA Paper 43943, University Library of Munich, </w:t>
      </w:r>
      <w:r w:rsidR="002C3FD7" w:rsidRPr="006C31EF">
        <w:t>Munich</w:t>
      </w:r>
      <w:r w:rsidRPr="006C31EF">
        <w:t>.</w:t>
      </w:r>
    </w:p>
    <w:p w:rsidR="007A7AEB" w:rsidRPr="00DF38B2" w:rsidRDefault="002013D1" w:rsidP="006654AE">
      <w:pPr>
        <w:ind w:left="567" w:hanging="567"/>
        <w:jc w:val="left"/>
      </w:pPr>
      <w:r w:rsidRPr="006C31EF">
        <w:t>Yu, P., Duncan, E. and Gray, B. (2008</w:t>
      </w:r>
      <w:r w:rsidR="00C52C6D">
        <w:t>)</w:t>
      </w:r>
      <w:r w:rsidRPr="006C31EF">
        <w:t xml:space="preserve"> </w:t>
      </w:r>
      <w:r w:rsidRPr="006C31EF">
        <w:rPr>
          <w:i/>
        </w:rPr>
        <w:t>Report of the NTER Review Board</w:t>
      </w:r>
      <w:r w:rsidRPr="006C31EF">
        <w:t xml:space="preserve">. </w:t>
      </w:r>
      <w:proofErr w:type="gramStart"/>
      <w:r w:rsidRPr="006C31EF">
        <w:t>Commonwealth of Australia, Canberra.</w:t>
      </w:r>
      <w:proofErr w:type="gramEnd"/>
    </w:p>
    <w:p w:rsidR="007A7AEB" w:rsidRPr="00DF38B2" w:rsidRDefault="007A7AEB" w:rsidP="006654AE">
      <w:pPr>
        <w:spacing w:line="276" w:lineRule="auto"/>
        <w:jc w:val="left"/>
      </w:pPr>
      <w:r w:rsidRPr="00DF38B2">
        <w:br w:type="page"/>
      </w:r>
    </w:p>
    <w:p w:rsidR="002013D1" w:rsidRPr="00DF38B2" w:rsidRDefault="007A7AEB" w:rsidP="006654AE">
      <w:pPr>
        <w:pStyle w:val="pretitle"/>
      </w:pPr>
      <w:bookmarkStart w:id="696" w:name="_Toc403739186"/>
      <w:r w:rsidRPr="00DF38B2">
        <w:lastRenderedPageBreak/>
        <w:t>Appendices</w:t>
      </w:r>
      <w:bookmarkEnd w:id="696"/>
    </w:p>
    <w:p w:rsidR="00AE3323" w:rsidRPr="00DF38B2" w:rsidRDefault="00AE3323" w:rsidP="006654AE"/>
    <w:p w:rsidR="00AE3323" w:rsidRPr="00DF38B2" w:rsidRDefault="00AE3323" w:rsidP="006654AE"/>
    <w:p w:rsidR="00AE3323" w:rsidRPr="00DF38B2" w:rsidRDefault="00AE3323" w:rsidP="006654AE">
      <w:pPr>
        <w:pStyle w:val="dot"/>
      </w:pPr>
      <w:r w:rsidRPr="00DF38B2">
        <w:t>Appendix A:</w:t>
      </w:r>
      <w:r w:rsidRPr="00DF38B2">
        <w:tab/>
      </w:r>
      <w:r w:rsidR="00014403" w:rsidRPr="00DF38B2">
        <w:t xml:space="preserve">Financial </w:t>
      </w:r>
      <w:r w:rsidR="00522675" w:rsidRPr="00DF38B2">
        <w:t>Vulnerability Test</w:t>
      </w:r>
      <w:r w:rsidR="001E07F5" w:rsidRPr="00DF38B2">
        <w:t xml:space="preserve"> for Exemptions</w:t>
      </w:r>
    </w:p>
    <w:p w:rsidR="00522675" w:rsidRPr="00DF38B2" w:rsidRDefault="00AE3323" w:rsidP="006654AE">
      <w:pPr>
        <w:pStyle w:val="dot"/>
      </w:pPr>
      <w:r w:rsidRPr="00DF38B2">
        <w:t>Appendix B:</w:t>
      </w:r>
      <w:r w:rsidRPr="00DF38B2">
        <w:tab/>
      </w:r>
      <w:r w:rsidR="00522675" w:rsidRPr="00DF38B2">
        <w:t>LSNIM</w:t>
      </w:r>
      <w:r w:rsidR="00B84AFE">
        <w:t xml:space="preserve"> </w:t>
      </w:r>
      <w:r w:rsidR="00F266CC">
        <w:t>–</w:t>
      </w:r>
      <w:r w:rsidR="00522675" w:rsidRPr="00DF38B2">
        <w:t xml:space="preserve"> Fieldwork report</w:t>
      </w:r>
    </w:p>
    <w:p w:rsidR="00522675" w:rsidRPr="00DF38B2" w:rsidRDefault="00522675" w:rsidP="006654AE">
      <w:pPr>
        <w:pStyle w:val="dot"/>
      </w:pPr>
      <w:r w:rsidRPr="00DF38B2">
        <w:t>Appendix C:</w:t>
      </w:r>
      <w:r w:rsidRPr="00DF38B2">
        <w:tab/>
        <w:t>LSNIM – Survey Instrument</w:t>
      </w:r>
    </w:p>
    <w:p w:rsidR="00AE3323" w:rsidRPr="00DF38B2" w:rsidRDefault="00AE3323" w:rsidP="006654AE">
      <w:pPr>
        <w:pStyle w:val="dot"/>
      </w:pPr>
      <w:r w:rsidRPr="00DF38B2">
        <w:t xml:space="preserve">Appendix </w:t>
      </w:r>
      <w:r w:rsidR="00522675" w:rsidRPr="00DF38B2">
        <w:t>D</w:t>
      </w:r>
      <w:r w:rsidRPr="00DF38B2">
        <w:t>: Geographic</w:t>
      </w:r>
      <w:r w:rsidR="00B84AFE">
        <w:t xml:space="preserve"> </w:t>
      </w:r>
      <w:r w:rsidR="001E07F5" w:rsidRPr="00DF38B2">
        <w:t>Classification</w:t>
      </w:r>
    </w:p>
    <w:p w:rsidR="00522675" w:rsidRPr="00DF38B2" w:rsidRDefault="00522675" w:rsidP="006654AE">
      <w:pPr>
        <w:pStyle w:val="dot"/>
      </w:pPr>
      <w:r w:rsidRPr="00DF38B2">
        <w:t xml:space="preserve">Appendix E: </w:t>
      </w:r>
      <w:r w:rsidR="00C3432C" w:rsidRPr="00DF38B2">
        <w:t>Definition of priority needs and excluded goods</w:t>
      </w:r>
    </w:p>
    <w:p w:rsidR="00522675" w:rsidRPr="00DF38B2" w:rsidRDefault="00522675" w:rsidP="006654AE">
      <w:pPr>
        <w:pStyle w:val="dot"/>
      </w:pPr>
      <w:r w:rsidRPr="00DF38B2">
        <w:t xml:space="preserve">Appendix F: Vulnerable Focus Group </w:t>
      </w:r>
    </w:p>
    <w:p w:rsidR="00AE3323" w:rsidRPr="00DF38B2" w:rsidRDefault="00522675" w:rsidP="006654AE">
      <w:pPr>
        <w:pStyle w:val="dot"/>
      </w:pPr>
      <w:r w:rsidRPr="00DF38B2">
        <w:t>Appendix G: Vulnerable File Review</w:t>
      </w:r>
    </w:p>
    <w:p w:rsidR="00AE3323" w:rsidRPr="00DF38B2" w:rsidRDefault="00AE3323" w:rsidP="006654AE">
      <w:pPr>
        <w:spacing w:line="276" w:lineRule="auto"/>
        <w:jc w:val="left"/>
      </w:pPr>
      <w:r w:rsidRPr="00DF38B2">
        <w:br w:type="page"/>
      </w:r>
    </w:p>
    <w:p w:rsidR="00AE3323" w:rsidRPr="00DF38B2" w:rsidRDefault="00AE3323" w:rsidP="006654AE"/>
    <w:p w:rsidR="00AE3323" w:rsidRPr="00DF38B2" w:rsidRDefault="00AE3323" w:rsidP="006654AE"/>
    <w:p w:rsidR="00AE3323" w:rsidRPr="00DF38B2" w:rsidRDefault="00AE3323" w:rsidP="006654AE">
      <w:pPr>
        <w:sectPr w:rsidR="00AE3323" w:rsidRPr="00DF38B2" w:rsidSect="00285084">
          <w:headerReference w:type="even" r:id="rId221"/>
          <w:headerReference w:type="default" r:id="rId222"/>
          <w:headerReference w:type="first" r:id="rId223"/>
          <w:pgSz w:w="11906" w:h="16838" w:code="9"/>
          <w:pgMar w:top="1247" w:right="1701" w:bottom="1134" w:left="1871" w:header="567" w:footer="340" w:gutter="0"/>
          <w:cols w:space="708"/>
          <w:titlePg/>
          <w:docGrid w:linePitch="360"/>
        </w:sectPr>
      </w:pPr>
    </w:p>
    <w:p w:rsidR="00AE3323" w:rsidRPr="00DF38B2" w:rsidRDefault="00AE3323" w:rsidP="006654AE">
      <w:pPr>
        <w:pStyle w:val="pretitle"/>
      </w:pPr>
      <w:bookmarkStart w:id="697" w:name="_Toc403739187"/>
      <w:r w:rsidRPr="00DF38B2">
        <w:lastRenderedPageBreak/>
        <w:t xml:space="preserve">Appendix A: </w:t>
      </w:r>
      <w:r w:rsidR="00014403" w:rsidRPr="00DF38B2">
        <w:t xml:space="preserve">Financial </w:t>
      </w:r>
      <w:r w:rsidR="001E07F5" w:rsidRPr="00DF38B2">
        <w:t>Vulnerability Test for Exemptions</w:t>
      </w:r>
      <w:bookmarkEnd w:id="697"/>
    </w:p>
    <w:p w:rsidR="00014403" w:rsidRPr="00DF38B2" w:rsidRDefault="00014403" w:rsidP="006654AE">
      <w:r w:rsidRPr="00DF38B2">
        <w:t xml:space="preserve">The </w:t>
      </w:r>
      <w:r w:rsidRPr="00D7119A">
        <w:rPr>
          <w:i/>
        </w:rPr>
        <w:t>Guide to Social Security Law</w:t>
      </w:r>
      <w:r w:rsidRPr="00DF38B2">
        <w:t xml:space="preserve"> (Australian Government, 201</w:t>
      </w:r>
      <w:r w:rsidR="00D7119A">
        <w:t>4</w:t>
      </w:r>
      <w:r w:rsidRPr="00DF38B2">
        <w:t xml:space="preserve">) details the way in which the Financial Vulnerability Test is operationalised by Centrelink, identifying the issues which a Centrelink Officer should discuss with the person making an application for an exemption and the types of evidence they should consider in </w:t>
      </w:r>
      <w:r w:rsidR="00860B69">
        <w:t>m</w:t>
      </w:r>
      <w:r w:rsidRPr="00DF38B2">
        <w:t>aking a decision. This is shown below:</w:t>
      </w:r>
    </w:p>
    <w:p w:rsidR="00014403" w:rsidRPr="00DF38B2" w:rsidRDefault="00014403" w:rsidP="00CB5352">
      <w:pPr>
        <w:pStyle w:val="h4l2"/>
      </w:pPr>
      <w:r w:rsidRPr="00DF38B2">
        <w:t>Guidelines for assessing financial vulnerability (extract from the Guide to Social Security Law)</w:t>
      </w:r>
    </w:p>
    <w:p w:rsidR="00014403" w:rsidRPr="00DF38B2" w:rsidRDefault="00014403" w:rsidP="006654AE">
      <w:pPr>
        <w:rPr>
          <w:rFonts w:eastAsia="Times New Roman"/>
          <w:szCs w:val="24"/>
        </w:rPr>
      </w:pPr>
      <w:r w:rsidRPr="00DF38B2">
        <w:rPr>
          <w:rFonts w:eastAsia="Times New Roman"/>
          <w:szCs w:val="24"/>
        </w:rPr>
        <w:t>The delegate needs to be satisfied that the person had, over the last 12 months, shown no signs of financial vulnerability, with regard to the considerations set out below.</w:t>
      </w:r>
    </w:p>
    <w:p w:rsidR="00014403" w:rsidRPr="00DF38B2" w:rsidRDefault="00014403" w:rsidP="006654AE">
      <w:pPr>
        <w:rPr>
          <w:rFonts w:eastAsia="Times New Roman"/>
          <w:szCs w:val="24"/>
        </w:rPr>
      </w:pPr>
      <w:r w:rsidRPr="00DF38B2">
        <w:rPr>
          <w:rFonts w:eastAsia="Times New Roman"/>
          <w:szCs w:val="24"/>
        </w:rPr>
        <w:t>Note: These considerations are intended to create an overall impression of a person's financial circumstances, and no set weight should be attributed to each. Each factor should be considered, and those that are relevant taken into account. The considerations should not be treated as a checklist and the discussion points do not necessarily indicate that a person is financially vulnerable. The questions are designed to identify whether a person has faced any significant financial challenges and whether they have been able to manage their money to effectively deal with those challenges or should be considered financially vulnerable as a result.</w:t>
      </w:r>
    </w:p>
    <w:tbl>
      <w:tblPr>
        <w:tblW w:w="0" w:type="auto"/>
        <w:tblCellSpacing w:w="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The table is broken down into a series of sub-panels with headings related to 4 principles:&#10;1. Person has been applying appropriate resources to meet their priority needs, &amp; the priority needs of their family; &#10;2. Person had control over their money &amp; was not subject to financial exploitation; &#10;3. Person uses money management strategies to manage their financial resources, and is likely to continue to do so in the future; and : &#10;4. Person did not regularly require urgent funds to pay for foreseeable costs, &amp; did not frequently change their income support pay dates."/>
      </w:tblPr>
      <w:tblGrid>
        <w:gridCol w:w="1539"/>
        <w:gridCol w:w="3694"/>
        <w:gridCol w:w="3121"/>
      </w:tblGrid>
      <w:tr w:rsidR="00014403" w:rsidRPr="00DF38B2" w:rsidTr="00C52C6D">
        <w:trPr>
          <w:cantSplit/>
          <w:tblHeader/>
          <w:tblCellSpacing w:w="0" w:type="dxa"/>
        </w:trPr>
        <w:tc>
          <w:tcPr>
            <w:tcW w:w="1539"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Factor</w:t>
            </w:r>
          </w:p>
        </w:tc>
        <w:tc>
          <w:tcPr>
            <w:tcW w:w="3694"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Discussion points with person</w:t>
            </w:r>
          </w:p>
        </w:tc>
        <w:tc>
          <w:tcPr>
            <w:tcW w:w="3121"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Evidence</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Principle: Person has been applying appropriate resources to meet their priority needs, &amp; the priority needs of their family.</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Income management allocations.</w:t>
            </w:r>
          </w:p>
        </w:tc>
        <w:tc>
          <w:tcPr>
            <w:tcW w:w="3694" w:type="dxa"/>
            <w:vAlign w:val="center"/>
            <w:hideMark/>
          </w:tcPr>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szCs w:val="20"/>
              </w:rPr>
            </w:pPr>
            <w:r w:rsidRPr="00DF38B2">
              <w:rPr>
                <w:rFonts w:eastAsia="Times New Roman"/>
              </w:rPr>
              <w:t>If income management allocations were regularly changed, what was the reason for this?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If the allocations were never changed, why not?</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Is the person meeting their priority needs and the priority needs of their family with their income managed funds, and did they direct discretionary income to these priority needs?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Will the person be able to manage their money to meet these priority needs without income management?</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How does the person intend to meet these priority needs without income management?</w:t>
            </w:r>
          </w:p>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cs="Times New Roman"/>
              </w:rPr>
            </w:pPr>
            <w:r w:rsidRPr="00DF38B2">
              <w:rPr>
                <w:rFonts w:eastAsia="Times New Roman"/>
              </w:rPr>
              <w:t>Does the person intend to continue to pay for the priority needs that were being paid for with income managed funds or do they intend to stop paying for these things? If so, why?</w:t>
            </w:r>
          </w:p>
        </w:tc>
        <w:tc>
          <w:tcPr>
            <w:tcW w:w="3121" w:type="dxa"/>
            <w:vAlign w:val="center"/>
            <w:hideMark/>
          </w:tcPr>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szCs w:val="20"/>
              </w:rPr>
            </w:pPr>
            <w:r w:rsidRPr="00DF38B2">
              <w:rPr>
                <w:rFonts w:eastAsia="Times New Roman"/>
              </w:rPr>
              <w:t>Are or were there regular allocations in place for a variety of priority needs?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 xml:space="preserve">How are/were the </w:t>
            </w:r>
            <w:proofErr w:type="gramStart"/>
            <w:r w:rsidRPr="00DF38B2">
              <w:rPr>
                <w:rFonts w:eastAsia="Times New Roman"/>
              </w:rPr>
              <w:t>persons</w:t>
            </w:r>
            <w:proofErr w:type="gramEnd"/>
            <w:r w:rsidRPr="00DF38B2">
              <w:rPr>
                <w:rFonts w:eastAsia="Times New Roman"/>
              </w:rPr>
              <w:t xml:space="preserve"> priority needs being met?</w:t>
            </w:r>
          </w:p>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cs="Times New Roman"/>
              </w:rPr>
            </w:pPr>
            <w:r w:rsidRPr="00DF38B2">
              <w:rPr>
                <w:rFonts w:eastAsia="Times New Roman"/>
              </w:rPr>
              <w:t>How are/were the priority needs of a person's family being met?</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before="240" w:line="276" w:lineRule="auto"/>
              <w:jc w:val="center"/>
              <w:rPr>
                <w:rFonts w:ascii="Times New Roman" w:eastAsia="Times New Roman" w:hAnsi="Times New Roman" w:cs="Times New Roman"/>
                <w:b/>
                <w:bCs/>
              </w:rPr>
            </w:pPr>
            <w:r w:rsidRPr="00DF38B2">
              <w:rPr>
                <w:rFonts w:eastAsia="Times New Roman"/>
                <w:b/>
                <w:bCs/>
              </w:rPr>
              <w:lastRenderedPageBreak/>
              <w:t>Principle: Person had control over their money &amp; was not subject to financial exploitation.</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Financial exploitation.</w:t>
            </w:r>
          </w:p>
        </w:tc>
        <w:tc>
          <w:tcPr>
            <w:tcW w:w="3694" w:type="dxa"/>
            <w:vAlign w:val="center"/>
            <w:hideMark/>
          </w:tcPr>
          <w:p w:rsidR="00014403" w:rsidRPr="00DF38B2" w:rsidRDefault="00014403" w:rsidP="006654AE">
            <w:pPr>
              <w:pStyle w:val="fvt"/>
              <w:rPr>
                <w:rFonts w:ascii="Times New Roman" w:hAnsi="Times New Roman"/>
                <w:szCs w:val="20"/>
              </w:rPr>
            </w:pPr>
            <w:r w:rsidRPr="00DF38B2">
              <w:t>Does the person have a password protected or a deny access record? If so, why?</w:t>
            </w:r>
          </w:p>
          <w:p w:rsidR="00014403" w:rsidRPr="00DF38B2" w:rsidRDefault="00014403" w:rsidP="006654AE">
            <w:pPr>
              <w:pStyle w:val="fvt"/>
            </w:pPr>
            <w:r w:rsidRPr="00DF38B2">
              <w:t>Has the person had money taken from their account without their permission?</w:t>
            </w:r>
          </w:p>
          <w:p w:rsidR="00014403" w:rsidRPr="00DF38B2" w:rsidRDefault="00014403" w:rsidP="006654AE">
            <w:pPr>
              <w:pStyle w:val="fvt"/>
            </w:pPr>
            <w:r w:rsidRPr="00DF38B2">
              <w:t>Does the person find it difficult to say no to some family members or others when asked for money?</w:t>
            </w:r>
          </w:p>
          <w:p w:rsidR="00014403" w:rsidRPr="00DF38B2" w:rsidRDefault="00014403" w:rsidP="006654AE">
            <w:pPr>
              <w:pStyle w:val="fvt"/>
            </w:pPr>
            <w:r w:rsidRPr="00DF38B2">
              <w:t>Does the person need to hide money or have secret money?</w:t>
            </w:r>
          </w:p>
          <w:p w:rsidR="00014403" w:rsidRPr="00DF38B2" w:rsidRDefault="00014403" w:rsidP="006654AE">
            <w:pPr>
              <w:pStyle w:val="fvt"/>
            </w:pPr>
            <w:r w:rsidRPr="00DF38B2">
              <w:t>Is the person having trouble meeting their priority needs or making their money last from one payment to the next because they are making purchases for other people or giving other people their money?</w:t>
            </w:r>
          </w:p>
          <w:p w:rsidR="00014403" w:rsidRPr="00DF38B2" w:rsidRDefault="00014403" w:rsidP="006654AE">
            <w:pPr>
              <w:pStyle w:val="fvt"/>
            </w:pPr>
            <w:r w:rsidRPr="00DF38B2">
              <w:t>Have third parties been contacting Centrelink regarding the person? If so, why?</w:t>
            </w:r>
          </w:p>
          <w:p w:rsidR="00014403" w:rsidRPr="00DF38B2" w:rsidRDefault="00014403" w:rsidP="006654AE">
            <w:pPr>
              <w:pStyle w:val="fvt"/>
            </w:pPr>
            <w:r w:rsidRPr="00DF38B2">
              <w:t>Has this been at the request of the person?</w:t>
            </w:r>
          </w:p>
          <w:p w:rsidR="00014403" w:rsidRPr="00DF38B2" w:rsidRDefault="00014403" w:rsidP="006654AE">
            <w:pPr>
              <w:pStyle w:val="fvt"/>
            </w:pPr>
            <w:r w:rsidRPr="00DF38B2">
              <w:t>Was the person aware that third parties had been contacting Centrelink?</w:t>
            </w:r>
          </w:p>
          <w:p w:rsidR="00014403" w:rsidRPr="00DF38B2" w:rsidRDefault="00014403" w:rsidP="006654AE">
            <w:pPr>
              <w:pStyle w:val="fvt"/>
              <w:rPr>
                <w:rFonts w:ascii="Times New Roman" w:hAnsi="Times New Roman" w:cs="Times New Roman"/>
              </w:rPr>
            </w:pPr>
            <w:r w:rsidRPr="00DF38B2">
              <w:t>Have these issues been resolved, or are they ongoing?</w:t>
            </w:r>
          </w:p>
        </w:tc>
        <w:tc>
          <w:tcPr>
            <w:tcW w:w="3121" w:type="dxa"/>
            <w:vAlign w:val="center"/>
            <w:hideMark/>
          </w:tcPr>
          <w:p w:rsidR="00014403" w:rsidRPr="00DF38B2" w:rsidRDefault="00014403" w:rsidP="006654AE">
            <w:pPr>
              <w:pStyle w:val="fvt"/>
              <w:rPr>
                <w:rFonts w:ascii="Times New Roman" w:hAnsi="Times New Roman"/>
                <w:szCs w:val="20"/>
              </w:rPr>
            </w:pPr>
            <w:r w:rsidRPr="00DF38B2">
              <w:t>Password protected Centrelink record.</w:t>
            </w:r>
          </w:p>
          <w:p w:rsidR="00014403" w:rsidRPr="00DF38B2" w:rsidRDefault="00014403" w:rsidP="006654AE">
            <w:pPr>
              <w:pStyle w:val="fvt"/>
            </w:pPr>
            <w:r w:rsidRPr="00DF38B2">
              <w:t>Deny access record.</w:t>
            </w:r>
          </w:p>
          <w:p w:rsidR="00014403" w:rsidRPr="00DF38B2" w:rsidRDefault="00014403" w:rsidP="006654AE">
            <w:pPr>
              <w:pStyle w:val="fvt"/>
            </w:pPr>
            <w:r w:rsidRPr="00DF38B2">
              <w:t>Evidence of denied contact from third parties.</w:t>
            </w:r>
          </w:p>
          <w:p w:rsidR="00014403" w:rsidRPr="00DF38B2" w:rsidRDefault="00014403" w:rsidP="006654AE">
            <w:pPr>
              <w:pStyle w:val="fvt"/>
              <w:rPr>
                <w:rFonts w:ascii="Times New Roman" w:hAnsi="Times New Roman" w:cs="Times New Roman"/>
              </w:rPr>
            </w:pPr>
            <w:r w:rsidRPr="00DF38B2">
              <w:t>Evidence of financial exploitation.</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Principle: Person uses money management strategies to manage their financial resources, and is likely to continue to do so in the future.</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Use of Centrepay.</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used Centrepay?</w:t>
            </w:r>
          </w:p>
          <w:p w:rsidR="00014403" w:rsidRPr="00DF38B2" w:rsidRDefault="00014403" w:rsidP="006654AE">
            <w:pPr>
              <w:pStyle w:val="fvt"/>
            </w:pPr>
            <w:r w:rsidRPr="00DF38B2">
              <w:t>If Centrepay arrangements have been started and then stopped, what was the reason for this?</w:t>
            </w:r>
          </w:p>
          <w:p w:rsidR="00014403" w:rsidRPr="00DF38B2" w:rsidRDefault="00014403" w:rsidP="006654AE">
            <w:pPr>
              <w:pStyle w:val="fvt"/>
            </w:pPr>
            <w:r w:rsidRPr="00DF38B2">
              <w:t>Has the person enquired about Centrepay but found that the third party organisation is not registered?</w:t>
            </w:r>
          </w:p>
          <w:p w:rsidR="00014403" w:rsidRPr="00DF38B2" w:rsidRDefault="00014403" w:rsidP="006654AE">
            <w:pPr>
              <w:pStyle w:val="fvt"/>
            </w:pPr>
            <w:r w:rsidRPr="00DF38B2">
              <w:t>Is the person aware of Centrepay options?</w:t>
            </w:r>
          </w:p>
          <w:p w:rsidR="00014403" w:rsidRPr="00DF38B2" w:rsidRDefault="00014403" w:rsidP="006654AE">
            <w:pPr>
              <w:pStyle w:val="fvt"/>
            </w:pPr>
            <w:r w:rsidRPr="00DF38B2">
              <w:t>If the person has not used Centrepay is this because they were able to pay their bills on time without it?</w:t>
            </w:r>
          </w:p>
          <w:p w:rsidR="00014403" w:rsidRPr="00DF38B2" w:rsidRDefault="00014403" w:rsidP="006654AE">
            <w:pPr>
              <w:pStyle w:val="fvt"/>
              <w:rPr>
                <w:rFonts w:ascii="Times New Roman" w:hAnsi="Times New Roman" w:cs="Times New Roman"/>
              </w:rPr>
            </w:pPr>
            <w:r w:rsidRPr="00DF38B2">
              <w:t>Is it likely that the person will remain on Centrepay, or elect to go onto Centrepay in the future?</w:t>
            </w:r>
          </w:p>
        </w:tc>
        <w:tc>
          <w:tcPr>
            <w:tcW w:w="3121" w:type="dxa"/>
            <w:vAlign w:val="center"/>
            <w:hideMark/>
          </w:tcPr>
          <w:p w:rsidR="00014403" w:rsidRPr="00DF38B2" w:rsidRDefault="00014403" w:rsidP="006654AE">
            <w:pPr>
              <w:pStyle w:val="fvt"/>
              <w:rPr>
                <w:rFonts w:ascii="Times New Roman" w:hAnsi="Times New Roman"/>
                <w:szCs w:val="20"/>
              </w:rPr>
            </w:pPr>
            <w:r w:rsidRPr="00DF38B2">
              <w:t>Current or previous DHS arrangements.</w:t>
            </w:r>
          </w:p>
          <w:p w:rsidR="00014403" w:rsidRPr="00DF38B2" w:rsidRDefault="00014403" w:rsidP="006654AE">
            <w:pPr>
              <w:pStyle w:val="fvt"/>
            </w:pPr>
            <w:r w:rsidRPr="00DF38B2">
              <w:t>Length of time using Centrepay arrangements.</w:t>
            </w:r>
          </w:p>
          <w:p w:rsidR="00014403" w:rsidRPr="00DF38B2" w:rsidRDefault="00014403" w:rsidP="006654AE">
            <w:pPr>
              <w:pStyle w:val="fvt"/>
              <w:rPr>
                <w:rFonts w:ascii="Times New Roman" w:hAnsi="Times New Roman" w:cs="Times New Roman"/>
              </w:rPr>
            </w:pPr>
            <w:r w:rsidRPr="00DF38B2">
              <w:t xml:space="preserve">Evidence of frequent changes to </w:t>
            </w:r>
            <w:proofErr w:type="spellStart"/>
            <w:r w:rsidRPr="00DF38B2">
              <w:t>Centrepay</w:t>
            </w:r>
            <w:proofErr w:type="spellEnd"/>
            <w:r w:rsidRPr="00DF38B2">
              <w:t xml:space="preserve"> - </w:t>
            </w:r>
            <w:proofErr w:type="spellStart"/>
            <w:r w:rsidRPr="00DF38B2">
              <w:t>ons</w:t>
            </w:r>
            <w:proofErr w:type="spellEnd"/>
            <w:r w:rsidRPr="00DF38B2">
              <w:t xml:space="preserve"> and offs.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Money management courses.</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completed a course to learn or update financial skills?</w:t>
            </w:r>
          </w:p>
          <w:p w:rsidR="00014403" w:rsidRPr="00DF38B2" w:rsidRDefault="00014403" w:rsidP="006654AE">
            <w:pPr>
              <w:pStyle w:val="fvt"/>
            </w:pPr>
            <w:r w:rsidRPr="00DF38B2">
              <w:t>Did the person develop a personal budget as a result of attending this course?</w:t>
            </w:r>
          </w:p>
          <w:p w:rsidR="00014403" w:rsidRPr="00DF38B2" w:rsidRDefault="00014403" w:rsidP="006654AE">
            <w:pPr>
              <w:pStyle w:val="fvt"/>
              <w:rPr>
                <w:rFonts w:ascii="Times New Roman" w:hAnsi="Times New Roman" w:cs="Times New Roman"/>
              </w:rPr>
            </w:pPr>
            <w:r w:rsidRPr="00DF38B2">
              <w:t>Did the person stick to the budget or achieve any financial goals (significant purchases e.g. white goods, saving money for a specific purpose etc.) as a result of attending the course?</w:t>
            </w:r>
          </w:p>
        </w:tc>
        <w:tc>
          <w:tcPr>
            <w:tcW w:w="3121" w:type="dxa"/>
            <w:vAlign w:val="center"/>
            <w:hideMark/>
          </w:tcPr>
          <w:p w:rsidR="00014403" w:rsidRPr="00DF38B2" w:rsidRDefault="00014403" w:rsidP="006654AE">
            <w:pPr>
              <w:pStyle w:val="fvt"/>
              <w:rPr>
                <w:rFonts w:ascii="Times New Roman" w:hAnsi="Times New Roman"/>
                <w:szCs w:val="20"/>
              </w:rPr>
            </w:pPr>
            <w:r w:rsidRPr="00DF38B2">
              <w:t>Grant of MSP Previous referrals coded in the referrals cluster.</w:t>
            </w:r>
          </w:p>
          <w:p w:rsidR="00014403" w:rsidRPr="00DF38B2" w:rsidRDefault="00014403" w:rsidP="006654AE">
            <w:pPr>
              <w:pStyle w:val="fvt"/>
              <w:rPr>
                <w:rFonts w:ascii="Times New Roman" w:hAnsi="Times New Roman" w:cs="Times New Roman"/>
              </w:rPr>
            </w:pPr>
            <w:r w:rsidRPr="00DF38B2">
              <w:t>Evidence of completion of a course.</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lastRenderedPageBreak/>
              <w:t>Demonstrated budgeting and savings.</w:t>
            </w:r>
          </w:p>
        </w:tc>
        <w:tc>
          <w:tcPr>
            <w:tcW w:w="3694" w:type="dxa"/>
            <w:vAlign w:val="center"/>
            <w:hideMark/>
          </w:tcPr>
          <w:p w:rsidR="00014403" w:rsidRPr="00DF38B2" w:rsidRDefault="00014403" w:rsidP="006654AE">
            <w:pPr>
              <w:pStyle w:val="fvt"/>
              <w:rPr>
                <w:rFonts w:ascii="Times New Roman" w:hAnsi="Times New Roman"/>
                <w:szCs w:val="20"/>
              </w:rPr>
            </w:pPr>
            <w:r w:rsidRPr="00DF38B2">
              <w:t>Does the person have a good idea about their expenses and how much income they have each week/fortnight?</w:t>
            </w:r>
          </w:p>
          <w:p w:rsidR="00014403" w:rsidRPr="00DF38B2" w:rsidRDefault="00014403" w:rsidP="006654AE">
            <w:pPr>
              <w:pStyle w:val="fvt"/>
            </w:pPr>
            <w:r w:rsidRPr="00DF38B2">
              <w:t>Does the person have a budget? Is it likely the person will remain on this budget in the future?</w:t>
            </w:r>
          </w:p>
          <w:p w:rsidR="00014403" w:rsidRPr="00DF38B2" w:rsidRDefault="00014403" w:rsidP="006654AE">
            <w:pPr>
              <w:pStyle w:val="fvt"/>
            </w:pPr>
            <w:r w:rsidRPr="00DF38B2">
              <w:t>Does the person have any financial goals and a plan for achieving them?</w:t>
            </w:r>
          </w:p>
          <w:p w:rsidR="00014403" w:rsidRPr="00DF38B2" w:rsidRDefault="00014403" w:rsidP="006654AE">
            <w:pPr>
              <w:pStyle w:val="fvt"/>
            </w:pPr>
            <w:r w:rsidRPr="00DF38B2">
              <w:t>Does the person have any regular payments set up outside of Centrepay or income management - such as direct credit instalments or payment of utilities?</w:t>
            </w:r>
          </w:p>
          <w:p w:rsidR="00014403" w:rsidRPr="00DF38B2" w:rsidRDefault="00014403" w:rsidP="006654AE">
            <w:pPr>
              <w:pStyle w:val="fvt"/>
            </w:pPr>
            <w:r w:rsidRPr="00DF38B2">
              <w:t>Has the person been evicted for not paying rent in the last 12 months? If so, how did this come about?</w:t>
            </w:r>
          </w:p>
          <w:p w:rsidR="00014403" w:rsidRPr="00DF38B2" w:rsidRDefault="00014403" w:rsidP="006654AE">
            <w:pPr>
              <w:pStyle w:val="fvt"/>
            </w:pPr>
            <w:r w:rsidRPr="00DF38B2">
              <w:t>Has the person had a service or utility disconnected in the last 12 months? If so, how did this come about?</w:t>
            </w:r>
          </w:p>
          <w:p w:rsidR="00014403" w:rsidRPr="00DF38B2" w:rsidRDefault="00014403" w:rsidP="006654AE">
            <w:pPr>
              <w:pStyle w:val="fvt"/>
            </w:pPr>
            <w:r w:rsidRPr="00DF38B2">
              <w:t>Has the person used lay-by to purchase any significant items (e.g. white goods) in the last 12 months?</w:t>
            </w:r>
          </w:p>
          <w:p w:rsidR="00014403" w:rsidRPr="00DF38B2" w:rsidRDefault="00014403" w:rsidP="006654AE">
            <w:pPr>
              <w:pStyle w:val="fvt"/>
            </w:pPr>
            <w:r w:rsidRPr="00DF38B2">
              <w:t>How does the person plan to pay for large bills like car registration or winter gas/electricity bills?</w:t>
            </w:r>
          </w:p>
          <w:p w:rsidR="00014403" w:rsidRPr="00DF38B2" w:rsidRDefault="00014403" w:rsidP="006654AE">
            <w:pPr>
              <w:pStyle w:val="fvt"/>
              <w:rPr>
                <w:rFonts w:ascii="Times New Roman" w:hAnsi="Times New Roman" w:cs="Times New Roman"/>
              </w:rPr>
            </w:pPr>
            <w:r w:rsidRPr="00DF38B2">
              <w:t>Does the person have unpaid fines or significant debts?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budgeting activity.</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t>BasicsCard declined transactions (incurred at the fault of the person).</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had a high number of declined transactions? If yes, why?</w:t>
            </w:r>
          </w:p>
          <w:p w:rsidR="00014403" w:rsidRPr="00DF38B2" w:rsidRDefault="00014403" w:rsidP="006654AE">
            <w:pPr>
              <w:pStyle w:val="fvt"/>
            </w:pPr>
            <w:r w:rsidRPr="00DF38B2">
              <w:t>Does the person have the ability to easily check their BasicsCard balance?</w:t>
            </w:r>
          </w:p>
          <w:p w:rsidR="00014403" w:rsidRPr="00DF38B2" w:rsidRDefault="00014403" w:rsidP="006654AE">
            <w:pPr>
              <w:pStyle w:val="fvt"/>
            </w:pPr>
            <w:r w:rsidRPr="00DF38B2">
              <w:t>How does the person typically plan to pay for groceries each week/fortnight?</w:t>
            </w:r>
          </w:p>
          <w:p w:rsidR="00014403" w:rsidRPr="00DF38B2" w:rsidRDefault="00014403" w:rsidP="006654AE">
            <w:pPr>
              <w:pStyle w:val="fvt"/>
            </w:pPr>
            <w:r w:rsidRPr="00DF38B2">
              <w:t>Is money set aside or does the person spend what's left on their card?</w:t>
            </w:r>
          </w:p>
          <w:p w:rsidR="00014403" w:rsidRPr="00DF38B2" w:rsidRDefault="00014403" w:rsidP="006654AE">
            <w:pPr>
              <w:pStyle w:val="fvt"/>
            </w:pPr>
            <w:r w:rsidRPr="00DF38B2">
              <w:t>When the person goes shopping, do they have a good idea about what they need and how much it's going to cost?</w:t>
            </w:r>
          </w:p>
          <w:p w:rsidR="00014403" w:rsidRPr="00DF38B2" w:rsidRDefault="00014403" w:rsidP="006654AE">
            <w:pPr>
              <w:pStyle w:val="fvt"/>
              <w:rPr>
                <w:rFonts w:ascii="Times New Roman" w:hAnsi="Times New Roman" w:cs="Times New Roman"/>
              </w:rPr>
            </w:pPr>
            <w:r w:rsidRPr="00DF38B2">
              <w:t>When the person has insufficient funds to purchase all the things they want, how do they decide what to buy and what to put back (are essential food items being covered)?</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high number of declined transactions (incurred at the fault of the person).</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BasicsCards use.</w:t>
            </w:r>
          </w:p>
        </w:tc>
        <w:tc>
          <w:tcPr>
            <w:tcW w:w="3694" w:type="dxa"/>
            <w:vAlign w:val="center"/>
            <w:hideMark/>
          </w:tcPr>
          <w:p w:rsidR="00014403" w:rsidRPr="00DF38B2" w:rsidRDefault="00014403" w:rsidP="006654AE">
            <w:pPr>
              <w:pStyle w:val="fvt"/>
              <w:rPr>
                <w:rFonts w:ascii="Times New Roman" w:hAnsi="Times New Roman"/>
                <w:szCs w:val="20"/>
              </w:rPr>
            </w:pPr>
            <w:r w:rsidRPr="00DF38B2">
              <w:t>Did the person need a replacement BasicsCard? If yes, why?</w:t>
            </w:r>
          </w:p>
          <w:p w:rsidR="00014403" w:rsidRPr="00DF38B2" w:rsidRDefault="00014403" w:rsidP="006654AE">
            <w:pPr>
              <w:pStyle w:val="fvt"/>
            </w:pPr>
            <w:r w:rsidRPr="00DF38B2">
              <w:t>Has the person given their personal identification number (PIN) to anyone else and had money taken from their account without their permission?</w:t>
            </w:r>
          </w:p>
          <w:p w:rsidR="00014403" w:rsidRPr="00DF38B2" w:rsidRDefault="00014403" w:rsidP="006654AE">
            <w:pPr>
              <w:pStyle w:val="fvt"/>
            </w:pPr>
            <w:r w:rsidRPr="00DF38B2">
              <w:t>Does the person use book-up and leave their card at the shop?</w:t>
            </w:r>
          </w:p>
          <w:p w:rsidR="00014403" w:rsidRPr="00DF38B2" w:rsidRDefault="00014403" w:rsidP="006654AE">
            <w:pPr>
              <w:pStyle w:val="fvt"/>
              <w:rPr>
                <w:rFonts w:ascii="Times New Roman" w:hAnsi="Times New Roman" w:cs="Times New Roman"/>
              </w:rPr>
            </w:pPr>
            <w:r w:rsidRPr="00DF38B2">
              <w:t>Do people take and use their card without their permission?</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frequent replacement BasicsCards.</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keepNext/>
              <w:keepLines/>
              <w:spacing w:line="276" w:lineRule="auto"/>
              <w:jc w:val="center"/>
              <w:rPr>
                <w:rFonts w:ascii="Times New Roman" w:eastAsia="Times New Roman" w:hAnsi="Times New Roman" w:cs="Times New Roman"/>
                <w:b/>
                <w:bCs/>
              </w:rPr>
            </w:pPr>
            <w:r w:rsidRPr="00DF38B2">
              <w:rPr>
                <w:rFonts w:eastAsia="Times New Roman"/>
                <w:b/>
                <w:bCs/>
              </w:rPr>
              <w:lastRenderedPageBreak/>
              <w:t>Principle: Person did not regularly require urgent funds to pay for foreseeable costs, &amp; did not frequently change their income support pay dates.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Urgent payments.</w:t>
            </w:r>
          </w:p>
        </w:tc>
        <w:tc>
          <w:tcPr>
            <w:tcW w:w="3694" w:type="dxa"/>
            <w:vAlign w:val="center"/>
            <w:hideMark/>
          </w:tcPr>
          <w:p w:rsidR="00014403" w:rsidRPr="00DF38B2" w:rsidRDefault="00014403" w:rsidP="006654AE">
            <w:pPr>
              <w:pStyle w:val="fvt"/>
            </w:pPr>
            <w:r w:rsidRPr="00DF38B2">
              <w:t xml:space="preserve">Is there a pattern suggesting that the person is applying for urgent payments for the same things each time - late rent, utility bills, public transport costs </w:t>
            </w:r>
            <w:proofErr w:type="spellStart"/>
            <w:r w:rsidRPr="00DF38B2">
              <w:t>etc</w:t>
            </w:r>
            <w:proofErr w:type="spellEnd"/>
            <w:r w:rsidRPr="00DF38B2">
              <w:t>?</w:t>
            </w:r>
          </w:p>
          <w:p w:rsidR="00014403" w:rsidRPr="00DF38B2" w:rsidRDefault="00014403" w:rsidP="006654AE">
            <w:pPr>
              <w:pStyle w:val="fvt"/>
            </w:pPr>
            <w:r w:rsidRPr="00DF38B2">
              <w:t>Did the urgent funds applications relate to expenditure that the person could have foreseen and planned for?</w:t>
            </w:r>
          </w:p>
          <w:p w:rsidR="00014403" w:rsidRPr="00DF38B2" w:rsidRDefault="00014403" w:rsidP="006654AE">
            <w:pPr>
              <w:pStyle w:val="fvt"/>
            </w:pPr>
            <w:r w:rsidRPr="00DF38B2">
              <w:t>If the urgent payment applications have been rejected, what were the reasons?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Urgent payment applications that have been granted or rejected in the last 12 months.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t>Change of payday code.</w:t>
            </w:r>
          </w:p>
        </w:tc>
        <w:tc>
          <w:tcPr>
            <w:tcW w:w="3694" w:type="dxa"/>
            <w:vAlign w:val="center"/>
            <w:hideMark/>
          </w:tcPr>
          <w:p w:rsidR="00014403" w:rsidRPr="00DF38B2" w:rsidRDefault="00014403" w:rsidP="006654AE">
            <w:pPr>
              <w:pStyle w:val="fvt"/>
            </w:pPr>
            <w:r w:rsidRPr="00DF38B2">
              <w:t>What are the reasons for the change in income support pay dates?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frequent payday code changes.</w:t>
            </w:r>
          </w:p>
        </w:tc>
      </w:tr>
    </w:tbl>
    <w:p w:rsidR="00AE3323" w:rsidRPr="00FE502F" w:rsidRDefault="00014403" w:rsidP="006654AE">
      <w:pPr>
        <w:spacing w:before="100" w:beforeAutospacing="1" w:after="100" w:afterAutospacing="1"/>
      </w:pPr>
      <w:r w:rsidRPr="00DF38B2">
        <w:rPr>
          <w:rFonts w:cs="Arial"/>
          <w:sz w:val="18"/>
        </w:rPr>
        <w:t xml:space="preserve">Source: </w:t>
      </w:r>
      <w:r w:rsidR="00C52C6D">
        <w:rPr>
          <w:rFonts w:cs="Arial"/>
          <w:sz w:val="18"/>
        </w:rPr>
        <w:tab/>
      </w:r>
      <w:r w:rsidRPr="00DF38B2">
        <w:rPr>
          <w:rFonts w:cs="Arial"/>
          <w:sz w:val="18"/>
        </w:rPr>
        <w:t>Australian Government (2014), Section 11.1.14.</w:t>
      </w:r>
    </w:p>
    <w:p w:rsidR="00AE3323" w:rsidRPr="00DF38B2" w:rsidRDefault="00AE3323" w:rsidP="006654AE">
      <w:pPr>
        <w:sectPr w:rsidR="00AE3323"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698" w:name="_Toc403739188"/>
      <w:r w:rsidRPr="00DF38B2">
        <w:lastRenderedPageBreak/>
        <w:t>Appendix B: LSNIM – Fieldwork Report</w:t>
      </w:r>
      <w:bookmarkEnd w:id="698"/>
    </w:p>
    <w:p w:rsidR="001E07F5" w:rsidRPr="00DF38B2" w:rsidRDefault="001E07F5" w:rsidP="006654AE"/>
    <w:p w:rsidR="001E07F5" w:rsidRPr="00DF38B2" w:rsidRDefault="001E07F5" w:rsidP="006654AE">
      <w:pPr>
        <w:pStyle w:val="aphead1"/>
      </w:pPr>
      <w:r w:rsidRPr="00DF38B2">
        <w:t>Introduction</w:t>
      </w:r>
    </w:p>
    <w:p w:rsidR="001E07F5" w:rsidRPr="00DF38B2" w:rsidRDefault="001E07F5" w:rsidP="006654AE">
      <w:r w:rsidRPr="00DF38B2">
        <w:t xml:space="preserve">This report details the methodology for the Longitudinal Study of New Income Management (LSNIM) Wave 2 research. </w:t>
      </w:r>
      <w:r w:rsidR="00860B69">
        <w:t xml:space="preserve">The firm </w:t>
      </w:r>
      <w:r w:rsidRPr="00DF38B2">
        <w:t xml:space="preserve">Colmar </w:t>
      </w:r>
      <w:proofErr w:type="spellStart"/>
      <w:r w:rsidRPr="00DF38B2">
        <w:t>Brunton</w:t>
      </w:r>
      <w:proofErr w:type="spellEnd"/>
      <w:r w:rsidRPr="00DF38B2">
        <w:t xml:space="preserve"> w</w:t>
      </w:r>
      <w:r w:rsidR="00860B69">
        <w:t>as</w:t>
      </w:r>
      <w:r w:rsidRPr="00DF38B2">
        <w:t xml:space="preserve"> contracted </w:t>
      </w:r>
      <w:r w:rsidR="00587CFD">
        <w:t>by the Social Policy Research Centre</w:t>
      </w:r>
      <w:r w:rsidR="001D2920">
        <w:t xml:space="preserve"> </w:t>
      </w:r>
      <w:r w:rsidRPr="00DF38B2">
        <w:t>to undertake the fieldwork</w:t>
      </w:r>
      <w:r w:rsidR="00860B69">
        <w:t>,</w:t>
      </w:r>
      <w:r w:rsidRPr="00DF38B2">
        <w:t xml:space="preserve"> which took place between August 2013 and February 2014 across the Northern Territory and the selected comparison sites. Information outlined in this appendix is a summary of the methodology as reported by Colmar </w:t>
      </w:r>
      <w:proofErr w:type="spellStart"/>
      <w:r w:rsidRPr="00DF38B2">
        <w:t>Brunton</w:t>
      </w:r>
      <w:proofErr w:type="spellEnd"/>
      <w:r w:rsidRPr="00DF38B2">
        <w:t>.</w:t>
      </w:r>
    </w:p>
    <w:p w:rsidR="001E07F5" w:rsidRPr="00DF38B2" w:rsidRDefault="001E07F5" w:rsidP="006654AE">
      <w:pPr>
        <w:pStyle w:val="aphead1"/>
      </w:pPr>
      <w:r w:rsidRPr="00DF38B2">
        <w:t>Community engagement</w:t>
      </w:r>
    </w:p>
    <w:p w:rsidR="001E07F5" w:rsidRPr="00DF38B2" w:rsidRDefault="001E07F5" w:rsidP="006654AE">
      <w:pPr>
        <w:pStyle w:val="aphead2"/>
      </w:pPr>
      <w:r w:rsidRPr="00DF38B2">
        <w:t xml:space="preserve">Community consent </w:t>
      </w:r>
    </w:p>
    <w:p w:rsidR="001E07F5" w:rsidRPr="00DF38B2" w:rsidRDefault="001E07F5" w:rsidP="006654AE">
      <w:r w:rsidRPr="00DF38B2">
        <w:t>Consent to undertake Wave 2 of the research was obtained in each of the Indigenous remote communities and urban town camps or communities</w:t>
      </w:r>
      <w:r w:rsidR="00A1421A">
        <w:t xml:space="preserve">. </w:t>
      </w:r>
      <w:r w:rsidRPr="00DF38B2">
        <w:t>Consent to undertake research in the other urban areas of Alice Springs, Darwin and Cairns was not required</w:t>
      </w:r>
      <w:r w:rsidR="00A1421A">
        <w:t xml:space="preserve">. </w:t>
      </w:r>
      <w:r w:rsidRPr="00DF38B2">
        <w:t>The process for obtaining consent varied for each community, although communities were all initially contacted through the Government Engagement Co-ordinator (GEC).</w:t>
      </w:r>
    </w:p>
    <w:p w:rsidR="001E07F5" w:rsidRPr="00DF38B2" w:rsidRDefault="001E07F5" w:rsidP="006654AE">
      <w:pPr>
        <w:pStyle w:val="aphead2"/>
      </w:pPr>
      <w:r w:rsidRPr="00DF38B2">
        <w:t>Community feedback</w:t>
      </w:r>
    </w:p>
    <w:p w:rsidR="001E07F5" w:rsidRPr="00DF38B2" w:rsidRDefault="001E07F5" w:rsidP="006654AE">
      <w:r w:rsidRPr="00DF38B2">
        <w:t>In April 2013, a newsletter was provided to communities outlining the progress of the research (Wave 1)</w:t>
      </w:r>
      <w:r w:rsidR="00A1421A">
        <w:t xml:space="preserve">. </w:t>
      </w:r>
      <w:r w:rsidRPr="00DF38B2">
        <w:t>The newsletter was well</w:t>
      </w:r>
      <w:r w:rsidR="001F5B7B">
        <w:t xml:space="preserve"> </w:t>
      </w:r>
      <w:r w:rsidRPr="00DF38B2">
        <w:t>received and, for the most part, community members agreed that the results represented the general sentiments in their community.</w:t>
      </w:r>
    </w:p>
    <w:p w:rsidR="001E07F5" w:rsidRPr="00DF38B2" w:rsidRDefault="001E07F5" w:rsidP="006654AE">
      <w:r w:rsidRPr="00DF38B2">
        <w:t xml:space="preserve">A final newsletter </w:t>
      </w:r>
      <w:r w:rsidR="008F5FD0">
        <w:t>was</w:t>
      </w:r>
      <w:r w:rsidRPr="00DF38B2">
        <w:t xml:space="preserve"> circulated within the communities </w:t>
      </w:r>
      <w:r w:rsidR="001F5B7B">
        <w:t>that</w:t>
      </w:r>
      <w:r w:rsidRPr="00DF38B2">
        <w:t xml:space="preserve"> participated in the research</w:t>
      </w:r>
      <w:r w:rsidR="008F5FD0">
        <w:t xml:space="preserve"> during September 2014</w:t>
      </w:r>
      <w:r w:rsidRPr="00DF38B2">
        <w:t>.</w:t>
      </w:r>
      <w:r w:rsidR="005D1CC5">
        <w:t xml:space="preserve"> </w:t>
      </w:r>
      <w:r w:rsidR="008F5FD0">
        <w:t xml:space="preserve">Members of the evaluation team visited most of the communities and also provided oral feedback, Colmar </w:t>
      </w:r>
      <w:proofErr w:type="spellStart"/>
      <w:r w:rsidR="008F5FD0">
        <w:t>Brunton</w:t>
      </w:r>
      <w:proofErr w:type="spellEnd"/>
      <w:r w:rsidR="008F5FD0">
        <w:t xml:space="preserve"> and associated researchers arranged for the feedback to the remaining communities.</w:t>
      </w:r>
    </w:p>
    <w:p w:rsidR="001E07F5" w:rsidRPr="00DF38B2" w:rsidRDefault="001E07F5" w:rsidP="006654AE">
      <w:pPr>
        <w:pStyle w:val="aphead1"/>
      </w:pPr>
      <w:r w:rsidRPr="00DF38B2">
        <w:t>Sampling</w:t>
      </w:r>
    </w:p>
    <w:p w:rsidR="001E07F5" w:rsidRPr="00DF38B2" w:rsidRDefault="001E07F5" w:rsidP="006654AE">
      <w:r w:rsidRPr="00DF38B2">
        <w:t xml:space="preserve">The sample frame for the project was the </w:t>
      </w:r>
      <w:r w:rsidR="00060511">
        <w:t>DHS</w:t>
      </w:r>
      <w:r w:rsidRPr="00DF38B2">
        <w:t xml:space="preserve"> Centrelink Administration Database. </w:t>
      </w:r>
    </w:p>
    <w:p w:rsidR="001E07F5" w:rsidRPr="00DF38B2" w:rsidRDefault="001E07F5" w:rsidP="006654AE">
      <w:pPr>
        <w:pStyle w:val="aphead2"/>
      </w:pPr>
      <w:r w:rsidRPr="00DF38B2">
        <w:t>Selection criteria in Northern Territory</w:t>
      </w:r>
    </w:p>
    <w:p w:rsidR="001E07F5" w:rsidRPr="00DF38B2" w:rsidRDefault="001E07F5" w:rsidP="006654AE">
      <w:r w:rsidRPr="00DF38B2">
        <w:t>The sampling criteria in the Northern Territory included the following specification:</w:t>
      </w:r>
    </w:p>
    <w:p w:rsidR="001E07F5" w:rsidRPr="00DF38B2" w:rsidRDefault="008F5FD0" w:rsidP="006654AE">
      <w:pPr>
        <w:pStyle w:val="dot"/>
      </w:pPr>
      <w:r>
        <w:t>o</w:t>
      </w:r>
      <w:r w:rsidR="001E07F5" w:rsidRPr="00DF38B2">
        <w:t>n income management at the time of data extraction</w:t>
      </w:r>
    </w:p>
    <w:p w:rsidR="001E07F5" w:rsidRPr="00DF38B2" w:rsidRDefault="008F5FD0" w:rsidP="006654AE">
      <w:pPr>
        <w:pStyle w:val="dot"/>
      </w:pPr>
      <w:r>
        <w:t>g</w:t>
      </w:r>
      <w:r w:rsidR="001E07F5" w:rsidRPr="00DF38B2">
        <w:t>eographic location</w:t>
      </w:r>
    </w:p>
    <w:p w:rsidR="001E07F5" w:rsidRPr="00DF38B2" w:rsidRDefault="008F5FD0" w:rsidP="006654AE">
      <w:pPr>
        <w:pStyle w:val="dot"/>
      </w:pPr>
      <w:r>
        <w:t>c</w:t>
      </w:r>
      <w:r w:rsidR="001E07F5" w:rsidRPr="00DF38B2">
        <w:t>ontact details (full: including title, name (first, last), postal address, home address, telephone number and mobile telephone number if available)</w:t>
      </w:r>
    </w:p>
    <w:p w:rsidR="001E07F5" w:rsidRPr="00DF38B2" w:rsidRDefault="008F5FD0" w:rsidP="006654AE">
      <w:pPr>
        <w:pStyle w:val="dot"/>
      </w:pPr>
      <w:r>
        <w:t>a</w:t>
      </w:r>
      <w:r w:rsidR="001E07F5" w:rsidRPr="00DF38B2">
        <w:t>ge: 18 years old and over</w:t>
      </w:r>
    </w:p>
    <w:p w:rsidR="001E07F5" w:rsidRPr="00DF38B2" w:rsidRDefault="008F5FD0" w:rsidP="006654AE">
      <w:pPr>
        <w:pStyle w:val="dot"/>
      </w:pPr>
      <w:proofErr w:type="gramStart"/>
      <w:r>
        <w:t>p</w:t>
      </w:r>
      <w:r w:rsidR="001E07F5" w:rsidRPr="00DF38B2">
        <w:t>articipated</w:t>
      </w:r>
      <w:proofErr w:type="gramEnd"/>
      <w:r w:rsidR="001E07F5" w:rsidRPr="00DF38B2">
        <w:t xml:space="preserve"> in Wave 1 of the study and consented to participate in Wave 2</w:t>
      </w:r>
      <w:r>
        <w:t>.</w:t>
      </w:r>
    </w:p>
    <w:p w:rsidR="001E07F5" w:rsidRPr="00DF38B2" w:rsidRDefault="001E07F5" w:rsidP="006654AE">
      <w:r w:rsidRPr="00DF38B2">
        <w:t xml:space="preserve">Additional data </w:t>
      </w:r>
      <w:r w:rsidR="008F5FD0">
        <w:t xml:space="preserve">provided </w:t>
      </w:r>
      <w:r w:rsidRPr="00DF38B2">
        <w:t>about each potential participant</w:t>
      </w:r>
      <w:r w:rsidR="008F5FD0">
        <w:t xml:space="preserve"> included</w:t>
      </w:r>
      <w:r w:rsidR="001F5B7B">
        <w:t>:</w:t>
      </w:r>
    </w:p>
    <w:p w:rsidR="001E07F5" w:rsidRPr="00DF38B2" w:rsidRDefault="001E07F5" w:rsidP="006654AE">
      <w:pPr>
        <w:pStyle w:val="dot"/>
      </w:pPr>
      <w:r w:rsidRPr="00DF38B2">
        <w:t>Indigenous status – yes/no indicator</w:t>
      </w:r>
    </w:p>
    <w:p w:rsidR="001E07F5" w:rsidRPr="00DF38B2" w:rsidRDefault="001E07F5" w:rsidP="006654AE">
      <w:pPr>
        <w:pStyle w:val="dot"/>
      </w:pPr>
      <w:r w:rsidRPr="00DF38B2">
        <w:lastRenderedPageBreak/>
        <w:t>Diverse Cultural and Linguistic Backgrounds (DCALB) indicator –</w:t>
      </w:r>
      <w:r w:rsidR="001F5B7B">
        <w:t xml:space="preserve"> </w:t>
      </w:r>
      <w:r w:rsidRPr="00DF38B2">
        <w:t>yes/no indicator</w:t>
      </w:r>
    </w:p>
    <w:p w:rsidR="001E07F5" w:rsidRPr="00DF38B2" w:rsidRDefault="008F5FD0" w:rsidP="006654AE">
      <w:pPr>
        <w:pStyle w:val="dot"/>
      </w:pPr>
      <w:r>
        <w:t>s</w:t>
      </w:r>
      <w:r w:rsidR="001E07F5" w:rsidRPr="00DF38B2">
        <w:t>ex</w:t>
      </w:r>
    </w:p>
    <w:p w:rsidR="001E07F5" w:rsidRPr="00DF38B2" w:rsidRDefault="008F5FD0" w:rsidP="006654AE">
      <w:pPr>
        <w:pStyle w:val="dot"/>
      </w:pPr>
      <w:r>
        <w:t>a</w:t>
      </w:r>
      <w:r w:rsidR="001E07F5" w:rsidRPr="00DF38B2">
        <w:t>ge</w:t>
      </w:r>
    </w:p>
    <w:p w:rsidR="001E07F5" w:rsidRPr="00DF38B2" w:rsidRDefault="008F5FD0" w:rsidP="006654AE">
      <w:pPr>
        <w:pStyle w:val="dot"/>
      </w:pPr>
      <w:r>
        <w:t>c</w:t>
      </w:r>
      <w:r w:rsidR="001E07F5" w:rsidRPr="00DF38B2">
        <w:t>urrent income management measure</w:t>
      </w:r>
    </w:p>
    <w:p w:rsidR="001E07F5" w:rsidRPr="00DF38B2" w:rsidRDefault="008F5FD0" w:rsidP="006654AE">
      <w:pPr>
        <w:pStyle w:val="dot"/>
      </w:pPr>
      <w:r>
        <w:t>w</w:t>
      </w:r>
      <w:r w:rsidR="001E07F5" w:rsidRPr="00DF38B2">
        <w:t>hether participant had ever had a BasicsCard</w:t>
      </w:r>
    </w:p>
    <w:p w:rsidR="001E07F5" w:rsidRPr="00DF38B2" w:rsidRDefault="008F5FD0" w:rsidP="006654AE">
      <w:pPr>
        <w:pStyle w:val="dot"/>
      </w:pPr>
      <w:r>
        <w:t>w</w:t>
      </w:r>
      <w:r w:rsidR="001E07F5" w:rsidRPr="00DF38B2">
        <w:t xml:space="preserve">hether participant was subject to income management under Northern Territory Emergency Response (NTER) </w:t>
      </w:r>
    </w:p>
    <w:p w:rsidR="001E07F5" w:rsidRPr="00DF38B2" w:rsidRDefault="008F5FD0" w:rsidP="006654AE">
      <w:pPr>
        <w:pStyle w:val="dot"/>
      </w:pPr>
      <w:r>
        <w:t>d</w:t>
      </w:r>
      <w:r w:rsidR="001E07F5" w:rsidRPr="00DF38B2">
        <w:t xml:space="preserve">ate commenced on income management </w:t>
      </w:r>
    </w:p>
    <w:p w:rsidR="001E07F5" w:rsidRPr="00DF38B2" w:rsidRDefault="008F5FD0" w:rsidP="006654AE">
      <w:pPr>
        <w:pStyle w:val="dot"/>
      </w:pPr>
      <w:r>
        <w:t>w</w:t>
      </w:r>
      <w:r w:rsidR="001E07F5" w:rsidRPr="00DF38B2">
        <w:t>hether applied for exemption – yes/no indicator</w:t>
      </w:r>
    </w:p>
    <w:p w:rsidR="001E07F5" w:rsidRPr="00DF38B2" w:rsidRDefault="008F5FD0" w:rsidP="006654AE">
      <w:pPr>
        <w:pStyle w:val="dot"/>
      </w:pPr>
      <w:r>
        <w:t>l</w:t>
      </w:r>
      <w:r w:rsidR="001E07F5" w:rsidRPr="00DF38B2">
        <w:t>anguage spoken and requirements for an interpreter</w:t>
      </w:r>
    </w:p>
    <w:p w:rsidR="001E07F5" w:rsidRPr="00DF38B2" w:rsidRDefault="008F5FD0" w:rsidP="006654AE">
      <w:pPr>
        <w:pStyle w:val="dot"/>
      </w:pPr>
      <w:r>
        <w:t>n</w:t>
      </w:r>
      <w:r w:rsidR="001E07F5" w:rsidRPr="00DF38B2">
        <w:t>ominee type</w:t>
      </w:r>
    </w:p>
    <w:p w:rsidR="001E07F5" w:rsidRPr="00DF38B2" w:rsidRDefault="008F5FD0" w:rsidP="006654AE">
      <w:pPr>
        <w:pStyle w:val="dot"/>
      </w:pPr>
      <w:r>
        <w:t>n</w:t>
      </w:r>
      <w:r w:rsidR="001E07F5" w:rsidRPr="00DF38B2">
        <w:t>ominee name</w:t>
      </w:r>
    </w:p>
    <w:p w:rsidR="001E07F5" w:rsidRPr="00DF38B2" w:rsidRDefault="008F5FD0" w:rsidP="006654AE">
      <w:pPr>
        <w:pStyle w:val="dot"/>
      </w:pPr>
      <w:proofErr w:type="gramStart"/>
      <w:r>
        <w:t>n</w:t>
      </w:r>
      <w:r w:rsidR="001E07F5" w:rsidRPr="00DF38B2">
        <w:t>ominee</w:t>
      </w:r>
      <w:proofErr w:type="gramEnd"/>
      <w:r w:rsidR="001E07F5" w:rsidRPr="00DF38B2">
        <w:t xml:space="preserve"> postal address</w:t>
      </w:r>
      <w:r>
        <w:t>.</w:t>
      </w:r>
    </w:p>
    <w:p w:rsidR="001E07F5" w:rsidRPr="00DF38B2" w:rsidRDefault="001E07F5" w:rsidP="006654AE">
      <w:pPr>
        <w:pStyle w:val="aphead2"/>
      </w:pPr>
      <w:r w:rsidRPr="00DF38B2">
        <w:t>Selection criteria in comparison sites</w:t>
      </w:r>
    </w:p>
    <w:p w:rsidR="001E07F5" w:rsidRPr="00DF38B2" w:rsidRDefault="001E07F5" w:rsidP="006654AE">
      <w:r w:rsidRPr="00DF38B2">
        <w:t>The sampling criteria in contrast sites included the following specification:</w:t>
      </w:r>
    </w:p>
    <w:p w:rsidR="001E07F5" w:rsidRPr="00DF38B2" w:rsidRDefault="008F5FD0" w:rsidP="006654AE">
      <w:pPr>
        <w:pStyle w:val="dot"/>
      </w:pPr>
      <w:r>
        <w:t>a</w:t>
      </w:r>
      <w:r w:rsidR="001E07F5" w:rsidRPr="00DF38B2">
        <w:t>ged over 18 and under 25 years and had been receiving Youth Allowance, Newstart Allowance, Special Benefit, Parenting Payment Partnered or Parenting Payment Single for 13 of the previous 26 weeks; or</w:t>
      </w:r>
    </w:p>
    <w:p w:rsidR="001E07F5" w:rsidRPr="00DF38B2" w:rsidRDefault="008F5FD0" w:rsidP="006654AE">
      <w:pPr>
        <w:pStyle w:val="dot"/>
      </w:pPr>
      <w:r>
        <w:t xml:space="preserve">aged </w:t>
      </w:r>
      <w:r w:rsidR="001E07F5" w:rsidRPr="00DF38B2">
        <w:t>25 years and over (and younger than pension age) and had been receiving Youth Allowance, Newstart Allowance, Special Benefit or Parenting Payment Partnered, Parenting Payment Single for 12 of the previous 24 months</w:t>
      </w:r>
    </w:p>
    <w:p w:rsidR="001E07F5" w:rsidRPr="00DF38B2" w:rsidRDefault="008F5FD0" w:rsidP="006654AE">
      <w:pPr>
        <w:pStyle w:val="dot"/>
      </w:pPr>
      <w:r>
        <w:t>o</w:t>
      </w:r>
      <w:r w:rsidR="001E07F5" w:rsidRPr="00DF38B2">
        <w:t>n Age Pension or Disability Support Pension</w:t>
      </w:r>
    </w:p>
    <w:p w:rsidR="001E07F5" w:rsidRPr="00DF38B2" w:rsidRDefault="008F5FD0" w:rsidP="006654AE">
      <w:pPr>
        <w:pStyle w:val="dot"/>
      </w:pPr>
      <w:proofErr w:type="gramStart"/>
      <w:r>
        <w:t>g</w:t>
      </w:r>
      <w:r w:rsidR="001E07F5" w:rsidRPr="00DF38B2">
        <w:t>eographic</w:t>
      </w:r>
      <w:proofErr w:type="gramEnd"/>
      <w:r w:rsidR="001E07F5" w:rsidRPr="00DF38B2">
        <w:t xml:space="preserve"> location</w:t>
      </w:r>
      <w:r>
        <w:t>.</w:t>
      </w:r>
    </w:p>
    <w:p w:rsidR="001E07F5" w:rsidRPr="00DF38B2" w:rsidRDefault="001E07F5" w:rsidP="006654AE">
      <w:r w:rsidRPr="00DF38B2">
        <w:t>Additional information</w:t>
      </w:r>
      <w:r w:rsidR="008F5FD0">
        <w:t xml:space="preserve"> provided about each potential participant included</w:t>
      </w:r>
      <w:r w:rsidR="001F5B7B">
        <w:t>:</w:t>
      </w:r>
    </w:p>
    <w:p w:rsidR="001E07F5" w:rsidRPr="00DF38B2" w:rsidRDefault="001E07F5" w:rsidP="006654AE">
      <w:pPr>
        <w:pStyle w:val="dot"/>
      </w:pPr>
      <w:r w:rsidRPr="00DF38B2">
        <w:t>Indigenous status – yes/no indicator</w:t>
      </w:r>
    </w:p>
    <w:p w:rsidR="001E07F5" w:rsidRPr="00DF38B2" w:rsidRDefault="001E07F5" w:rsidP="006654AE">
      <w:pPr>
        <w:pStyle w:val="dot"/>
      </w:pPr>
      <w:r w:rsidRPr="00DF38B2">
        <w:t>Diverse Cultural and Linguistic Backgrounds (DCALB) indicator –</w:t>
      </w:r>
      <w:r w:rsidR="001F5B7B">
        <w:t xml:space="preserve"> </w:t>
      </w:r>
      <w:r w:rsidRPr="00DF38B2">
        <w:t>yes/no indicator</w:t>
      </w:r>
    </w:p>
    <w:p w:rsidR="001E07F5" w:rsidRPr="00DF38B2" w:rsidRDefault="008F5FD0" w:rsidP="006654AE">
      <w:pPr>
        <w:pStyle w:val="dot"/>
      </w:pPr>
      <w:r>
        <w:t>s</w:t>
      </w:r>
      <w:r w:rsidR="001E07F5" w:rsidRPr="00DF38B2">
        <w:t>ex</w:t>
      </w:r>
    </w:p>
    <w:p w:rsidR="001E07F5" w:rsidRPr="00DF38B2" w:rsidRDefault="008F5FD0" w:rsidP="006654AE">
      <w:pPr>
        <w:pStyle w:val="dot"/>
      </w:pPr>
      <w:r>
        <w:t>a</w:t>
      </w:r>
      <w:r w:rsidR="001E07F5" w:rsidRPr="00DF38B2">
        <w:t>ge</w:t>
      </w:r>
    </w:p>
    <w:p w:rsidR="001E07F5" w:rsidRPr="00DF38B2" w:rsidRDefault="008F5FD0" w:rsidP="006654AE">
      <w:pPr>
        <w:pStyle w:val="dot"/>
      </w:pPr>
      <w:r>
        <w:t>l</w:t>
      </w:r>
      <w:r w:rsidR="001E07F5" w:rsidRPr="00DF38B2">
        <w:t>anguage spoken and requirements for an interpreter</w:t>
      </w:r>
    </w:p>
    <w:p w:rsidR="001E07F5" w:rsidRPr="00DF38B2" w:rsidRDefault="008F5FD0" w:rsidP="006654AE">
      <w:pPr>
        <w:pStyle w:val="dot"/>
      </w:pPr>
      <w:r>
        <w:t>n</w:t>
      </w:r>
      <w:r w:rsidR="001E07F5" w:rsidRPr="00DF38B2">
        <w:t>ominee type</w:t>
      </w:r>
    </w:p>
    <w:p w:rsidR="001E07F5" w:rsidRPr="00DF38B2" w:rsidRDefault="008F5FD0" w:rsidP="006654AE">
      <w:pPr>
        <w:pStyle w:val="dot"/>
      </w:pPr>
      <w:r>
        <w:t>n</w:t>
      </w:r>
      <w:r w:rsidR="001E07F5" w:rsidRPr="00DF38B2">
        <w:t>ominee name</w:t>
      </w:r>
    </w:p>
    <w:p w:rsidR="001E07F5" w:rsidRPr="00DF38B2" w:rsidRDefault="008F5FD0" w:rsidP="006654AE">
      <w:pPr>
        <w:pStyle w:val="dot"/>
      </w:pPr>
      <w:r>
        <w:t>n</w:t>
      </w:r>
      <w:r w:rsidR="001E07F5" w:rsidRPr="00DF38B2">
        <w:t>ominee postal address</w:t>
      </w:r>
    </w:p>
    <w:p w:rsidR="001E07F5" w:rsidRPr="00DF38B2" w:rsidRDefault="008F5FD0" w:rsidP="006654AE">
      <w:pPr>
        <w:pStyle w:val="dot"/>
      </w:pPr>
      <w:proofErr w:type="gramStart"/>
      <w:r>
        <w:t>c</w:t>
      </w:r>
      <w:r w:rsidR="001E07F5" w:rsidRPr="00DF38B2">
        <w:t>ontact</w:t>
      </w:r>
      <w:proofErr w:type="gramEnd"/>
      <w:r w:rsidR="001E07F5" w:rsidRPr="00DF38B2">
        <w:t xml:space="preserve"> details (full: including title, name (first, last), postal address, home address, telephone number and mobile telephone number if available)</w:t>
      </w:r>
      <w:r>
        <w:t>.</w:t>
      </w:r>
    </w:p>
    <w:p w:rsidR="001E07F5" w:rsidRPr="00DF38B2" w:rsidRDefault="001E07F5" w:rsidP="006654AE">
      <w:pPr>
        <w:pStyle w:val="aphead2"/>
      </w:pPr>
      <w:r w:rsidRPr="00DF38B2">
        <w:lastRenderedPageBreak/>
        <w:t>Sample cohorts</w:t>
      </w:r>
    </w:p>
    <w:p w:rsidR="001E07F5" w:rsidRPr="00DF38B2" w:rsidRDefault="001E07F5" w:rsidP="006654AE">
      <w:r w:rsidRPr="00DF38B2">
        <w:t xml:space="preserve">There were two sample cohorts in Wave 2 of the research: Wave 1 participants who had agreed to participate again in </w:t>
      </w:r>
      <w:proofErr w:type="gramStart"/>
      <w:r w:rsidRPr="00DF38B2">
        <w:t>2013</w:t>
      </w:r>
      <w:r w:rsidR="001F5B7B">
        <w:t>-</w:t>
      </w:r>
      <w:r w:rsidRPr="00DF38B2">
        <w:t>14</w:t>
      </w:r>
      <w:r w:rsidR="001F5B7B">
        <w:t>,</w:t>
      </w:r>
      <w:proofErr w:type="gramEnd"/>
      <w:r w:rsidRPr="00DF38B2">
        <w:t xml:space="preserve"> and an additional sample provided from Centrelink Administration Database by </w:t>
      </w:r>
      <w:r w:rsidR="00BA4E03">
        <w:t>DSS</w:t>
      </w:r>
      <w:r w:rsidRPr="00DF38B2">
        <w:t>. These cohorts are referred to as Wave 1 Follow Up and Wave 2 Top Up</w:t>
      </w:r>
      <w:r w:rsidR="00A1421A">
        <w:t xml:space="preserve">. </w:t>
      </w:r>
    </w:p>
    <w:p w:rsidR="001E07F5" w:rsidRPr="00DF38B2" w:rsidRDefault="001E07F5" w:rsidP="006654AE">
      <w:r w:rsidRPr="00DF38B2">
        <w:t>Potential participants from the Wave 2 Top Up sample were sent a letter from DSS to advise them of the research and to provide a two</w:t>
      </w:r>
      <w:r w:rsidR="001F5B7B">
        <w:t>-</w:t>
      </w:r>
      <w:r w:rsidRPr="00DF38B2">
        <w:t>week period in which to decide whether to opt out of the study</w:t>
      </w:r>
      <w:r w:rsidR="00A1421A">
        <w:t xml:space="preserve">. </w:t>
      </w:r>
      <w:r w:rsidRPr="00DF38B2">
        <w:t xml:space="preserve">Prior to providing contact details to the research team, </w:t>
      </w:r>
      <w:r w:rsidR="00BA4E03">
        <w:t>DSS</w:t>
      </w:r>
      <w:r w:rsidRPr="00DF38B2">
        <w:t xml:space="preserve"> removed any people from the sample who opted out of the study or where contact details for the person were unknown</w:t>
      </w:r>
      <w:r w:rsidR="00A1421A">
        <w:t xml:space="preserve">. </w:t>
      </w:r>
      <w:r w:rsidRPr="00DF38B2">
        <w:t>Participants were assigned a six</w:t>
      </w:r>
      <w:r w:rsidR="001F5B7B">
        <w:t>-</w:t>
      </w:r>
      <w:r w:rsidRPr="00DF38B2">
        <w:t>digit code to maintain their anonymity during data analysis</w:t>
      </w:r>
      <w:r w:rsidR="00A1421A">
        <w:t xml:space="preserve">. </w:t>
      </w:r>
    </w:p>
    <w:p w:rsidR="001E07F5" w:rsidRPr="00DF38B2" w:rsidRDefault="001E07F5" w:rsidP="006654AE">
      <w:r w:rsidRPr="00DF38B2">
        <w:t>Participants from the Wave 1 Follow Up sample retained the unique six</w:t>
      </w:r>
      <w:r w:rsidR="001F5B7B">
        <w:t>-</w:t>
      </w:r>
      <w:r w:rsidRPr="00DF38B2">
        <w:t>digit code they were assigned in Wave 1 to maintain anonymity and facilitate data linkage with Wave 1</w:t>
      </w:r>
      <w:r w:rsidR="00A1421A">
        <w:t xml:space="preserve">. </w:t>
      </w:r>
      <w:r w:rsidR="007E5C25">
        <w:t>DSS</w:t>
      </w:r>
      <w:r w:rsidRPr="00DF38B2">
        <w:t xml:space="preserve"> provided contact details for Wave 1 participants from the Centrelink Administration Database</w:t>
      </w:r>
      <w:r w:rsidR="00A1421A">
        <w:t xml:space="preserve">. </w:t>
      </w:r>
    </w:p>
    <w:p w:rsidR="001E07F5" w:rsidRPr="00DF38B2" w:rsidRDefault="001E07F5" w:rsidP="006654AE">
      <w:pPr>
        <w:pStyle w:val="aphead2"/>
      </w:pPr>
      <w:r w:rsidRPr="00DF38B2">
        <w:t>Sample summary</w:t>
      </w:r>
    </w:p>
    <w:p w:rsidR="001E07F5" w:rsidRPr="00DF38B2" w:rsidRDefault="001E07F5" w:rsidP="006654AE">
      <w:r w:rsidRPr="00DF38B2">
        <w:t xml:space="preserve">The following table is a summary of participant records supplied by </w:t>
      </w:r>
      <w:r w:rsidR="00BA4E03">
        <w:t>DSS</w:t>
      </w:r>
      <w:r w:rsidRPr="00DF38B2">
        <w:t xml:space="preserve"> for the purposes of the research, including records for participants from Wave 1 who agreed to participate in Wave 2</w:t>
      </w:r>
      <w:r w:rsidR="00A1421A">
        <w:t xml:space="preserve">. </w:t>
      </w:r>
      <w:r w:rsidRPr="00DF38B2">
        <w:t xml:space="preserve">There were 4264 sample records provided to the research team. </w:t>
      </w:r>
    </w:p>
    <w:p w:rsidR="001E07F5" w:rsidRPr="00DF38B2" w:rsidRDefault="001E07F5" w:rsidP="006654AE">
      <w:pPr>
        <w:pStyle w:val="Caption"/>
      </w:pPr>
      <w:r w:rsidRPr="00DF38B2">
        <w:t>Table 1</w:t>
      </w:r>
      <w:r w:rsidR="001F5B7B">
        <w:t>,</w:t>
      </w:r>
      <w:r w:rsidRPr="00DF38B2">
        <w:t xml:space="preserve"> </w:t>
      </w:r>
      <w:proofErr w:type="gramStart"/>
      <w:r w:rsidRPr="00DF38B2">
        <w:t>Selected</w:t>
      </w:r>
      <w:proofErr w:type="gramEnd"/>
      <w:r w:rsidRPr="00DF38B2">
        <w:t xml:space="preserve"> </w:t>
      </w:r>
      <w:r w:rsidR="001F5B7B">
        <w:t>s</w:t>
      </w:r>
      <w:r w:rsidRPr="00DF38B2">
        <w:t>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escribes the population of sample for the LSNIM in terms of the original sample, and factors such as opting out to identify the final sample issued to researchers."/>
      </w:tblPr>
      <w:tblGrid>
        <w:gridCol w:w="1809"/>
        <w:gridCol w:w="1221"/>
        <w:gridCol w:w="1068"/>
        <w:gridCol w:w="1221"/>
        <w:gridCol w:w="1036"/>
        <w:gridCol w:w="992"/>
        <w:gridCol w:w="1071"/>
      </w:tblGrid>
      <w:tr w:rsidR="00C07A1B" w:rsidRPr="00DF38B2" w:rsidTr="00723FAF">
        <w:trPr>
          <w:tblHeader/>
        </w:trPr>
        <w:tc>
          <w:tcPr>
            <w:tcW w:w="1809" w:type="dxa"/>
            <w:tcBorders>
              <w:top w:val="single" w:sz="4" w:space="0" w:color="auto"/>
              <w:bottom w:val="single" w:sz="4" w:space="0" w:color="auto"/>
            </w:tcBorders>
          </w:tcPr>
          <w:p w:rsidR="00C07A1B" w:rsidRPr="00DF38B2" w:rsidRDefault="00C07A1B" w:rsidP="006654AE">
            <w:pPr>
              <w:pStyle w:val="tabletextleft"/>
            </w:pPr>
            <w:r w:rsidRPr="00DF38B2">
              <w:t>Location</w:t>
            </w:r>
          </w:p>
        </w:tc>
        <w:tc>
          <w:tcPr>
            <w:tcW w:w="1221" w:type="dxa"/>
            <w:tcBorders>
              <w:top w:val="single" w:sz="4" w:space="0" w:color="auto"/>
              <w:bottom w:val="single" w:sz="4" w:space="0" w:color="auto"/>
            </w:tcBorders>
          </w:tcPr>
          <w:p w:rsidR="00C07A1B" w:rsidRPr="00DF38B2" w:rsidRDefault="00C07A1B" w:rsidP="006654AE">
            <w:pPr>
              <w:pStyle w:val="tabletextright"/>
            </w:pPr>
            <w:r w:rsidRPr="00DF38B2">
              <w:t>Total sample selected by DSS</w:t>
            </w:r>
          </w:p>
        </w:tc>
        <w:tc>
          <w:tcPr>
            <w:tcW w:w="1068" w:type="dxa"/>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1221" w:type="dxa"/>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1036" w:type="dxa"/>
            <w:tcBorders>
              <w:top w:val="single" w:sz="4" w:space="0" w:color="auto"/>
              <w:bottom w:val="single" w:sz="4" w:space="0" w:color="auto"/>
            </w:tcBorders>
          </w:tcPr>
          <w:p w:rsidR="00C07A1B" w:rsidRPr="00DF38B2" w:rsidRDefault="00C07A1B" w:rsidP="006654AE">
            <w:pPr>
              <w:pStyle w:val="tabletextright"/>
            </w:pPr>
            <w:r w:rsidRPr="00DF38B2">
              <w:t>Opted out</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Return to sender</w:t>
            </w:r>
          </w:p>
        </w:tc>
        <w:tc>
          <w:tcPr>
            <w:tcW w:w="1071" w:type="dxa"/>
            <w:tcBorders>
              <w:top w:val="single" w:sz="4" w:space="0" w:color="auto"/>
              <w:bottom w:val="single" w:sz="4" w:space="0" w:color="auto"/>
            </w:tcBorders>
          </w:tcPr>
          <w:p w:rsidR="00C07A1B" w:rsidRPr="00DF38B2" w:rsidRDefault="00C07A1B" w:rsidP="006654AE">
            <w:pPr>
              <w:pStyle w:val="tabletextright"/>
            </w:pPr>
            <w:r w:rsidRPr="00DF38B2">
              <w:t>Sample issued to researchers</w:t>
            </w:r>
          </w:p>
        </w:tc>
      </w:tr>
      <w:tr w:rsidR="00C07A1B" w:rsidRPr="00DF38B2" w:rsidTr="009D5B08">
        <w:tc>
          <w:tcPr>
            <w:tcW w:w="1809" w:type="dxa"/>
            <w:tcBorders>
              <w:top w:val="single" w:sz="4" w:space="0" w:color="auto"/>
            </w:tcBorders>
          </w:tcPr>
          <w:p w:rsidR="00C07A1B" w:rsidRPr="00DF38B2" w:rsidRDefault="00C07A1B" w:rsidP="006654AE">
            <w:pPr>
              <w:pStyle w:val="tabletextleft"/>
              <w:jc w:val="left"/>
            </w:pPr>
            <w:r w:rsidRPr="00DF38B2">
              <w:t>Northern Territory - urban</w:t>
            </w:r>
          </w:p>
        </w:tc>
        <w:tc>
          <w:tcPr>
            <w:tcW w:w="1221" w:type="dxa"/>
            <w:tcBorders>
              <w:top w:val="single" w:sz="4" w:space="0" w:color="auto"/>
            </w:tcBorders>
            <w:vAlign w:val="bottom"/>
          </w:tcPr>
          <w:p w:rsidR="00C07A1B" w:rsidRPr="00DF38B2" w:rsidRDefault="00C07A1B" w:rsidP="006654AE">
            <w:pPr>
              <w:pStyle w:val="tabletextright"/>
            </w:pPr>
            <w:r w:rsidRPr="00DF38B2">
              <w:t>3628</w:t>
            </w:r>
          </w:p>
        </w:tc>
        <w:tc>
          <w:tcPr>
            <w:tcW w:w="1068" w:type="dxa"/>
            <w:tcBorders>
              <w:top w:val="single" w:sz="4" w:space="0" w:color="auto"/>
            </w:tcBorders>
            <w:vAlign w:val="bottom"/>
          </w:tcPr>
          <w:p w:rsidR="00C07A1B" w:rsidRPr="00DF38B2" w:rsidRDefault="00C07A1B" w:rsidP="006654AE">
            <w:pPr>
              <w:pStyle w:val="tabletextright"/>
            </w:pPr>
            <w:r w:rsidRPr="00DF38B2">
              <w:t>435</w:t>
            </w:r>
          </w:p>
        </w:tc>
        <w:tc>
          <w:tcPr>
            <w:tcW w:w="1221" w:type="dxa"/>
            <w:tcBorders>
              <w:top w:val="single" w:sz="4" w:space="0" w:color="auto"/>
            </w:tcBorders>
            <w:vAlign w:val="bottom"/>
          </w:tcPr>
          <w:p w:rsidR="00C07A1B" w:rsidRPr="00DF38B2" w:rsidRDefault="00C07A1B" w:rsidP="006654AE">
            <w:pPr>
              <w:pStyle w:val="tabletextright"/>
            </w:pPr>
            <w:r w:rsidRPr="00DF38B2">
              <w:t>3133</w:t>
            </w:r>
          </w:p>
        </w:tc>
        <w:tc>
          <w:tcPr>
            <w:tcW w:w="1036" w:type="dxa"/>
            <w:tcBorders>
              <w:top w:val="single" w:sz="4" w:space="0" w:color="auto"/>
            </w:tcBorders>
            <w:vAlign w:val="bottom"/>
          </w:tcPr>
          <w:p w:rsidR="00C07A1B" w:rsidRPr="00DF38B2" w:rsidRDefault="00C07A1B" w:rsidP="006654AE">
            <w:pPr>
              <w:pStyle w:val="tabletextright"/>
            </w:pPr>
            <w:r w:rsidRPr="00DF38B2">
              <w:t>42</w:t>
            </w:r>
          </w:p>
        </w:tc>
        <w:tc>
          <w:tcPr>
            <w:tcW w:w="992" w:type="dxa"/>
            <w:tcBorders>
              <w:top w:val="single" w:sz="4" w:space="0" w:color="auto"/>
            </w:tcBorders>
            <w:vAlign w:val="bottom"/>
          </w:tcPr>
          <w:p w:rsidR="00C07A1B" w:rsidRPr="00DF38B2" w:rsidRDefault="00C07A1B" w:rsidP="006654AE">
            <w:pPr>
              <w:pStyle w:val="tabletextright"/>
            </w:pPr>
            <w:r w:rsidRPr="00DF38B2">
              <w:t>18</w:t>
            </w:r>
          </w:p>
        </w:tc>
        <w:tc>
          <w:tcPr>
            <w:tcW w:w="1071" w:type="dxa"/>
            <w:tcBorders>
              <w:top w:val="single" w:sz="4" w:space="0" w:color="auto"/>
            </w:tcBorders>
            <w:vAlign w:val="bottom"/>
          </w:tcPr>
          <w:p w:rsidR="00C07A1B" w:rsidRPr="00DF38B2" w:rsidRDefault="00C07A1B" w:rsidP="006654AE">
            <w:pPr>
              <w:pStyle w:val="tabletextright"/>
            </w:pPr>
            <w:r w:rsidRPr="00DF38B2">
              <w:t>3568</w:t>
            </w:r>
          </w:p>
        </w:tc>
      </w:tr>
      <w:tr w:rsidR="00C07A1B" w:rsidRPr="00DF38B2" w:rsidTr="009D5B08">
        <w:tc>
          <w:tcPr>
            <w:tcW w:w="1809" w:type="dxa"/>
          </w:tcPr>
          <w:p w:rsidR="00C07A1B" w:rsidRPr="00DF38B2" w:rsidRDefault="00C07A1B" w:rsidP="006654AE">
            <w:pPr>
              <w:pStyle w:val="tabletextleft"/>
              <w:jc w:val="left"/>
            </w:pPr>
            <w:r w:rsidRPr="00DF38B2">
              <w:t>Northern Territory - remote</w:t>
            </w:r>
          </w:p>
        </w:tc>
        <w:tc>
          <w:tcPr>
            <w:tcW w:w="1221" w:type="dxa"/>
            <w:vAlign w:val="bottom"/>
          </w:tcPr>
          <w:p w:rsidR="00C07A1B" w:rsidRPr="00DF38B2" w:rsidRDefault="00C07A1B" w:rsidP="006654AE">
            <w:pPr>
              <w:pStyle w:val="tabletextright"/>
            </w:pPr>
            <w:r w:rsidRPr="00DF38B2">
              <w:t>493</w:t>
            </w:r>
          </w:p>
        </w:tc>
        <w:tc>
          <w:tcPr>
            <w:tcW w:w="1068" w:type="dxa"/>
            <w:vAlign w:val="bottom"/>
          </w:tcPr>
          <w:p w:rsidR="00C07A1B" w:rsidRPr="00DF38B2" w:rsidRDefault="00C07A1B" w:rsidP="006654AE">
            <w:pPr>
              <w:pStyle w:val="tabletextright"/>
            </w:pPr>
            <w:r w:rsidRPr="00DF38B2">
              <w:t>268</w:t>
            </w:r>
          </w:p>
        </w:tc>
        <w:tc>
          <w:tcPr>
            <w:tcW w:w="1221" w:type="dxa"/>
            <w:vAlign w:val="bottom"/>
          </w:tcPr>
          <w:p w:rsidR="00C07A1B" w:rsidRPr="00DF38B2" w:rsidRDefault="00C07A1B" w:rsidP="006654AE">
            <w:pPr>
              <w:pStyle w:val="tabletextright"/>
            </w:pPr>
            <w:r w:rsidRPr="00DF38B2">
              <w:t>222</w:t>
            </w:r>
          </w:p>
        </w:tc>
        <w:tc>
          <w:tcPr>
            <w:tcW w:w="1036" w:type="dxa"/>
            <w:vAlign w:val="bottom"/>
          </w:tcPr>
          <w:p w:rsidR="00C07A1B" w:rsidRPr="00DF38B2" w:rsidRDefault="00C07A1B" w:rsidP="006654AE">
            <w:pPr>
              <w:pStyle w:val="tabletextright"/>
            </w:pPr>
            <w:r w:rsidRPr="00DF38B2">
              <w:t>1</w:t>
            </w:r>
          </w:p>
        </w:tc>
        <w:tc>
          <w:tcPr>
            <w:tcW w:w="992" w:type="dxa"/>
            <w:vAlign w:val="bottom"/>
          </w:tcPr>
          <w:p w:rsidR="00C07A1B" w:rsidRPr="00DF38B2" w:rsidRDefault="00C07A1B" w:rsidP="006654AE">
            <w:pPr>
              <w:pStyle w:val="tabletextright"/>
            </w:pPr>
            <w:r w:rsidRPr="00DF38B2">
              <w:t>2</w:t>
            </w:r>
          </w:p>
        </w:tc>
        <w:tc>
          <w:tcPr>
            <w:tcW w:w="1071" w:type="dxa"/>
            <w:vAlign w:val="bottom"/>
          </w:tcPr>
          <w:p w:rsidR="00C07A1B" w:rsidRPr="00DF38B2" w:rsidRDefault="00C07A1B" w:rsidP="006654AE">
            <w:pPr>
              <w:pStyle w:val="tabletextright"/>
            </w:pPr>
            <w:r w:rsidRPr="00DF38B2">
              <w:t>490</w:t>
            </w:r>
          </w:p>
        </w:tc>
      </w:tr>
      <w:tr w:rsidR="00C07A1B" w:rsidRPr="00DF38B2" w:rsidTr="009D5B08">
        <w:tc>
          <w:tcPr>
            <w:tcW w:w="1809" w:type="dxa"/>
          </w:tcPr>
          <w:p w:rsidR="00C07A1B" w:rsidRPr="00DF38B2" w:rsidRDefault="00C07A1B" w:rsidP="006654AE">
            <w:pPr>
              <w:pStyle w:val="tabletextleft"/>
              <w:jc w:val="left"/>
            </w:pPr>
            <w:r w:rsidRPr="00DF38B2">
              <w:t>Contrast site A - urban</w:t>
            </w:r>
          </w:p>
        </w:tc>
        <w:tc>
          <w:tcPr>
            <w:tcW w:w="1221" w:type="dxa"/>
            <w:vAlign w:val="bottom"/>
          </w:tcPr>
          <w:p w:rsidR="00C07A1B" w:rsidRPr="00DF38B2" w:rsidRDefault="00C07A1B" w:rsidP="006654AE">
            <w:pPr>
              <w:pStyle w:val="tabletextright"/>
            </w:pPr>
            <w:r w:rsidRPr="00DF38B2">
              <w:t>159</w:t>
            </w:r>
          </w:p>
        </w:tc>
        <w:tc>
          <w:tcPr>
            <w:tcW w:w="1068" w:type="dxa"/>
            <w:vAlign w:val="bottom"/>
          </w:tcPr>
          <w:p w:rsidR="00C07A1B" w:rsidRPr="00DF38B2" w:rsidRDefault="00C07A1B" w:rsidP="006654AE">
            <w:pPr>
              <w:pStyle w:val="tabletextright"/>
            </w:pPr>
            <w:r w:rsidRPr="00DF38B2">
              <w:t>159</w:t>
            </w:r>
          </w:p>
        </w:tc>
        <w:tc>
          <w:tcPr>
            <w:tcW w:w="1221" w:type="dxa"/>
            <w:vAlign w:val="bottom"/>
          </w:tcPr>
          <w:p w:rsidR="00C07A1B" w:rsidRPr="00DF38B2" w:rsidRDefault="00C07A1B" w:rsidP="006654AE">
            <w:pPr>
              <w:pStyle w:val="tabletextright"/>
            </w:pPr>
            <w:r w:rsidRPr="00DF38B2">
              <w:t>-</w:t>
            </w:r>
          </w:p>
        </w:tc>
        <w:tc>
          <w:tcPr>
            <w:tcW w:w="1036" w:type="dxa"/>
            <w:vAlign w:val="bottom"/>
          </w:tcPr>
          <w:p w:rsidR="00C07A1B" w:rsidRPr="00DF38B2" w:rsidRDefault="00C07A1B" w:rsidP="006654AE">
            <w:pPr>
              <w:pStyle w:val="tabletextright"/>
            </w:pPr>
            <w:r w:rsidRPr="00DF38B2">
              <w:t>-</w:t>
            </w:r>
          </w:p>
        </w:tc>
        <w:tc>
          <w:tcPr>
            <w:tcW w:w="992" w:type="dxa"/>
            <w:vAlign w:val="bottom"/>
          </w:tcPr>
          <w:p w:rsidR="00C07A1B" w:rsidRPr="00DF38B2" w:rsidRDefault="00C07A1B" w:rsidP="006654AE">
            <w:pPr>
              <w:pStyle w:val="tabletextright"/>
            </w:pPr>
            <w:r w:rsidRPr="00DF38B2">
              <w:t>-</w:t>
            </w:r>
          </w:p>
        </w:tc>
        <w:tc>
          <w:tcPr>
            <w:tcW w:w="1071" w:type="dxa"/>
            <w:vAlign w:val="bottom"/>
          </w:tcPr>
          <w:p w:rsidR="00C07A1B" w:rsidRPr="00DF38B2" w:rsidRDefault="00C07A1B" w:rsidP="006654AE">
            <w:pPr>
              <w:pStyle w:val="tabletextright"/>
            </w:pPr>
            <w:r w:rsidRPr="00DF38B2">
              <w:t>159</w:t>
            </w:r>
          </w:p>
        </w:tc>
      </w:tr>
      <w:tr w:rsidR="00C07A1B" w:rsidRPr="00DF38B2" w:rsidTr="009D5B08">
        <w:tc>
          <w:tcPr>
            <w:tcW w:w="1809" w:type="dxa"/>
          </w:tcPr>
          <w:p w:rsidR="00C07A1B" w:rsidRPr="00DF38B2" w:rsidRDefault="00C07A1B" w:rsidP="006654AE">
            <w:pPr>
              <w:pStyle w:val="tabletextleft"/>
              <w:jc w:val="left"/>
            </w:pPr>
            <w:r w:rsidRPr="00DF38B2">
              <w:t>Contrast site B - remote</w:t>
            </w:r>
          </w:p>
        </w:tc>
        <w:tc>
          <w:tcPr>
            <w:tcW w:w="1221" w:type="dxa"/>
            <w:vAlign w:val="bottom"/>
          </w:tcPr>
          <w:p w:rsidR="00C07A1B" w:rsidRPr="00DF38B2" w:rsidRDefault="00C07A1B" w:rsidP="006654AE">
            <w:pPr>
              <w:pStyle w:val="tabletextright"/>
            </w:pPr>
            <w:r w:rsidRPr="00DF38B2">
              <w:t>47</w:t>
            </w:r>
          </w:p>
        </w:tc>
        <w:tc>
          <w:tcPr>
            <w:tcW w:w="1068" w:type="dxa"/>
            <w:vAlign w:val="bottom"/>
          </w:tcPr>
          <w:p w:rsidR="00C07A1B" w:rsidRPr="00DF38B2" w:rsidRDefault="00C07A1B" w:rsidP="006654AE">
            <w:pPr>
              <w:pStyle w:val="tabletextright"/>
            </w:pPr>
            <w:r w:rsidRPr="00DF38B2">
              <w:t>47</w:t>
            </w:r>
          </w:p>
        </w:tc>
        <w:tc>
          <w:tcPr>
            <w:tcW w:w="1221" w:type="dxa"/>
            <w:vAlign w:val="bottom"/>
          </w:tcPr>
          <w:p w:rsidR="00C07A1B" w:rsidRPr="00DF38B2" w:rsidRDefault="00C07A1B" w:rsidP="006654AE">
            <w:pPr>
              <w:pStyle w:val="tabletextright"/>
            </w:pPr>
            <w:r w:rsidRPr="00DF38B2">
              <w:t>-</w:t>
            </w:r>
          </w:p>
        </w:tc>
        <w:tc>
          <w:tcPr>
            <w:tcW w:w="1036" w:type="dxa"/>
            <w:vAlign w:val="bottom"/>
          </w:tcPr>
          <w:p w:rsidR="00C07A1B" w:rsidRPr="00DF38B2" w:rsidRDefault="00C07A1B" w:rsidP="006654AE">
            <w:pPr>
              <w:pStyle w:val="tabletextright"/>
            </w:pPr>
            <w:r w:rsidRPr="00DF38B2">
              <w:t>-</w:t>
            </w:r>
          </w:p>
        </w:tc>
        <w:tc>
          <w:tcPr>
            <w:tcW w:w="992" w:type="dxa"/>
            <w:vAlign w:val="bottom"/>
          </w:tcPr>
          <w:p w:rsidR="00C07A1B" w:rsidRPr="00DF38B2" w:rsidRDefault="00C07A1B" w:rsidP="006654AE">
            <w:pPr>
              <w:pStyle w:val="tabletextright"/>
            </w:pPr>
            <w:r w:rsidRPr="00DF38B2">
              <w:t>-</w:t>
            </w:r>
          </w:p>
        </w:tc>
        <w:tc>
          <w:tcPr>
            <w:tcW w:w="1071" w:type="dxa"/>
            <w:vAlign w:val="bottom"/>
          </w:tcPr>
          <w:p w:rsidR="00C07A1B" w:rsidRPr="00DF38B2" w:rsidRDefault="00C07A1B" w:rsidP="006654AE">
            <w:pPr>
              <w:pStyle w:val="tabletextright"/>
            </w:pPr>
            <w:r w:rsidRPr="00DF38B2">
              <w:t>47</w:t>
            </w:r>
          </w:p>
        </w:tc>
      </w:tr>
      <w:tr w:rsidR="00C07A1B" w:rsidRPr="00DF38B2" w:rsidTr="009D5B08">
        <w:tc>
          <w:tcPr>
            <w:tcW w:w="1809" w:type="dxa"/>
            <w:tcBorders>
              <w:bottom w:val="single" w:sz="4" w:space="0" w:color="auto"/>
            </w:tcBorders>
          </w:tcPr>
          <w:p w:rsidR="00C07A1B" w:rsidRPr="00DF38B2" w:rsidRDefault="00C07A1B" w:rsidP="006654AE">
            <w:pPr>
              <w:pStyle w:val="tabletextleft"/>
              <w:jc w:val="left"/>
            </w:pPr>
            <w:r w:rsidRPr="00DF38B2">
              <w:t>Total</w:t>
            </w:r>
          </w:p>
        </w:tc>
        <w:tc>
          <w:tcPr>
            <w:tcW w:w="1221" w:type="dxa"/>
            <w:tcBorders>
              <w:bottom w:val="single" w:sz="4" w:space="0" w:color="auto"/>
            </w:tcBorders>
            <w:vAlign w:val="bottom"/>
          </w:tcPr>
          <w:p w:rsidR="00C07A1B" w:rsidRPr="00DF38B2" w:rsidRDefault="00C07A1B" w:rsidP="006654AE">
            <w:pPr>
              <w:pStyle w:val="tabletextleft"/>
              <w:jc w:val="right"/>
            </w:pPr>
            <w:r w:rsidRPr="00DF38B2">
              <w:t>4327</w:t>
            </w:r>
          </w:p>
        </w:tc>
        <w:tc>
          <w:tcPr>
            <w:tcW w:w="1068" w:type="dxa"/>
            <w:tcBorders>
              <w:bottom w:val="single" w:sz="4" w:space="0" w:color="auto"/>
            </w:tcBorders>
            <w:vAlign w:val="bottom"/>
          </w:tcPr>
          <w:p w:rsidR="00C07A1B" w:rsidRPr="00DF38B2" w:rsidRDefault="00C07A1B" w:rsidP="006654AE">
            <w:pPr>
              <w:pStyle w:val="tabletextleft"/>
              <w:jc w:val="right"/>
            </w:pPr>
            <w:r w:rsidRPr="00DF38B2">
              <w:t>909</w:t>
            </w:r>
          </w:p>
        </w:tc>
        <w:tc>
          <w:tcPr>
            <w:tcW w:w="1221" w:type="dxa"/>
            <w:tcBorders>
              <w:bottom w:val="single" w:sz="4" w:space="0" w:color="auto"/>
            </w:tcBorders>
            <w:vAlign w:val="bottom"/>
          </w:tcPr>
          <w:p w:rsidR="00C07A1B" w:rsidRPr="00DF38B2" w:rsidRDefault="00C07A1B" w:rsidP="006654AE">
            <w:pPr>
              <w:pStyle w:val="tabletextleft"/>
              <w:jc w:val="right"/>
            </w:pPr>
            <w:r w:rsidRPr="00DF38B2">
              <w:t>3355</w:t>
            </w:r>
          </w:p>
        </w:tc>
        <w:tc>
          <w:tcPr>
            <w:tcW w:w="1036" w:type="dxa"/>
            <w:tcBorders>
              <w:bottom w:val="single" w:sz="4" w:space="0" w:color="auto"/>
            </w:tcBorders>
            <w:vAlign w:val="bottom"/>
          </w:tcPr>
          <w:p w:rsidR="00C07A1B" w:rsidRPr="00DF38B2" w:rsidRDefault="00C07A1B" w:rsidP="006654AE">
            <w:pPr>
              <w:pStyle w:val="tabletextleft"/>
              <w:jc w:val="right"/>
            </w:pPr>
            <w:r w:rsidRPr="00DF38B2">
              <w:t>43</w:t>
            </w:r>
          </w:p>
        </w:tc>
        <w:tc>
          <w:tcPr>
            <w:tcW w:w="992" w:type="dxa"/>
            <w:tcBorders>
              <w:bottom w:val="single" w:sz="4" w:space="0" w:color="auto"/>
            </w:tcBorders>
            <w:vAlign w:val="bottom"/>
          </w:tcPr>
          <w:p w:rsidR="00C07A1B" w:rsidRPr="00DF38B2" w:rsidRDefault="00C07A1B" w:rsidP="006654AE">
            <w:pPr>
              <w:pStyle w:val="tabletextleft"/>
              <w:jc w:val="right"/>
            </w:pPr>
            <w:r w:rsidRPr="00DF38B2">
              <w:t>20</w:t>
            </w:r>
          </w:p>
        </w:tc>
        <w:tc>
          <w:tcPr>
            <w:tcW w:w="1071" w:type="dxa"/>
            <w:tcBorders>
              <w:bottom w:val="single" w:sz="4" w:space="0" w:color="auto"/>
            </w:tcBorders>
            <w:vAlign w:val="bottom"/>
          </w:tcPr>
          <w:p w:rsidR="00C07A1B" w:rsidRPr="00DF38B2" w:rsidRDefault="00C07A1B" w:rsidP="006654AE">
            <w:pPr>
              <w:pStyle w:val="tabletextleft"/>
              <w:jc w:val="right"/>
            </w:pPr>
            <w:r w:rsidRPr="00DF38B2">
              <w:t>4264</w:t>
            </w:r>
          </w:p>
        </w:tc>
      </w:tr>
    </w:tbl>
    <w:p w:rsidR="001E07F5" w:rsidRPr="00DF38B2" w:rsidRDefault="001E07F5" w:rsidP="006654AE"/>
    <w:p w:rsidR="001E07F5" w:rsidRPr="00DF38B2" w:rsidRDefault="001E07F5" w:rsidP="006654AE">
      <w:r w:rsidRPr="00DF38B2">
        <w:t xml:space="preserve">There were a number of people who chose to opt out of the research after the sample had been provided to Colmar </w:t>
      </w:r>
      <w:proofErr w:type="spellStart"/>
      <w:r w:rsidRPr="00DF38B2">
        <w:t>Brunton</w:t>
      </w:r>
      <w:proofErr w:type="spellEnd"/>
      <w:r w:rsidR="00A1421A">
        <w:t xml:space="preserve">. </w:t>
      </w:r>
      <w:r w:rsidRPr="00DF38B2">
        <w:t xml:space="preserve">This group </w:t>
      </w:r>
      <w:r w:rsidR="001F5B7B">
        <w:t xml:space="preserve">of people </w:t>
      </w:r>
      <w:r w:rsidRPr="00DF38B2">
        <w:t>were removed from the research and a status of “opt out” recorded</w:t>
      </w:r>
      <w:r w:rsidR="00A1421A">
        <w:t xml:space="preserve">. </w:t>
      </w:r>
      <w:r w:rsidRPr="00DF38B2">
        <w:t xml:space="preserve">No person who was known to have opted out of the study was contacted by Colmar </w:t>
      </w:r>
      <w:proofErr w:type="spellStart"/>
      <w:r w:rsidRPr="00DF38B2">
        <w:t>Brunton</w:t>
      </w:r>
      <w:proofErr w:type="spellEnd"/>
      <w:r w:rsidRPr="00DF38B2">
        <w:t>.</w:t>
      </w:r>
    </w:p>
    <w:p w:rsidR="001E07F5" w:rsidRPr="00DF38B2" w:rsidRDefault="001E07F5" w:rsidP="006654AE">
      <w:r w:rsidRPr="00DF38B2">
        <w:t xml:space="preserve">Wave 1 Follow Up participants who had moved interstate or to other sites were included in the Wave 2 sample and all attempts to follow up an interview were made either by telephone or </w:t>
      </w:r>
      <w:r w:rsidR="00484A16">
        <w:t>face-to-face</w:t>
      </w:r>
      <w:r w:rsidRPr="00DF38B2">
        <w:t xml:space="preserve">. Potential participants from Wave 2 Top Up sample who had moved from the address provided and were no longer in the selected sites were recorded as </w:t>
      </w:r>
      <w:r w:rsidR="004F5B58">
        <w:t>“</w:t>
      </w:r>
      <w:r w:rsidRPr="00DF38B2">
        <w:t>Out of Scope</w:t>
      </w:r>
      <w:r w:rsidR="004F5B58">
        <w:t>”</w:t>
      </w:r>
      <w:r w:rsidR="00A1421A">
        <w:t xml:space="preserve">. </w:t>
      </w:r>
      <w:r w:rsidRPr="00DF38B2">
        <w:t xml:space="preserve">People in this group were not allocated to interviewers. A Wave 2 Top Up sample for the contrast sites was not provided by </w:t>
      </w:r>
      <w:r w:rsidR="007E5C25">
        <w:t>DSS</w:t>
      </w:r>
      <w:r w:rsidRPr="00DF38B2">
        <w:t>.</w:t>
      </w:r>
    </w:p>
    <w:p w:rsidR="001E07F5" w:rsidRPr="00DF38B2" w:rsidRDefault="001E07F5" w:rsidP="006654AE">
      <w:pPr>
        <w:pStyle w:val="aphead1"/>
      </w:pPr>
      <w:r w:rsidRPr="00DF38B2">
        <w:t>Fieldwork administration</w:t>
      </w:r>
    </w:p>
    <w:p w:rsidR="001E07F5" w:rsidRPr="00DF38B2" w:rsidRDefault="001E07F5" w:rsidP="006654AE">
      <w:pPr>
        <w:pStyle w:val="aphead2"/>
      </w:pPr>
      <w:r w:rsidRPr="00DF38B2">
        <w:t>Recruitment of interviewers</w:t>
      </w:r>
    </w:p>
    <w:p w:rsidR="001E07F5" w:rsidRPr="00DF38B2" w:rsidRDefault="001E07F5" w:rsidP="006654AE">
      <w:r w:rsidRPr="00DF38B2">
        <w:t xml:space="preserve">Interviewers were recruited from Colmar </w:t>
      </w:r>
      <w:proofErr w:type="spellStart"/>
      <w:r w:rsidRPr="00DF38B2">
        <w:t>Brunton’s</w:t>
      </w:r>
      <w:proofErr w:type="spellEnd"/>
      <w:r w:rsidRPr="00DF38B2">
        <w:t xml:space="preserve"> pool of casual staff and individual sub-contractors</w:t>
      </w:r>
      <w:r w:rsidR="00A1421A">
        <w:t xml:space="preserve">. </w:t>
      </w:r>
      <w:r w:rsidRPr="00DF38B2">
        <w:t xml:space="preserve">Additional interviewers were sourced by Colmar </w:t>
      </w:r>
      <w:proofErr w:type="spellStart"/>
      <w:r w:rsidRPr="00DF38B2">
        <w:t>Brunton</w:t>
      </w:r>
      <w:proofErr w:type="spellEnd"/>
      <w:r w:rsidRPr="00DF38B2">
        <w:t xml:space="preserve"> from </w:t>
      </w:r>
      <w:proofErr w:type="spellStart"/>
      <w:r w:rsidRPr="00DF38B2">
        <w:t>ARPNet</w:t>
      </w:r>
      <w:proofErr w:type="spellEnd"/>
      <w:r w:rsidRPr="00DF38B2">
        <w:t xml:space="preserve"> at Charles Darwin University, </w:t>
      </w:r>
      <w:proofErr w:type="spellStart"/>
      <w:r w:rsidRPr="00DF38B2">
        <w:t>Tangentyere</w:t>
      </w:r>
      <w:proofErr w:type="spellEnd"/>
      <w:r w:rsidRPr="00DF38B2">
        <w:t xml:space="preserve"> Research Hub</w:t>
      </w:r>
      <w:r w:rsidR="004F5B58">
        <w:t>,</w:t>
      </w:r>
      <w:r w:rsidRPr="00DF38B2">
        <w:t xml:space="preserve"> and </w:t>
      </w:r>
      <w:proofErr w:type="spellStart"/>
      <w:r w:rsidRPr="00DF38B2">
        <w:t>Bowchung</w:t>
      </w:r>
      <w:proofErr w:type="spellEnd"/>
      <w:r w:rsidRPr="00DF38B2">
        <w:t xml:space="preserve"> Pty Ltd</w:t>
      </w:r>
      <w:r w:rsidR="00A1421A">
        <w:t xml:space="preserve">. </w:t>
      </w:r>
      <w:r w:rsidRPr="00DF38B2">
        <w:t xml:space="preserve">A total of 38 interviewers were involved in the research, with some working in multiple locations. Just under half of the interviewers had previous experience with the research, most of </w:t>
      </w:r>
      <w:proofErr w:type="gramStart"/>
      <w:r w:rsidRPr="00DF38B2">
        <w:t>who</w:t>
      </w:r>
      <w:r w:rsidR="004F5B58">
        <w:t>m</w:t>
      </w:r>
      <w:proofErr w:type="gramEnd"/>
      <w:r w:rsidRPr="00DF38B2">
        <w:t xml:space="preserve"> were involved in Wave 1 fieldwork</w:t>
      </w:r>
      <w:r w:rsidR="00A1421A">
        <w:t xml:space="preserve">. </w:t>
      </w:r>
      <w:r w:rsidRPr="00DF38B2">
        <w:t>The majority of interviewers were Indigenous, and approximately two</w:t>
      </w:r>
      <w:r w:rsidR="004F5B58">
        <w:t>-</w:t>
      </w:r>
      <w:r w:rsidRPr="00DF38B2">
        <w:t>thirds had experienced being on income management at some time.</w:t>
      </w:r>
    </w:p>
    <w:p w:rsidR="001E07F5" w:rsidRPr="00DF38B2" w:rsidRDefault="001E07F5" w:rsidP="006654AE">
      <w:pPr>
        <w:pStyle w:val="aphead2"/>
      </w:pPr>
      <w:r w:rsidRPr="00DF38B2">
        <w:lastRenderedPageBreak/>
        <w:t>Training of interviewers</w:t>
      </w:r>
    </w:p>
    <w:p w:rsidR="001E07F5" w:rsidRPr="00DF38B2" w:rsidRDefault="001E07F5" w:rsidP="006654AE">
      <w:r w:rsidRPr="00DF38B2">
        <w:t xml:space="preserve">Colmar </w:t>
      </w:r>
      <w:proofErr w:type="spellStart"/>
      <w:r w:rsidRPr="00DF38B2">
        <w:t>Brunton</w:t>
      </w:r>
      <w:proofErr w:type="spellEnd"/>
      <w:r w:rsidRPr="00DF38B2">
        <w:t xml:space="preserve"> held workshops in each area to familiarise interviewers with the fieldwork material and train them in the use of technology (iPads) used to conduct the fieldwork</w:t>
      </w:r>
      <w:r w:rsidR="00A1421A">
        <w:t xml:space="preserve">. </w:t>
      </w:r>
      <w:r w:rsidRPr="00DF38B2">
        <w:t xml:space="preserve">Workshops were held between August and October 2013. Each team included interviewers who were involved with fieldwork in Wave 1 of the research. Wherever possible, new interviewers were paired with experienced interviewers. Field leaders were assigned to each fieldwork team and could access support from a Colmar </w:t>
      </w:r>
      <w:proofErr w:type="spellStart"/>
      <w:r w:rsidRPr="00DF38B2">
        <w:t>Brunton</w:t>
      </w:r>
      <w:proofErr w:type="spellEnd"/>
      <w:r w:rsidRPr="00DF38B2">
        <w:t xml:space="preserve"> Project Manager, as required, throughout the period of the fieldwork.</w:t>
      </w:r>
    </w:p>
    <w:p w:rsidR="001E07F5" w:rsidRPr="00DF38B2" w:rsidRDefault="001E07F5" w:rsidP="006654AE">
      <w:pPr>
        <w:pStyle w:val="aphead2"/>
      </w:pPr>
      <w:r w:rsidRPr="00DF38B2">
        <w:t>Encouraging participation</w:t>
      </w:r>
    </w:p>
    <w:p w:rsidR="001E07F5" w:rsidRPr="00DF38B2" w:rsidRDefault="001E07F5" w:rsidP="006654AE">
      <w:r w:rsidRPr="00DF38B2">
        <w:t xml:space="preserve">A significant factor in the successful engagement with Indigenous communities was the involvement of Indigenous interviewers who were known or known through association to the participants. The research would not have been able to be conducted without the expertise of the </w:t>
      </w:r>
      <w:proofErr w:type="spellStart"/>
      <w:r w:rsidRPr="00DF38B2">
        <w:t>Tangentyere</w:t>
      </w:r>
      <w:proofErr w:type="spellEnd"/>
      <w:r w:rsidRPr="00DF38B2">
        <w:t xml:space="preserve"> Research Hub, </w:t>
      </w:r>
      <w:proofErr w:type="spellStart"/>
      <w:r w:rsidRPr="00DF38B2">
        <w:t>ARPNet</w:t>
      </w:r>
      <w:proofErr w:type="spellEnd"/>
      <w:r w:rsidRPr="00DF38B2">
        <w:t xml:space="preserve"> and Colmar </w:t>
      </w:r>
      <w:proofErr w:type="spellStart"/>
      <w:r w:rsidRPr="00DF38B2">
        <w:t>Brunton</w:t>
      </w:r>
      <w:proofErr w:type="spellEnd"/>
      <w:r w:rsidRPr="00DF38B2">
        <w:t xml:space="preserve"> Indigenous researchers and subcontractors.</w:t>
      </w:r>
    </w:p>
    <w:p w:rsidR="001E07F5" w:rsidRPr="00DF38B2" w:rsidRDefault="001E07F5" w:rsidP="006654AE">
      <w:r w:rsidRPr="00DF38B2">
        <w:t>Non-Indigenous participants were more difficult to engage in the Northern Territory compared to the urban comparison site location. Many were disinterested in participating and although some were unhappy about being on income management, this did not appear to be the reason that they did not wish to participate. Some participants had other sources of income and were not interested in the policy or the impact on themselves, and, in many cases, were quite apathetic about it.</w:t>
      </w:r>
    </w:p>
    <w:p w:rsidR="001E07F5" w:rsidRPr="00DF38B2" w:rsidRDefault="001E07F5" w:rsidP="006654AE">
      <w:r w:rsidRPr="00DF38B2">
        <w:t>Alice Springs proved to be the most difficult site to engage both Indigenous and non-Indigenous participants in Wave 2</w:t>
      </w:r>
      <w:r w:rsidR="00A1421A">
        <w:t xml:space="preserve">. </w:t>
      </w:r>
      <w:r w:rsidRPr="00DF38B2">
        <w:t xml:space="preserve">It is not clear why this was the case; however, interviewers had great difficulty in contacting participants or securing interviews when they were able to establish contact. In many cases, participants did not make themselves available for appointments even after these were booked. </w:t>
      </w:r>
    </w:p>
    <w:p w:rsidR="001E07F5" w:rsidRPr="00DF38B2" w:rsidRDefault="001E07F5" w:rsidP="006654AE">
      <w:r w:rsidRPr="00DF38B2">
        <w:t>The option to immediately complete the survey appeared to be preferable to many participants and interviewers had more success in recruiting participants where they offered to conduct the research over the telephone. This pattern was evident in the urban areas but was not the case in more remote communities.</w:t>
      </w:r>
    </w:p>
    <w:p w:rsidR="001E07F5" w:rsidRPr="00DF38B2" w:rsidRDefault="001E07F5" w:rsidP="006654AE">
      <w:r w:rsidRPr="00DF38B2">
        <w:t xml:space="preserve">As in Wave 1, an incentive was provided to participants who took part in Wave 2 of the research. In the major urban centres a $30 gift cards were issued through Coles Supermarket stores with restrictions placed on the purchase of alcohol and tobacco. Participants who were interviewed in Wave 1 were familiar with the gift card process and these incentives were more readily accepted in the urban locations. In the remote communities, arrangements were made to obtain vouchers equating to $30 through the local community stores. This sometimes included a combination of store vouchers and power cards. </w:t>
      </w:r>
    </w:p>
    <w:p w:rsidR="001E07F5" w:rsidRPr="00DF38B2" w:rsidRDefault="001E07F5" w:rsidP="006654AE">
      <w:pPr>
        <w:pStyle w:val="aphead1"/>
      </w:pPr>
      <w:r w:rsidRPr="00DF38B2">
        <w:t>Quantitative data</w:t>
      </w:r>
    </w:p>
    <w:p w:rsidR="001E07F5" w:rsidRPr="00DF38B2" w:rsidRDefault="001E07F5" w:rsidP="006654AE">
      <w:r w:rsidRPr="00DF38B2">
        <w:t>The Longitudinal Study for New Income Management Survey (Wave 2) was used to collect data for quantitative analysis. The survey used in Wave 1 was revised for the Wave 2 fieldwork</w:t>
      </w:r>
      <w:r w:rsidR="00A1421A">
        <w:t xml:space="preserve">. </w:t>
      </w:r>
      <w:r w:rsidRPr="00DF38B2">
        <w:t xml:space="preserve">This revision was undertaken by representatives from University on New South Wales, Australian National University, DSS and Colmar </w:t>
      </w:r>
      <w:proofErr w:type="spellStart"/>
      <w:r w:rsidRPr="00DF38B2">
        <w:t>Brunton</w:t>
      </w:r>
      <w:proofErr w:type="spellEnd"/>
      <w:r w:rsidR="00A1421A">
        <w:t xml:space="preserve">. </w:t>
      </w:r>
      <w:r w:rsidRPr="00DF38B2">
        <w:t xml:space="preserve">Indigenous researchers with </w:t>
      </w:r>
      <w:proofErr w:type="spellStart"/>
      <w:r w:rsidRPr="00DF38B2">
        <w:t>Tangentyere</w:t>
      </w:r>
      <w:proofErr w:type="spellEnd"/>
      <w:r w:rsidRPr="00DF38B2">
        <w:t xml:space="preserve"> also provided feedback on the revised questionnaire to ensure appropriate cultural and language issues were considered. </w:t>
      </w:r>
    </w:p>
    <w:p w:rsidR="001E07F5" w:rsidRPr="00DF38B2" w:rsidRDefault="001E07F5" w:rsidP="006654AE">
      <w:pPr>
        <w:pStyle w:val="aphead2"/>
      </w:pPr>
      <w:r w:rsidRPr="00DF38B2">
        <w:t>Administration of the surveys</w:t>
      </w:r>
    </w:p>
    <w:p w:rsidR="001E07F5" w:rsidRPr="00DF38B2" w:rsidRDefault="001E07F5" w:rsidP="006654AE">
      <w:r w:rsidRPr="00DF38B2">
        <w:t>The surveys were administered using Computer Assisted Personal Interviewing (CAPI) on Apple iPads</w:t>
      </w:r>
      <w:r w:rsidR="00A1421A">
        <w:t xml:space="preserve">. </w:t>
      </w:r>
      <w:r w:rsidRPr="00DF38B2">
        <w:t>The survey was scripted into an online HTML version and survey responses were entered directly into the online collection system</w:t>
      </w:r>
      <w:r w:rsidR="00A1421A">
        <w:t xml:space="preserve">. </w:t>
      </w:r>
      <w:r w:rsidRPr="00DF38B2">
        <w:t>Where Internet connectivity was poor or not available hardcopy surveys were used</w:t>
      </w:r>
      <w:r w:rsidR="00A1421A">
        <w:t xml:space="preserve">. </w:t>
      </w:r>
      <w:r w:rsidRPr="00DF38B2">
        <w:t>Data from the hardcopy surveys was later entered manually into the online collection system. Qualitative statements and comments made during the surveys were recorded on a survey notes page and later manually entered into MS-Excel for analysis purposes.</w:t>
      </w:r>
    </w:p>
    <w:p w:rsidR="001E07F5" w:rsidRPr="00DF38B2" w:rsidRDefault="001E07F5" w:rsidP="006654AE">
      <w:r w:rsidRPr="00DF38B2">
        <w:t xml:space="preserve">The average length of time taken to complete the survey in the Northern Territory was </w:t>
      </w:r>
      <w:r w:rsidR="00CC6215">
        <w:t>43</w:t>
      </w:r>
      <w:r w:rsidRPr="00DF38B2">
        <w:t xml:space="preserve"> minutes</w:t>
      </w:r>
      <w:r w:rsidR="00A1421A">
        <w:t xml:space="preserve">. </w:t>
      </w:r>
      <w:r w:rsidRPr="00DF38B2">
        <w:t xml:space="preserve">The comparisons sites tended to involve a shorter survey completion rate, averaging </w:t>
      </w:r>
      <w:r w:rsidR="00CC6215">
        <w:t xml:space="preserve">20 </w:t>
      </w:r>
      <w:r w:rsidRPr="00DF38B2">
        <w:t>minutes.</w:t>
      </w:r>
    </w:p>
    <w:p w:rsidR="001E07F5" w:rsidRPr="00DF38B2" w:rsidRDefault="001E07F5" w:rsidP="006654AE">
      <w:pPr>
        <w:pStyle w:val="aphead2"/>
      </w:pPr>
      <w:r w:rsidRPr="00DF38B2">
        <w:lastRenderedPageBreak/>
        <w:t>Completed Surveys</w:t>
      </w:r>
    </w:p>
    <w:p w:rsidR="001E07F5" w:rsidRPr="00DF38B2" w:rsidRDefault="001E07F5" w:rsidP="006654AE">
      <w:r w:rsidRPr="00DF38B2">
        <w:t>The research aimed to complete 1000 surveys in the Northern Territory sites and 300 surveys in comparison sites</w:t>
      </w:r>
      <w:r w:rsidR="00A1421A">
        <w:t xml:space="preserve">. </w:t>
      </w:r>
      <w:r w:rsidRPr="00DF38B2">
        <w:t xml:space="preserve">During the fieldwork, a total of 924 surveys were completed in the Northern Territory and a further 159 surveys completed in the comparison sites. The cohort sample size in the comparison sites was insufficient to reach the desired targets as a Wave 2 Top Up sample was not provided by </w:t>
      </w:r>
      <w:r w:rsidR="007E5C25">
        <w:t>DSS</w:t>
      </w:r>
      <w:r w:rsidRPr="00DF38B2">
        <w:t>.</w:t>
      </w:r>
    </w:p>
    <w:p w:rsidR="001E07F5" w:rsidRPr="00DF38B2" w:rsidRDefault="001E07F5" w:rsidP="006654AE">
      <w:r w:rsidRPr="00DF38B2">
        <w:t>Of the 909 participants from Wave 1 who agreed to be contacted again for Wave 2, 598 participants completed the Wave 2 survey (66</w:t>
      </w:r>
      <w:r w:rsidR="00D134EF">
        <w:t xml:space="preserve"> per cent</w:t>
      </w:r>
      <w:r w:rsidRPr="00DF38B2">
        <w:t>)</w:t>
      </w:r>
      <w:r w:rsidR="00A1421A">
        <w:t xml:space="preserve">. </w:t>
      </w:r>
      <w:r w:rsidRPr="00DF38B2">
        <w:t>There were a further 485 surveys completed as part of the Wave 2 Top Up cohort, reaching a total of 1083 surveys completed</w:t>
      </w:r>
      <w:r w:rsidR="00A1421A">
        <w:t xml:space="preserve">. </w:t>
      </w:r>
      <w:r w:rsidRPr="00DF38B2">
        <w:t>As the fieldwork period progressed, priority was placed on contacting the Wave 1 Follow Up cohort in the Northern Territory</w:t>
      </w:r>
      <w:r w:rsidR="00A1421A">
        <w:t xml:space="preserve">. </w:t>
      </w:r>
      <w:r w:rsidRPr="00DF38B2">
        <w:t>The Wave 2 Top Up cohort was not as actively pursued</w:t>
      </w:r>
      <w:r w:rsidR="00A1421A">
        <w:t xml:space="preserve">. </w:t>
      </w:r>
    </w:p>
    <w:p w:rsidR="001E07F5" w:rsidRPr="00DF38B2" w:rsidRDefault="001E07F5" w:rsidP="006654AE">
      <w:pPr>
        <w:pStyle w:val="Caption"/>
      </w:pPr>
      <w:r w:rsidRPr="00DF38B2">
        <w:t>Table 2: Summary of survey outcomes</w:t>
      </w:r>
    </w:p>
    <w:tbl>
      <w:tblPr>
        <w:tblStyle w:val="TableGrid1"/>
        <w:tblW w:w="9409" w:type="dxa"/>
        <w:jc w:val="center"/>
        <w:tblInd w:w="80" w:type="dxa"/>
        <w:tblLayout w:type="fixed"/>
        <w:tblLook w:val="04A0" w:firstRow="1" w:lastRow="0" w:firstColumn="1" w:lastColumn="0" w:noHBand="0" w:noVBand="1"/>
        <w:tblDescription w:val="This table has two horizontal panels the first relates to the first wave follow up population and the second to the Wave 2 top up population. Within these panels the rows relate to the extent to which contact was made and people agreed to participate while the columns provide details on demographic characteristics including Indigeneity, gender and location."/>
      </w:tblPr>
      <w:tblGrid>
        <w:gridCol w:w="1304"/>
        <w:gridCol w:w="2495"/>
        <w:gridCol w:w="548"/>
        <w:gridCol w:w="639"/>
        <w:gridCol w:w="591"/>
        <w:gridCol w:w="581"/>
        <w:gridCol w:w="600"/>
        <w:gridCol w:w="520"/>
        <w:gridCol w:w="583"/>
        <w:gridCol w:w="868"/>
        <w:gridCol w:w="680"/>
      </w:tblGrid>
      <w:tr w:rsidR="00880014" w:rsidRPr="00880014" w:rsidTr="00880014">
        <w:trPr>
          <w:cantSplit/>
          <w:trHeight w:val="20"/>
          <w:tblHeader/>
          <w:jc w:val="center"/>
        </w:trPr>
        <w:tc>
          <w:tcPr>
            <w:tcW w:w="1304" w:type="dxa"/>
            <w:tcBorders>
              <w:top w:val="single" w:sz="4" w:space="0" w:color="auto"/>
              <w:left w:val="nil"/>
              <w:bottom w:val="single" w:sz="4" w:space="0" w:color="auto"/>
              <w:right w:val="nil"/>
            </w:tcBorders>
          </w:tcPr>
          <w:p w:rsidR="00880014" w:rsidRPr="00880014" w:rsidRDefault="00880014" w:rsidP="006654AE">
            <w:pPr>
              <w:pStyle w:val="tabletextleft"/>
              <w:rPr>
                <w:sz w:val="16"/>
                <w:szCs w:val="16"/>
              </w:rPr>
            </w:pPr>
          </w:p>
        </w:tc>
        <w:tc>
          <w:tcPr>
            <w:tcW w:w="2495" w:type="dxa"/>
            <w:tcBorders>
              <w:top w:val="single" w:sz="4" w:space="0" w:color="auto"/>
              <w:left w:val="nil"/>
              <w:bottom w:val="single" w:sz="4" w:space="0" w:color="auto"/>
              <w:right w:val="nil"/>
            </w:tcBorders>
            <w:tcMar>
              <w:left w:w="28" w:type="dxa"/>
              <w:right w:w="28" w:type="dxa"/>
            </w:tcMar>
          </w:tcPr>
          <w:p w:rsidR="00880014" w:rsidRPr="00880014" w:rsidRDefault="00880014" w:rsidP="006654AE">
            <w:pPr>
              <w:pStyle w:val="tabletextleft"/>
              <w:rPr>
                <w:sz w:val="16"/>
                <w:szCs w:val="16"/>
              </w:rPr>
            </w:pPr>
          </w:p>
        </w:tc>
        <w:tc>
          <w:tcPr>
            <w:tcW w:w="548"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Total</w:t>
            </w:r>
          </w:p>
        </w:tc>
        <w:tc>
          <w:tcPr>
            <w:tcW w:w="639"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880014">
            <w:pPr>
              <w:pStyle w:val="tabletextleft"/>
              <w:jc w:val="right"/>
              <w:rPr>
                <w:sz w:val="16"/>
                <w:szCs w:val="16"/>
              </w:rPr>
            </w:pPr>
            <w:proofErr w:type="spellStart"/>
            <w:r w:rsidRPr="00880014">
              <w:rPr>
                <w:sz w:val="16"/>
                <w:szCs w:val="16"/>
              </w:rPr>
              <w:t>Indig</w:t>
            </w:r>
            <w:proofErr w:type="spellEnd"/>
            <w:r w:rsidRPr="00880014">
              <w:rPr>
                <w:sz w:val="16"/>
                <w:szCs w:val="16"/>
              </w:rPr>
              <w:t>.</w:t>
            </w:r>
          </w:p>
        </w:tc>
        <w:tc>
          <w:tcPr>
            <w:tcW w:w="591"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 xml:space="preserve">Non- </w:t>
            </w:r>
            <w:proofErr w:type="spellStart"/>
            <w:r w:rsidRPr="00880014">
              <w:rPr>
                <w:sz w:val="16"/>
                <w:szCs w:val="16"/>
              </w:rPr>
              <w:t>Indig</w:t>
            </w:r>
            <w:proofErr w:type="spellEnd"/>
            <w:r w:rsidRPr="00880014">
              <w:rPr>
                <w:sz w:val="16"/>
                <w:szCs w:val="16"/>
              </w:rPr>
              <w:t>.</w:t>
            </w:r>
          </w:p>
        </w:tc>
        <w:tc>
          <w:tcPr>
            <w:tcW w:w="581"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Male</w:t>
            </w:r>
          </w:p>
        </w:tc>
        <w:tc>
          <w:tcPr>
            <w:tcW w:w="60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Female</w:t>
            </w:r>
          </w:p>
        </w:tc>
        <w:tc>
          <w:tcPr>
            <w:tcW w:w="52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Urban</w:t>
            </w:r>
          </w:p>
        </w:tc>
        <w:tc>
          <w:tcPr>
            <w:tcW w:w="583"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Re-mote</w:t>
            </w:r>
          </w:p>
        </w:tc>
        <w:tc>
          <w:tcPr>
            <w:tcW w:w="868"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Northern Territory</w:t>
            </w:r>
          </w:p>
        </w:tc>
        <w:tc>
          <w:tcPr>
            <w:tcW w:w="68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proofErr w:type="spellStart"/>
            <w:r w:rsidRPr="00880014">
              <w:rPr>
                <w:sz w:val="16"/>
                <w:szCs w:val="16"/>
              </w:rPr>
              <w:t>Compar-ison</w:t>
            </w:r>
            <w:proofErr w:type="spellEnd"/>
            <w:r w:rsidRPr="00880014">
              <w:rPr>
                <w:sz w:val="16"/>
                <w:szCs w:val="16"/>
              </w:rPr>
              <w:t xml:space="preserve"> sites</w:t>
            </w:r>
          </w:p>
        </w:tc>
      </w:tr>
      <w:tr w:rsidR="00880014" w:rsidRPr="00880014" w:rsidTr="0060639D">
        <w:trPr>
          <w:cantSplit/>
          <w:trHeight w:val="20"/>
          <w:jc w:val="center"/>
        </w:trPr>
        <w:tc>
          <w:tcPr>
            <w:tcW w:w="1304" w:type="dxa"/>
            <w:vMerge w:val="restart"/>
            <w:tcBorders>
              <w:top w:val="nil"/>
              <w:left w:val="nil"/>
              <w:right w:val="nil"/>
            </w:tcBorders>
          </w:tcPr>
          <w:p w:rsidR="00880014" w:rsidRPr="00880014" w:rsidRDefault="00880014" w:rsidP="0060639D">
            <w:pPr>
              <w:pStyle w:val="tabletextleft"/>
              <w:ind w:left="284" w:hanging="284"/>
              <w:jc w:val="left"/>
              <w:rPr>
                <w:sz w:val="16"/>
                <w:szCs w:val="16"/>
              </w:rPr>
            </w:pPr>
            <w:r w:rsidRPr="00880014">
              <w:rPr>
                <w:sz w:val="16"/>
                <w:szCs w:val="16"/>
              </w:rPr>
              <w:t>Wave 1 follow up</w:t>
            </w: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Agreed to be re-contacted for W2</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909</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630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279</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307</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602</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594</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315</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703</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206</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unable to be contacted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226</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167</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147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133</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93</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197</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 xml:space="preserve">Number who refused </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56</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24</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32</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51</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out of scope</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14</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60639D">
        <w:trPr>
          <w:cantSplit/>
          <w:trHeight w:val="20"/>
          <w:jc w:val="center"/>
        </w:trPr>
        <w:tc>
          <w:tcPr>
            <w:tcW w:w="1304" w:type="dxa"/>
            <w:vMerge/>
            <w:tcBorders>
              <w:left w:val="nil"/>
              <w:bottom w:val="single" w:sz="4" w:space="0" w:color="auto"/>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single" w:sz="4" w:space="0" w:color="auto"/>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 xml:space="preserve">Wave 1 Follow Up participants surveyed </w:t>
            </w:r>
          </w:p>
        </w:tc>
        <w:tc>
          <w:tcPr>
            <w:tcW w:w="54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598</w:t>
            </w:r>
          </w:p>
        </w:tc>
        <w:tc>
          <w:tcPr>
            <w:tcW w:w="639"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411</w:t>
            </w:r>
          </w:p>
        </w:tc>
        <w:tc>
          <w:tcPr>
            <w:tcW w:w="59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187</w:t>
            </w:r>
          </w:p>
        </w:tc>
        <w:tc>
          <w:tcPr>
            <w:tcW w:w="58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180</w:t>
            </w:r>
          </w:p>
        </w:tc>
        <w:tc>
          <w:tcPr>
            <w:tcW w:w="60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418</w:t>
            </w:r>
          </w:p>
        </w:tc>
        <w:tc>
          <w:tcPr>
            <w:tcW w:w="52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395</w:t>
            </w:r>
          </w:p>
        </w:tc>
        <w:tc>
          <w:tcPr>
            <w:tcW w:w="583"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203</w:t>
            </w:r>
          </w:p>
        </w:tc>
        <w:tc>
          <w:tcPr>
            <w:tcW w:w="86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439</w:t>
            </w:r>
          </w:p>
        </w:tc>
        <w:tc>
          <w:tcPr>
            <w:tcW w:w="68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159</w:t>
            </w:r>
          </w:p>
        </w:tc>
      </w:tr>
      <w:tr w:rsidR="00880014" w:rsidRPr="00880014" w:rsidTr="0060639D">
        <w:trPr>
          <w:cantSplit/>
          <w:trHeight w:val="20"/>
          <w:jc w:val="center"/>
        </w:trPr>
        <w:tc>
          <w:tcPr>
            <w:tcW w:w="1304" w:type="dxa"/>
            <w:vMerge w:val="restart"/>
            <w:tcBorders>
              <w:top w:val="nil"/>
              <w:left w:val="nil"/>
              <w:right w:val="nil"/>
            </w:tcBorders>
          </w:tcPr>
          <w:p w:rsidR="00880014" w:rsidRPr="00880014" w:rsidRDefault="00880014" w:rsidP="0060639D">
            <w:pPr>
              <w:pStyle w:val="tabletextleft"/>
              <w:ind w:left="284" w:hanging="284"/>
              <w:jc w:val="left"/>
              <w:rPr>
                <w:sz w:val="16"/>
                <w:szCs w:val="16"/>
              </w:rPr>
            </w:pPr>
            <w:r w:rsidRPr="00880014">
              <w:rPr>
                <w:sz w:val="16"/>
                <w:szCs w:val="16"/>
              </w:rPr>
              <w:t>Wave 2 top up</w:t>
            </w: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attempted contact</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1858</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794</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1064</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928</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930</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1704</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154</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1858</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unable to be contacted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971</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430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541</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514</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457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943</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971</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who refused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347</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277</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175</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172</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338</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347</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out of scope</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55</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45</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55</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bottom w:val="single" w:sz="4" w:space="0" w:color="auto"/>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single" w:sz="4" w:space="0" w:color="auto"/>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Top up participants surveyed in W2</w:t>
            </w:r>
          </w:p>
        </w:tc>
        <w:tc>
          <w:tcPr>
            <w:tcW w:w="54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485</w:t>
            </w:r>
          </w:p>
        </w:tc>
        <w:tc>
          <w:tcPr>
            <w:tcW w:w="639"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249</w:t>
            </w:r>
          </w:p>
        </w:tc>
        <w:tc>
          <w:tcPr>
            <w:tcW w:w="59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236</w:t>
            </w:r>
          </w:p>
        </w:tc>
        <w:tc>
          <w:tcPr>
            <w:tcW w:w="58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201</w:t>
            </w:r>
          </w:p>
        </w:tc>
        <w:tc>
          <w:tcPr>
            <w:tcW w:w="60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284</w:t>
            </w:r>
          </w:p>
        </w:tc>
        <w:tc>
          <w:tcPr>
            <w:tcW w:w="52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385</w:t>
            </w:r>
          </w:p>
        </w:tc>
        <w:tc>
          <w:tcPr>
            <w:tcW w:w="583"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100</w:t>
            </w:r>
          </w:p>
        </w:tc>
        <w:tc>
          <w:tcPr>
            <w:tcW w:w="86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485</w:t>
            </w:r>
          </w:p>
        </w:tc>
        <w:tc>
          <w:tcPr>
            <w:tcW w:w="68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880014">
        <w:trPr>
          <w:cantSplit/>
          <w:trHeight w:val="20"/>
          <w:jc w:val="center"/>
        </w:trPr>
        <w:tc>
          <w:tcPr>
            <w:tcW w:w="1304" w:type="dxa"/>
            <w:tcBorders>
              <w:top w:val="single" w:sz="4" w:space="0" w:color="auto"/>
              <w:left w:val="nil"/>
              <w:bottom w:val="single" w:sz="4" w:space="0" w:color="auto"/>
              <w:right w:val="nil"/>
            </w:tcBorders>
          </w:tcPr>
          <w:p w:rsidR="00880014" w:rsidRPr="00880014" w:rsidRDefault="00880014" w:rsidP="006654AE">
            <w:pPr>
              <w:pStyle w:val="tabletextleft"/>
              <w:rPr>
                <w:sz w:val="16"/>
                <w:szCs w:val="16"/>
              </w:rPr>
            </w:pPr>
          </w:p>
        </w:tc>
        <w:tc>
          <w:tcPr>
            <w:tcW w:w="2495"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rPr>
                <w:sz w:val="16"/>
                <w:szCs w:val="16"/>
              </w:rPr>
            </w:pPr>
            <w:r w:rsidRPr="00880014">
              <w:rPr>
                <w:sz w:val="16"/>
                <w:szCs w:val="16"/>
              </w:rPr>
              <w:t>Total surveyed in W2</w:t>
            </w:r>
          </w:p>
        </w:tc>
        <w:tc>
          <w:tcPr>
            <w:tcW w:w="548"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1083</w:t>
            </w:r>
          </w:p>
        </w:tc>
        <w:tc>
          <w:tcPr>
            <w:tcW w:w="639"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660</w:t>
            </w:r>
          </w:p>
        </w:tc>
        <w:tc>
          <w:tcPr>
            <w:tcW w:w="591"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423</w:t>
            </w:r>
          </w:p>
        </w:tc>
        <w:tc>
          <w:tcPr>
            <w:tcW w:w="581"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381</w:t>
            </w:r>
          </w:p>
        </w:tc>
        <w:tc>
          <w:tcPr>
            <w:tcW w:w="60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702</w:t>
            </w:r>
          </w:p>
        </w:tc>
        <w:tc>
          <w:tcPr>
            <w:tcW w:w="52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780</w:t>
            </w:r>
          </w:p>
        </w:tc>
        <w:tc>
          <w:tcPr>
            <w:tcW w:w="583"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303</w:t>
            </w:r>
          </w:p>
        </w:tc>
        <w:tc>
          <w:tcPr>
            <w:tcW w:w="868"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924</w:t>
            </w:r>
          </w:p>
        </w:tc>
        <w:tc>
          <w:tcPr>
            <w:tcW w:w="68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159</w:t>
            </w:r>
          </w:p>
        </w:tc>
      </w:tr>
    </w:tbl>
    <w:p w:rsidR="001E07F5" w:rsidRPr="00DF38B2" w:rsidRDefault="001E07F5" w:rsidP="006654AE"/>
    <w:p w:rsidR="001E07F5" w:rsidRPr="00DF38B2" w:rsidRDefault="001E07F5" w:rsidP="006654AE">
      <w:r w:rsidRPr="00DF38B2">
        <w:t>In Wave 2 of the study, the conversion rate was quite high in that most people who were contacted agreed to participate (conversion Rate = 1083 interviews / (1083 interviews + 403 refusals) = 73</w:t>
      </w:r>
      <w:r w:rsidR="00D53B54">
        <w:t xml:space="preserve"> per cent</w:t>
      </w:r>
      <w:r w:rsidRPr="00DF38B2">
        <w:t>)</w:t>
      </w:r>
      <w:r w:rsidR="00A1421A">
        <w:t xml:space="preserve">. </w:t>
      </w:r>
      <w:r w:rsidRPr="00DF38B2">
        <w:t>However, interviewers experienced substantial difficulty making contact with potential participants resulting is a significantly lower response rate (response rate = 1083 surveys / (2767 potential participants – 84 out of scope) = 40</w:t>
      </w:r>
      <w:r w:rsidR="00D134EF">
        <w:t xml:space="preserve"> per cent</w:t>
      </w:r>
      <w:r w:rsidRPr="00DF38B2">
        <w:t>)</w:t>
      </w:r>
      <w:r w:rsidR="00A1421A">
        <w:t xml:space="preserve">. </w:t>
      </w:r>
    </w:p>
    <w:p w:rsidR="001E07F5" w:rsidRPr="00DF38B2" w:rsidRDefault="001E07F5" w:rsidP="006654AE">
      <w:r w:rsidRPr="00DF38B2">
        <w:t>At the time at which they consented to take part in Wave 2, participants were asked if they would consent to being contacted for Wave 3. 512 participants indicated they would be willing to take part in a further wave of the research.</w:t>
      </w:r>
    </w:p>
    <w:p w:rsidR="001E07F5" w:rsidRPr="00DF38B2" w:rsidRDefault="001E07F5" w:rsidP="006654AE">
      <w:pPr>
        <w:pStyle w:val="aphead2"/>
      </w:pPr>
      <w:r w:rsidRPr="00DF38B2">
        <w:t>Profile of participants</w:t>
      </w:r>
    </w:p>
    <w:p w:rsidR="001E07F5" w:rsidRPr="00DF38B2" w:rsidRDefault="001E07F5" w:rsidP="006654AE">
      <w:r w:rsidRPr="00DF38B2">
        <w:t>The research aimed to include 70</w:t>
      </w:r>
      <w:r w:rsidR="00D53B54">
        <w:t xml:space="preserve"> per cent</w:t>
      </w:r>
      <w:r w:rsidRPr="00DF38B2">
        <w:t xml:space="preserve"> Indigenous and 30</w:t>
      </w:r>
      <w:r w:rsidR="00D53B54">
        <w:t xml:space="preserve"> per cent</w:t>
      </w:r>
      <w:r w:rsidRPr="00DF38B2">
        <w:t xml:space="preserve"> non-Indigenous participants</w:t>
      </w:r>
      <w:r w:rsidR="00A1421A">
        <w:t xml:space="preserve">. </w:t>
      </w:r>
      <w:r w:rsidRPr="00DF38B2">
        <w:t>The final sample included 61</w:t>
      </w:r>
      <w:r w:rsidR="00D53B54">
        <w:t xml:space="preserve"> per cent</w:t>
      </w:r>
      <w:r w:rsidRPr="00DF38B2">
        <w:t xml:space="preserve"> who identified as being Indigenous</w:t>
      </w:r>
      <w:r w:rsidR="00A1421A">
        <w:t xml:space="preserve">. </w:t>
      </w:r>
      <w:r w:rsidRPr="00DF38B2">
        <w:t>Non-Indigenous people were more likely than Indigenous people to refuse to participate (23</w:t>
      </w:r>
      <w:r w:rsidR="00D53B54">
        <w:t xml:space="preserve"> per cent</w:t>
      </w:r>
      <w:r w:rsidRPr="00DF38B2">
        <w:t xml:space="preserve"> compared to 6</w:t>
      </w:r>
      <w:r w:rsidR="00D53B54">
        <w:t xml:space="preserve"> per cent</w:t>
      </w:r>
      <w:r w:rsidRPr="00DF38B2">
        <w:t>), although rates of being unable to contact were similar across the two groups.</w:t>
      </w:r>
    </w:p>
    <w:p w:rsidR="001E07F5" w:rsidRPr="00DF38B2" w:rsidRDefault="001E07F5" w:rsidP="006654AE">
      <w:r w:rsidRPr="00DF38B2">
        <w:t>More females took part in the research than males (65</w:t>
      </w:r>
      <w:r w:rsidR="00D53B54">
        <w:t xml:space="preserve"> per cent</w:t>
      </w:r>
      <w:r w:rsidRPr="00DF38B2">
        <w:t xml:space="preserve"> compared to 35</w:t>
      </w:r>
      <w:r w:rsidR="00D53B54">
        <w:t xml:space="preserve"> per cent</w:t>
      </w:r>
      <w:r w:rsidRPr="00DF38B2">
        <w:t xml:space="preserve"> of total number surveyed). Males were slightly more likely to refuse (16.5</w:t>
      </w:r>
      <w:r w:rsidR="00D53B54">
        <w:t xml:space="preserve"> per cent</w:t>
      </w:r>
      <w:r w:rsidRPr="00DF38B2">
        <w:t xml:space="preserve"> compared with 12.9</w:t>
      </w:r>
      <w:r w:rsidR="00D53B54">
        <w:t xml:space="preserve"> per cent</w:t>
      </w:r>
      <w:r w:rsidRPr="00DF38B2">
        <w:t>) and were somewhat harder to contact (48</w:t>
      </w:r>
      <w:r w:rsidR="00D53B54">
        <w:t xml:space="preserve"> per cent</w:t>
      </w:r>
      <w:r w:rsidRPr="00DF38B2">
        <w:t xml:space="preserve"> of males were unable to be contacted compared with 39.4</w:t>
      </w:r>
      <w:r w:rsidR="00D53B54">
        <w:t xml:space="preserve"> per cent</w:t>
      </w:r>
      <w:r w:rsidRPr="00DF38B2">
        <w:t xml:space="preserve"> of females).</w:t>
      </w:r>
    </w:p>
    <w:p w:rsidR="001E07F5" w:rsidRPr="00DF38B2" w:rsidRDefault="001E07F5" w:rsidP="006654AE">
      <w:pPr>
        <w:pStyle w:val="aphead2"/>
      </w:pPr>
      <w:r w:rsidRPr="00DF38B2">
        <w:t>Refusal to participate</w:t>
      </w:r>
    </w:p>
    <w:p w:rsidR="001E07F5" w:rsidRPr="00DF38B2" w:rsidRDefault="001E07F5" w:rsidP="006654AE">
      <w:r w:rsidRPr="00DF38B2">
        <w:t>There were 403 people who refused to participate in the survey. Analysis of contact sheets indicates that a third refused to provide a reason for not participating (33</w:t>
      </w:r>
      <w:r w:rsidR="00D53B54">
        <w:t xml:space="preserve"> per cent</w:t>
      </w:r>
      <w:r w:rsidRPr="00DF38B2">
        <w:t>). A lack of interest or not wanting to participate (26</w:t>
      </w:r>
      <w:r w:rsidR="00D53B54">
        <w:t xml:space="preserve"> per cent</w:t>
      </w:r>
      <w:r w:rsidRPr="00DF38B2">
        <w:t>) was the most common reason provided by those who offered an explanation</w:t>
      </w:r>
      <w:r w:rsidR="00A1421A">
        <w:t xml:space="preserve">. </w:t>
      </w:r>
    </w:p>
    <w:p w:rsidR="001E07F5" w:rsidRPr="00DF38B2" w:rsidRDefault="001E07F5" w:rsidP="006654AE">
      <w:pPr>
        <w:pStyle w:val="Caption"/>
      </w:pPr>
      <w:r w:rsidRPr="00DF38B2">
        <w:lastRenderedPageBreak/>
        <w:t>Table 3: Reason for refusal</w:t>
      </w:r>
    </w:p>
    <w:tbl>
      <w:tblPr>
        <w:tblStyle w:val="TableGrid"/>
        <w:tblW w:w="7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documents the 403 cases where a person refused to participate. The rows contain the reason for refusal and the columns provide data for the; Wave 1 Follow Up population; the Wave 2 Top Up, the total and the distribution proportional distribution of reasons across the whole population. The most frequent (33 per cent) reason was simply a nil response."/>
      </w:tblPr>
      <w:tblGrid>
        <w:gridCol w:w="2802"/>
        <w:gridCol w:w="1134"/>
        <w:gridCol w:w="992"/>
        <w:gridCol w:w="1134"/>
        <w:gridCol w:w="992"/>
      </w:tblGrid>
      <w:tr w:rsidR="00C07A1B" w:rsidRPr="00DF38B2" w:rsidTr="00723FAF">
        <w:trPr>
          <w:tblHeader/>
          <w:jc w:val="center"/>
        </w:trPr>
        <w:tc>
          <w:tcPr>
            <w:tcW w:w="2802" w:type="dxa"/>
            <w:tcBorders>
              <w:top w:val="single" w:sz="4" w:space="0" w:color="auto"/>
              <w:bottom w:val="single" w:sz="4" w:space="0" w:color="auto"/>
            </w:tcBorders>
          </w:tcPr>
          <w:p w:rsidR="00C07A1B" w:rsidRPr="00DF38B2" w:rsidRDefault="00C07A1B" w:rsidP="006654AE">
            <w:pPr>
              <w:pStyle w:val="tabletextleft"/>
            </w:pPr>
            <w:r w:rsidRPr="00DF38B2">
              <w:t>Reason for refusal</w:t>
            </w:r>
          </w:p>
        </w:tc>
        <w:tc>
          <w:tcPr>
            <w:tcW w:w="1134" w:type="dxa"/>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1134" w:type="dxa"/>
            <w:tcBorders>
              <w:top w:val="single" w:sz="4" w:space="0" w:color="auto"/>
              <w:bottom w:val="single" w:sz="4" w:space="0" w:color="auto"/>
            </w:tcBorders>
          </w:tcPr>
          <w:p w:rsidR="00C07A1B" w:rsidRPr="00DF38B2" w:rsidRDefault="00C07A1B" w:rsidP="006654AE">
            <w:pPr>
              <w:pStyle w:val="tabletextright"/>
            </w:pPr>
            <w:r w:rsidRPr="00DF38B2">
              <w:t>Number of Refusals</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9D5B08">
        <w:trPr>
          <w:jc w:val="center"/>
        </w:trPr>
        <w:tc>
          <w:tcPr>
            <w:tcW w:w="2802" w:type="dxa"/>
            <w:tcBorders>
              <w:top w:val="single" w:sz="4" w:space="0" w:color="auto"/>
            </w:tcBorders>
          </w:tcPr>
          <w:p w:rsidR="00C07A1B" w:rsidRPr="00DF38B2" w:rsidRDefault="00C07A1B" w:rsidP="006654AE">
            <w:pPr>
              <w:pStyle w:val="tabletextleft"/>
            </w:pPr>
            <w:r w:rsidRPr="00DF38B2">
              <w:t>Nil Response</w:t>
            </w:r>
          </w:p>
        </w:tc>
        <w:tc>
          <w:tcPr>
            <w:tcW w:w="1134" w:type="dxa"/>
            <w:tcBorders>
              <w:top w:val="single" w:sz="4" w:space="0" w:color="auto"/>
            </w:tcBorders>
          </w:tcPr>
          <w:p w:rsidR="00C07A1B" w:rsidRPr="00DF38B2" w:rsidRDefault="00C07A1B" w:rsidP="006654AE">
            <w:pPr>
              <w:pStyle w:val="tabletextright"/>
            </w:pPr>
            <w:r w:rsidRPr="00DF38B2">
              <w:t>16</w:t>
            </w:r>
          </w:p>
        </w:tc>
        <w:tc>
          <w:tcPr>
            <w:tcW w:w="992" w:type="dxa"/>
            <w:tcBorders>
              <w:top w:val="single" w:sz="4" w:space="0" w:color="auto"/>
            </w:tcBorders>
          </w:tcPr>
          <w:p w:rsidR="00C07A1B" w:rsidRPr="00DF38B2" w:rsidRDefault="00C07A1B" w:rsidP="006654AE">
            <w:pPr>
              <w:pStyle w:val="tabletextright"/>
            </w:pPr>
            <w:r w:rsidRPr="00DF38B2">
              <w:t>115</w:t>
            </w:r>
          </w:p>
        </w:tc>
        <w:tc>
          <w:tcPr>
            <w:tcW w:w="1134" w:type="dxa"/>
            <w:tcBorders>
              <w:top w:val="single" w:sz="4" w:space="0" w:color="auto"/>
            </w:tcBorders>
          </w:tcPr>
          <w:p w:rsidR="00C07A1B" w:rsidRPr="00DF38B2" w:rsidRDefault="00C07A1B" w:rsidP="006654AE">
            <w:pPr>
              <w:pStyle w:val="tabletextright"/>
            </w:pPr>
            <w:r w:rsidRPr="00DF38B2">
              <w:t>131</w:t>
            </w:r>
          </w:p>
        </w:tc>
        <w:tc>
          <w:tcPr>
            <w:tcW w:w="992" w:type="dxa"/>
            <w:tcBorders>
              <w:top w:val="single" w:sz="4" w:space="0" w:color="auto"/>
            </w:tcBorders>
          </w:tcPr>
          <w:p w:rsidR="00C07A1B" w:rsidRPr="00DF38B2" w:rsidRDefault="00C07A1B" w:rsidP="006654AE">
            <w:pPr>
              <w:pStyle w:val="tabletextright"/>
            </w:pPr>
            <w:r w:rsidRPr="00DF38B2">
              <w:t>33%</w:t>
            </w:r>
          </w:p>
        </w:tc>
      </w:tr>
      <w:tr w:rsidR="00C07A1B" w:rsidRPr="00DF38B2" w:rsidTr="009D5B08">
        <w:trPr>
          <w:jc w:val="center"/>
        </w:trPr>
        <w:tc>
          <w:tcPr>
            <w:tcW w:w="2802" w:type="dxa"/>
          </w:tcPr>
          <w:p w:rsidR="00C07A1B" w:rsidRPr="00DF38B2" w:rsidRDefault="00C07A1B" w:rsidP="006654AE">
            <w:pPr>
              <w:pStyle w:val="tabletextleft"/>
            </w:pPr>
            <w:r w:rsidRPr="00DF38B2">
              <w:t>Not interested / Did not want to</w:t>
            </w:r>
          </w:p>
        </w:tc>
        <w:tc>
          <w:tcPr>
            <w:tcW w:w="1134" w:type="dxa"/>
          </w:tcPr>
          <w:p w:rsidR="00C07A1B" w:rsidRPr="00DF38B2" w:rsidRDefault="00C07A1B" w:rsidP="006654AE">
            <w:pPr>
              <w:pStyle w:val="tabletextright"/>
            </w:pPr>
            <w:r w:rsidRPr="00DF38B2">
              <w:t>24</w:t>
            </w:r>
          </w:p>
        </w:tc>
        <w:tc>
          <w:tcPr>
            <w:tcW w:w="992" w:type="dxa"/>
          </w:tcPr>
          <w:p w:rsidR="00C07A1B" w:rsidRPr="00DF38B2" w:rsidRDefault="00C07A1B" w:rsidP="006654AE">
            <w:pPr>
              <w:pStyle w:val="tabletextright"/>
            </w:pPr>
            <w:r w:rsidRPr="00DF38B2">
              <w:t>80</w:t>
            </w:r>
          </w:p>
        </w:tc>
        <w:tc>
          <w:tcPr>
            <w:tcW w:w="1134" w:type="dxa"/>
          </w:tcPr>
          <w:p w:rsidR="00C07A1B" w:rsidRPr="00DF38B2" w:rsidRDefault="00C07A1B" w:rsidP="006654AE">
            <w:pPr>
              <w:pStyle w:val="tabletextright"/>
            </w:pPr>
            <w:r w:rsidRPr="00DF38B2">
              <w:t>104</w:t>
            </w:r>
          </w:p>
        </w:tc>
        <w:tc>
          <w:tcPr>
            <w:tcW w:w="992" w:type="dxa"/>
          </w:tcPr>
          <w:p w:rsidR="00C07A1B" w:rsidRPr="00DF38B2" w:rsidRDefault="00C07A1B" w:rsidP="006654AE">
            <w:pPr>
              <w:pStyle w:val="tabletextright"/>
            </w:pPr>
            <w:r w:rsidRPr="00DF38B2">
              <w:t>26%</w:t>
            </w:r>
          </w:p>
        </w:tc>
      </w:tr>
      <w:tr w:rsidR="00C07A1B" w:rsidRPr="00DF38B2" w:rsidTr="009D5B08">
        <w:trPr>
          <w:jc w:val="center"/>
        </w:trPr>
        <w:tc>
          <w:tcPr>
            <w:tcW w:w="2802" w:type="dxa"/>
          </w:tcPr>
          <w:p w:rsidR="00C07A1B" w:rsidRPr="00DF38B2" w:rsidRDefault="00C07A1B" w:rsidP="006654AE">
            <w:pPr>
              <w:pStyle w:val="tabletextleft"/>
            </w:pPr>
            <w:r w:rsidRPr="00DF38B2">
              <w:t>Not on Income Management</w:t>
            </w:r>
          </w:p>
        </w:tc>
        <w:tc>
          <w:tcPr>
            <w:tcW w:w="1134" w:type="dxa"/>
          </w:tcPr>
          <w:p w:rsidR="00C07A1B" w:rsidRPr="00DF38B2" w:rsidRDefault="00C07A1B" w:rsidP="006654AE">
            <w:pPr>
              <w:pStyle w:val="tabletextright"/>
            </w:pPr>
            <w:r w:rsidRPr="00DF38B2">
              <w:t>4</w:t>
            </w:r>
          </w:p>
        </w:tc>
        <w:tc>
          <w:tcPr>
            <w:tcW w:w="992" w:type="dxa"/>
          </w:tcPr>
          <w:p w:rsidR="00C07A1B" w:rsidRPr="00DF38B2" w:rsidRDefault="00C07A1B" w:rsidP="006654AE">
            <w:pPr>
              <w:pStyle w:val="tabletextright"/>
            </w:pPr>
            <w:r w:rsidRPr="00DF38B2">
              <w:t>76</w:t>
            </w:r>
          </w:p>
        </w:tc>
        <w:tc>
          <w:tcPr>
            <w:tcW w:w="1134" w:type="dxa"/>
          </w:tcPr>
          <w:p w:rsidR="00C07A1B" w:rsidRPr="00DF38B2" w:rsidRDefault="00C07A1B" w:rsidP="006654AE">
            <w:pPr>
              <w:pStyle w:val="tabletextright"/>
            </w:pPr>
            <w:r w:rsidRPr="00DF38B2">
              <w:t>80</w:t>
            </w:r>
          </w:p>
        </w:tc>
        <w:tc>
          <w:tcPr>
            <w:tcW w:w="992" w:type="dxa"/>
          </w:tcPr>
          <w:p w:rsidR="00C07A1B" w:rsidRPr="00DF38B2" w:rsidRDefault="00C07A1B" w:rsidP="006654AE">
            <w:pPr>
              <w:pStyle w:val="tabletextright"/>
            </w:pPr>
            <w:r w:rsidRPr="00DF38B2">
              <w:t>20%</w:t>
            </w:r>
          </w:p>
        </w:tc>
      </w:tr>
      <w:tr w:rsidR="00C07A1B" w:rsidRPr="00DF38B2" w:rsidTr="009D5B08">
        <w:trPr>
          <w:jc w:val="center"/>
        </w:trPr>
        <w:tc>
          <w:tcPr>
            <w:tcW w:w="2802" w:type="dxa"/>
          </w:tcPr>
          <w:p w:rsidR="00C07A1B" w:rsidRPr="00DF38B2" w:rsidRDefault="00C07A1B" w:rsidP="006654AE">
            <w:pPr>
              <w:pStyle w:val="tabletextleft"/>
            </w:pPr>
            <w:r w:rsidRPr="00DF38B2">
              <w:t xml:space="preserve">Too busy </w:t>
            </w:r>
          </w:p>
        </w:tc>
        <w:tc>
          <w:tcPr>
            <w:tcW w:w="1134" w:type="dxa"/>
          </w:tcPr>
          <w:p w:rsidR="00C07A1B" w:rsidRPr="00DF38B2" w:rsidRDefault="00C07A1B" w:rsidP="006654AE">
            <w:pPr>
              <w:pStyle w:val="tabletextright"/>
            </w:pPr>
            <w:r w:rsidRPr="00DF38B2">
              <w:t>8</w:t>
            </w:r>
          </w:p>
        </w:tc>
        <w:tc>
          <w:tcPr>
            <w:tcW w:w="992" w:type="dxa"/>
          </w:tcPr>
          <w:p w:rsidR="00C07A1B" w:rsidRPr="00DF38B2" w:rsidRDefault="00C07A1B" w:rsidP="006654AE">
            <w:pPr>
              <w:pStyle w:val="tabletextright"/>
            </w:pPr>
            <w:r w:rsidRPr="00DF38B2">
              <w:t>59</w:t>
            </w:r>
          </w:p>
        </w:tc>
        <w:tc>
          <w:tcPr>
            <w:tcW w:w="1134" w:type="dxa"/>
          </w:tcPr>
          <w:p w:rsidR="00C07A1B" w:rsidRPr="00DF38B2" w:rsidRDefault="00C07A1B" w:rsidP="006654AE">
            <w:pPr>
              <w:pStyle w:val="tabletextright"/>
            </w:pPr>
            <w:r w:rsidRPr="00DF38B2">
              <w:t>67</w:t>
            </w:r>
          </w:p>
        </w:tc>
        <w:tc>
          <w:tcPr>
            <w:tcW w:w="992" w:type="dxa"/>
          </w:tcPr>
          <w:p w:rsidR="00C07A1B" w:rsidRPr="00DF38B2" w:rsidRDefault="00C07A1B" w:rsidP="006654AE">
            <w:pPr>
              <w:pStyle w:val="tabletextright"/>
            </w:pPr>
            <w:r w:rsidRPr="00DF38B2">
              <w:t>17%</w:t>
            </w:r>
          </w:p>
        </w:tc>
      </w:tr>
      <w:tr w:rsidR="00C07A1B" w:rsidRPr="00DF38B2" w:rsidTr="009D5B08">
        <w:trPr>
          <w:jc w:val="center"/>
        </w:trPr>
        <w:tc>
          <w:tcPr>
            <w:tcW w:w="2802" w:type="dxa"/>
          </w:tcPr>
          <w:p w:rsidR="00C07A1B" w:rsidRPr="00DF38B2" w:rsidRDefault="00C07A1B" w:rsidP="006654AE">
            <w:pPr>
              <w:pStyle w:val="tabletextleft"/>
            </w:pPr>
            <w:r w:rsidRPr="00DF38B2">
              <w:t>Late Opt Out</w:t>
            </w:r>
          </w:p>
        </w:tc>
        <w:tc>
          <w:tcPr>
            <w:tcW w:w="1134" w:type="dxa"/>
          </w:tcPr>
          <w:p w:rsidR="00C07A1B" w:rsidRPr="00DF38B2" w:rsidRDefault="00C07A1B" w:rsidP="006654AE">
            <w:pPr>
              <w:pStyle w:val="tabletextright"/>
            </w:pPr>
            <w:r w:rsidRPr="00DF38B2">
              <w:t>2</w:t>
            </w:r>
          </w:p>
        </w:tc>
        <w:tc>
          <w:tcPr>
            <w:tcW w:w="992" w:type="dxa"/>
          </w:tcPr>
          <w:p w:rsidR="00C07A1B" w:rsidRPr="00DF38B2" w:rsidRDefault="00C07A1B" w:rsidP="006654AE">
            <w:pPr>
              <w:pStyle w:val="tabletextright"/>
            </w:pPr>
            <w:r w:rsidRPr="00DF38B2">
              <w:t>9</w:t>
            </w:r>
          </w:p>
        </w:tc>
        <w:tc>
          <w:tcPr>
            <w:tcW w:w="1134" w:type="dxa"/>
          </w:tcPr>
          <w:p w:rsidR="00C07A1B" w:rsidRPr="00DF38B2" w:rsidRDefault="00C07A1B" w:rsidP="006654AE">
            <w:pPr>
              <w:pStyle w:val="tabletextright"/>
            </w:pPr>
            <w:r w:rsidRPr="00DF38B2">
              <w:t>11</w:t>
            </w:r>
          </w:p>
        </w:tc>
        <w:tc>
          <w:tcPr>
            <w:tcW w:w="992" w:type="dxa"/>
          </w:tcPr>
          <w:p w:rsidR="00C07A1B" w:rsidRPr="00DF38B2" w:rsidRDefault="00C07A1B" w:rsidP="006654AE">
            <w:pPr>
              <w:pStyle w:val="tabletextright"/>
            </w:pPr>
            <w:r w:rsidRPr="00DF38B2">
              <w:t>3%</w:t>
            </w:r>
          </w:p>
        </w:tc>
      </w:tr>
      <w:tr w:rsidR="00C07A1B" w:rsidRPr="00DF38B2" w:rsidTr="009D5B08">
        <w:trPr>
          <w:jc w:val="center"/>
        </w:trPr>
        <w:tc>
          <w:tcPr>
            <w:tcW w:w="2802" w:type="dxa"/>
          </w:tcPr>
          <w:p w:rsidR="00C07A1B" w:rsidRPr="00DF38B2" w:rsidRDefault="00C07A1B" w:rsidP="006654AE">
            <w:pPr>
              <w:pStyle w:val="tabletextleft"/>
            </w:pPr>
            <w:r w:rsidRPr="00DF38B2">
              <w:t>Unwell, unable to complete, looking after small children</w:t>
            </w:r>
          </w:p>
        </w:tc>
        <w:tc>
          <w:tcPr>
            <w:tcW w:w="1134" w:type="dxa"/>
          </w:tcPr>
          <w:p w:rsidR="00C07A1B" w:rsidRPr="00DF38B2" w:rsidRDefault="00C07A1B" w:rsidP="006654AE">
            <w:pPr>
              <w:pStyle w:val="tabletextright"/>
            </w:pPr>
            <w:r w:rsidRPr="00DF38B2">
              <w:t>2</w:t>
            </w:r>
          </w:p>
        </w:tc>
        <w:tc>
          <w:tcPr>
            <w:tcW w:w="992" w:type="dxa"/>
          </w:tcPr>
          <w:p w:rsidR="00C07A1B" w:rsidRPr="00DF38B2" w:rsidRDefault="00C07A1B" w:rsidP="006654AE">
            <w:pPr>
              <w:pStyle w:val="tabletextright"/>
            </w:pPr>
            <w:r w:rsidRPr="00DF38B2">
              <w:t>8</w:t>
            </w:r>
          </w:p>
        </w:tc>
        <w:tc>
          <w:tcPr>
            <w:tcW w:w="1134" w:type="dxa"/>
          </w:tcPr>
          <w:p w:rsidR="00C07A1B" w:rsidRPr="00DF38B2" w:rsidRDefault="00C07A1B" w:rsidP="006654AE">
            <w:pPr>
              <w:pStyle w:val="tabletextright"/>
            </w:pPr>
            <w:r w:rsidRPr="00DF38B2">
              <w:t>10</w:t>
            </w:r>
          </w:p>
        </w:tc>
        <w:tc>
          <w:tcPr>
            <w:tcW w:w="992" w:type="dxa"/>
          </w:tcPr>
          <w:p w:rsidR="00C07A1B" w:rsidRPr="00DF38B2" w:rsidRDefault="00C07A1B" w:rsidP="006654AE">
            <w:pPr>
              <w:pStyle w:val="tabletextright"/>
            </w:pPr>
            <w:r w:rsidRPr="00DF38B2">
              <w:t>2%</w:t>
            </w:r>
          </w:p>
        </w:tc>
      </w:tr>
      <w:tr w:rsidR="00C07A1B" w:rsidRPr="00DF38B2" w:rsidTr="009D5B08">
        <w:trPr>
          <w:jc w:val="center"/>
        </w:trPr>
        <w:tc>
          <w:tcPr>
            <w:tcW w:w="2802" w:type="dxa"/>
            <w:tcBorders>
              <w:bottom w:val="single" w:sz="4" w:space="0" w:color="auto"/>
            </w:tcBorders>
          </w:tcPr>
          <w:p w:rsidR="00C07A1B" w:rsidRPr="00DF38B2" w:rsidRDefault="00C07A1B" w:rsidP="006654AE">
            <w:pPr>
              <w:pStyle w:val="tabletextleft"/>
            </w:pPr>
            <w:r w:rsidRPr="00DF38B2">
              <w:t>TOTAL</w:t>
            </w:r>
          </w:p>
        </w:tc>
        <w:tc>
          <w:tcPr>
            <w:tcW w:w="1134" w:type="dxa"/>
            <w:tcBorders>
              <w:bottom w:val="single" w:sz="4" w:space="0" w:color="auto"/>
            </w:tcBorders>
          </w:tcPr>
          <w:p w:rsidR="00C07A1B" w:rsidRPr="00DF38B2" w:rsidRDefault="00C07A1B" w:rsidP="006654AE">
            <w:pPr>
              <w:pStyle w:val="tabletextright"/>
            </w:pPr>
            <w:r w:rsidRPr="00DF38B2">
              <w:t>56</w:t>
            </w:r>
          </w:p>
        </w:tc>
        <w:tc>
          <w:tcPr>
            <w:tcW w:w="992" w:type="dxa"/>
            <w:tcBorders>
              <w:bottom w:val="single" w:sz="4" w:space="0" w:color="auto"/>
            </w:tcBorders>
          </w:tcPr>
          <w:p w:rsidR="00C07A1B" w:rsidRPr="00DF38B2" w:rsidRDefault="00C07A1B" w:rsidP="006654AE">
            <w:pPr>
              <w:pStyle w:val="tabletextright"/>
            </w:pPr>
            <w:r w:rsidRPr="00DF38B2">
              <w:t>347</w:t>
            </w:r>
          </w:p>
        </w:tc>
        <w:tc>
          <w:tcPr>
            <w:tcW w:w="1134" w:type="dxa"/>
            <w:tcBorders>
              <w:bottom w:val="single" w:sz="4" w:space="0" w:color="auto"/>
            </w:tcBorders>
          </w:tcPr>
          <w:p w:rsidR="00C07A1B" w:rsidRPr="00DF38B2" w:rsidRDefault="00C07A1B" w:rsidP="006654AE">
            <w:pPr>
              <w:pStyle w:val="tabletextright"/>
            </w:pPr>
            <w:r w:rsidRPr="00DF38B2">
              <w:t>403</w:t>
            </w:r>
          </w:p>
        </w:tc>
        <w:tc>
          <w:tcPr>
            <w:tcW w:w="992" w:type="dxa"/>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DF38B2" w:rsidRDefault="001E07F5" w:rsidP="006654AE">
      <w:r w:rsidRPr="00DF38B2">
        <w:t>Some of the people who refused to undertake the survey spoke quite negatively about income management and expressed a desire not to spend time speaking about it. A number of people (20</w:t>
      </w:r>
      <w:r w:rsidR="00D53B54">
        <w:t xml:space="preserve"> per cent</w:t>
      </w:r>
      <w:r w:rsidRPr="00DF38B2">
        <w:t>) stated they had either never been on or were no longer on income management</w:t>
      </w:r>
      <w:r w:rsidR="00A1421A">
        <w:t xml:space="preserve">. </w:t>
      </w:r>
      <w:r w:rsidRPr="00DF38B2">
        <w:t>In this instance, interviewers explained that their perspectives would still relevant to the research, however, participation was voluntary.</w:t>
      </w:r>
    </w:p>
    <w:p w:rsidR="001E07F5" w:rsidRPr="00DF38B2" w:rsidRDefault="001E07F5" w:rsidP="006654AE">
      <w:pPr>
        <w:pStyle w:val="aphead2"/>
      </w:pPr>
      <w:r w:rsidRPr="00DF38B2">
        <w:t>Reasons for non-contact</w:t>
      </w:r>
    </w:p>
    <w:p w:rsidR="001E07F5" w:rsidRPr="00DF38B2" w:rsidRDefault="001E07F5" w:rsidP="006654AE">
      <w:r w:rsidRPr="00DF38B2">
        <w:t>A substantial amount of potential participants could not be contacted during the fieldwork period (40</w:t>
      </w:r>
      <w:r w:rsidR="00D53B54">
        <w:t xml:space="preserve"> per cent</w:t>
      </w:r>
      <w:r w:rsidRPr="00DF38B2">
        <w:t>). Interviewers attempted to contact potential participants on various days and at differing times, with between three to twelve contact attempts made to each potential participant. Interviewers were unable to obtain accurate contact details for 142 participants from Wave 1 who had moved. Forty participants were not in their community at the time of the fieldwork as people commonly travel indefinitely to see family in other communities</w:t>
      </w:r>
      <w:r w:rsidR="00A1421A">
        <w:t xml:space="preserve">. </w:t>
      </w:r>
      <w:r w:rsidRPr="00DF38B2">
        <w:t>A further 31 potential participants repeatedly failed to meet at the agr</w:t>
      </w:r>
      <w:r w:rsidR="009D5B08" w:rsidRPr="00DF38B2">
        <w:t>eed appointment time and place.</w:t>
      </w:r>
    </w:p>
    <w:p w:rsidR="001E07F5" w:rsidRPr="00DF38B2" w:rsidRDefault="001E07F5" w:rsidP="006654AE">
      <w:pPr>
        <w:pStyle w:val="Caption"/>
      </w:pPr>
      <w:r w:rsidRPr="00DF38B2">
        <w:t>Table 4: Reason for non-contact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ocuments the 41197 cases where a non-contact occurred. The rows contain the reason for non-contact and the columns provide data for the; Wave 1 Follow Up population; the Wave 2 Top Up, the total and the distribution proportional distribution of reasons across the whole population. The most frequent (78 per cent) reason was an inability to make contact."/>
      </w:tblPr>
      <w:tblGrid>
        <w:gridCol w:w="3224"/>
        <w:gridCol w:w="1547"/>
        <w:gridCol w:w="1202"/>
        <w:gridCol w:w="1375"/>
        <w:gridCol w:w="1202"/>
      </w:tblGrid>
      <w:tr w:rsidR="00C07A1B" w:rsidRPr="00DF38B2" w:rsidTr="00723FAF">
        <w:trPr>
          <w:tblHeader/>
          <w:jc w:val="center"/>
        </w:trPr>
        <w:tc>
          <w:tcPr>
            <w:tcW w:w="1885" w:type="pct"/>
            <w:tcBorders>
              <w:top w:val="single" w:sz="4" w:space="0" w:color="auto"/>
              <w:bottom w:val="single" w:sz="4" w:space="0" w:color="auto"/>
            </w:tcBorders>
          </w:tcPr>
          <w:p w:rsidR="00C07A1B" w:rsidRPr="00DF38B2" w:rsidRDefault="00C07A1B" w:rsidP="006654AE">
            <w:pPr>
              <w:pStyle w:val="tabletextleft"/>
              <w:jc w:val="left"/>
            </w:pPr>
            <w:r w:rsidRPr="00DF38B2">
              <w:t>Reason for non-contact</w:t>
            </w:r>
          </w:p>
        </w:tc>
        <w:tc>
          <w:tcPr>
            <w:tcW w:w="904" w:type="pct"/>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703" w:type="pct"/>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804" w:type="pct"/>
            <w:tcBorders>
              <w:top w:val="single" w:sz="4" w:space="0" w:color="auto"/>
              <w:bottom w:val="single" w:sz="4" w:space="0" w:color="auto"/>
            </w:tcBorders>
          </w:tcPr>
          <w:p w:rsidR="00C07A1B" w:rsidRPr="00DF38B2" w:rsidRDefault="00C07A1B" w:rsidP="006654AE">
            <w:pPr>
              <w:pStyle w:val="tabletextright"/>
            </w:pPr>
            <w:r w:rsidRPr="00DF38B2">
              <w:t>Total</w:t>
            </w:r>
          </w:p>
        </w:tc>
        <w:tc>
          <w:tcPr>
            <w:tcW w:w="703" w:type="pct"/>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D53B54">
        <w:trPr>
          <w:jc w:val="center"/>
        </w:trPr>
        <w:tc>
          <w:tcPr>
            <w:tcW w:w="1885" w:type="pct"/>
            <w:tcBorders>
              <w:top w:val="single" w:sz="4" w:space="0" w:color="auto"/>
            </w:tcBorders>
          </w:tcPr>
          <w:p w:rsidR="00C07A1B" w:rsidRPr="00DF38B2" w:rsidRDefault="00C07A1B" w:rsidP="006654AE">
            <w:pPr>
              <w:pStyle w:val="tabletextleft"/>
              <w:jc w:val="left"/>
            </w:pPr>
            <w:r w:rsidRPr="00DF38B2">
              <w:t>Unable to make contact</w:t>
            </w:r>
          </w:p>
        </w:tc>
        <w:tc>
          <w:tcPr>
            <w:tcW w:w="904" w:type="pct"/>
            <w:tcBorders>
              <w:top w:val="single" w:sz="4" w:space="0" w:color="auto"/>
            </w:tcBorders>
          </w:tcPr>
          <w:p w:rsidR="00C07A1B" w:rsidRPr="00DF38B2" w:rsidRDefault="00C07A1B" w:rsidP="006654AE">
            <w:pPr>
              <w:pStyle w:val="tabletextright"/>
            </w:pPr>
            <w:r w:rsidRPr="00DF38B2">
              <w:t>97</w:t>
            </w:r>
          </w:p>
        </w:tc>
        <w:tc>
          <w:tcPr>
            <w:tcW w:w="703" w:type="pct"/>
            <w:tcBorders>
              <w:top w:val="single" w:sz="4" w:space="0" w:color="auto"/>
            </w:tcBorders>
          </w:tcPr>
          <w:p w:rsidR="00C07A1B" w:rsidRPr="00DF38B2" w:rsidRDefault="00C07A1B" w:rsidP="006654AE">
            <w:pPr>
              <w:pStyle w:val="tabletextright"/>
            </w:pPr>
            <w:r w:rsidRPr="00DF38B2">
              <w:t>844</w:t>
            </w:r>
          </w:p>
        </w:tc>
        <w:tc>
          <w:tcPr>
            <w:tcW w:w="804" w:type="pct"/>
            <w:tcBorders>
              <w:top w:val="single" w:sz="4" w:space="0" w:color="auto"/>
            </w:tcBorders>
          </w:tcPr>
          <w:p w:rsidR="00C07A1B" w:rsidRPr="00DF38B2" w:rsidRDefault="00C07A1B" w:rsidP="006654AE">
            <w:pPr>
              <w:pStyle w:val="tabletextright"/>
            </w:pPr>
            <w:r w:rsidRPr="00DF38B2">
              <w:t>941</w:t>
            </w:r>
          </w:p>
        </w:tc>
        <w:tc>
          <w:tcPr>
            <w:tcW w:w="703" w:type="pct"/>
            <w:tcBorders>
              <w:top w:val="single" w:sz="4" w:space="0" w:color="auto"/>
            </w:tcBorders>
          </w:tcPr>
          <w:p w:rsidR="00C07A1B" w:rsidRPr="00DF38B2" w:rsidRDefault="00C07A1B" w:rsidP="006654AE">
            <w:pPr>
              <w:pStyle w:val="tabletextright"/>
            </w:pPr>
            <w:r w:rsidRPr="00DF38B2">
              <w:t>78%</w:t>
            </w:r>
          </w:p>
        </w:tc>
      </w:tr>
      <w:tr w:rsidR="00C07A1B" w:rsidRPr="00DF38B2" w:rsidTr="00D53B54">
        <w:trPr>
          <w:jc w:val="center"/>
        </w:trPr>
        <w:tc>
          <w:tcPr>
            <w:tcW w:w="1885" w:type="pct"/>
          </w:tcPr>
          <w:p w:rsidR="00C07A1B" w:rsidRPr="00DF38B2" w:rsidRDefault="00C07A1B" w:rsidP="006654AE">
            <w:pPr>
              <w:pStyle w:val="tabletextleft"/>
              <w:jc w:val="left"/>
            </w:pPr>
            <w:r w:rsidRPr="00DF38B2">
              <w:t>Moved, unable to locate</w:t>
            </w:r>
          </w:p>
        </w:tc>
        <w:tc>
          <w:tcPr>
            <w:tcW w:w="904" w:type="pct"/>
          </w:tcPr>
          <w:p w:rsidR="00C07A1B" w:rsidRPr="00DF38B2" w:rsidRDefault="00C07A1B" w:rsidP="006654AE">
            <w:pPr>
              <w:pStyle w:val="tabletextright"/>
            </w:pPr>
            <w:r w:rsidRPr="00DF38B2">
              <w:t>40</w:t>
            </w:r>
          </w:p>
        </w:tc>
        <w:tc>
          <w:tcPr>
            <w:tcW w:w="703" w:type="pct"/>
          </w:tcPr>
          <w:p w:rsidR="00C07A1B" w:rsidRPr="00DF38B2" w:rsidRDefault="00C07A1B" w:rsidP="006654AE">
            <w:pPr>
              <w:pStyle w:val="tabletextright"/>
            </w:pPr>
            <w:r w:rsidRPr="00DF38B2">
              <w:t>102</w:t>
            </w:r>
          </w:p>
        </w:tc>
        <w:tc>
          <w:tcPr>
            <w:tcW w:w="804" w:type="pct"/>
          </w:tcPr>
          <w:p w:rsidR="00C07A1B" w:rsidRPr="00DF38B2" w:rsidRDefault="00C07A1B" w:rsidP="006654AE">
            <w:pPr>
              <w:pStyle w:val="tabletextright"/>
            </w:pPr>
            <w:r w:rsidRPr="00DF38B2">
              <w:t>142</w:t>
            </w:r>
          </w:p>
        </w:tc>
        <w:tc>
          <w:tcPr>
            <w:tcW w:w="703" w:type="pct"/>
          </w:tcPr>
          <w:p w:rsidR="00C07A1B" w:rsidRPr="00DF38B2" w:rsidRDefault="00C07A1B" w:rsidP="006654AE">
            <w:pPr>
              <w:pStyle w:val="tabletextright"/>
            </w:pPr>
            <w:r w:rsidRPr="00DF38B2">
              <w:t>12%</w:t>
            </w:r>
          </w:p>
        </w:tc>
      </w:tr>
      <w:tr w:rsidR="00C07A1B" w:rsidRPr="00DF38B2" w:rsidTr="00D53B54">
        <w:trPr>
          <w:jc w:val="center"/>
        </w:trPr>
        <w:tc>
          <w:tcPr>
            <w:tcW w:w="1885" w:type="pct"/>
          </w:tcPr>
          <w:p w:rsidR="00C07A1B" w:rsidRPr="00DF38B2" w:rsidRDefault="00C07A1B" w:rsidP="006654AE">
            <w:pPr>
              <w:pStyle w:val="tabletextleft"/>
              <w:jc w:val="left"/>
            </w:pPr>
            <w:r w:rsidRPr="00DF38B2">
              <w:t xml:space="preserve">Unable to finalise during fieldwork </w:t>
            </w:r>
          </w:p>
        </w:tc>
        <w:tc>
          <w:tcPr>
            <w:tcW w:w="904" w:type="pct"/>
          </w:tcPr>
          <w:p w:rsidR="00C07A1B" w:rsidRPr="00DF38B2" w:rsidRDefault="00C07A1B" w:rsidP="006654AE">
            <w:pPr>
              <w:pStyle w:val="tabletextright"/>
            </w:pPr>
            <w:r w:rsidRPr="00DF38B2">
              <w:t>42</w:t>
            </w:r>
          </w:p>
        </w:tc>
        <w:tc>
          <w:tcPr>
            <w:tcW w:w="703" w:type="pct"/>
          </w:tcPr>
          <w:p w:rsidR="00C07A1B" w:rsidRPr="00DF38B2" w:rsidRDefault="00C07A1B" w:rsidP="006654AE">
            <w:pPr>
              <w:pStyle w:val="tabletextright"/>
            </w:pPr>
            <w:r w:rsidRPr="00DF38B2">
              <w:t>-</w:t>
            </w:r>
          </w:p>
        </w:tc>
        <w:tc>
          <w:tcPr>
            <w:tcW w:w="804" w:type="pct"/>
          </w:tcPr>
          <w:p w:rsidR="00C07A1B" w:rsidRPr="00DF38B2" w:rsidRDefault="00C07A1B" w:rsidP="006654AE">
            <w:pPr>
              <w:pStyle w:val="tabletextright"/>
            </w:pPr>
            <w:r w:rsidRPr="00DF38B2">
              <w:t>42</w:t>
            </w:r>
          </w:p>
        </w:tc>
        <w:tc>
          <w:tcPr>
            <w:tcW w:w="703" w:type="pct"/>
          </w:tcPr>
          <w:p w:rsidR="00C07A1B" w:rsidRPr="00DF38B2" w:rsidRDefault="00C07A1B" w:rsidP="006654AE">
            <w:pPr>
              <w:pStyle w:val="tabletextright"/>
            </w:pPr>
            <w:r w:rsidRPr="00DF38B2">
              <w:t>4%</w:t>
            </w:r>
          </w:p>
        </w:tc>
      </w:tr>
      <w:tr w:rsidR="00C07A1B" w:rsidRPr="00DF38B2" w:rsidTr="00D53B54">
        <w:trPr>
          <w:jc w:val="center"/>
        </w:trPr>
        <w:tc>
          <w:tcPr>
            <w:tcW w:w="1885" w:type="pct"/>
          </w:tcPr>
          <w:p w:rsidR="00C07A1B" w:rsidRPr="00DF38B2" w:rsidRDefault="00C07A1B" w:rsidP="006654AE">
            <w:pPr>
              <w:pStyle w:val="tabletextleft"/>
              <w:jc w:val="left"/>
            </w:pPr>
            <w:r w:rsidRPr="00DF38B2">
              <w:t>Away during fieldwork</w:t>
            </w:r>
          </w:p>
        </w:tc>
        <w:tc>
          <w:tcPr>
            <w:tcW w:w="904" w:type="pct"/>
          </w:tcPr>
          <w:p w:rsidR="00C07A1B" w:rsidRPr="00DF38B2" w:rsidRDefault="00C07A1B" w:rsidP="006654AE">
            <w:pPr>
              <w:pStyle w:val="tabletextright"/>
            </w:pPr>
            <w:r w:rsidRPr="00DF38B2">
              <w:t>24</w:t>
            </w:r>
          </w:p>
        </w:tc>
        <w:tc>
          <w:tcPr>
            <w:tcW w:w="703" w:type="pct"/>
          </w:tcPr>
          <w:p w:rsidR="00C07A1B" w:rsidRPr="00DF38B2" w:rsidRDefault="00C07A1B" w:rsidP="006654AE">
            <w:pPr>
              <w:pStyle w:val="tabletextright"/>
            </w:pPr>
            <w:r w:rsidRPr="00DF38B2">
              <w:t>16</w:t>
            </w:r>
          </w:p>
        </w:tc>
        <w:tc>
          <w:tcPr>
            <w:tcW w:w="804" w:type="pct"/>
          </w:tcPr>
          <w:p w:rsidR="00C07A1B" w:rsidRPr="00DF38B2" w:rsidRDefault="00C07A1B" w:rsidP="006654AE">
            <w:pPr>
              <w:pStyle w:val="tabletextright"/>
            </w:pPr>
            <w:r w:rsidRPr="00DF38B2">
              <w:t>40</w:t>
            </w:r>
          </w:p>
        </w:tc>
        <w:tc>
          <w:tcPr>
            <w:tcW w:w="703" w:type="pct"/>
          </w:tcPr>
          <w:p w:rsidR="00C07A1B" w:rsidRPr="00DF38B2" w:rsidRDefault="00C07A1B" w:rsidP="006654AE">
            <w:pPr>
              <w:pStyle w:val="tabletextright"/>
            </w:pPr>
            <w:r w:rsidRPr="00DF38B2">
              <w:t>3%</w:t>
            </w:r>
          </w:p>
        </w:tc>
      </w:tr>
      <w:tr w:rsidR="00C07A1B" w:rsidRPr="00DF38B2" w:rsidTr="00D53B54">
        <w:trPr>
          <w:jc w:val="center"/>
        </w:trPr>
        <w:tc>
          <w:tcPr>
            <w:tcW w:w="1885" w:type="pct"/>
          </w:tcPr>
          <w:p w:rsidR="00C07A1B" w:rsidRPr="00DF38B2" w:rsidRDefault="00C07A1B" w:rsidP="006654AE">
            <w:pPr>
              <w:pStyle w:val="tabletextleft"/>
              <w:jc w:val="left"/>
            </w:pPr>
            <w:r w:rsidRPr="00DF38B2">
              <w:t>Failed to make appointment</w:t>
            </w:r>
          </w:p>
        </w:tc>
        <w:tc>
          <w:tcPr>
            <w:tcW w:w="904" w:type="pct"/>
          </w:tcPr>
          <w:p w:rsidR="00C07A1B" w:rsidRPr="00DF38B2" w:rsidRDefault="00C07A1B" w:rsidP="006654AE">
            <w:pPr>
              <w:pStyle w:val="tabletextright"/>
            </w:pPr>
            <w:r w:rsidRPr="00DF38B2">
              <w:t>21</w:t>
            </w:r>
          </w:p>
        </w:tc>
        <w:tc>
          <w:tcPr>
            <w:tcW w:w="703" w:type="pct"/>
          </w:tcPr>
          <w:p w:rsidR="00C07A1B" w:rsidRPr="00DF38B2" w:rsidRDefault="00C07A1B" w:rsidP="006654AE">
            <w:pPr>
              <w:pStyle w:val="tabletextright"/>
            </w:pPr>
            <w:r w:rsidRPr="00DF38B2">
              <w:t>10</w:t>
            </w:r>
          </w:p>
        </w:tc>
        <w:tc>
          <w:tcPr>
            <w:tcW w:w="804" w:type="pct"/>
          </w:tcPr>
          <w:p w:rsidR="00C07A1B" w:rsidRPr="00DF38B2" w:rsidRDefault="00C07A1B" w:rsidP="006654AE">
            <w:pPr>
              <w:pStyle w:val="tabletextright"/>
            </w:pPr>
            <w:r w:rsidRPr="00DF38B2">
              <w:t>31</w:t>
            </w:r>
          </w:p>
        </w:tc>
        <w:tc>
          <w:tcPr>
            <w:tcW w:w="703" w:type="pct"/>
          </w:tcPr>
          <w:p w:rsidR="00C07A1B" w:rsidRPr="00DF38B2" w:rsidRDefault="00C07A1B" w:rsidP="006654AE">
            <w:pPr>
              <w:pStyle w:val="tabletextright"/>
            </w:pPr>
            <w:r w:rsidRPr="00DF38B2">
              <w:t>3%</w:t>
            </w:r>
          </w:p>
        </w:tc>
      </w:tr>
      <w:tr w:rsidR="00C07A1B" w:rsidRPr="00DF38B2" w:rsidTr="00D53B54">
        <w:trPr>
          <w:jc w:val="center"/>
        </w:trPr>
        <w:tc>
          <w:tcPr>
            <w:tcW w:w="1885" w:type="pct"/>
          </w:tcPr>
          <w:p w:rsidR="00C07A1B" w:rsidRPr="00DF38B2" w:rsidRDefault="00C07A1B" w:rsidP="006654AE">
            <w:pPr>
              <w:pStyle w:val="tabletextleft"/>
              <w:jc w:val="left"/>
            </w:pPr>
            <w:r w:rsidRPr="00DF38B2">
              <w:t>Too sick</w:t>
            </w:r>
          </w:p>
        </w:tc>
        <w:tc>
          <w:tcPr>
            <w:tcW w:w="904" w:type="pct"/>
          </w:tcPr>
          <w:p w:rsidR="00C07A1B" w:rsidRPr="00DF38B2" w:rsidRDefault="00C07A1B" w:rsidP="006654AE">
            <w:pPr>
              <w:pStyle w:val="tabletextright"/>
            </w:pPr>
            <w:r w:rsidRPr="00DF38B2">
              <w:t>3</w:t>
            </w:r>
          </w:p>
        </w:tc>
        <w:tc>
          <w:tcPr>
            <w:tcW w:w="703" w:type="pct"/>
          </w:tcPr>
          <w:p w:rsidR="00C07A1B" w:rsidRPr="00DF38B2" w:rsidRDefault="00C07A1B" w:rsidP="006654AE">
            <w:pPr>
              <w:pStyle w:val="tabletextright"/>
            </w:pPr>
            <w:r w:rsidRPr="00DF38B2">
              <w:t>-</w:t>
            </w:r>
          </w:p>
        </w:tc>
        <w:tc>
          <w:tcPr>
            <w:tcW w:w="804" w:type="pct"/>
          </w:tcPr>
          <w:p w:rsidR="00C07A1B" w:rsidRPr="00DF38B2" w:rsidRDefault="00C07A1B" w:rsidP="006654AE">
            <w:pPr>
              <w:pStyle w:val="tabletextright"/>
            </w:pPr>
            <w:r w:rsidRPr="00DF38B2">
              <w:t>3</w:t>
            </w:r>
          </w:p>
        </w:tc>
        <w:tc>
          <w:tcPr>
            <w:tcW w:w="703" w:type="pct"/>
          </w:tcPr>
          <w:p w:rsidR="00C07A1B" w:rsidRPr="00DF38B2" w:rsidRDefault="00C07A1B" w:rsidP="006654AE">
            <w:pPr>
              <w:pStyle w:val="tabletextright"/>
            </w:pPr>
            <w:r w:rsidRPr="00DF38B2">
              <w:t>0%</w:t>
            </w:r>
          </w:p>
        </w:tc>
      </w:tr>
      <w:tr w:rsidR="00C07A1B" w:rsidRPr="00DF38B2" w:rsidTr="00D53B54">
        <w:trPr>
          <w:jc w:val="center"/>
        </w:trPr>
        <w:tc>
          <w:tcPr>
            <w:tcW w:w="1885" w:type="pct"/>
            <w:tcBorders>
              <w:bottom w:val="single" w:sz="4" w:space="0" w:color="auto"/>
            </w:tcBorders>
          </w:tcPr>
          <w:p w:rsidR="00C07A1B" w:rsidRPr="00DF38B2" w:rsidRDefault="00C07A1B" w:rsidP="006654AE">
            <w:pPr>
              <w:pStyle w:val="tabletextleft"/>
              <w:jc w:val="left"/>
            </w:pPr>
            <w:r w:rsidRPr="00DF38B2">
              <w:t>Total</w:t>
            </w:r>
          </w:p>
        </w:tc>
        <w:tc>
          <w:tcPr>
            <w:tcW w:w="904" w:type="pct"/>
            <w:tcBorders>
              <w:bottom w:val="single" w:sz="4" w:space="0" w:color="auto"/>
            </w:tcBorders>
          </w:tcPr>
          <w:p w:rsidR="00C07A1B" w:rsidRPr="00DF38B2" w:rsidRDefault="00C07A1B" w:rsidP="006654AE">
            <w:pPr>
              <w:pStyle w:val="tabletextright"/>
            </w:pPr>
            <w:r w:rsidRPr="00DF38B2">
              <w:t>227</w:t>
            </w:r>
          </w:p>
        </w:tc>
        <w:tc>
          <w:tcPr>
            <w:tcW w:w="703" w:type="pct"/>
            <w:tcBorders>
              <w:bottom w:val="single" w:sz="4" w:space="0" w:color="auto"/>
            </w:tcBorders>
          </w:tcPr>
          <w:p w:rsidR="00C07A1B" w:rsidRPr="00DF38B2" w:rsidRDefault="00C07A1B" w:rsidP="006654AE">
            <w:pPr>
              <w:pStyle w:val="tabletextright"/>
            </w:pPr>
            <w:r w:rsidRPr="00DF38B2">
              <w:t>972</w:t>
            </w:r>
          </w:p>
        </w:tc>
        <w:tc>
          <w:tcPr>
            <w:tcW w:w="804" w:type="pct"/>
            <w:tcBorders>
              <w:bottom w:val="single" w:sz="4" w:space="0" w:color="auto"/>
            </w:tcBorders>
          </w:tcPr>
          <w:p w:rsidR="00C07A1B" w:rsidRPr="00DF38B2" w:rsidRDefault="00C07A1B" w:rsidP="006654AE">
            <w:pPr>
              <w:pStyle w:val="tabletextright"/>
            </w:pPr>
            <w:r w:rsidRPr="00DF38B2">
              <w:t>1197</w:t>
            </w:r>
          </w:p>
        </w:tc>
        <w:tc>
          <w:tcPr>
            <w:tcW w:w="703" w:type="pct"/>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CB5352" w:rsidRDefault="001E07F5" w:rsidP="00CB5352">
      <w:pPr>
        <w:spacing w:after="120"/>
        <w:rPr>
          <w:rFonts w:asciiTheme="minorHAnsi" w:hAnsiTheme="minorHAnsi"/>
          <w:color w:val="891919"/>
          <w:sz w:val="24"/>
          <w:szCs w:val="24"/>
        </w:rPr>
      </w:pPr>
      <w:r w:rsidRPr="00CB5352">
        <w:rPr>
          <w:rFonts w:asciiTheme="minorHAnsi" w:hAnsiTheme="minorHAnsi"/>
          <w:color w:val="891919"/>
          <w:sz w:val="24"/>
          <w:szCs w:val="24"/>
        </w:rPr>
        <w:t>Unable to contact or locate</w:t>
      </w:r>
    </w:p>
    <w:p w:rsidR="001E07F5" w:rsidRPr="00DF38B2" w:rsidRDefault="001E07F5" w:rsidP="006654AE">
      <w:r w:rsidRPr="00DF38B2">
        <w:t>Within the sample provided, there were 120 people with no fixed address or incomplete address records</w:t>
      </w:r>
      <w:r w:rsidR="00A1421A">
        <w:t xml:space="preserve">. </w:t>
      </w:r>
      <w:r w:rsidRPr="00DF38B2">
        <w:t>Interviewers enquired about these people in town camps and other communities, with some were reported to have returned to their remote communities. A small number of people with no fixed address were known to be living in ‘long grasser’ on the outskirts of towns and communities. For safety reasons, interviewers were directed not to attend any ‘long grass’ camps. Subsequently, these people were removed from the local sample.</w:t>
      </w:r>
    </w:p>
    <w:p w:rsidR="001E07F5" w:rsidRPr="00DF38B2" w:rsidRDefault="001E07F5" w:rsidP="006654AE">
      <w:r w:rsidRPr="00DF38B2">
        <w:t xml:space="preserve">There were also a number of people listed as living temporary accommodation, including local hostels or night shelters, </w:t>
      </w:r>
      <w:proofErr w:type="gramStart"/>
      <w:r w:rsidRPr="00DF38B2">
        <w:t>who</w:t>
      </w:r>
      <w:proofErr w:type="gramEnd"/>
      <w:r w:rsidRPr="00DF38B2">
        <w:t xml:space="preserve"> were unable to be located</w:t>
      </w:r>
      <w:r w:rsidR="00A1421A">
        <w:t xml:space="preserve">. </w:t>
      </w:r>
      <w:r w:rsidRPr="00DF38B2">
        <w:t>Those in rehabilitation and health care facilities were also not contacted directly</w:t>
      </w:r>
      <w:r w:rsidR="00A1421A">
        <w:t xml:space="preserve">. </w:t>
      </w:r>
      <w:r w:rsidRPr="00DF38B2">
        <w:t>Protocols required that the facilities be contacted as a primary contact point</w:t>
      </w:r>
      <w:r w:rsidR="00A1421A">
        <w:t xml:space="preserve">. </w:t>
      </w:r>
      <w:r w:rsidRPr="00DF38B2">
        <w:t>Not all facilities would allow the interviewers to contact potential participants. In instances where people were registered as living in caravan parks or back packer facilities, management was also contacted in order to determine if the person was still residing at the facility prior to undertaking a visit.</w:t>
      </w:r>
    </w:p>
    <w:p w:rsidR="001E07F5" w:rsidRPr="00CB5352" w:rsidRDefault="001E07F5" w:rsidP="00CB5352">
      <w:pPr>
        <w:spacing w:after="120"/>
        <w:rPr>
          <w:rFonts w:asciiTheme="minorHAnsi" w:hAnsiTheme="minorHAnsi"/>
          <w:color w:val="891919"/>
          <w:sz w:val="24"/>
          <w:szCs w:val="24"/>
        </w:rPr>
      </w:pPr>
      <w:r w:rsidRPr="00CB5352">
        <w:rPr>
          <w:rFonts w:asciiTheme="minorHAnsi" w:hAnsiTheme="minorHAnsi"/>
          <w:color w:val="891919"/>
          <w:sz w:val="24"/>
          <w:szCs w:val="24"/>
        </w:rPr>
        <w:t xml:space="preserve">Contact attempts </w:t>
      </w:r>
    </w:p>
    <w:p w:rsidR="001E07F5" w:rsidRPr="00DF38B2" w:rsidRDefault="001E07F5" w:rsidP="006654AE">
      <w:r w:rsidRPr="00DF38B2">
        <w:t xml:space="preserve">There were 1197 potential participants who could not be contacted during fieldwork. A number of participants from Wave 1 were no longer living in the same locations and new contact details were not </w:t>
      </w:r>
      <w:r w:rsidRPr="00DF38B2">
        <w:lastRenderedPageBreak/>
        <w:t>known. There was also a pattern of potential participants not being at home for their scheduled appointment, even when the appointment was confirmed. Interviewers offered to conduct interviews in a range of alternate venues, including local libraries, food outlets or local stores, to ensure that participants felt comfortable speaking with the interviewer.</w:t>
      </w:r>
    </w:p>
    <w:p w:rsidR="001E07F5" w:rsidRPr="00DF38B2" w:rsidRDefault="001E07F5" w:rsidP="006654AE">
      <w:r w:rsidRPr="00DF38B2">
        <w:t xml:space="preserve">At least three call attempts made to all potential participants. Participants who failed to meet at the agreed appointment time were given the opportunity to reschedule, however, it was decided that if the participant did not make the agreed appointment on three separate occasions, no further attempt to secure an appointment would be made. A number of potential participants were coded as ‘unable to finalise’ as further calls could have been made had time permitted. </w:t>
      </w:r>
    </w:p>
    <w:p w:rsidR="001E07F5" w:rsidRPr="00DF38B2" w:rsidRDefault="001E07F5" w:rsidP="006654AE">
      <w:pPr>
        <w:pStyle w:val="aphead2"/>
      </w:pPr>
      <w:r w:rsidRPr="00DF38B2">
        <w:t>Out of scope</w:t>
      </w:r>
    </w:p>
    <w:p w:rsidR="001E07F5" w:rsidRPr="00DF38B2" w:rsidRDefault="001E07F5" w:rsidP="006654AE">
      <w:r w:rsidRPr="00DF38B2">
        <w:t>Some potential participants were deemed to be out of scope of the study (n=80). Reasons for qualifying as being out of scope included having moved out of the Income Management area, having died, or having been incarcerated or admitted to hospital for the period of the fieldwork.</w:t>
      </w:r>
    </w:p>
    <w:p w:rsidR="001E07F5" w:rsidRPr="00DF38B2" w:rsidRDefault="001E07F5" w:rsidP="006654AE">
      <w:pPr>
        <w:pStyle w:val="Caption"/>
      </w:pPr>
      <w:r w:rsidRPr="00DF38B2">
        <w:t xml:space="preserve">Table 5: Reason for out of scope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ocuments the 84 cases where a person was deemed to be out of scope. The rows contain the reason for out of scope and the columns provide data for the; Wave 1 Follow Up population; the Wave 2 Top Up, the total and the distribution proportional distribution of reasons across the whole population. The most frequent (70  per cent) reason was that the person had moved out of the site."/>
      </w:tblPr>
      <w:tblGrid>
        <w:gridCol w:w="2412"/>
        <w:gridCol w:w="1541"/>
        <w:gridCol w:w="1599"/>
        <w:gridCol w:w="1599"/>
        <w:gridCol w:w="1399"/>
      </w:tblGrid>
      <w:tr w:rsidR="00C07A1B" w:rsidRPr="00DF38B2" w:rsidTr="00723FAF">
        <w:trPr>
          <w:tblHeader/>
          <w:jc w:val="center"/>
        </w:trPr>
        <w:tc>
          <w:tcPr>
            <w:tcW w:w="1410" w:type="pct"/>
            <w:tcBorders>
              <w:top w:val="single" w:sz="4" w:space="0" w:color="auto"/>
              <w:bottom w:val="single" w:sz="4" w:space="0" w:color="auto"/>
            </w:tcBorders>
          </w:tcPr>
          <w:p w:rsidR="00C07A1B" w:rsidRPr="00DF38B2" w:rsidRDefault="00C07A1B" w:rsidP="006654AE">
            <w:pPr>
              <w:pStyle w:val="tabletextleft"/>
              <w:jc w:val="left"/>
            </w:pPr>
            <w:r w:rsidRPr="00DF38B2">
              <w:t>Reason for out of scope</w:t>
            </w:r>
          </w:p>
        </w:tc>
        <w:tc>
          <w:tcPr>
            <w:tcW w:w="901" w:type="pct"/>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935" w:type="pct"/>
            <w:tcBorders>
              <w:top w:val="single" w:sz="4" w:space="0" w:color="auto"/>
              <w:bottom w:val="single" w:sz="4" w:space="0" w:color="auto"/>
            </w:tcBorders>
          </w:tcPr>
          <w:p w:rsidR="00C07A1B" w:rsidRPr="00DF38B2" w:rsidRDefault="00C07A1B" w:rsidP="006654AE">
            <w:pPr>
              <w:pStyle w:val="tabletextright"/>
            </w:pPr>
            <w:r w:rsidRPr="00DF38B2">
              <w:t>Wave 2</w:t>
            </w:r>
            <w:r w:rsidR="00373299" w:rsidRPr="00DF38B2">
              <w:br/>
            </w:r>
            <w:r w:rsidRPr="00DF38B2">
              <w:t xml:space="preserve"> Top Up</w:t>
            </w:r>
          </w:p>
        </w:tc>
        <w:tc>
          <w:tcPr>
            <w:tcW w:w="935" w:type="pct"/>
            <w:tcBorders>
              <w:top w:val="single" w:sz="4" w:space="0" w:color="auto"/>
              <w:bottom w:val="single" w:sz="4" w:space="0" w:color="auto"/>
            </w:tcBorders>
          </w:tcPr>
          <w:p w:rsidR="00C07A1B" w:rsidRPr="00DF38B2" w:rsidRDefault="00C07A1B" w:rsidP="006654AE">
            <w:pPr>
              <w:pStyle w:val="tabletextright"/>
            </w:pPr>
            <w:r w:rsidRPr="00DF38B2">
              <w:t>Total</w:t>
            </w:r>
          </w:p>
        </w:tc>
        <w:tc>
          <w:tcPr>
            <w:tcW w:w="818" w:type="pct"/>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D53B54">
        <w:trPr>
          <w:jc w:val="center"/>
        </w:trPr>
        <w:tc>
          <w:tcPr>
            <w:tcW w:w="1410" w:type="pct"/>
            <w:tcBorders>
              <w:top w:val="single" w:sz="4" w:space="0" w:color="auto"/>
            </w:tcBorders>
          </w:tcPr>
          <w:p w:rsidR="00C07A1B" w:rsidRPr="00DF38B2" w:rsidRDefault="00C07A1B" w:rsidP="006654AE">
            <w:pPr>
              <w:pStyle w:val="tabletextleft"/>
            </w:pPr>
            <w:r w:rsidRPr="00DF38B2">
              <w:t>Moved out of site</w:t>
            </w:r>
          </w:p>
        </w:tc>
        <w:tc>
          <w:tcPr>
            <w:tcW w:w="901" w:type="pct"/>
            <w:tcBorders>
              <w:top w:val="single" w:sz="4" w:space="0" w:color="auto"/>
            </w:tcBorders>
          </w:tcPr>
          <w:p w:rsidR="00C07A1B" w:rsidRPr="00DF38B2" w:rsidRDefault="00C07A1B" w:rsidP="006654AE">
            <w:pPr>
              <w:pStyle w:val="tabletextright"/>
            </w:pPr>
            <w:r w:rsidRPr="00DF38B2">
              <w:t>15</w:t>
            </w:r>
          </w:p>
        </w:tc>
        <w:tc>
          <w:tcPr>
            <w:tcW w:w="935" w:type="pct"/>
            <w:tcBorders>
              <w:top w:val="single" w:sz="4" w:space="0" w:color="auto"/>
            </w:tcBorders>
          </w:tcPr>
          <w:p w:rsidR="00C07A1B" w:rsidRPr="00DF38B2" w:rsidRDefault="00C07A1B" w:rsidP="006654AE">
            <w:pPr>
              <w:pStyle w:val="tabletextright"/>
            </w:pPr>
            <w:r w:rsidRPr="00DF38B2">
              <w:t>44</w:t>
            </w:r>
          </w:p>
        </w:tc>
        <w:tc>
          <w:tcPr>
            <w:tcW w:w="935" w:type="pct"/>
            <w:tcBorders>
              <w:top w:val="single" w:sz="4" w:space="0" w:color="auto"/>
            </w:tcBorders>
          </w:tcPr>
          <w:p w:rsidR="00C07A1B" w:rsidRPr="00DF38B2" w:rsidRDefault="00C07A1B" w:rsidP="006654AE">
            <w:pPr>
              <w:pStyle w:val="tabletextright"/>
            </w:pPr>
            <w:r w:rsidRPr="00DF38B2">
              <w:t>59</w:t>
            </w:r>
          </w:p>
        </w:tc>
        <w:tc>
          <w:tcPr>
            <w:tcW w:w="818" w:type="pct"/>
            <w:tcBorders>
              <w:top w:val="single" w:sz="4" w:space="0" w:color="auto"/>
            </w:tcBorders>
          </w:tcPr>
          <w:p w:rsidR="00C07A1B" w:rsidRPr="00DF38B2" w:rsidRDefault="00C07A1B" w:rsidP="006654AE">
            <w:pPr>
              <w:pStyle w:val="tabletextright"/>
            </w:pPr>
            <w:r w:rsidRPr="00DF38B2">
              <w:t>70%</w:t>
            </w:r>
          </w:p>
        </w:tc>
      </w:tr>
      <w:tr w:rsidR="00C07A1B" w:rsidRPr="00DF38B2" w:rsidTr="00D53B54">
        <w:trPr>
          <w:jc w:val="center"/>
        </w:trPr>
        <w:tc>
          <w:tcPr>
            <w:tcW w:w="1410" w:type="pct"/>
          </w:tcPr>
          <w:p w:rsidR="00C07A1B" w:rsidRPr="00DF38B2" w:rsidRDefault="00C07A1B" w:rsidP="006654AE">
            <w:pPr>
              <w:pStyle w:val="tabletextleft"/>
            </w:pPr>
            <w:r w:rsidRPr="00DF38B2">
              <w:t>Deceased</w:t>
            </w:r>
          </w:p>
        </w:tc>
        <w:tc>
          <w:tcPr>
            <w:tcW w:w="901" w:type="pct"/>
          </w:tcPr>
          <w:p w:rsidR="00C07A1B" w:rsidRPr="00DF38B2" w:rsidRDefault="00C07A1B" w:rsidP="006654AE">
            <w:pPr>
              <w:pStyle w:val="tabletextright"/>
            </w:pPr>
            <w:r w:rsidRPr="00DF38B2">
              <w:t>8</w:t>
            </w:r>
          </w:p>
        </w:tc>
        <w:tc>
          <w:tcPr>
            <w:tcW w:w="935" w:type="pct"/>
          </w:tcPr>
          <w:p w:rsidR="00C07A1B" w:rsidRPr="00DF38B2" w:rsidRDefault="00C07A1B" w:rsidP="006654AE">
            <w:pPr>
              <w:pStyle w:val="tabletextright"/>
            </w:pPr>
            <w:r w:rsidRPr="00DF38B2">
              <w:t>2</w:t>
            </w:r>
          </w:p>
        </w:tc>
        <w:tc>
          <w:tcPr>
            <w:tcW w:w="935" w:type="pct"/>
          </w:tcPr>
          <w:p w:rsidR="00C07A1B" w:rsidRPr="00DF38B2" w:rsidRDefault="00C07A1B" w:rsidP="006654AE">
            <w:pPr>
              <w:pStyle w:val="tabletextright"/>
            </w:pPr>
            <w:r w:rsidRPr="00DF38B2">
              <w:t>10</w:t>
            </w:r>
          </w:p>
        </w:tc>
        <w:tc>
          <w:tcPr>
            <w:tcW w:w="818" w:type="pct"/>
          </w:tcPr>
          <w:p w:rsidR="00C07A1B" w:rsidRPr="00DF38B2" w:rsidRDefault="00C07A1B" w:rsidP="006654AE">
            <w:pPr>
              <w:pStyle w:val="tabletextright"/>
            </w:pPr>
            <w:r w:rsidRPr="00DF38B2">
              <w:t>12%</w:t>
            </w:r>
          </w:p>
        </w:tc>
      </w:tr>
      <w:tr w:rsidR="00C07A1B" w:rsidRPr="00DF38B2" w:rsidTr="00D53B54">
        <w:trPr>
          <w:jc w:val="center"/>
        </w:trPr>
        <w:tc>
          <w:tcPr>
            <w:tcW w:w="1410" w:type="pct"/>
          </w:tcPr>
          <w:p w:rsidR="00C07A1B" w:rsidRPr="00DF38B2" w:rsidRDefault="00C07A1B" w:rsidP="006654AE">
            <w:pPr>
              <w:pStyle w:val="tabletextleft"/>
            </w:pPr>
            <w:r w:rsidRPr="00DF38B2">
              <w:t>Jail</w:t>
            </w:r>
          </w:p>
        </w:tc>
        <w:tc>
          <w:tcPr>
            <w:tcW w:w="901" w:type="pct"/>
          </w:tcPr>
          <w:p w:rsidR="00C07A1B" w:rsidRPr="00DF38B2" w:rsidRDefault="00C07A1B" w:rsidP="006654AE">
            <w:pPr>
              <w:pStyle w:val="tabletextright"/>
            </w:pPr>
            <w:r w:rsidRPr="00DF38B2">
              <w:t>4</w:t>
            </w:r>
          </w:p>
        </w:tc>
        <w:tc>
          <w:tcPr>
            <w:tcW w:w="935" w:type="pct"/>
          </w:tcPr>
          <w:p w:rsidR="00C07A1B" w:rsidRPr="00DF38B2" w:rsidRDefault="00C07A1B" w:rsidP="006654AE">
            <w:pPr>
              <w:pStyle w:val="tabletextright"/>
            </w:pPr>
            <w:r w:rsidRPr="00DF38B2">
              <w:t>5</w:t>
            </w:r>
          </w:p>
        </w:tc>
        <w:tc>
          <w:tcPr>
            <w:tcW w:w="935" w:type="pct"/>
          </w:tcPr>
          <w:p w:rsidR="00C07A1B" w:rsidRPr="00DF38B2" w:rsidRDefault="00C07A1B" w:rsidP="006654AE">
            <w:pPr>
              <w:pStyle w:val="tabletextright"/>
            </w:pPr>
            <w:r w:rsidRPr="00DF38B2">
              <w:t>9</w:t>
            </w:r>
          </w:p>
        </w:tc>
        <w:tc>
          <w:tcPr>
            <w:tcW w:w="818" w:type="pct"/>
          </w:tcPr>
          <w:p w:rsidR="00C07A1B" w:rsidRPr="00DF38B2" w:rsidRDefault="00C07A1B" w:rsidP="006654AE">
            <w:pPr>
              <w:pStyle w:val="tabletextright"/>
            </w:pPr>
            <w:r w:rsidRPr="00DF38B2">
              <w:t>11%</w:t>
            </w:r>
          </w:p>
        </w:tc>
      </w:tr>
      <w:tr w:rsidR="00C07A1B" w:rsidRPr="00DF38B2" w:rsidTr="00D53B54">
        <w:trPr>
          <w:jc w:val="center"/>
        </w:trPr>
        <w:tc>
          <w:tcPr>
            <w:tcW w:w="1410" w:type="pct"/>
          </w:tcPr>
          <w:p w:rsidR="00C07A1B" w:rsidRPr="00DF38B2" w:rsidRDefault="00C07A1B" w:rsidP="006654AE">
            <w:pPr>
              <w:pStyle w:val="tabletextleft"/>
            </w:pPr>
            <w:r w:rsidRPr="00DF38B2">
              <w:t>Hospital</w:t>
            </w:r>
          </w:p>
        </w:tc>
        <w:tc>
          <w:tcPr>
            <w:tcW w:w="901" w:type="pct"/>
          </w:tcPr>
          <w:p w:rsidR="00C07A1B" w:rsidRPr="00DF38B2" w:rsidRDefault="00C07A1B" w:rsidP="006654AE">
            <w:pPr>
              <w:pStyle w:val="tabletextright"/>
            </w:pPr>
            <w:r w:rsidRPr="00DF38B2">
              <w:t>2</w:t>
            </w:r>
          </w:p>
        </w:tc>
        <w:tc>
          <w:tcPr>
            <w:tcW w:w="935" w:type="pct"/>
          </w:tcPr>
          <w:p w:rsidR="00C07A1B" w:rsidRPr="00DF38B2" w:rsidRDefault="00C07A1B" w:rsidP="006654AE">
            <w:pPr>
              <w:pStyle w:val="tabletextright"/>
            </w:pPr>
            <w:r w:rsidRPr="00DF38B2">
              <w:t>4</w:t>
            </w:r>
          </w:p>
        </w:tc>
        <w:tc>
          <w:tcPr>
            <w:tcW w:w="935" w:type="pct"/>
          </w:tcPr>
          <w:p w:rsidR="00C07A1B" w:rsidRPr="00DF38B2" w:rsidRDefault="00C07A1B" w:rsidP="006654AE">
            <w:pPr>
              <w:pStyle w:val="tabletextright"/>
            </w:pPr>
            <w:r w:rsidRPr="00DF38B2">
              <w:t>6</w:t>
            </w:r>
          </w:p>
        </w:tc>
        <w:tc>
          <w:tcPr>
            <w:tcW w:w="818" w:type="pct"/>
          </w:tcPr>
          <w:p w:rsidR="00C07A1B" w:rsidRPr="00DF38B2" w:rsidRDefault="00C07A1B" w:rsidP="006654AE">
            <w:pPr>
              <w:pStyle w:val="tabletextright"/>
            </w:pPr>
            <w:r w:rsidRPr="00DF38B2">
              <w:t>7%</w:t>
            </w:r>
          </w:p>
        </w:tc>
      </w:tr>
      <w:tr w:rsidR="00C07A1B" w:rsidRPr="00DF38B2" w:rsidTr="00D53B54">
        <w:trPr>
          <w:jc w:val="center"/>
        </w:trPr>
        <w:tc>
          <w:tcPr>
            <w:tcW w:w="1410" w:type="pct"/>
            <w:tcBorders>
              <w:bottom w:val="single" w:sz="4" w:space="0" w:color="auto"/>
            </w:tcBorders>
          </w:tcPr>
          <w:p w:rsidR="00C07A1B" w:rsidRPr="00DF38B2" w:rsidRDefault="00C07A1B" w:rsidP="006654AE">
            <w:pPr>
              <w:pStyle w:val="tabletextleft"/>
            </w:pPr>
            <w:r w:rsidRPr="00DF38B2">
              <w:t>TOTAL</w:t>
            </w:r>
          </w:p>
        </w:tc>
        <w:tc>
          <w:tcPr>
            <w:tcW w:w="901" w:type="pct"/>
            <w:tcBorders>
              <w:bottom w:val="single" w:sz="4" w:space="0" w:color="auto"/>
            </w:tcBorders>
          </w:tcPr>
          <w:p w:rsidR="00C07A1B" w:rsidRPr="00DF38B2" w:rsidRDefault="00C07A1B" w:rsidP="006654AE">
            <w:pPr>
              <w:pStyle w:val="tabletextright"/>
            </w:pPr>
            <w:r w:rsidRPr="00DF38B2">
              <w:t>29</w:t>
            </w:r>
          </w:p>
        </w:tc>
        <w:tc>
          <w:tcPr>
            <w:tcW w:w="935" w:type="pct"/>
            <w:tcBorders>
              <w:bottom w:val="single" w:sz="4" w:space="0" w:color="auto"/>
            </w:tcBorders>
          </w:tcPr>
          <w:p w:rsidR="00C07A1B" w:rsidRPr="00DF38B2" w:rsidRDefault="00C07A1B" w:rsidP="006654AE">
            <w:pPr>
              <w:pStyle w:val="tabletextright"/>
            </w:pPr>
            <w:r w:rsidRPr="00DF38B2">
              <w:t>55</w:t>
            </w:r>
          </w:p>
        </w:tc>
        <w:tc>
          <w:tcPr>
            <w:tcW w:w="935" w:type="pct"/>
            <w:tcBorders>
              <w:bottom w:val="single" w:sz="4" w:space="0" w:color="auto"/>
            </w:tcBorders>
          </w:tcPr>
          <w:p w:rsidR="00C07A1B" w:rsidRPr="00DF38B2" w:rsidRDefault="00C07A1B" w:rsidP="006654AE">
            <w:pPr>
              <w:pStyle w:val="tabletextright"/>
            </w:pPr>
            <w:r w:rsidRPr="00DF38B2">
              <w:t>84</w:t>
            </w:r>
          </w:p>
        </w:tc>
        <w:tc>
          <w:tcPr>
            <w:tcW w:w="818" w:type="pct"/>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DF38B2" w:rsidRDefault="001E07F5" w:rsidP="006654AE">
      <w:pPr>
        <w:pStyle w:val="aphead2"/>
      </w:pPr>
      <w:r w:rsidRPr="00DF38B2">
        <w:t>Data cleaning and coding</w:t>
      </w:r>
    </w:p>
    <w:p w:rsidR="001E07F5" w:rsidRPr="00DF38B2" w:rsidRDefault="001E07F5" w:rsidP="006654AE">
      <w:r w:rsidRPr="00DF38B2">
        <w:t>Of the 1083 surveys completed, it was established that 1021 (94.3</w:t>
      </w:r>
      <w:r w:rsidR="00D53B54">
        <w:t xml:space="preserve"> per cent</w:t>
      </w:r>
      <w:r w:rsidRPr="00DF38B2">
        <w:t>) of the surveys constituted full, useable cases. Surveys which contained either insufficient data or illogical data were removed from the data set. A number of incomplete surveys contained completed sections of data which were used for analysis purposes.</w:t>
      </w:r>
    </w:p>
    <w:p w:rsidR="001E07F5" w:rsidRPr="00DF38B2" w:rsidRDefault="001E07F5" w:rsidP="006654AE">
      <w:pPr>
        <w:pStyle w:val="Caption"/>
      </w:pPr>
      <w:r w:rsidRPr="00DF38B2">
        <w:t>Table 6: Useable cases</w:t>
      </w:r>
      <w:r w:rsidR="00B84AFE">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escribes the number of useable cases the rows describe sub-populations in terms of wave and site with columns providing details on the number of complete records, incomplete removed records and partial records."/>
      </w:tblPr>
      <w:tblGrid>
        <w:gridCol w:w="2032"/>
        <w:gridCol w:w="1465"/>
        <w:gridCol w:w="1854"/>
        <w:gridCol w:w="1684"/>
        <w:gridCol w:w="1515"/>
      </w:tblGrid>
      <w:tr w:rsidR="00C07A1B" w:rsidRPr="00DF38B2" w:rsidTr="00723FAF">
        <w:trPr>
          <w:tblHeader/>
          <w:jc w:val="center"/>
        </w:trPr>
        <w:tc>
          <w:tcPr>
            <w:tcW w:w="1188" w:type="pct"/>
            <w:tcBorders>
              <w:top w:val="single" w:sz="4" w:space="0" w:color="auto"/>
              <w:bottom w:val="single" w:sz="4" w:space="0" w:color="auto"/>
            </w:tcBorders>
          </w:tcPr>
          <w:p w:rsidR="00C07A1B" w:rsidRPr="00DF38B2" w:rsidRDefault="00C07A1B" w:rsidP="006654AE">
            <w:pPr>
              <w:pStyle w:val="tabletextleft"/>
            </w:pPr>
            <w:r w:rsidRPr="00DF38B2">
              <w:t>Location</w:t>
            </w:r>
          </w:p>
        </w:tc>
        <w:tc>
          <w:tcPr>
            <w:tcW w:w="857" w:type="pct"/>
            <w:tcBorders>
              <w:top w:val="single" w:sz="4" w:space="0" w:color="auto"/>
              <w:bottom w:val="single" w:sz="4" w:space="0" w:color="auto"/>
            </w:tcBorders>
          </w:tcPr>
          <w:p w:rsidR="00C07A1B" w:rsidRPr="00DF38B2" w:rsidRDefault="00C07A1B" w:rsidP="006654AE">
            <w:pPr>
              <w:pStyle w:val="tabletextright"/>
            </w:pPr>
            <w:r w:rsidRPr="00DF38B2">
              <w:t>Complete Record</w:t>
            </w:r>
          </w:p>
        </w:tc>
        <w:tc>
          <w:tcPr>
            <w:tcW w:w="1084" w:type="pct"/>
            <w:tcBorders>
              <w:top w:val="single" w:sz="4" w:space="0" w:color="auto"/>
              <w:bottom w:val="single" w:sz="4" w:space="0" w:color="auto"/>
            </w:tcBorders>
          </w:tcPr>
          <w:p w:rsidR="00C07A1B" w:rsidRPr="00DF38B2" w:rsidRDefault="00C07A1B" w:rsidP="006654AE">
            <w:pPr>
              <w:pStyle w:val="tabletextright"/>
            </w:pPr>
            <w:r w:rsidRPr="00DF38B2">
              <w:t>Incomplete removed</w:t>
            </w:r>
          </w:p>
        </w:tc>
        <w:tc>
          <w:tcPr>
            <w:tcW w:w="985" w:type="pct"/>
            <w:tcBorders>
              <w:top w:val="single" w:sz="4" w:space="0" w:color="auto"/>
              <w:bottom w:val="single" w:sz="4" w:space="0" w:color="auto"/>
            </w:tcBorders>
          </w:tcPr>
          <w:p w:rsidR="00C07A1B" w:rsidRPr="00DF38B2" w:rsidRDefault="00C07A1B" w:rsidP="006654AE">
            <w:pPr>
              <w:pStyle w:val="tabletextright"/>
            </w:pPr>
            <w:r w:rsidRPr="00DF38B2">
              <w:t>Partial</w:t>
            </w:r>
          </w:p>
        </w:tc>
        <w:tc>
          <w:tcPr>
            <w:tcW w:w="887" w:type="pct"/>
            <w:tcBorders>
              <w:top w:val="single" w:sz="4" w:space="0" w:color="auto"/>
              <w:bottom w:val="single" w:sz="4" w:space="0" w:color="auto"/>
            </w:tcBorders>
          </w:tcPr>
          <w:p w:rsidR="00C07A1B" w:rsidRPr="00DF38B2" w:rsidRDefault="00C07A1B" w:rsidP="006654AE">
            <w:pPr>
              <w:pStyle w:val="tabletextright"/>
            </w:pPr>
            <w:r w:rsidRPr="00DF38B2">
              <w:t>Total</w:t>
            </w:r>
          </w:p>
        </w:tc>
      </w:tr>
      <w:tr w:rsidR="00C07A1B" w:rsidRPr="00DF38B2" w:rsidTr="00D53B54">
        <w:trPr>
          <w:jc w:val="center"/>
        </w:trPr>
        <w:tc>
          <w:tcPr>
            <w:tcW w:w="1188" w:type="pct"/>
            <w:tcBorders>
              <w:top w:val="single" w:sz="4" w:space="0" w:color="auto"/>
            </w:tcBorders>
          </w:tcPr>
          <w:p w:rsidR="00C07A1B" w:rsidRPr="00DF38B2" w:rsidRDefault="00C07A1B" w:rsidP="006654AE">
            <w:pPr>
              <w:pStyle w:val="tabletextleft"/>
            </w:pPr>
            <w:r w:rsidRPr="00DF38B2">
              <w:t>Northern Territory</w:t>
            </w:r>
          </w:p>
        </w:tc>
        <w:tc>
          <w:tcPr>
            <w:tcW w:w="857" w:type="pct"/>
            <w:tcBorders>
              <w:top w:val="single" w:sz="4" w:space="0" w:color="auto"/>
            </w:tcBorders>
          </w:tcPr>
          <w:p w:rsidR="00C07A1B" w:rsidRPr="00DF38B2" w:rsidRDefault="00C07A1B" w:rsidP="006654AE">
            <w:pPr>
              <w:pStyle w:val="tabletextright"/>
            </w:pPr>
            <w:r w:rsidRPr="00DF38B2">
              <w:t>866</w:t>
            </w:r>
          </w:p>
        </w:tc>
        <w:tc>
          <w:tcPr>
            <w:tcW w:w="1084" w:type="pct"/>
            <w:tcBorders>
              <w:top w:val="single" w:sz="4" w:space="0" w:color="auto"/>
            </w:tcBorders>
          </w:tcPr>
          <w:p w:rsidR="00C07A1B" w:rsidRPr="00DF38B2" w:rsidRDefault="00C07A1B" w:rsidP="006654AE">
            <w:pPr>
              <w:pStyle w:val="tabletextright"/>
            </w:pPr>
            <w:r w:rsidRPr="00DF38B2">
              <w:t>49</w:t>
            </w:r>
          </w:p>
        </w:tc>
        <w:tc>
          <w:tcPr>
            <w:tcW w:w="985" w:type="pct"/>
            <w:tcBorders>
              <w:top w:val="single" w:sz="4" w:space="0" w:color="auto"/>
            </w:tcBorders>
          </w:tcPr>
          <w:p w:rsidR="00C07A1B" w:rsidRPr="00DF38B2" w:rsidRDefault="00C07A1B" w:rsidP="006654AE">
            <w:pPr>
              <w:pStyle w:val="tabletextright"/>
            </w:pPr>
            <w:r w:rsidRPr="00DF38B2">
              <w:t>9</w:t>
            </w:r>
          </w:p>
        </w:tc>
        <w:tc>
          <w:tcPr>
            <w:tcW w:w="887" w:type="pct"/>
            <w:tcBorders>
              <w:top w:val="single" w:sz="4" w:space="0" w:color="auto"/>
            </w:tcBorders>
          </w:tcPr>
          <w:p w:rsidR="00C07A1B" w:rsidRPr="00DF38B2" w:rsidRDefault="00C07A1B" w:rsidP="006654AE">
            <w:pPr>
              <w:pStyle w:val="tabletextright"/>
            </w:pPr>
            <w:r w:rsidRPr="00DF38B2">
              <w:t>924</w:t>
            </w:r>
          </w:p>
        </w:tc>
      </w:tr>
      <w:tr w:rsidR="00C07A1B" w:rsidRPr="00DF38B2" w:rsidTr="00D53B54">
        <w:trPr>
          <w:jc w:val="center"/>
        </w:trPr>
        <w:tc>
          <w:tcPr>
            <w:tcW w:w="1188" w:type="pct"/>
          </w:tcPr>
          <w:p w:rsidR="00C07A1B" w:rsidRPr="00DF38B2" w:rsidRDefault="00C07A1B" w:rsidP="006654AE">
            <w:pPr>
              <w:pStyle w:val="tabletextleft"/>
            </w:pPr>
            <w:r w:rsidRPr="00DF38B2">
              <w:t>Wave 1 Follow Up</w:t>
            </w:r>
          </w:p>
        </w:tc>
        <w:tc>
          <w:tcPr>
            <w:tcW w:w="857" w:type="pct"/>
          </w:tcPr>
          <w:p w:rsidR="00C07A1B" w:rsidRPr="00DF38B2" w:rsidRDefault="00C07A1B" w:rsidP="006654AE">
            <w:pPr>
              <w:pStyle w:val="tabletextright"/>
            </w:pPr>
            <w:r w:rsidRPr="00DF38B2">
              <w:t>414</w:t>
            </w:r>
          </w:p>
        </w:tc>
        <w:tc>
          <w:tcPr>
            <w:tcW w:w="1084" w:type="pct"/>
          </w:tcPr>
          <w:p w:rsidR="00C07A1B" w:rsidRPr="00DF38B2" w:rsidRDefault="00C07A1B" w:rsidP="006654AE">
            <w:pPr>
              <w:pStyle w:val="tabletextright"/>
            </w:pPr>
            <w:r w:rsidRPr="00DF38B2">
              <w:t>21</w:t>
            </w:r>
          </w:p>
        </w:tc>
        <w:tc>
          <w:tcPr>
            <w:tcW w:w="985" w:type="pct"/>
          </w:tcPr>
          <w:p w:rsidR="00C07A1B" w:rsidRPr="00DF38B2" w:rsidRDefault="00C07A1B" w:rsidP="006654AE">
            <w:pPr>
              <w:pStyle w:val="tabletextright"/>
            </w:pPr>
            <w:r w:rsidRPr="00DF38B2">
              <w:t>4</w:t>
            </w:r>
          </w:p>
        </w:tc>
        <w:tc>
          <w:tcPr>
            <w:tcW w:w="887" w:type="pct"/>
          </w:tcPr>
          <w:p w:rsidR="00C07A1B" w:rsidRPr="00DF38B2" w:rsidRDefault="00C07A1B" w:rsidP="006654AE">
            <w:pPr>
              <w:pStyle w:val="tabletextright"/>
            </w:pPr>
            <w:r w:rsidRPr="00DF38B2">
              <w:t>439</w:t>
            </w:r>
          </w:p>
        </w:tc>
      </w:tr>
      <w:tr w:rsidR="00C07A1B" w:rsidRPr="00DF38B2" w:rsidTr="00D53B54">
        <w:trPr>
          <w:jc w:val="center"/>
        </w:trPr>
        <w:tc>
          <w:tcPr>
            <w:tcW w:w="1188" w:type="pct"/>
          </w:tcPr>
          <w:p w:rsidR="00C07A1B" w:rsidRPr="00DF38B2" w:rsidRDefault="00C07A1B" w:rsidP="006654AE">
            <w:pPr>
              <w:pStyle w:val="tabletextleft"/>
            </w:pPr>
            <w:r w:rsidRPr="00DF38B2">
              <w:t>Wave 2 Top Up</w:t>
            </w:r>
          </w:p>
        </w:tc>
        <w:tc>
          <w:tcPr>
            <w:tcW w:w="857" w:type="pct"/>
          </w:tcPr>
          <w:p w:rsidR="00C07A1B" w:rsidRPr="00DF38B2" w:rsidRDefault="00C07A1B" w:rsidP="006654AE">
            <w:pPr>
              <w:pStyle w:val="tabletextright"/>
            </w:pPr>
            <w:r w:rsidRPr="00DF38B2">
              <w:t>452</w:t>
            </w:r>
          </w:p>
        </w:tc>
        <w:tc>
          <w:tcPr>
            <w:tcW w:w="1084" w:type="pct"/>
          </w:tcPr>
          <w:p w:rsidR="00C07A1B" w:rsidRPr="00DF38B2" w:rsidRDefault="00C07A1B" w:rsidP="006654AE">
            <w:pPr>
              <w:pStyle w:val="tabletextright"/>
            </w:pPr>
            <w:r w:rsidRPr="00DF38B2">
              <w:t>28</w:t>
            </w:r>
          </w:p>
        </w:tc>
        <w:tc>
          <w:tcPr>
            <w:tcW w:w="985" w:type="pct"/>
          </w:tcPr>
          <w:p w:rsidR="00C07A1B" w:rsidRPr="00DF38B2" w:rsidRDefault="00C07A1B" w:rsidP="006654AE">
            <w:pPr>
              <w:pStyle w:val="tabletextright"/>
            </w:pPr>
            <w:r w:rsidRPr="00DF38B2">
              <w:t>5</w:t>
            </w:r>
          </w:p>
        </w:tc>
        <w:tc>
          <w:tcPr>
            <w:tcW w:w="887" w:type="pct"/>
          </w:tcPr>
          <w:p w:rsidR="00C07A1B" w:rsidRPr="00DF38B2" w:rsidRDefault="00C07A1B" w:rsidP="006654AE">
            <w:pPr>
              <w:pStyle w:val="tabletextright"/>
            </w:pPr>
            <w:r w:rsidRPr="00DF38B2">
              <w:t>485</w:t>
            </w:r>
          </w:p>
        </w:tc>
      </w:tr>
      <w:tr w:rsidR="00C07A1B" w:rsidRPr="00DF38B2" w:rsidTr="00D53B54">
        <w:trPr>
          <w:jc w:val="center"/>
        </w:trPr>
        <w:tc>
          <w:tcPr>
            <w:tcW w:w="1188" w:type="pct"/>
          </w:tcPr>
          <w:p w:rsidR="00C07A1B" w:rsidRPr="00DF38B2" w:rsidRDefault="00C07A1B" w:rsidP="006654AE">
            <w:pPr>
              <w:pStyle w:val="tabletextleft"/>
            </w:pPr>
            <w:r w:rsidRPr="00DF38B2">
              <w:t>Comparison Site</w:t>
            </w:r>
          </w:p>
        </w:tc>
        <w:tc>
          <w:tcPr>
            <w:tcW w:w="857" w:type="pct"/>
          </w:tcPr>
          <w:p w:rsidR="00C07A1B" w:rsidRPr="00DF38B2" w:rsidRDefault="00C07A1B" w:rsidP="006654AE">
            <w:pPr>
              <w:pStyle w:val="tabletextright"/>
            </w:pPr>
            <w:r w:rsidRPr="00DF38B2">
              <w:t>155</w:t>
            </w:r>
          </w:p>
        </w:tc>
        <w:tc>
          <w:tcPr>
            <w:tcW w:w="1084" w:type="pct"/>
          </w:tcPr>
          <w:p w:rsidR="00C07A1B" w:rsidRPr="00DF38B2" w:rsidRDefault="00C07A1B" w:rsidP="006654AE">
            <w:pPr>
              <w:pStyle w:val="tabletextright"/>
            </w:pPr>
            <w:r w:rsidRPr="00DF38B2">
              <w:t>3</w:t>
            </w:r>
          </w:p>
        </w:tc>
        <w:tc>
          <w:tcPr>
            <w:tcW w:w="985" w:type="pct"/>
          </w:tcPr>
          <w:p w:rsidR="00C07A1B" w:rsidRPr="00DF38B2" w:rsidRDefault="00C07A1B" w:rsidP="006654AE">
            <w:pPr>
              <w:pStyle w:val="tabletextright"/>
            </w:pPr>
            <w:r w:rsidRPr="00DF38B2">
              <w:t>1</w:t>
            </w:r>
          </w:p>
        </w:tc>
        <w:tc>
          <w:tcPr>
            <w:tcW w:w="887" w:type="pct"/>
          </w:tcPr>
          <w:p w:rsidR="00C07A1B" w:rsidRPr="00DF38B2" w:rsidRDefault="00C07A1B" w:rsidP="006654AE">
            <w:pPr>
              <w:pStyle w:val="tabletextright"/>
            </w:pPr>
            <w:r w:rsidRPr="00DF38B2">
              <w:t>159</w:t>
            </w:r>
          </w:p>
        </w:tc>
      </w:tr>
      <w:tr w:rsidR="00C07A1B" w:rsidRPr="00DF38B2" w:rsidTr="00D53B54">
        <w:trPr>
          <w:jc w:val="center"/>
        </w:trPr>
        <w:tc>
          <w:tcPr>
            <w:tcW w:w="1188" w:type="pct"/>
          </w:tcPr>
          <w:p w:rsidR="00C07A1B" w:rsidRPr="00DF38B2" w:rsidRDefault="00C07A1B" w:rsidP="006654AE">
            <w:pPr>
              <w:pStyle w:val="tabletextleft"/>
            </w:pPr>
            <w:r w:rsidRPr="00DF38B2">
              <w:t>Wave 1 Follow Up</w:t>
            </w:r>
          </w:p>
        </w:tc>
        <w:tc>
          <w:tcPr>
            <w:tcW w:w="857" w:type="pct"/>
          </w:tcPr>
          <w:p w:rsidR="00C07A1B" w:rsidRPr="00DF38B2" w:rsidRDefault="00C07A1B" w:rsidP="006654AE">
            <w:pPr>
              <w:pStyle w:val="tabletextright"/>
            </w:pPr>
            <w:r w:rsidRPr="00DF38B2">
              <w:t>155</w:t>
            </w:r>
          </w:p>
        </w:tc>
        <w:tc>
          <w:tcPr>
            <w:tcW w:w="1084" w:type="pct"/>
          </w:tcPr>
          <w:p w:rsidR="00C07A1B" w:rsidRPr="00DF38B2" w:rsidRDefault="00C07A1B" w:rsidP="006654AE">
            <w:pPr>
              <w:pStyle w:val="tabletextright"/>
            </w:pPr>
            <w:r w:rsidRPr="00DF38B2">
              <w:t>3</w:t>
            </w:r>
          </w:p>
        </w:tc>
        <w:tc>
          <w:tcPr>
            <w:tcW w:w="985" w:type="pct"/>
          </w:tcPr>
          <w:p w:rsidR="00C07A1B" w:rsidRPr="00DF38B2" w:rsidRDefault="00C07A1B" w:rsidP="006654AE">
            <w:pPr>
              <w:pStyle w:val="tabletextright"/>
            </w:pPr>
            <w:r w:rsidRPr="00DF38B2">
              <w:t>1</w:t>
            </w:r>
          </w:p>
        </w:tc>
        <w:tc>
          <w:tcPr>
            <w:tcW w:w="887" w:type="pct"/>
          </w:tcPr>
          <w:p w:rsidR="00C07A1B" w:rsidRPr="00DF38B2" w:rsidRDefault="00C07A1B" w:rsidP="006654AE">
            <w:pPr>
              <w:pStyle w:val="tabletextright"/>
            </w:pPr>
            <w:r w:rsidRPr="00DF38B2">
              <w:t>159</w:t>
            </w:r>
          </w:p>
        </w:tc>
      </w:tr>
      <w:tr w:rsidR="00C07A1B" w:rsidRPr="00DF38B2" w:rsidTr="00D53B54">
        <w:trPr>
          <w:jc w:val="center"/>
        </w:trPr>
        <w:tc>
          <w:tcPr>
            <w:tcW w:w="1188" w:type="pct"/>
            <w:tcBorders>
              <w:bottom w:val="single" w:sz="4" w:space="0" w:color="auto"/>
            </w:tcBorders>
          </w:tcPr>
          <w:p w:rsidR="00C07A1B" w:rsidRPr="00DF38B2" w:rsidRDefault="00C07A1B" w:rsidP="006654AE">
            <w:pPr>
              <w:pStyle w:val="tabletextleft"/>
            </w:pPr>
            <w:r w:rsidRPr="00DF38B2">
              <w:t>Total</w:t>
            </w:r>
          </w:p>
        </w:tc>
        <w:tc>
          <w:tcPr>
            <w:tcW w:w="857" w:type="pct"/>
            <w:tcBorders>
              <w:bottom w:val="single" w:sz="4" w:space="0" w:color="auto"/>
            </w:tcBorders>
          </w:tcPr>
          <w:p w:rsidR="00C07A1B" w:rsidRPr="00DF38B2" w:rsidRDefault="00C07A1B" w:rsidP="006654AE">
            <w:pPr>
              <w:pStyle w:val="tabletextright"/>
            </w:pPr>
            <w:r w:rsidRPr="00DF38B2">
              <w:t>1021</w:t>
            </w:r>
          </w:p>
        </w:tc>
        <w:tc>
          <w:tcPr>
            <w:tcW w:w="1084" w:type="pct"/>
            <w:tcBorders>
              <w:bottom w:val="single" w:sz="4" w:space="0" w:color="auto"/>
            </w:tcBorders>
          </w:tcPr>
          <w:p w:rsidR="00C07A1B" w:rsidRPr="00DF38B2" w:rsidRDefault="00C07A1B" w:rsidP="006654AE">
            <w:pPr>
              <w:pStyle w:val="tabletextright"/>
            </w:pPr>
            <w:r w:rsidRPr="00DF38B2">
              <w:t>52</w:t>
            </w:r>
          </w:p>
        </w:tc>
        <w:tc>
          <w:tcPr>
            <w:tcW w:w="985" w:type="pct"/>
            <w:tcBorders>
              <w:bottom w:val="single" w:sz="4" w:space="0" w:color="auto"/>
            </w:tcBorders>
          </w:tcPr>
          <w:p w:rsidR="00C07A1B" w:rsidRPr="00DF38B2" w:rsidRDefault="00C07A1B" w:rsidP="006654AE">
            <w:pPr>
              <w:pStyle w:val="tabletextright"/>
            </w:pPr>
            <w:r w:rsidRPr="00DF38B2">
              <w:t>10</w:t>
            </w:r>
          </w:p>
        </w:tc>
        <w:tc>
          <w:tcPr>
            <w:tcW w:w="887" w:type="pct"/>
            <w:tcBorders>
              <w:bottom w:val="single" w:sz="4" w:space="0" w:color="auto"/>
            </w:tcBorders>
          </w:tcPr>
          <w:p w:rsidR="00C07A1B" w:rsidRPr="00DF38B2" w:rsidRDefault="00C07A1B" w:rsidP="006654AE">
            <w:pPr>
              <w:pStyle w:val="tabletextright"/>
            </w:pPr>
            <w:r w:rsidRPr="00DF38B2">
              <w:t>1083</w:t>
            </w:r>
          </w:p>
        </w:tc>
      </w:tr>
    </w:tbl>
    <w:p w:rsidR="001E07F5" w:rsidRPr="00DF38B2" w:rsidRDefault="001E07F5" w:rsidP="006654AE"/>
    <w:p w:rsidR="001E07F5" w:rsidRPr="00DF38B2" w:rsidRDefault="001E07F5" w:rsidP="006654AE">
      <w:pPr>
        <w:pStyle w:val="aphead1"/>
      </w:pPr>
      <w:r w:rsidRPr="00DF38B2">
        <w:t>Qualitative data</w:t>
      </w:r>
    </w:p>
    <w:p w:rsidR="001E07F5" w:rsidRPr="00DF38B2" w:rsidRDefault="001E07F5" w:rsidP="006654AE">
      <w:r w:rsidRPr="00DF38B2">
        <w:t xml:space="preserve">Qualitative methods included individual interviews with participants and open-ended comments obtained during the surveys. </w:t>
      </w:r>
    </w:p>
    <w:p w:rsidR="001E07F5" w:rsidRPr="00DF38B2" w:rsidRDefault="001E07F5" w:rsidP="006654AE">
      <w:pPr>
        <w:pStyle w:val="aphead2"/>
      </w:pPr>
      <w:r w:rsidRPr="00DF38B2">
        <w:t>Recruitment strategy</w:t>
      </w:r>
    </w:p>
    <w:p w:rsidR="001E07F5" w:rsidRPr="00DF38B2" w:rsidRDefault="001E07F5" w:rsidP="006654AE">
      <w:r w:rsidRPr="00DF38B2">
        <w:t>The research focused on re-interviewing participants who took part in Wave 1 although Wave 2 Top Up participants were also interviewed. In urban areas, people completing the survey were asked if they would also participate in an interview. In remote areas a similar approach was applied, however, elders and other community members were also invited to participate in an interview if they expressed a desire to provide feedback relating to income management. A total of 46 interviews were conducted.</w:t>
      </w:r>
    </w:p>
    <w:p w:rsidR="001E07F5" w:rsidRPr="00DF38B2" w:rsidRDefault="001E07F5" w:rsidP="006654AE">
      <w:r w:rsidRPr="00DF38B2">
        <w:lastRenderedPageBreak/>
        <w:t>Targeted participant groups for the interviews included the following:</w:t>
      </w:r>
    </w:p>
    <w:p w:rsidR="001E07F5" w:rsidRPr="00DF38B2" w:rsidRDefault="008F5FD0" w:rsidP="006654AE">
      <w:pPr>
        <w:pStyle w:val="dot"/>
      </w:pPr>
      <w:r>
        <w:t>p</w:t>
      </w:r>
      <w:r w:rsidR="001E07F5" w:rsidRPr="00DF38B2">
        <w:t>articipants on Vulnerable Welfare Payment Recipient (VWPR) measure</w:t>
      </w:r>
      <w:r w:rsidR="00D53B54">
        <w:t xml:space="preserve"> (</w:t>
      </w:r>
      <w:r w:rsidR="001E07F5" w:rsidRPr="00DF38B2">
        <w:t>clients may have substance, gambling and mental health problems</w:t>
      </w:r>
      <w:r w:rsidR="00D53B54">
        <w:t>)</w:t>
      </w:r>
    </w:p>
    <w:p w:rsidR="001E07F5" w:rsidRPr="00DF38B2" w:rsidRDefault="008F5FD0" w:rsidP="006654AE">
      <w:pPr>
        <w:pStyle w:val="dot"/>
      </w:pPr>
      <w:r>
        <w:t>p</w:t>
      </w:r>
      <w:r w:rsidR="001E07F5" w:rsidRPr="00DF38B2">
        <w:t>articipants on Child Protection Income Management (CPIM)</w:t>
      </w:r>
    </w:p>
    <w:p w:rsidR="001E07F5" w:rsidRPr="00DF38B2" w:rsidRDefault="008F5FD0" w:rsidP="006654AE">
      <w:pPr>
        <w:pStyle w:val="dot"/>
      </w:pPr>
      <w:r>
        <w:t>p</w:t>
      </w:r>
      <w:r w:rsidR="001E07F5" w:rsidRPr="00DF38B2">
        <w:t>articipants on</w:t>
      </w:r>
      <w:r w:rsidR="00B84AFE">
        <w:t xml:space="preserve"> </w:t>
      </w:r>
      <w:r w:rsidR="001E07F5" w:rsidRPr="00DF38B2">
        <w:t>Disengaged Youth (DEY) Income Management measure</w:t>
      </w:r>
    </w:p>
    <w:p w:rsidR="001E07F5" w:rsidRPr="00DF38B2" w:rsidRDefault="008F5FD0" w:rsidP="006654AE">
      <w:pPr>
        <w:pStyle w:val="dot"/>
      </w:pPr>
      <w:r>
        <w:t>p</w:t>
      </w:r>
      <w:r w:rsidR="001E07F5" w:rsidRPr="00DF38B2">
        <w:t>articipants on Voluntary Income Management (VIM)</w:t>
      </w:r>
    </w:p>
    <w:p w:rsidR="001E07F5" w:rsidRPr="00DF38B2" w:rsidRDefault="008F5FD0" w:rsidP="006654AE">
      <w:pPr>
        <w:pStyle w:val="dot"/>
      </w:pPr>
      <w:r>
        <w:t>c</w:t>
      </w:r>
      <w:r w:rsidR="001E07F5" w:rsidRPr="00DF38B2">
        <w:t>ouples and lone parents with school age children</w:t>
      </w:r>
    </w:p>
    <w:p w:rsidR="001E07F5" w:rsidRPr="00DF38B2" w:rsidRDefault="008F5FD0" w:rsidP="006654AE">
      <w:pPr>
        <w:pStyle w:val="dot"/>
      </w:pPr>
      <w:proofErr w:type="gramStart"/>
      <w:r>
        <w:t>p</w:t>
      </w:r>
      <w:r w:rsidR="001E07F5" w:rsidRPr="00DF38B2">
        <w:t>eople</w:t>
      </w:r>
      <w:proofErr w:type="gramEnd"/>
      <w:r w:rsidR="001E07F5" w:rsidRPr="00DF38B2">
        <w:t xml:space="preserve"> who have obtained exemptions from income management.</w:t>
      </w:r>
    </w:p>
    <w:p w:rsidR="001E07F5" w:rsidRPr="00DF38B2" w:rsidRDefault="001E07F5" w:rsidP="006654AE">
      <w:pPr>
        <w:pStyle w:val="Caption"/>
      </w:pPr>
      <w:r w:rsidRPr="00DF38B2">
        <w:t>Table 7: Profile of qualitative interviews</w:t>
      </w:r>
    </w:p>
    <w:tbl>
      <w:tblPr>
        <w:tblStyle w:val="TableGrid"/>
        <w:tblW w:w="5728" w:type="pct"/>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describes the profile of the 46 qualitative interview the rows describe the location and columns the program and other characteristics of the population."/>
      </w:tblPr>
      <w:tblGrid>
        <w:gridCol w:w="2127"/>
        <w:gridCol w:w="567"/>
        <w:gridCol w:w="565"/>
        <w:gridCol w:w="565"/>
        <w:gridCol w:w="428"/>
        <w:gridCol w:w="701"/>
        <w:gridCol w:w="773"/>
        <w:gridCol w:w="693"/>
        <w:gridCol w:w="1114"/>
        <w:gridCol w:w="830"/>
        <w:gridCol w:w="674"/>
        <w:gridCol w:w="699"/>
      </w:tblGrid>
      <w:tr w:rsidR="0060639D" w:rsidRPr="00DF38B2" w:rsidTr="0060639D">
        <w:trPr>
          <w:trHeight w:val="20"/>
          <w:tblHeader/>
        </w:trPr>
        <w:tc>
          <w:tcPr>
            <w:tcW w:w="1093" w:type="pct"/>
            <w:tcBorders>
              <w:top w:val="single" w:sz="4" w:space="0" w:color="auto"/>
              <w:left w:val="nil"/>
              <w:bottom w:val="single" w:sz="4" w:space="0" w:color="auto"/>
              <w:right w:val="nil"/>
            </w:tcBorders>
            <w:hideMark/>
          </w:tcPr>
          <w:p w:rsidR="00C07A1B" w:rsidRPr="00DF38B2" w:rsidRDefault="00C07A1B" w:rsidP="006654AE">
            <w:pPr>
              <w:pStyle w:val="tabletextleft"/>
              <w:jc w:val="left"/>
            </w:pPr>
            <w:r w:rsidRPr="00DF38B2">
              <w:t>Area</w:t>
            </w:r>
          </w:p>
        </w:tc>
        <w:tc>
          <w:tcPr>
            <w:tcW w:w="291"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CPIM</w:t>
            </w:r>
          </w:p>
        </w:tc>
        <w:tc>
          <w:tcPr>
            <w:tcW w:w="29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CIM-LTW</w:t>
            </w:r>
          </w:p>
        </w:tc>
        <w:tc>
          <w:tcPr>
            <w:tcW w:w="29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CIM-DEY</w:t>
            </w:r>
          </w:p>
        </w:tc>
        <w:tc>
          <w:tcPr>
            <w:tcW w:w="22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VIM</w:t>
            </w:r>
          </w:p>
        </w:tc>
        <w:tc>
          <w:tcPr>
            <w:tcW w:w="36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VWPR</w:t>
            </w:r>
          </w:p>
        </w:tc>
        <w:tc>
          <w:tcPr>
            <w:tcW w:w="397"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Exempt</w:t>
            </w:r>
          </w:p>
          <w:p w:rsidR="00C07A1B" w:rsidRPr="00DF38B2" w:rsidRDefault="00C07A1B" w:rsidP="006654AE">
            <w:pPr>
              <w:pStyle w:val="tabletextright"/>
            </w:pPr>
            <w:r w:rsidRPr="00DF38B2">
              <w:t>Exited</w:t>
            </w:r>
          </w:p>
        </w:tc>
        <w:tc>
          <w:tcPr>
            <w:tcW w:w="35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Senior elder</w:t>
            </w:r>
          </w:p>
        </w:tc>
        <w:tc>
          <w:tcPr>
            <w:tcW w:w="572"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0639D">
            <w:pPr>
              <w:pStyle w:val="tabletextright"/>
            </w:pPr>
            <w:r w:rsidRPr="00DF38B2">
              <w:t>Nominee</w:t>
            </w:r>
          </w:p>
        </w:tc>
        <w:tc>
          <w:tcPr>
            <w:tcW w:w="42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Service provider</w:t>
            </w:r>
          </w:p>
        </w:tc>
        <w:tc>
          <w:tcPr>
            <w:tcW w:w="34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Other</w:t>
            </w:r>
          </w:p>
        </w:tc>
        <w:tc>
          <w:tcPr>
            <w:tcW w:w="359"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Total</w:t>
            </w:r>
          </w:p>
        </w:tc>
      </w:tr>
      <w:tr w:rsidR="0060639D" w:rsidRPr="00DF38B2" w:rsidTr="0060639D">
        <w:trPr>
          <w:trHeight w:val="20"/>
        </w:trPr>
        <w:tc>
          <w:tcPr>
            <w:tcW w:w="1093" w:type="pct"/>
            <w:tcBorders>
              <w:top w:val="single" w:sz="4" w:space="0" w:color="auto"/>
              <w:left w:val="nil"/>
              <w:bottom w:val="nil"/>
              <w:right w:val="nil"/>
            </w:tcBorders>
            <w:hideMark/>
          </w:tcPr>
          <w:p w:rsidR="00C07A1B" w:rsidRPr="00DF38B2" w:rsidRDefault="00C07A1B" w:rsidP="006654AE">
            <w:pPr>
              <w:pStyle w:val="tabletextleft"/>
              <w:jc w:val="left"/>
            </w:pPr>
            <w:r w:rsidRPr="00DF38B2">
              <w:t>NT - urban</w:t>
            </w:r>
          </w:p>
        </w:tc>
        <w:tc>
          <w:tcPr>
            <w:tcW w:w="291"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2</w:t>
            </w:r>
          </w:p>
        </w:tc>
        <w:tc>
          <w:tcPr>
            <w:tcW w:w="29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3</w:t>
            </w:r>
          </w:p>
        </w:tc>
        <w:tc>
          <w:tcPr>
            <w:tcW w:w="29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5</w:t>
            </w:r>
          </w:p>
        </w:tc>
        <w:tc>
          <w:tcPr>
            <w:tcW w:w="22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10</w:t>
            </w:r>
          </w:p>
        </w:tc>
        <w:tc>
          <w:tcPr>
            <w:tcW w:w="36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5</w:t>
            </w:r>
          </w:p>
        </w:tc>
        <w:tc>
          <w:tcPr>
            <w:tcW w:w="397"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4</w:t>
            </w:r>
          </w:p>
        </w:tc>
        <w:tc>
          <w:tcPr>
            <w:tcW w:w="35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572"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42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34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359"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29</w:t>
            </w:r>
          </w:p>
        </w:tc>
      </w:tr>
      <w:tr w:rsidR="0060639D" w:rsidRPr="00DF38B2" w:rsidTr="0060639D">
        <w:trPr>
          <w:trHeight w:val="20"/>
        </w:trPr>
        <w:tc>
          <w:tcPr>
            <w:tcW w:w="1093" w:type="pct"/>
            <w:hideMark/>
          </w:tcPr>
          <w:p w:rsidR="00C07A1B" w:rsidRPr="00DF38B2" w:rsidRDefault="00C07A1B" w:rsidP="006654AE">
            <w:pPr>
              <w:pStyle w:val="tabletextleft"/>
              <w:jc w:val="left"/>
            </w:pPr>
            <w:r w:rsidRPr="00DF38B2">
              <w:t>NT - remote</w:t>
            </w:r>
          </w:p>
        </w:tc>
        <w:tc>
          <w:tcPr>
            <w:tcW w:w="291"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hideMark/>
          </w:tcPr>
          <w:p w:rsidR="00C07A1B" w:rsidRPr="00DF38B2" w:rsidRDefault="00C07A1B" w:rsidP="006654AE">
            <w:pPr>
              <w:pStyle w:val="tabletextright"/>
            </w:pPr>
            <w:r w:rsidRPr="00DF38B2">
              <w:t>1</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20" w:type="pct"/>
            <w:tcMar>
              <w:left w:w="57" w:type="dxa"/>
              <w:right w:w="57" w:type="dxa"/>
            </w:tcMar>
            <w:vAlign w:val="bottom"/>
          </w:tcPr>
          <w:p w:rsidR="00C07A1B" w:rsidRPr="00DF38B2" w:rsidRDefault="00373299" w:rsidP="006654AE">
            <w:pPr>
              <w:pStyle w:val="tabletextright"/>
            </w:pPr>
            <w:r w:rsidRPr="00DF38B2">
              <w:t>-</w:t>
            </w:r>
          </w:p>
        </w:tc>
        <w:tc>
          <w:tcPr>
            <w:tcW w:w="360" w:type="pct"/>
            <w:tcMar>
              <w:left w:w="57" w:type="dxa"/>
              <w:right w:w="57" w:type="dxa"/>
            </w:tcMar>
            <w:vAlign w:val="bottom"/>
            <w:hideMark/>
          </w:tcPr>
          <w:p w:rsidR="00C07A1B" w:rsidRPr="00DF38B2" w:rsidRDefault="00C07A1B" w:rsidP="006654AE">
            <w:pPr>
              <w:pStyle w:val="tabletextright"/>
            </w:pPr>
            <w:r w:rsidRPr="00DF38B2">
              <w:t>1</w:t>
            </w:r>
          </w:p>
        </w:tc>
        <w:tc>
          <w:tcPr>
            <w:tcW w:w="397" w:type="pct"/>
            <w:tcMar>
              <w:left w:w="57" w:type="dxa"/>
              <w:right w:w="57" w:type="dxa"/>
            </w:tcMar>
            <w:vAlign w:val="bottom"/>
          </w:tcPr>
          <w:p w:rsidR="00C07A1B" w:rsidRPr="00DF38B2" w:rsidRDefault="00373299" w:rsidP="006654AE">
            <w:pPr>
              <w:pStyle w:val="tabletextright"/>
            </w:pPr>
            <w:r w:rsidRPr="00DF38B2">
              <w:t>-</w:t>
            </w:r>
          </w:p>
        </w:tc>
        <w:tc>
          <w:tcPr>
            <w:tcW w:w="356" w:type="pct"/>
            <w:tcMar>
              <w:left w:w="57" w:type="dxa"/>
              <w:right w:w="57" w:type="dxa"/>
            </w:tcMar>
            <w:vAlign w:val="bottom"/>
            <w:hideMark/>
          </w:tcPr>
          <w:p w:rsidR="00C07A1B" w:rsidRPr="00DF38B2" w:rsidRDefault="00C07A1B" w:rsidP="006654AE">
            <w:pPr>
              <w:pStyle w:val="tabletextright"/>
            </w:pPr>
            <w:r w:rsidRPr="00DF38B2">
              <w:t>3</w:t>
            </w:r>
          </w:p>
        </w:tc>
        <w:tc>
          <w:tcPr>
            <w:tcW w:w="572" w:type="pct"/>
            <w:tcMar>
              <w:left w:w="57" w:type="dxa"/>
              <w:right w:w="57" w:type="dxa"/>
            </w:tcMar>
            <w:vAlign w:val="bottom"/>
            <w:hideMark/>
          </w:tcPr>
          <w:p w:rsidR="00C07A1B" w:rsidRPr="00DF38B2" w:rsidRDefault="00C07A1B" w:rsidP="006654AE">
            <w:pPr>
              <w:pStyle w:val="tabletextright"/>
            </w:pPr>
            <w:r w:rsidRPr="00DF38B2">
              <w:t>2 CIM-LTW</w:t>
            </w:r>
          </w:p>
        </w:tc>
        <w:tc>
          <w:tcPr>
            <w:tcW w:w="426" w:type="pct"/>
            <w:tcMar>
              <w:left w:w="57" w:type="dxa"/>
              <w:right w:w="57" w:type="dxa"/>
            </w:tcMar>
            <w:vAlign w:val="bottom"/>
          </w:tcPr>
          <w:p w:rsidR="00C07A1B" w:rsidRPr="00DF38B2" w:rsidRDefault="00373299" w:rsidP="006654AE">
            <w:pPr>
              <w:pStyle w:val="tabletextright"/>
            </w:pPr>
            <w:r w:rsidRPr="00DF38B2">
              <w:t>-</w:t>
            </w:r>
          </w:p>
        </w:tc>
        <w:tc>
          <w:tcPr>
            <w:tcW w:w="346" w:type="pct"/>
            <w:tcMar>
              <w:left w:w="57" w:type="dxa"/>
              <w:right w:w="57" w:type="dxa"/>
            </w:tcMar>
            <w:vAlign w:val="bottom"/>
            <w:hideMark/>
          </w:tcPr>
          <w:p w:rsidR="00C07A1B" w:rsidRPr="00DF38B2" w:rsidRDefault="00373299" w:rsidP="006654AE">
            <w:pPr>
              <w:pStyle w:val="tabletextright"/>
            </w:pPr>
            <w:r w:rsidRPr="00DF38B2">
              <w:t>-</w:t>
            </w:r>
            <w:r w:rsidR="00C07A1B" w:rsidRPr="00DF38B2">
              <w:t>4</w:t>
            </w:r>
          </w:p>
        </w:tc>
        <w:tc>
          <w:tcPr>
            <w:tcW w:w="359" w:type="pct"/>
            <w:tcMar>
              <w:left w:w="57" w:type="dxa"/>
              <w:right w:w="57" w:type="dxa"/>
            </w:tcMar>
            <w:vAlign w:val="bottom"/>
            <w:hideMark/>
          </w:tcPr>
          <w:p w:rsidR="00C07A1B" w:rsidRPr="00DF38B2" w:rsidRDefault="00C07A1B" w:rsidP="006654AE">
            <w:pPr>
              <w:pStyle w:val="tabletextright"/>
            </w:pPr>
            <w:r w:rsidRPr="00DF38B2">
              <w:t>11</w:t>
            </w:r>
          </w:p>
        </w:tc>
      </w:tr>
      <w:tr w:rsidR="0060639D" w:rsidRPr="00DF38B2" w:rsidTr="0060639D">
        <w:trPr>
          <w:trHeight w:val="20"/>
        </w:trPr>
        <w:tc>
          <w:tcPr>
            <w:tcW w:w="1093" w:type="pct"/>
            <w:hideMark/>
          </w:tcPr>
          <w:p w:rsidR="00C07A1B" w:rsidRPr="00DF38B2" w:rsidRDefault="00C07A1B" w:rsidP="006654AE">
            <w:pPr>
              <w:pStyle w:val="tabletextleft"/>
              <w:jc w:val="left"/>
            </w:pPr>
            <w:r w:rsidRPr="00DF38B2">
              <w:t>Contrast Site B - remote</w:t>
            </w:r>
          </w:p>
        </w:tc>
        <w:tc>
          <w:tcPr>
            <w:tcW w:w="291"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20" w:type="pct"/>
            <w:tcMar>
              <w:left w:w="57" w:type="dxa"/>
              <w:right w:w="57" w:type="dxa"/>
            </w:tcMar>
            <w:vAlign w:val="bottom"/>
            <w:hideMark/>
          </w:tcPr>
          <w:p w:rsidR="00C07A1B" w:rsidRPr="00DF38B2" w:rsidRDefault="00C07A1B" w:rsidP="006654AE">
            <w:pPr>
              <w:pStyle w:val="tabletextright"/>
            </w:pPr>
            <w:r w:rsidRPr="00DF38B2">
              <w:t>2</w:t>
            </w:r>
          </w:p>
        </w:tc>
        <w:tc>
          <w:tcPr>
            <w:tcW w:w="360" w:type="pct"/>
            <w:tcMar>
              <w:left w:w="57" w:type="dxa"/>
              <w:right w:w="57" w:type="dxa"/>
            </w:tcMar>
            <w:vAlign w:val="bottom"/>
          </w:tcPr>
          <w:p w:rsidR="00C07A1B" w:rsidRPr="00DF38B2" w:rsidRDefault="00373299" w:rsidP="006654AE">
            <w:pPr>
              <w:pStyle w:val="tabletextright"/>
            </w:pPr>
            <w:r w:rsidRPr="00DF38B2">
              <w:t>-</w:t>
            </w:r>
          </w:p>
        </w:tc>
        <w:tc>
          <w:tcPr>
            <w:tcW w:w="397" w:type="pct"/>
            <w:tcMar>
              <w:left w:w="57" w:type="dxa"/>
              <w:right w:w="57" w:type="dxa"/>
            </w:tcMar>
            <w:vAlign w:val="bottom"/>
          </w:tcPr>
          <w:p w:rsidR="00C07A1B" w:rsidRPr="00DF38B2" w:rsidRDefault="00373299" w:rsidP="006654AE">
            <w:pPr>
              <w:pStyle w:val="tabletextright"/>
            </w:pPr>
            <w:r w:rsidRPr="00DF38B2">
              <w:t>-</w:t>
            </w:r>
          </w:p>
        </w:tc>
        <w:tc>
          <w:tcPr>
            <w:tcW w:w="356" w:type="pct"/>
            <w:tcMar>
              <w:left w:w="57" w:type="dxa"/>
              <w:right w:w="57" w:type="dxa"/>
            </w:tcMar>
            <w:vAlign w:val="bottom"/>
          </w:tcPr>
          <w:p w:rsidR="00C07A1B" w:rsidRPr="00DF38B2" w:rsidRDefault="00373299" w:rsidP="006654AE">
            <w:pPr>
              <w:pStyle w:val="tabletextright"/>
            </w:pPr>
            <w:r w:rsidRPr="00DF38B2">
              <w:t>-</w:t>
            </w:r>
          </w:p>
        </w:tc>
        <w:tc>
          <w:tcPr>
            <w:tcW w:w="572" w:type="pct"/>
            <w:tcMar>
              <w:left w:w="57" w:type="dxa"/>
              <w:right w:w="57" w:type="dxa"/>
            </w:tcMar>
            <w:vAlign w:val="bottom"/>
          </w:tcPr>
          <w:p w:rsidR="00C07A1B" w:rsidRPr="00DF38B2" w:rsidRDefault="00373299" w:rsidP="006654AE">
            <w:pPr>
              <w:pStyle w:val="tabletextright"/>
            </w:pPr>
            <w:r w:rsidRPr="00DF38B2">
              <w:t>-</w:t>
            </w:r>
          </w:p>
        </w:tc>
        <w:tc>
          <w:tcPr>
            <w:tcW w:w="426" w:type="pct"/>
            <w:tcMar>
              <w:left w:w="57" w:type="dxa"/>
              <w:right w:w="57" w:type="dxa"/>
            </w:tcMar>
            <w:vAlign w:val="bottom"/>
            <w:hideMark/>
          </w:tcPr>
          <w:p w:rsidR="00C07A1B" w:rsidRPr="00DF38B2" w:rsidRDefault="00C07A1B" w:rsidP="006654AE">
            <w:pPr>
              <w:pStyle w:val="tabletextright"/>
            </w:pPr>
            <w:r w:rsidRPr="00DF38B2">
              <w:t>2</w:t>
            </w:r>
          </w:p>
        </w:tc>
        <w:tc>
          <w:tcPr>
            <w:tcW w:w="346" w:type="pct"/>
            <w:tcMar>
              <w:left w:w="57" w:type="dxa"/>
              <w:right w:w="57" w:type="dxa"/>
            </w:tcMar>
            <w:vAlign w:val="bottom"/>
            <w:hideMark/>
          </w:tcPr>
          <w:p w:rsidR="00C07A1B" w:rsidRPr="00DF38B2" w:rsidRDefault="00C07A1B" w:rsidP="006654AE">
            <w:pPr>
              <w:pStyle w:val="tabletextright"/>
            </w:pPr>
            <w:r w:rsidRPr="00DF38B2">
              <w:t>2</w:t>
            </w:r>
          </w:p>
        </w:tc>
        <w:tc>
          <w:tcPr>
            <w:tcW w:w="359" w:type="pct"/>
            <w:tcMar>
              <w:left w:w="57" w:type="dxa"/>
              <w:right w:w="57" w:type="dxa"/>
            </w:tcMar>
            <w:vAlign w:val="bottom"/>
            <w:hideMark/>
          </w:tcPr>
          <w:p w:rsidR="00C07A1B" w:rsidRPr="00DF38B2" w:rsidRDefault="00C07A1B" w:rsidP="006654AE">
            <w:pPr>
              <w:pStyle w:val="tabletextright"/>
            </w:pPr>
            <w:r w:rsidRPr="00DF38B2">
              <w:t>6</w:t>
            </w:r>
          </w:p>
        </w:tc>
      </w:tr>
      <w:tr w:rsidR="0060639D" w:rsidRPr="00DF38B2" w:rsidTr="0060639D">
        <w:trPr>
          <w:trHeight w:val="20"/>
        </w:trPr>
        <w:tc>
          <w:tcPr>
            <w:tcW w:w="1093" w:type="pct"/>
            <w:tcBorders>
              <w:top w:val="nil"/>
              <w:left w:val="nil"/>
              <w:bottom w:val="single" w:sz="4" w:space="0" w:color="auto"/>
              <w:right w:val="nil"/>
            </w:tcBorders>
            <w:hideMark/>
          </w:tcPr>
          <w:p w:rsidR="00C07A1B" w:rsidRPr="00DF38B2" w:rsidRDefault="00C07A1B" w:rsidP="006654AE">
            <w:pPr>
              <w:pStyle w:val="tabletextleft"/>
              <w:jc w:val="left"/>
            </w:pPr>
            <w:r w:rsidRPr="00DF38B2">
              <w:t>Total</w:t>
            </w:r>
          </w:p>
        </w:tc>
        <w:tc>
          <w:tcPr>
            <w:tcW w:w="291"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29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w:t>
            </w:r>
          </w:p>
        </w:tc>
        <w:tc>
          <w:tcPr>
            <w:tcW w:w="29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5</w:t>
            </w:r>
          </w:p>
        </w:tc>
        <w:tc>
          <w:tcPr>
            <w:tcW w:w="22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12</w:t>
            </w:r>
          </w:p>
        </w:tc>
        <w:tc>
          <w:tcPr>
            <w:tcW w:w="36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6</w:t>
            </w:r>
          </w:p>
        </w:tc>
        <w:tc>
          <w:tcPr>
            <w:tcW w:w="397"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w:t>
            </w:r>
          </w:p>
        </w:tc>
        <w:tc>
          <w:tcPr>
            <w:tcW w:w="35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3</w:t>
            </w:r>
          </w:p>
        </w:tc>
        <w:tc>
          <w:tcPr>
            <w:tcW w:w="572"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42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34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6</w:t>
            </w:r>
          </w:p>
        </w:tc>
        <w:tc>
          <w:tcPr>
            <w:tcW w:w="359"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46</w:t>
            </w:r>
          </w:p>
        </w:tc>
      </w:tr>
    </w:tbl>
    <w:p w:rsidR="001E07F5" w:rsidRPr="00DF38B2" w:rsidRDefault="001E07F5" w:rsidP="006654AE"/>
    <w:p w:rsidR="001E07F5" w:rsidRPr="00DF38B2" w:rsidRDefault="001E07F5" w:rsidP="006654AE">
      <w:pPr>
        <w:pStyle w:val="aphead2"/>
      </w:pPr>
      <w:r w:rsidRPr="00DF38B2">
        <w:t>Interviews</w:t>
      </w:r>
    </w:p>
    <w:p w:rsidR="001E07F5" w:rsidRPr="00DF38B2" w:rsidRDefault="001E07F5" w:rsidP="006654AE">
      <w:r w:rsidRPr="00DF38B2">
        <w:t>Semi-structured qualitative interviews were conducted alongside the Longitudinal Study for New Income Management Survey with a select number of participants. To address the evaluation objectives, the qualitative interviews included the following topics:</w:t>
      </w:r>
    </w:p>
    <w:p w:rsidR="001E07F5" w:rsidRPr="00DF38B2" w:rsidRDefault="001E07F5" w:rsidP="006654AE">
      <w:pPr>
        <w:pStyle w:val="dot"/>
      </w:pPr>
      <w:r w:rsidRPr="00DF38B2">
        <w:t>participant’s perceptions of what they feel is good or bad about income management</w:t>
      </w:r>
    </w:p>
    <w:p w:rsidR="001E07F5" w:rsidRPr="00DF38B2" w:rsidRDefault="001E07F5" w:rsidP="006654AE">
      <w:pPr>
        <w:pStyle w:val="dot"/>
      </w:pPr>
      <w:r w:rsidRPr="00DF38B2">
        <w:t>differences between having a BasicsCard compared to a key card</w:t>
      </w:r>
    </w:p>
    <w:p w:rsidR="001E07F5" w:rsidRPr="00DF38B2" w:rsidRDefault="001E07F5" w:rsidP="006654AE">
      <w:pPr>
        <w:pStyle w:val="dot"/>
      </w:pPr>
      <w:r w:rsidRPr="00DF38B2">
        <w:t>participant’s attitudes to whether they wish to stay on or come off income management, including why some participants have voluntarily taken up Income Management</w:t>
      </w:r>
    </w:p>
    <w:p w:rsidR="001E07F5" w:rsidRPr="00DF38B2" w:rsidRDefault="001E07F5" w:rsidP="006654AE">
      <w:pPr>
        <w:pStyle w:val="dot"/>
      </w:pPr>
      <w:r w:rsidRPr="00DF38B2">
        <w:t>changes in health and wellbeing; including the participant’s use of tobacco/alcohol/</w:t>
      </w:r>
      <w:proofErr w:type="spellStart"/>
      <w:r w:rsidRPr="00DF38B2">
        <w:t>gunja</w:t>
      </w:r>
      <w:proofErr w:type="spellEnd"/>
      <w:r w:rsidRPr="00DF38B2">
        <w:t>/gambling</w:t>
      </w:r>
    </w:p>
    <w:p w:rsidR="001E07F5" w:rsidRPr="00DF38B2" w:rsidRDefault="001E07F5" w:rsidP="006654AE">
      <w:pPr>
        <w:pStyle w:val="dot"/>
      </w:pPr>
      <w:r w:rsidRPr="00DF38B2">
        <w:t>impact of income management on how well the participant manages their money</w:t>
      </w:r>
    </w:p>
    <w:p w:rsidR="001E07F5" w:rsidRPr="00DF38B2" w:rsidRDefault="001E07F5" w:rsidP="006654AE">
      <w:pPr>
        <w:pStyle w:val="dot"/>
      </w:pPr>
      <w:proofErr w:type="gramStart"/>
      <w:r w:rsidRPr="00DF38B2">
        <w:t>impacts</w:t>
      </w:r>
      <w:proofErr w:type="gramEnd"/>
      <w:r w:rsidRPr="00DF38B2">
        <w:t xml:space="preserve"> of Income Management on the overall community health and wellbeing.</w:t>
      </w:r>
    </w:p>
    <w:p w:rsidR="001E07F5" w:rsidRPr="00DF38B2" w:rsidRDefault="001E07F5" w:rsidP="006654AE">
      <w:r w:rsidRPr="00DF38B2">
        <w:t>Interviews and short</w:t>
      </w:r>
      <w:r w:rsidR="00D53B54">
        <w:t>-</w:t>
      </w:r>
      <w:r w:rsidRPr="00DF38B2">
        <w:t xml:space="preserve">answer responses to survey questions were not audio recorded. Interviewers worked in pairs with one </w:t>
      </w:r>
      <w:r w:rsidRPr="001414E2">
        <w:t xml:space="preserve">person asking the questions and the other taking written notes. The notes from the interviews were thematically coded and analysed using QSR </w:t>
      </w:r>
      <w:proofErr w:type="spellStart"/>
      <w:r w:rsidRPr="001414E2">
        <w:t>Nvivo</w:t>
      </w:r>
      <w:proofErr w:type="spellEnd"/>
      <w:r w:rsidRPr="001414E2">
        <w:t xml:space="preserve"> qualitative analysis software (QSR International, 2012).</w:t>
      </w:r>
      <w:r w:rsidRPr="00DF38B2">
        <w:t xml:space="preserve"> </w:t>
      </w:r>
    </w:p>
    <w:p w:rsidR="001E07F5" w:rsidRPr="00DF38B2" w:rsidRDefault="001E07F5" w:rsidP="006654AE">
      <w:pPr>
        <w:pStyle w:val="aphead1"/>
      </w:pPr>
      <w:r w:rsidRPr="00DF38B2">
        <w:t>Limitations</w:t>
      </w:r>
    </w:p>
    <w:p w:rsidR="001E07F5" w:rsidRPr="00DF38B2" w:rsidRDefault="001E07F5" w:rsidP="006654AE">
      <w:r w:rsidRPr="00DF38B2">
        <w:t xml:space="preserve">The interviewers experienced problems establishing contact with some of the target groups for the research. Many of the people on the Vulnerable Welfare Payment </w:t>
      </w:r>
      <w:r w:rsidR="00DF38B2" w:rsidRPr="00DF38B2">
        <w:t>Recipient</w:t>
      </w:r>
      <w:r w:rsidRPr="00DF38B2">
        <w:t xml:space="preserve"> (VWPR) Income Management measure were difficult to locate. Reasons for this included people having no fixed address or no longer residing in the township or community where they were registered with Centrelink. Attempts were made by interviewers to obtain alternative contact details. Contact sheets were reviewed by the local Indigenous researchers in an attempt to draw on known community links and rehabilitation or refuge facilities were contacted to determine whether the person was staying at the facility. Some people were known to have significant substance abuse issues and live in ‘long grass’ camps where it was deemed unsafe for interviewers to visit. Participants in this group also presented with a number of cognitive and mental health issues which could make it difficult for them to complete surveys, even with assistance.</w:t>
      </w:r>
    </w:p>
    <w:p w:rsidR="001E07F5" w:rsidRPr="00DF38B2" w:rsidRDefault="001E07F5" w:rsidP="006654AE">
      <w:r w:rsidRPr="00DF38B2">
        <w:lastRenderedPageBreak/>
        <w:t xml:space="preserve">People under the age of </w:t>
      </w:r>
      <w:r w:rsidR="00CC6215">
        <w:t>25</w:t>
      </w:r>
      <w:r w:rsidRPr="00DF38B2">
        <w:t xml:space="preserve"> were another group who were difficult to engage in the research. Again, contact details were often no longer current and there was a poor response rate to telephone calls and voice messages. People on Child Protection Income Management (CPIM) measure were often reluctant to take part in either the survey or individual interview due to the sensitivity of the subject matter. Interviewers opted not to pressure this group to take part in interviews. </w:t>
      </w:r>
    </w:p>
    <w:p w:rsidR="001E07F5" w:rsidRPr="00DF38B2" w:rsidRDefault="001E07F5" w:rsidP="006654AE">
      <w:r w:rsidRPr="00DF38B2">
        <w:t>Interviewers discovered that there were a number of people in the research sample provided by DSS who had no knowledge of having been on income management</w:t>
      </w:r>
      <w:r w:rsidR="00A1421A">
        <w:t xml:space="preserve">. </w:t>
      </w:r>
      <w:r w:rsidRPr="00DF38B2">
        <w:t>When their details were checked with the information provided it was identified that they had been on income management for a matter of days or weeks</w:t>
      </w:r>
      <w:r w:rsidR="00A1421A">
        <w:t xml:space="preserve">. </w:t>
      </w:r>
      <w:r w:rsidRPr="00DF38B2">
        <w:t>This created some confusion for both the participant and the interviewers.</w:t>
      </w:r>
    </w:p>
    <w:p w:rsidR="001E07F5" w:rsidRPr="00DF38B2" w:rsidRDefault="001E07F5" w:rsidP="006654AE">
      <w:r w:rsidRPr="00DF38B2">
        <w:t>Parts of the Northern Territory experienced extreme weather during the fieldwork period which restricted access to participants in certain remote communities</w:t>
      </w:r>
      <w:r w:rsidR="00A1421A">
        <w:t xml:space="preserve">. </w:t>
      </w:r>
      <w:r w:rsidRPr="00DF38B2">
        <w:t xml:space="preserve">This included difficulty gaining access to the community and difficulty travelling within the community during the fieldwork period. A number of communities were also engaged in Sorry Business or had other cultural commitments during the fieldwork period which reduced research participation. </w:t>
      </w:r>
    </w:p>
    <w:p w:rsidR="001E07F5" w:rsidRPr="00DF38B2" w:rsidRDefault="001E07F5" w:rsidP="006654AE"/>
    <w:p w:rsidR="00373299" w:rsidRPr="00DF38B2" w:rsidRDefault="00373299" w:rsidP="006654AE">
      <w:pPr>
        <w:spacing w:line="276" w:lineRule="auto"/>
        <w:jc w:val="left"/>
      </w:pPr>
      <w:r w:rsidRPr="00DF38B2">
        <w:br w:type="page"/>
      </w:r>
    </w:p>
    <w:p w:rsidR="001E07F5" w:rsidRPr="00DF38B2" w:rsidRDefault="001E07F5" w:rsidP="006654AE"/>
    <w:p w:rsidR="001E07F5" w:rsidRPr="00DF38B2" w:rsidRDefault="001E07F5" w:rsidP="006654AE">
      <w:pPr>
        <w:spacing w:line="276" w:lineRule="auto"/>
        <w:jc w:val="left"/>
      </w:pPr>
      <w:r w:rsidRPr="00DF38B2">
        <w:br w:type="page"/>
      </w: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 w:rsidR="001E07F5" w:rsidRPr="00DF38B2" w:rsidRDefault="001E07F5" w:rsidP="006654AE">
      <w:pPr>
        <w:pStyle w:val="pretitle"/>
      </w:pPr>
      <w:bookmarkStart w:id="699" w:name="_Toc403739189"/>
      <w:r w:rsidRPr="00DF38B2">
        <w:t>Appendix C: LSNIM – Survey Instrument</w:t>
      </w:r>
      <w:bookmarkEnd w:id="699"/>
    </w:p>
    <w:p w:rsidR="001E07F5" w:rsidRDefault="001E07F5" w:rsidP="006654AE"/>
    <w:p w:rsidR="00EC1E3B" w:rsidRDefault="00EC1E3B" w:rsidP="006654AE"/>
    <w:p w:rsidR="00EC1E3B" w:rsidRPr="00DF38B2" w:rsidRDefault="00EC1E3B" w:rsidP="006654AE">
      <w:r>
        <w:rPr>
          <w:noProof/>
        </w:rPr>
        <w:drawing>
          <wp:inline distT="0" distB="0" distL="0" distR="0" wp14:anchorId="5C0A936E" wp14:editId="1CC6D2FB">
            <wp:extent cx="5292090" cy="1148316"/>
            <wp:effectExtent l="0" t="0" r="3810" b="0"/>
            <wp:docPr id="22" name="Picture 22" descr="The following section has been inserted in the form of a pdf document.&#10;&#10;The text of the survey instrument is at [inse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292090" cy="1148316"/>
                    </a:xfrm>
                    <a:prstGeom prst="rect">
                      <a:avLst/>
                    </a:prstGeom>
                  </pic:spPr>
                </pic:pic>
              </a:graphicData>
            </a:graphic>
          </wp:inline>
        </w:drawing>
      </w:r>
    </w:p>
    <w:p w:rsidR="001E07F5" w:rsidRPr="00DF38B2" w:rsidRDefault="001E07F5" w:rsidP="006654AE">
      <w:pPr>
        <w:spacing w:line="276" w:lineRule="auto"/>
        <w:jc w:val="left"/>
      </w:pPr>
      <w:r w:rsidRPr="00DF38B2">
        <w:br w:type="page"/>
      </w:r>
    </w:p>
    <w:p w:rsidR="00660E43" w:rsidRDefault="00660E43" w:rsidP="006654AE">
      <w:pPr>
        <w:spacing w:line="276" w:lineRule="auto"/>
        <w:jc w:val="left"/>
      </w:pPr>
      <w:r>
        <w:lastRenderedPageBreak/>
        <w:t>1</w:t>
      </w:r>
      <w:r>
        <w:br w:type="page"/>
      </w:r>
    </w:p>
    <w:p w:rsidR="00660E43" w:rsidRDefault="00660E43" w:rsidP="006654AE">
      <w:pPr>
        <w:spacing w:line="276" w:lineRule="auto"/>
        <w:jc w:val="left"/>
      </w:pPr>
      <w:r>
        <w:lastRenderedPageBreak/>
        <w:t>2</w:t>
      </w:r>
      <w:r>
        <w:br w:type="page"/>
      </w:r>
    </w:p>
    <w:p w:rsidR="00660E43" w:rsidRDefault="00660E43" w:rsidP="006654AE">
      <w:pPr>
        <w:spacing w:line="276" w:lineRule="auto"/>
        <w:jc w:val="left"/>
      </w:pPr>
      <w:r>
        <w:lastRenderedPageBreak/>
        <w:t>3</w:t>
      </w:r>
      <w:r>
        <w:br w:type="page"/>
      </w:r>
    </w:p>
    <w:p w:rsidR="00660E43" w:rsidRDefault="00660E43" w:rsidP="006654AE">
      <w:pPr>
        <w:spacing w:line="276" w:lineRule="auto"/>
        <w:jc w:val="left"/>
      </w:pPr>
      <w:r>
        <w:lastRenderedPageBreak/>
        <w:t>4</w:t>
      </w:r>
      <w:r>
        <w:br w:type="page"/>
      </w:r>
    </w:p>
    <w:p w:rsidR="00660E43" w:rsidRDefault="00660E43" w:rsidP="006654AE">
      <w:pPr>
        <w:spacing w:line="276" w:lineRule="auto"/>
        <w:jc w:val="left"/>
      </w:pPr>
      <w:r>
        <w:lastRenderedPageBreak/>
        <w:t>5</w:t>
      </w:r>
      <w:r>
        <w:br w:type="page"/>
      </w:r>
    </w:p>
    <w:p w:rsidR="00660E43" w:rsidRDefault="00660E43" w:rsidP="006654AE">
      <w:pPr>
        <w:spacing w:line="276" w:lineRule="auto"/>
        <w:jc w:val="left"/>
      </w:pPr>
      <w:r>
        <w:lastRenderedPageBreak/>
        <w:t>6</w:t>
      </w:r>
      <w:r>
        <w:br w:type="page"/>
      </w:r>
    </w:p>
    <w:p w:rsidR="00660E43" w:rsidRDefault="00660E43" w:rsidP="006654AE">
      <w:pPr>
        <w:spacing w:line="276" w:lineRule="auto"/>
        <w:jc w:val="left"/>
      </w:pPr>
      <w:r>
        <w:lastRenderedPageBreak/>
        <w:t>7</w:t>
      </w:r>
      <w:r>
        <w:br w:type="page"/>
      </w:r>
    </w:p>
    <w:p w:rsidR="00660E43" w:rsidRDefault="00660E43" w:rsidP="006654AE">
      <w:pPr>
        <w:spacing w:line="276" w:lineRule="auto"/>
        <w:jc w:val="left"/>
      </w:pPr>
      <w:r>
        <w:lastRenderedPageBreak/>
        <w:t>8</w:t>
      </w:r>
      <w:r>
        <w:br w:type="page"/>
      </w:r>
    </w:p>
    <w:p w:rsidR="00660E43" w:rsidRDefault="00660E43" w:rsidP="006654AE">
      <w:pPr>
        <w:spacing w:line="276" w:lineRule="auto"/>
        <w:jc w:val="left"/>
      </w:pPr>
      <w:r>
        <w:lastRenderedPageBreak/>
        <w:t>9</w:t>
      </w:r>
      <w:r>
        <w:br w:type="page"/>
      </w:r>
    </w:p>
    <w:p w:rsidR="00660E43" w:rsidRDefault="00660E43" w:rsidP="006654AE">
      <w:pPr>
        <w:spacing w:line="276" w:lineRule="auto"/>
        <w:jc w:val="left"/>
      </w:pPr>
      <w:r>
        <w:lastRenderedPageBreak/>
        <w:t>10</w:t>
      </w:r>
      <w:r>
        <w:br w:type="page"/>
      </w:r>
    </w:p>
    <w:p w:rsidR="00660E43" w:rsidRDefault="00660E43" w:rsidP="006654AE">
      <w:pPr>
        <w:spacing w:line="276" w:lineRule="auto"/>
        <w:jc w:val="left"/>
      </w:pPr>
      <w:r>
        <w:lastRenderedPageBreak/>
        <w:t>11</w:t>
      </w:r>
      <w:r>
        <w:br w:type="page"/>
      </w:r>
    </w:p>
    <w:p w:rsidR="00660E43" w:rsidRDefault="00660E43" w:rsidP="006654AE">
      <w:pPr>
        <w:spacing w:line="276" w:lineRule="auto"/>
        <w:jc w:val="left"/>
      </w:pPr>
      <w:r>
        <w:lastRenderedPageBreak/>
        <w:t>12</w:t>
      </w:r>
      <w:r>
        <w:br w:type="page"/>
      </w:r>
    </w:p>
    <w:p w:rsidR="00660E43" w:rsidRDefault="00660E43" w:rsidP="006654AE">
      <w:pPr>
        <w:spacing w:line="276" w:lineRule="auto"/>
        <w:jc w:val="left"/>
      </w:pPr>
      <w:r>
        <w:lastRenderedPageBreak/>
        <w:t>13</w:t>
      </w:r>
      <w:r>
        <w:br w:type="page"/>
      </w:r>
    </w:p>
    <w:p w:rsidR="00660E43" w:rsidRDefault="00660E43" w:rsidP="006654AE">
      <w:pPr>
        <w:spacing w:line="276" w:lineRule="auto"/>
        <w:jc w:val="left"/>
      </w:pPr>
      <w:r>
        <w:lastRenderedPageBreak/>
        <w:t>14</w:t>
      </w:r>
      <w:r>
        <w:br w:type="page"/>
      </w:r>
    </w:p>
    <w:p w:rsidR="00660E43" w:rsidRDefault="00660E43" w:rsidP="006654AE">
      <w:pPr>
        <w:spacing w:line="276" w:lineRule="auto"/>
        <w:jc w:val="left"/>
      </w:pPr>
      <w:r>
        <w:lastRenderedPageBreak/>
        <w:t>15</w:t>
      </w:r>
      <w:r>
        <w:br w:type="page"/>
      </w:r>
    </w:p>
    <w:p w:rsidR="00660E43" w:rsidRDefault="00660E43" w:rsidP="006654AE">
      <w:pPr>
        <w:spacing w:line="276" w:lineRule="auto"/>
        <w:jc w:val="left"/>
      </w:pPr>
      <w:r>
        <w:lastRenderedPageBreak/>
        <w:t>16</w:t>
      </w:r>
      <w:r>
        <w:br w:type="page"/>
      </w:r>
    </w:p>
    <w:p w:rsidR="001E07F5" w:rsidRPr="00DF38B2" w:rsidRDefault="00660E43" w:rsidP="006654AE">
      <w:r>
        <w:lastRenderedPageBreak/>
        <w:t>17</w:t>
      </w:r>
    </w:p>
    <w:p w:rsidR="001E07F5" w:rsidRPr="00DF38B2" w:rsidRDefault="001E07F5" w:rsidP="006654AE">
      <w:pPr>
        <w:spacing w:line="276" w:lineRule="auto"/>
        <w:jc w:val="left"/>
      </w:pPr>
    </w:p>
    <w:p w:rsidR="00AE3323" w:rsidRPr="00DF38B2" w:rsidRDefault="00AE3323" w:rsidP="006654AE">
      <w:pPr>
        <w:sectPr w:rsidR="00AE3323" w:rsidRPr="00DF38B2" w:rsidSect="00285084">
          <w:pgSz w:w="11906" w:h="16838" w:code="9"/>
          <w:pgMar w:top="1247" w:right="1701" w:bottom="1134" w:left="1871" w:header="567" w:footer="340" w:gutter="0"/>
          <w:cols w:space="708"/>
          <w:titlePg/>
          <w:docGrid w:linePitch="360"/>
        </w:sectPr>
      </w:pPr>
    </w:p>
    <w:p w:rsidR="00AE3323" w:rsidRPr="00DF38B2" w:rsidRDefault="004B7836" w:rsidP="006654AE">
      <w:pPr>
        <w:pStyle w:val="pretitle"/>
      </w:pPr>
      <w:bookmarkStart w:id="700" w:name="_Toc403739190"/>
      <w:r w:rsidRPr="00DF38B2">
        <w:lastRenderedPageBreak/>
        <w:t xml:space="preserve">Appendix </w:t>
      </w:r>
      <w:r w:rsidR="001E07F5" w:rsidRPr="00DF38B2">
        <w:t>D</w:t>
      </w:r>
      <w:r w:rsidR="00AE3323" w:rsidRPr="00DF38B2">
        <w:t>: Geographic Regions</w:t>
      </w:r>
      <w:bookmarkEnd w:id="700"/>
    </w:p>
    <w:tbl>
      <w:tblPr>
        <w:tblW w:w="9517" w:type="dxa"/>
        <w:tblInd w:w="-34" w:type="dxa"/>
        <w:tblLook w:val="04A0" w:firstRow="1" w:lastRow="0" w:firstColumn="1" w:lastColumn="0" w:noHBand="0" w:noVBand="1"/>
        <w:tblDescription w:val="This table shows the construction of the geographic regions using the ABS classifications of locations"/>
      </w:tblPr>
      <w:tblGrid>
        <w:gridCol w:w="2438"/>
        <w:gridCol w:w="2653"/>
        <w:gridCol w:w="2562"/>
        <w:gridCol w:w="1864"/>
      </w:tblGrid>
      <w:tr w:rsidR="00AE3323" w:rsidRPr="00DF38B2" w:rsidTr="00A51BD1">
        <w:trPr>
          <w:trHeight w:val="20"/>
          <w:tblHeader/>
        </w:trPr>
        <w:tc>
          <w:tcPr>
            <w:tcW w:w="2438" w:type="dxa"/>
            <w:tcBorders>
              <w:top w:val="single" w:sz="4" w:space="0" w:color="auto"/>
              <w:left w:val="nil"/>
              <w:bottom w:val="nil"/>
              <w:right w:val="nil"/>
            </w:tcBorders>
            <w:shd w:val="clear" w:color="auto" w:fill="auto"/>
            <w:noWrap/>
            <w:vAlign w:val="bottom"/>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Region used in report</w:t>
            </w:r>
          </w:p>
        </w:tc>
        <w:tc>
          <w:tcPr>
            <w:tcW w:w="7079" w:type="dxa"/>
            <w:gridSpan w:val="3"/>
            <w:tcBorders>
              <w:top w:val="single" w:sz="4" w:space="0" w:color="auto"/>
              <w:left w:val="nil"/>
              <w:bottom w:val="single" w:sz="4" w:space="0" w:color="auto"/>
              <w:right w:val="nil"/>
            </w:tcBorders>
            <w:shd w:val="clear" w:color="auto" w:fill="auto"/>
            <w:noWrap/>
            <w:vAlign w:val="bottom"/>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ABS Classification</w:t>
            </w:r>
          </w:p>
        </w:tc>
      </w:tr>
      <w:tr w:rsidR="00AE3323" w:rsidRPr="00DF38B2" w:rsidTr="00A51BD1">
        <w:trPr>
          <w:trHeight w:val="20"/>
          <w:tblHeader/>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
        </w:tc>
        <w:tc>
          <w:tcPr>
            <w:tcW w:w="2653"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SA2_NAME_2011</w:t>
            </w:r>
          </w:p>
        </w:tc>
        <w:tc>
          <w:tcPr>
            <w:tcW w:w="2562"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SA3_NAME_2011</w:t>
            </w:r>
          </w:p>
        </w:tc>
        <w:tc>
          <w:tcPr>
            <w:tcW w:w="1864"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SLA</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Airport</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Point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Fannie Bay - The Gardens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Larrakeyah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Ludmilla - The Narrows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Parap</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Stuart Park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Woolner</w:t>
            </w:r>
            <w:proofErr w:type="spellEnd"/>
            <w:r w:rsidRPr="00DF38B2">
              <w:rPr>
                <w:rFonts w:asciiTheme="minorHAnsi" w:eastAsia="Times New Roman" w:hAnsiTheme="minorHAnsi" w:cs="Times New Roman"/>
                <w:color w:val="000000"/>
                <w:szCs w:val="20"/>
              </w:rPr>
              <w:t xml:space="preserve"> - Bayview - Winnellie</w:t>
            </w:r>
          </w:p>
        </w:tc>
        <w:tc>
          <w:tcPr>
            <w:tcW w:w="2562"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Alawa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Anula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Berrimah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 xml:space="preserve">Brinkin - </w:t>
            </w:r>
            <w:proofErr w:type="spellStart"/>
            <w:r w:rsidRPr="00DF38B2">
              <w:rPr>
                <w:rFonts w:asciiTheme="minorHAnsi" w:eastAsia="Times New Roman" w:hAnsiTheme="minorHAnsi" w:cs="Times New Roman"/>
                <w:color w:val="000000"/>
                <w:szCs w:val="20"/>
              </w:rPr>
              <w:t>Nakara</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Buffalo Creek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Charles Darwin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Coconut Grove</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Arm</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Unincorporated NT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Jingili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Karama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Leanyer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Lyons (NT)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Malak - Marrara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Millner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Moil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Nightcliff</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Rapid Creek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Wagaman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Wanguri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Wulagi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Howard Springs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Humpty Doo</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Koolpinyah</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Virginia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Weddell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Bakewell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Driver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Durack - Marlow Lagoon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Gray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Moulden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 North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 South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Rosebery - Bellamack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Woodroffe</w:t>
            </w:r>
            <w:proofErr w:type="spellEnd"/>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Charles</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Side</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Flynn (NT)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Larapinta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Mount Johns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Ross</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lastRenderedPageBreak/>
              <w:t>S</w:t>
            </w:r>
            <w:r w:rsidR="00A51BD1">
              <w:rPr>
                <w:rFonts w:asciiTheme="minorHAnsi" w:eastAsia="Times New Roman" w:hAnsiTheme="minorHAnsi" w:cs="Times New Roman"/>
                <w:color w:val="000000"/>
                <w:szCs w:val="20"/>
              </w:rPr>
              <w:t xml:space="preserve">outh </w:t>
            </w:r>
            <w:r w:rsidRPr="00DF38B2">
              <w:rPr>
                <w:rFonts w:asciiTheme="minorHAnsi" w:eastAsia="Times New Roman" w:hAnsiTheme="minorHAnsi" w:cs="Times New Roman"/>
                <w:color w:val="000000"/>
                <w:szCs w:val="20"/>
              </w:rPr>
              <w:t>E</w:t>
            </w:r>
            <w:r w:rsidR="00A51BD1">
              <w:rPr>
                <w:rFonts w:asciiTheme="minorHAnsi" w:eastAsia="Times New Roman" w:hAnsiTheme="minorHAnsi" w:cs="Times New Roman"/>
                <w:color w:val="000000"/>
                <w:szCs w:val="20"/>
              </w:rPr>
              <w:t>ast</w:t>
            </w:r>
            <w:r w:rsidRPr="00DF38B2">
              <w:rPr>
                <w:rFonts w:asciiTheme="minorHAnsi" w:eastAsia="Times New Roman" w:hAnsiTheme="minorHAnsi" w:cs="Times New Roman"/>
                <w:color w:val="000000"/>
                <w:szCs w:val="20"/>
              </w:rPr>
              <w:t xml:space="preserve"> Desert</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Sandover</w:t>
            </w:r>
            <w:proofErr w:type="spellEnd"/>
            <w:r w:rsidRPr="00DF38B2">
              <w:rPr>
                <w:rFonts w:asciiTheme="minorHAnsi" w:eastAsia="Times New Roman" w:hAnsiTheme="minorHAnsi" w:cs="Times New Roman"/>
                <w:color w:val="000000"/>
                <w:szCs w:val="20"/>
              </w:rPr>
              <w:t xml:space="preserve"> - Plenty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w:t>
            </w:r>
            <w:r w:rsidR="00A51BD1">
              <w:rPr>
                <w:rFonts w:asciiTheme="minorHAnsi" w:eastAsia="Times New Roman" w:hAnsiTheme="minorHAnsi" w:cs="Times New Roman"/>
                <w:color w:val="000000"/>
                <w:szCs w:val="20"/>
              </w:rPr>
              <w:t xml:space="preserve">outh </w:t>
            </w:r>
            <w:r w:rsidRPr="00DF38B2">
              <w:rPr>
                <w:rFonts w:asciiTheme="minorHAnsi" w:eastAsia="Times New Roman" w:hAnsiTheme="minorHAnsi" w:cs="Times New Roman"/>
                <w:color w:val="000000"/>
                <w:szCs w:val="20"/>
              </w:rPr>
              <w:t>E</w:t>
            </w:r>
            <w:r w:rsidR="00A51BD1">
              <w:rPr>
                <w:rFonts w:asciiTheme="minorHAnsi" w:eastAsia="Times New Roman" w:hAnsiTheme="minorHAnsi" w:cs="Times New Roman"/>
                <w:color w:val="000000"/>
                <w:szCs w:val="20"/>
              </w:rPr>
              <w:t>ast</w:t>
            </w:r>
            <w:r w:rsidRPr="00DF38B2">
              <w:rPr>
                <w:rFonts w:asciiTheme="minorHAnsi" w:eastAsia="Times New Roman" w:hAnsiTheme="minorHAnsi" w:cs="Times New Roman"/>
                <w:color w:val="000000"/>
                <w:szCs w:val="20"/>
              </w:rPr>
              <w:t xml:space="preserve"> Desert</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Petermann</w:t>
            </w:r>
            <w:proofErr w:type="spellEnd"/>
            <w:r w:rsidRPr="00DF38B2">
              <w:rPr>
                <w:rFonts w:asciiTheme="minorHAnsi" w:eastAsia="Times New Roman" w:hAnsiTheme="minorHAnsi" w:cs="Times New Roman"/>
                <w:color w:val="000000"/>
                <w:szCs w:val="20"/>
              </w:rPr>
              <w:t xml:space="preserve"> - Simpson</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Mid West Desert</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Tanami</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Mid West Desert</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 xml:space="preserve">Yuendumu - </w:t>
            </w:r>
            <w:proofErr w:type="spellStart"/>
            <w:r w:rsidRPr="00DF38B2">
              <w:rPr>
                <w:rFonts w:asciiTheme="minorHAnsi" w:eastAsia="Times New Roman" w:hAnsiTheme="minorHAnsi" w:cs="Times New Roman"/>
                <w:color w:val="000000"/>
                <w:szCs w:val="20"/>
              </w:rPr>
              <w:t>Anmatjere</w:t>
            </w:r>
            <w:proofErr w:type="spellEnd"/>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Central Desert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inc</w:t>
            </w:r>
            <w:r w:rsidR="00A51BD1">
              <w:rPr>
                <w:rFonts w:asciiTheme="minorHAnsi" w:eastAsia="Times New Roman" w:hAnsiTheme="minorHAnsi" w:cs="Times New Roman"/>
                <w:color w:val="000000"/>
                <w:szCs w:val="20"/>
              </w:rPr>
              <w:t>l.</w:t>
            </w:r>
            <w:r w:rsidRPr="00DF38B2">
              <w:rPr>
                <w:rFonts w:asciiTheme="minorHAnsi" w:eastAsia="Times New Roman" w:hAnsiTheme="minorHAnsi" w:cs="Times New Roman"/>
                <w:color w:val="000000"/>
                <w:szCs w:val="20"/>
              </w:rPr>
              <w:t xml:space="preserve"> T</w:t>
            </w:r>
            <w:r w:rsidR="00A51BD1">
              <w:rPr>
                <w:rFonts w:asciiTheme="minorHAnsi" w:eastAsia="Times New Roman" w:hAnsiTheme="minorHAnsi" w:cs="Times New Roman"/>
                <w:color w:val="000000"/>
                <w:szCs w:val="20"/>
              </w:rPr>
              <w:t xml:space="preserve">ennant </w:t>
            </w:r>
            <w:r w:rsidRPr="00DF38B2">
              <w:rPr>
                <w:rFonts w:asciiTheme="minorHAnsi" w:eastAsia="Times New Roman" w:hAnsiTheme="minorHAnsi" w:cs="Times New Roman"/>
                <w:color w:val="000000"/>
                <w:szCs w:val="20"/>
              </w:rPr>
              <w:t>C</w:t>
            </w:r>
            <w:r w:rsidR="00A51BD1">
              <w:rPr>
                <w:rFonts w:asciiTheme="minorHAnsi" w:eastAsia="Times New Roman" w:hAnsiTheme="minorHAnsi" w:cs="Times New Roman"/>
                <w:color w:val="000000"/>
                <w:szCs w:val="20"/>
              </w:rPr>
              <w:t>reek</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inc</w:t>
            </w:r>
            <w:r w:rsidR="00A51BD1">
              <w:rPr>
                <w:rFonts w:asciiTheme="minorHAnsi" w:eastAsia="Times New Roman" w:hAnsiTheme="minorHAnsi" w:cs="Times New Roman"/>
                <w:color w:val="000000"/>
                <w:szCs w:val="20"/>
              </w:rPr>
              <w:t>l.</w:t>
            </w:r>
            <w:r w:rsidRPr="00DF38B2">
              <w:rPr>
                <w:rFonts w:asciiTheme="minorHAnsi" w:eastAsia="Times New Roman" w:hAnsiTheme="minorHAnsi" w:cs="Times New Roman"/>
                <w:color w:val="000000"/>
                <w:szCs w:val="20"/>
              </w:rPr>
              <w:t xml:space="preserve"> T</w:t>
            </w:r>
            <w:r w:rsidR="00A51BD1">
              <w:rPr>
                <w:rFonts w:asciiTheme="minorHAnsi" w:eastAsia="Times New Roman" w:hAnsiTheme="minorHAnsi" w:cs="Times New Roman"/>
                <w:color w:val="000000"/>
                <w:szCs w:val="20"/>
              </w:rPr>
              <w:t xml:space="preserve">ennant </w:t>
            </w:r>
            <w:r w:rsidRPr="00DF38B2">
              <w:rPr>
                <w:rFonts w:asciiTheme="minorHAnsi" w:eastAsia="Times New Roman" w:hAnsiTheme="minorHAnsi" w:cs="Times New Roman"/>
                <w:color w:val="000000"/>
                <w:szCs w:val="20"/>
              </w:rPr>
              <w:t>C</w:t>
            </w:r>
            <w:r w:rsidR="00A51BD1">
              <w:rPr>
                <w:rFonts w:asciiTheme="minorHAnsi" w:eastAsia="Times New Roman" w:hAnsiTheme="minorHAnsi" w:cs="Times New Roman"/>
                <w:color w:val="000000"/>
                <w:szCs w:val="20"/>
              </w:rPr>
              <w:t>reek</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Tennant Creek</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Alligator</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1D2920" w:rsidP="006654AE">
            <w:pPr>
              <w:spacing w:after="0" w:line="240" w:lineRule="auto"/>
              <w:jc w:val="left"/>
              <w:rPr>
                <w:rFonts w:asciiTheme="minorHAnsi" w:eastAsia="Times New Roman" w:hAnsiTheme="minorHAnsi" w:cs="Times New Roman"/>
                <w:color w:val="000000"/>
                <w:szCs w:val="20"/>
              </w:rPr>
            </w:pPr>
            <w:r>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 xml:space="preserve">est </w:t>
            </w:r>
            <w:r w:rsidR="00AE3323" w:rsidRPr="00DF38B2">
              <w:rPr>
                <w:rFonts w:asciiTheme="minorHAnsi" w:eastAsia="Times New Roman" w:hAnsiTheme="minorHAnsi" w:cs="Times New Roman"/>
                <w:color w:val="000000"/>
                <w:szCs w:val="20"/>
              </w:rPr>
              <w:t>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Thamarrurr</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005D1CC5">
              <w:rPr>
                <w:rFonts w:asciiTheme="minorHAnsi" w:eastAsia="Times New Roman" w:hAnsiTheme="minorHAnsi" w:cs="Times New Roman"/>
                <w:color w:val="000000"/>
                <w:szCs w:val="20"/>
              </w:rPr>
              <w:t xml:space="preserve"> </w:t>
            </w:r>
            <w:r w:rsidRPr="00DF38B2">
              <w:rPr>
                <w:rFonts w:asciiTheme="minorHAnsi" w:eastAsia="Times New Roman" w:hAnsiTheme="minorHAnsi" w:cs="Times New Roman"/>
                <w:color w:val="000000"/>
                <w:szCs w:val="20"/>
              </w:rPr>
              <w:t>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 Islands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 Islands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Anindilyakwa</w:t>
            </w:r>
            <w:proofErr w:type="spellEnd"/>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Nhulunbuy</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Unincorporated NT</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Elsey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Roper Gulf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Gulf</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Roper Gulf (S)</w:t>
            </w:r>
          </w:p>
        </w:tc>
      </w:tr>
      <w:tr w:rsidR="00AE3323" w:rsidRPr="00DF38B2" w:rsidTr="00A51BD1">
        <w:trPr>
          <w:trHeight w:val="20"/>
        </w:trPr>
        <w:tc>
          <w:tcPr>
            <w:tcW w:w="2438"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562"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 (T)</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 River</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bl>
    <w:p w:rsidR="00AE3323" w:rsidRPr="00DF38B2" w:rsidRDefault="00AE3323" w:rsidP="006654AE"/>
    <w:p w:rsidR="00AE3323" w:rsidRPr="00DF38B2" w:rsidRDefault="00AE3323" w:rsidP="006654AE"/>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 w:rsidR="001E07F5" w:rsidRPr="00DF38B2" w:rsidRDefault="001E07F5" w:rsidP="006654AE">
      <w:pPr>
        <w:pStyle w:val="pretitle"/>
      </w:pPr>
      <w:bookmarkStart w:id="701" w:name="_Toc403739191"/>
      <w:r w:rsidRPr="00DF38B2">
        <w:t>Appendix E: Definition of priority needs and excluded goods</w:t>
      </w:r>
      <w:bookmarkEnd w:id="701"/>
    </w:p>
    <w:p w:rsidR="001E07F5" w:rsidRPr="00DF38B2" w:rsidRDefault="001E07F5" w:rsidP="006654AE">
      <w:pPr>
        <w:spacing w:after="120" w:line="240" w:lineRule="auto"/>
        <w:rPr>
          <w:b/>
          <w:i/>
        </w:rPr>
      </w:pPr>
      <w:r w:rsidRPr="00DF38B2">
        <w:rPr>
          <w:b/>
          <w:i/>
        </w:rPr>
        <w:t>Section 123TH Social Security (Administration) Act 1999</w:t>
      </w:r>
    </w:p>
    <w:p w:rsidR="001E07F5" w:rsidRPr="00DF38B2" w:rsidRDefault="001E07F5" w:rsidP="006654AE">
      <w:pPr>
        <w:spacing w:after="120" w:line="240" w:lineRule="auto"/>
        <w:rPr>
          <w:b/>
        </w:rPr>
      </w:pPr>
      <w:r w:rsidRPr="00DF38B2">
        <w:rPr>
          <w:b/>
        </w:rPr>
        <w:t>123TH Priority needs</w:t>
      </w:r>
    </w:p>
    <w:p w:rsidR="001E07F5" w:rsidRPr="00DF38B2" w:rsidRDefault="001E07F5" w:rsidP="006654AE">
      <w:pPr>
        <w:spacing w:after="120" w:line="240" w:lineRule="auto"/>
      </w:pPr>
      <w:r w:rsidRPr="00DF38B2">
        <w:t>(1) For the purposes of this Part, a person’s priority needs are as follows:</w:t>
      </w:r>
    </w:p>
    <w:p w:rsidR="001E07F5" w:rsidRPr="00DF38B2" w:rsidRDefault="001E07F5" w:rsidP="006654AE">
      <w:pPr>
        <w:spacing w:after="120" w:line="240" w:lineRule="auto"/>
        <w:ind w:left="720"/>
      </w:pPr>
      <w:r w:rsidRPr="00DF38B2">
        <w:t xml:space="preserve">(a) </w:t>
      </w:r>
      <w:proofErr w:type="gramStart"/>
      <w:r w:rsidRPr="00DF38B2">
        <w:t>food</w:t>
      </w:r>
      <w:proofErr w:type="gramEnd"/>
      <w:r w:rsidRPr="00DF38B2">
        <w:t>;</w:t>
      </w:r>
    </w:p>
    <w:p w:rsidR="001E07F5" w:rsidRPr="00DF38B2" w:rsidRDefault="001E07F5" w:rsidP="006654AE">
      <w:pPr>
        <w:spacing w:after="120" w:line="240" w:lineRule="auto"/>
        <w:ind w:left="720"/>
      </w:pPr>
      <w:r w:rsidRPr="00DF38B2">
        <w:t xml:space="preserve">(b) </w:t>
      </w:r>
      <w:proofErr w:type="gramStart"/>
      <w:r w:rsidRPr="00DF38B2">
        <w:t>non-alcoholic</w:t>
      </w:r>
      <w:proofErr w:type="gramEnd"/>
      <w:r w:rsidRPr="00DF38B2">
        <w:t xml:space="preserve"> beverages;</w:t>
      </w:r>
    </w:p>
    <w:p w:rsidR="001E07F5" w:rsidRPr="00DF38B2" w:rsidRDefault="001E07F5" w:rsidP="006654AE">
      <w:pPr>
        <w:spacing w:after="120" w:line="240" w:lineRule="auto"/>
        <w:ind w:left="720"/>
      </w:pPr>
      <w:r w:rsidRPr="00DF38B2">
        <w:t xml:space="preserve">(c) </w:t>
      </w:r>
      <w:proofErr w:type="gramStart"/>
      <w:r w:rsidRPr="00DF38B2">
        <w:t>clothing</w:t>
      </w:r>
      <w:proofErr w:type="gramEnd"/>
      <w:r w:rsidRPr="00DF38B2">
        <w:t>;</w:t>
      </w:r>
    </w:p>
    <w:p w:rsidR="001E07F5" w:rsidRPr="00DF38B2" w:rsidRDefault="001E07F5" w:rsidP="006654AE">
      <w:pPr>
        <w:spacing w:after="120" w:line="240" w:lineRule="auto"/>
        <w:ind w:left="720"/>
      </w:pPr>
      <w:r w:rsidRPr="00DF38B2">
        <w:t xml:space="preserve">(d) </w:t>
      </w:r>
      <w:proofErr w:type="gramStart"/>
      <w:r w:rsidRPr="00DF38B2">
        <w:t>footwear</w:t>
      </w:r>
      <w:proofErr w:type="gramEnd"/>
      <w:r w:rsidRPr="00DF38B2">
        <w:t>;</w:t>
      </w:r>
    </w:p>
    <w:p w:rsidR="001E07F5" w:rsidRPr="00DF38B2" w:rsidRDefault="001E07F5" w:rsidP="006654AE">
      <w:pPr>
        <w:spacing w:after="120" w:line="240" w:lineRule="auto"/>
        <w:ind w:left="720"/>
      </w:pPr>
      <w:r w:rsidRPr="00DF38B2">
        <w:t xml:space="preserve">(e) </w:t>
      </w:r>
      <w:proofErr w:type="gramStart"/>
      <w:r w:rsidRPr="00DF38B2">
        <w:t>basic</w:t>
      </w:r>
      <w:proofErr w:type="gramEnd"/>
      <w:r w:rsidRPr="00DF38B2">
        <w:t xml:space="preserve"> personal hygiene items;</w:t>
      </w:r>
    </w:p>
    <w:p w:rsidR="001E07F5" w:rsidRPr="00DF38B2" w:rsidRDefault="001E07F5" w:rsidP="006654AE">
      <w:pPr>
        <w:spacing w:after="120" w:line="240" w:lineRule="auto"/>
        <w:ind w:left="720"/>
      </w:pPr>
      <w:r w:rsidRPr="00DF38B2">
        <w:t xml:space="preserve">(f) </w:t>
      </w:r>
      <w:proofErr w:type="gramStart"/>
      <w:r w:rsidRPr="00DF38B2">
        <w:t>basic</w:t>
      </w:r>
      <w:proofErr w:type="gramEnd"/>
      <w:r w:rsidRPr="00DF38B2">
        <w:t xml:space="preserve"> household items;</w:t>
      </w:r>
    </w:p>
    <w:p w:rsidR="001E07F5" w:rsidRPr="00DF38B2" w:rsidRDefault="001E07F5" w:rsidP="006654AE">
      <w:pPr>
        <w:spacing w:after="120" w:line="240" w:lineRule="auto"/>
        <w:ind w:left="720"/>
      </w:pPr>
      <w:r w:rsidRPr="00DF38B2">
        <w:t xml:space="preserve">(g) </w:t>
      </w:r>
      <w:proofErr w:type="gramStart"/>
      <w:r w:rsidRPr="00DF38B2">
        <w:t>housing</w:t>
      </w:r>
      <w:proofErr w:type="gramEnd"/>
      <w:r w:rsidRPr="00DF38B2">
        <w:t>, including:</w:t>
      </w:r>
    </w:p>
    <w:p w:rsidR="001E07F5" w:rsidRPr="00DF38B2" w:rsidRDefault="001E07F5" w:rsidP="006654AE">
      <w:pPr>
        <w:spacing w:after="120" w:line="240" w:lineRule="auto"/>
        <w:ind w:left="1440"/>
      </w:pPr>
      <w:r w:rsidRPr="00DF38B2">
        <w:t xml:space="preserve">(i) </w:t>
      </w:r>
      <w:proofErr w:type="gramStart"/>
      <w:r w:rsidRPr="00DF38B2">
        <w:t>rent</w:t>
      </w:r>
      <w:proofErr w:type="gramEnd"/>
      <w:r w:rsidRPr="00DF38B2">
        <w:t>; and</w:t>
      </w:r>
    </w:p>
    <w:p w:rsidR="001E07F5" w:rsidRPr="00DF38B2" w:rsidRDefault="001E07F5" w:rsidP="006654AE">
      <w:pPr>
        <w:spacing w:after="120" w:line="240" w:lineRule="auto"/>
        <w:ind w:left="1440"/>
      </w:pPr>
      <w:r w:rsidRPr="00DF38B2">
        <w:t xml:space="preserve">(ii) </w:t>
      </w:r>
      <w:proofErr w:type="gramStart"/>
      <w:r w:rsidRPr="00DF38B2">
        <w:t>home</w:t>
      </w:r>
      <w:proofErr w:type="gramEnd"/>
      <w:r w:rsidRPr="00DF38B2">
        <w:t xml:space="preserve"> loan repayments; and</w:t>
      </w:r>
    </w:p>
    <w:p w:rsidR="001E07F5" w:rsidRPr="00DF38B2" w:rsidRDefault="001E07F5" w:rsidP="006654AE">
      <w:pPr>
        <w:spacing w:after="120" w:line="240" w:lineRule="auto"/>
        <w:ind w:left="1440"/>
      </w:pPr>
      <w:r w:rsidRPr="00DF38B2">
        <w:t xml:space="preserve">(iii) </w:t>
      </w:r>
      <w:proofErr w:type="gramStart"/>
      <w:r w:rsidRPr="00DF38B2">
        <w:t>repairs</w:t>
      </w:r>
      <w:proofErr w:type="gramEnd"/>
      <w:r w:rsidRPr="00DF38B2">
        <w:t>; and</w:t>
      </w:r>
    </w:p>
    <w:p w:rsidR="001E07F5" w:rsidRPr="00DF38B2" w:rsidRDefault="001E07F5" w:rsidP="006654AE">
      <w:pPr>
        <w:spacing w:after="120" w:line="240" w:lineRule="auto"/>
        <w:ind w:left="1440"/>
      </w:pPr>
      <w:r w:rsidRPr="00DF38B2">
        <w:t xml:space="preserve">(iv) </w:t>
      </w:r>
      <w:proofErr w:type="gramStart"/>
      <w:r w:rsidRPr="00DF38B2">
        <w:t>maintenance</w:t>
      </w:r>
      <w:proofErr w:type="gramEnd"/>
      <w:r w:rsidRPr="00DF38B2">
        <w:t>;</w:t>
      </w:r>
    </w:p>
    <w:p w:rsidR="001E07F5" w:rsidRPr="00DF38B2" w:rsidRDefault="001E07F5" w:rsidP="006654AE">
      <w:pPr>
        <w:spacing w:after="120" w:line="240" w:lineRule="auto"/>
        <w:ind w:left="720"/>
      </w:pPr>
      <w:r w:rsidRPr="00DF38B2">
        <w:t xml:space="preserve">(h) </w:t>
      </w:r>
      <w:proofErr w:type="gramStart"/>
      <w:r w:rsidRPr="00DF38B2">
        <w:t>household</w:t>
      </w:r>
      <w:proofErr w:type="gramEnd"/>
      <w:r w:rsidRPr="00DF38B2">
        <w:t xml:space="preserve"> utilities, including:</w:t>
      </w:r>
    </w:p>
    <w:p w:rsidR="001E07F5" w:rsidRPr="00DF38B2" w:rsidRDefault="001E07F5" w:rsidP="006654AE">
      <w:pPr>
        <w:spacing w:after="120" w:line="240" w:lineRule="auto"/>
        <w:ind w:left="1440"/>
      </w:pPr>
      <w:r w:rsidRPr="00DF38B2">
        <w:t xml:space="preserve">(i) </w:t>
      </w:r>
      <w:proofErr w:type="gramStart"/>
      <w:r w:rsidRPr="00DF38B2">
        <w:t>electricity</w:t>
      </w:r>
      <w:proofErr w:type="gramEnd"/>
      <w:r w:rsidRPr="00DF38B2">
        <w:t>; and</w:t>
      </w:r>
    </w:p>
    <w:p w:rsidR="001E07F5" w:rsidRPr="00DF38B2" w:rsidRDefault="001E07F5" w:rsidP="006654AE">
      <w:pPr>
        <w:spacing w:after="120" w:line="240" w:lineRule="auto"/>
        <w:ind w:left="1440"/>
      </w:pPr>
      <w:r w:rsidRPr="00DF38B2">
        <w:t xml:space="preserve">(ii) </w:t>
      </w:r>
      <w:proofErr w:type="gramStart"/>
      <w:r w:rsidRPr="00DF38B2">
        <w:t>gas</w:t>
      </w:r>
      <w:proofErr w:type="gramEnd"/>
      <w:r w:rsidRPr="00DF38B2">
        <w:t>; and</w:t>
      </w:r>
    </w:p>
    <w:p w:rsidR="001E07F5" w:rsidRPr="00DF38B2" w:rsidRDefault="001E07F5" w:rsidP="006654AE">
      <w:pPr>
        <w:spacing w:after="120" w:line="240" w:lineRule="auto"/>
        <w:ind w:left="1440"/>
      </w:pPr>
      <w:r w:rsidRPr="00DF38B2">
        <w:t xml:space="preserve">(iii) </w:t>
      </w:r>
      <w:proofErr w:type="gramStart"/>
      <w:r w:rsidRPr="00DF38B2">
        <w:t>water</w:t>
      </w:r>
      <w:proofErr w:type="gramEnd"/>
      <w:r w:rsidRPr="00DF38B2">
        <w:t>; and</w:t>
      </w:r>
    </w:p>
    <w:p w:rsidR="001E07F5" w:rsidRPr="00DF38B2" w:rsidRDefault="001E07F5" w:rsidP="006654AE">
      <w:pPr>
        <w:spacing w:after="120" w:line="240" w:lineRule="auto"/>
        <w:ind w:left="1440"/>
      </w:pPr>
      <w:r w:rsidRPr="00DF38B2">
        <w:t xml:space="preserve">(iv) </w:t>
      </w:r>
      <w:proofErr w:type="gramStart"/>
      <w:r w:rsidRPr="00DF38B2">
        <w:t>sewerage</w:t>
      </w:r>
      <w:proofErr w:type="gramEnd"/>
      <w:r w:rsidRPr="00DF38B2">
        <w:t>; and</w:t>
      </w:r>
    </w:p>
    <w:p w:rsidR="001E07F5" w:rsidRPr="00DF38B2" w:rsidRDefault="001E07F5" w:rsidP="006654AE">
      <w:pPr>
        <w:spacing w:after="120" w:line="240" w:lineRule="auto"/>
        <w:ind w:left="1440"/>
      </w:pPr>
      <w:r w:rsidRPr="00DF38B2">
        <w:t xml:space="preserve">(v) </w:t>
      </w:r>
      <w:proofErr w:type="gramStart"/>
      <w:r w:rsidRPr="00DF38B2">
        <w:t>garbage</w:t>
      </w:r>
      <w:proofErr w:type="gramEnd"/>
      <w:r w:rsidRPr="00DF38B2">
        <w:t xml:space="preserve"> collection; and</w:t>
      </w:r>
    </w:p>
    <w:p w:rsidR="001E07F5" w:rsidRPr="00DF38B2" w:rsidRDefault="001E07F5" w:rsidP="006654AE">
      <w:pPr>
        <w:spacing w:after="120" w:line="240" w:lineRule="auto"/>
        <w:ind w:left="1440"/>
      </w:pPr>
      <w:proofErr w:type="gramStart"/>
      <w:r w:rsidRPr="00DF38B2">
        <w:t>(vi) fixed-line</w:t>
      </w:r>
      <w:proofErr w:type="gramEnd"/>
      <w:r w:rsidRPr="00DF38B2">
        <w:t xml:space="preserve"> telephone;</w:t>
      </w:r>
    </w:p>
    <w:p w:rsidR="001E07F5" w:rsidRPr="00DF38B2" w:rsidRDefault="001E07F5" w:rsidP="006654AE">
      <w:pPr>
        <w:spacing w:after="120" w:line="240" w:lineRule="auto"/>
        <w:ind w:left="720"/>
      </w:pPr>
      <w:r w:rsidRPr="00DF38B2">
        <w:t xml:space="preserve">(i) </w:t>
      </w:r>
      <w:proofErr w:type="gramStart"/>
      <w:r w:rsidRPr="00DF38B2">
        <w:t>rates</w:t>
      </w:r>
      <w:proofErr w:type="gramEnd"/>
      <w:r w:rsidRPr="00DF38B2">
        <w:t xml:space="preserve"> and land tax;</w:t>
      </w:r>
    </w:p>
    <w:p w:rsidR="001E07F5" w:rsidRPr="00DF38B2" w:rsidRDefault="001E07F5" w:rsidP="006654AE">
      <w:pPr>
        <w:spacing w:after="120" w:line="240" w:lineRule="auto"/>
        <w:ind w:left="720"/>
      </w:pPr>
      <w:r w:rsidRPr="00DF38B2">
        <w:t xml:space="preserve">(j) </w:t>
      </w:r>
      <w:proofErr w:type="gramStart"/>
      <w:r w:rsidRPr="00DF38B2">
        <w:t>health</w:t>
      </w:r>
      <w:proofErr w:type="gramEnd"/>
      <w:r w:rsidRPr="00DF38B2">
        <w:t>, including:</w:t>
      </w:r>
    </w:p>
    <w:p w:rsidR="001E07F5" w:rsidRPr="00DF38B2" w:rsidRDefault="001E07F5" w:rsidP="006654AE">
      <w:pPr>
        <w:spacing w:after="120" w:line="240" w:lineRule="auto"/>
        <w:ind w:left="1440"/>
      </w:pPr>
      <w:r w:rsidRPr="00DF38B2">
        <w:t xml:space="preserve">(i) </w:t>
      </w:r>
      <w:proofErr w:type="gramStart"/>
      <w:r w:rsidRPr="00DF38B2">
        <w:t>medical</w:t>
      </w:r>
      <w:proofErr w:type="gramEnd"/>
      <w:r w:rsidRPr="00DF38B2">
        <w:t>, nursing, dental or other health services; and</w:t>
      </w:r>
    </w:p>
    <w:p w:rsidR="001E07F5" w:rsidRPr="00DF38B2" w:rsidRDefault="001E07F5" w:rsidP="006654AE">
      <w:pPr>
        <w:spacing w:after="120" w:line="240" w:lineRule="auto"/>
        <w:ind w:left="1440"/>
      </w:pPr>
      <w:r w:rsidRPr="00DF38B2">
        <w:t xml:space="preserve">(ii) </w:t>
      </w:r>
      <w:proofErr w:type="gramStart"/>
      <w:r w:rsidRPr="00DF38B2">
        <w:t>pharmacy</w:t>
      </w:r>
      <w:proofErr w:type="gramEnd"/>
      <w:r w:rsidRPr="00DF38B2">
        <w:t xml:space="preserve"> items; and</w:t>
      </w:r>
    </w:p>
    <w:p w:rsidR="001E07F5" w:rsidRPr="00DF38B2" w:rsidRDefault="001E07F5" w:rsidP="006654AE">
      <w:pPr>
        <w:spacing w:after="120" w:line="240" w:lineRule="auto"/>
        <w:ind w:left="1440"/>
      </w:pPr>
      <w:r w:rsidRPr="00DF38B2">
        <w:t xml:space="preserve">(iii) </w:t>
      </w:r>
      <w:proofErr w:type="gramStart"/>
      <w:r w:rsidRPr="00DF38B2">
        <w:t>the</w:t>
      </w:r>
      <w:proofErr w:type="gramEnd"/>
      <w:r w:rsidRPr="00DF38B2">
        <w:t xml:space="preserve"> supply, alteration or repair of artificial teeth; and</w:t>
      </w:r>
    </w:p>
    <w:p w:rsidR="001E07F5" w:rsidRPr="00DF38B2" w:rsidRDefault="001E07F5" w:rsidP="006654AE">
      <w:pPr>
        <w:spacing w:after="120" w:line="240" w:lineRule="auto"/>
        <w:ind w:left="1440"/>
      </w:pPr>
      <w:r w:rsidRPr="00DF38B2">
        <w:t xml:space="preserve">(iv) </w:t>
      </w:r>
      <w:proofErr w:type="gramStart"/>
      <w:r w:rsidRPr="00DF38B2">
        <w:t>the</w:t>
      </w:r>
      <w:proofErr w:type="gramEnd"/>
      <w:r w:rsidRPr="00DF38B2">
        <w:t xml:space="preserve"> supply, alteration or repair of an artificial limb (or part of a limb), artificial eye or hearing aid; and</w:t>
      </w:r>
    </w:p>
    <w:p w:rsidR="001E07F5" w:rsidRPr="00DF38B2" w:rsidRDefault="001E07F5" w:rsidP="006654AE">
      <w:pPr>
        <w:spacing w:after="120" w:line="240" w:lineRule="auto"/>
        <w:ind w:left="1440"/>
      </w:pPr>
      <w:r w:rsidRPr="00DF38B2">
        <w:t xml:space="preserve">(v) </w:t>
      </w:r>
      <w:proofErr w:type="gramStart"/>
      <w:r w:rsidRPr="00DF38B2">
        <w:t>the</w:t>
      </w:r>
      <w:proofErr w:type="gramEnd"/>
      <w:r w:rsidRPr="00DF38B2">
        <w:t xml:space="preserve"> supply, alteration or repair of a medical or surgical appliance; and</w:t>
      </w:r>
    </w:p>
    <w:p w:rsidR="001E07F5" w:rsidRPr="00DF38B2" w:rsidRDefault="001E07F5" w:rsidP="006654AE">
      <w:pPr>
        <w:spacing w:after="120" w:line="240" w:lineRule="auto"/>
        <w:ind w:left="1440"/>
      </w:pPr>
      <w:r w:rsidRPr="00DF38B2">
        <w:t xml:space="preserve">(vi) </w:t>
      </w:r>
      <w:proofErr w:type="gramStart"/>
      <w:r w:rsidRPr="00DF38B2">
        <w:t>the</w:t>
      </w:r>
      <w:proofErr w:type="gramEnd"/>
      <w:r w:rsidRPr="00DF38B2">
        <w:t xml:space="preserve"> testing of eyes; and</w:t>
      </w:r>
    </w:p>
    <w:p w:rsidR="001E07F5" w:rsidRPr="00DF38B2" w:rsidRDefault="001E07F5" w:rsidP="006654AE">
      <w:pPr>
        <w:spacing w:after="120" w:line="240" w:lineRule="auto"/>
        <w:ind w:left="1440"/>
      </w:pPr>
      <w:r w:rsidRPr="00DF38B2">
        <w:t xml:space="preserve">(vii) </w:t>
      </w:r>
      <w:proofErr w:type="gramStart"/>
      <w:r w:rsidRPr="00DF38B2">
        <w:t>the</w:t>
      </w:r>
      <w:proofErr w:type="gramEnd"/>
      <w:r w:rsidRPr="00DF38B2">
        <w:t xml:space="preserve"> prescribing of spectacles or contact lenses; and</w:t>
      </w:r>
    </w:p>
    <w:p w:rsidR="001E07F5" w:rsidRPr="00DF38B2" w:rsidRDefault="001E07F5" w:rsidP="006654AE">
      <w:pPr>
        <w:spacing w:after="120" w:line="240" w:lineRule="auto"/>
        <w:ind w:left="1440"/>
      </w:pPr>
      <w:r w:rsidRPr="00DF38B2">
        <w:t xml:space="preserve">(viii) </w:t>
      </w:r>
      <w:proofErr w:type="gramStart"/>
      <w:r w:rsidRPr="00DF38B2">
        <w:t>the</w:t>
      </w:r>
      <w:proofErr w:type="gramEnd"/>
      <w:r w:rsidRPr="00DF38B2">
        <w:t xml:space="preserve"> supply of spectacles or contact lenses; and</w:t>
      </w:r>
    </w:p>
    <w:p w:rsidR="001E07F5" w:rsidRPr="00DF38B2" w:rsidRDefault="001E07F5" w:rsidP="006654AE">
      <w:pPr>
        <w:spacing w:after="120" w:line="240" w:lineRule="auto"/>
        <w:ind w:left="1440"/>
      </w:pPr>
      <w:r w:rsidRPr="00DF38B2">
        <w:t xml:space="preserve">(ix) </w:t>
      </w:r>
      <w:proofErr w:type="gramStart"/>
      <w:r w:rsidRPr="00DF38B2">
        <w:t>the</w:t>
      </w:r>
      <w:proofErr w:type="gramEnd"/>
      <w:r w:rsidRPr="00DF38B2">
        <w:t xml:space="preserve"> management of a disability;</w:t>
      </w:r>
    </w:p>
    <w:p w:rsidR="001E07F5" w:rsidRPr="00DF38B2" w:rsidRDefault="001E07F5" w:rsidP="006654AE">
      <w:pPr>
        <w:spacing w:after="120" w:line="240" w:lineRule="auto"/>
        <w:ind w:left="720"/>
      </w:pPr>
      <w:r w:rsidRPr="00DF38B2">
        <w:t xml:space="preserve">(k) </w:t>
      </w:r>
      <w:proofErr w:type="gramStart"/>
      <w:r w:rsidRPr="00DF38B2">
        <w:t>child</w:t>
      </w:r>
      <w:proofErr w:type="gramEnd"/>
      <w:r w:rsidRPr="00DF38B2">
        <w:t xml:space="preserve"> care and development;</w:t>
      </w:r>
    </w:p>
    <w:p w:rsidR="001E07F5" w:rsidRPr="00DF38B2" w:rsidRDefault="001E07F5" w:rsidP="006654AE">
      <w:pPr>
        <w:spacing w:after="120" w:line="240" w:lineRule="auto"/>
        <w:ind w:left="720"/>
      </w:pPr>
      <w:r w:rsidRPr="00DF38B2">
        <w:t xml:space="preserve">(l) </w:t>
      </w:r>
      <w:proofErr w:type="gramStart"/>
      <w:r w:rsidRPr="00DF38B2">
        <w:t>education</w:t>
      </w:r>
      <w:proofErr w:type="gramEnd"/>
      <w:r w:rsidRPr="00DF38B2">
        <w:t xml:space="preserve"> and training;</w:t>
      </w:r>
    </w:p>
    <w:p w:rsidR="001E07F5" w:rsidRPr="00DF38B2" w:rsidRDefault="001E07F5" w:rsidP="006654AE">
      <w:pPr>
        <w:spacing w:after="120" w:line="240" w:lineRule="auto"/>
        <w:ind w:left="720"/>
      </w:pPr>
      <w:r w:rsidRPr="00DF38B2">
        <w:t xml:space="preserve">(m) </w:t>
      </w:r>
      <w:proofErr w:type="gramStart"/>
      <w:r w:rsidRPr="00DF38B2">
        <w:t>items</w:t>
      </w:r>
      <w:proofErr w:type="gramEnd"/>
      <w:r w:rsidRPr="00DF38B2">
        <w:t xml:space="preserve"> required for the purposes of the person’s employment, including:</w:t>
      </w:r>
    </w:p>
    <w:p w:rsidR="001E07F5" w:rsidRPr="00DF38B2" w:rsidRDefault="001E07F5" w:rsidP="006654AE">
      <w:pPr>
        <w:spacing w:after="120" w:line="240" w:lineRule="auto"/>
        <w:ind w:left="1440"/>
      </w:pPr>
      <w:r w:rsidRPr="00DF38B2">
        <w:lastRenderedPageBreak/>
        <w:t xml:space="preserve">(i) </w:t>
      </w:r>
      <w:proofErr w:type="gramStart"/>
      <w:r w:rsidRPr="00DF38B2">
        <w:t>a</w:t>
      </w:r>
      <w:proofErr w:type="gramEnd"/>
      <w:r w:rsidRPr="00DF38B2">
        <w:t xml:space="preserve"> uniform or other occupational clothing; and</w:t>
      </w:r>
    </w:p>
    <w:p w:rsidR="001E07F5" w:rsidRPr="00DF38B2" w:rsidRDefault="001E07F5" w:rsidP="006654AE">
      <w:pPr>
        <w:spacing w:after="120" w:line="240" w:lineRule="auto"/>
        <w:ind w:left="1440"/>
      </w:pPr>
      <w:r w:rsidRPr="00DF38B2">
        <w:t xml:space="preserve">(ii) </w:t>
      </w:r>
      <w:proofErr w:type="gramStart"/>
      <w:r w:rsidRPr="00DF38B2">
        <w:t>protective</w:t>
      </w:r>
      <w:proofErr w:type="gramEnd"/>
      <w:r w:rsidRPr="00DF38B2">
        <w:t xml:space="preserve"> footwear; and</w:t>
      </w:r>
    </w:p>
    <w:p w:rsidR="001E07F5" w:rsidRPr="00DF38B2" w:rsidRDefault="001E07F5" w:rsidP="006654AE">
      <w:pPr>
        <w:spacing w:after="120" w:line="240" w:lineRule="auto"/>
        <w:ind w:left="1440"/>
      </w:pPr>
      <w:r w:rsidRPr="00DF38B2">
        <w:t xml:space="preserve">(iii) </w:t>
      </w:r>
      <w:proofErr w:type="gramStart"/>
      <w:r w:rsidRPr="00DF38B2">
        <w:t>tools</w:t>
      </w:r>
      <w:proofErr w:type="gramEnd"/>
      <w:r w:rsidRPr="00DF38B2">
        <w:t xml:space="preserve"> of trade;</w:t>
      </w:r>
    </w:p>
    <w:p w:rsidR="001E07F5" w:rsidRPr="00DF38B2" w:rsidRDefault="001E07F5" w:rsidP="006654AE">
      <w:pPr>
        <w:spacing w:after="120" w:line="240" w:lineRule="auto"/>
        <w:ind w:left="720"/>
      </w:pPr>
      <w:r w:rsidRPr="00DF38B2">
        <w:t xml:space="preserve">(n) </w:t>
      </w:r>
      <w:proofErr w:type="gramStart"/>
      <w:r w:rsidRPr="00DF38B2">
        <w:t>funerals</w:t>
      </w:r>
      <w:proofErr w:type="gramEnd"/>
      <w:r w:rsidRPr="00DF38B2">
        <w:t>;</w:t>
      </w:r>
    </w:p>
    <w:p w:rsidR="001E07F5" w:rsidRPr="00DF38B2" w:rsidRDefault="001E07F5" w:rsidP="006654AE">
      <w:pPr>
        <w:spacing w:after="120" w:line="240" w:lineRule="auto"/>
        <w:ind w:left="720"/>
      </w:pPr>
      <w:r w:rsidRPr="00DF38B2">
        <w:t xml:space="preserve">(o) </w:t>
      </w:r>
      <w:proofErr w:type="gramStart"/>
      <w:r w:rsidRPr="00DF38B2">
        <w:t>public</w:t>
      </w:r>
      <w:proofErr w:type="gramEnd"/>
      <w:r w:rsidRPr="00DF38B2">
        <w:t xml:space="preserve"> transport services, where the services are used wholly or partly for purposes in connection with any of the above needs;</w:t>
      </w:r>
    </w:p>
    <w:p w:rsidR="001E07F5" w:rsidRPr="00DF38B2" w:rsidRDefault="001E07F5" w:rsidP="006654AE">
      <w:pPr>
        <w:spacing w:after="120" w:line="240" w:lineRule="auto"/>
        <w:ind w:left="720"/>
      </w:pPr>
      <w:r w:rsidRPr="00DF38B2">
        <w:t xml:space="preserve">(p) </w:t>
      </w:r>
      <w:proofErr w:type="gramStart"/>
      <w:r w:rsidRPr="00DF38B2">
        <w:t>the</w:t>
      </w:r>
      <w:proofErr w:type="gramEnd"/>
      <w:r w:rsidRPr="00DF38B2">
        <w:t xml:space="preserve"> acquisition, repair, maintenance or operation of:</w:t>
      </w:r>
    </w:p>
    <w:p w:rsidR="001E07F5" w:rsidRPr="00DF38B2" w:rsidRDefault="001E07F5" w:rsidP="006654AE">
      <w:pPr>
        <w:spacing w:after="120" w:line="240" w:lineRule="auto"/>
        <w:ind w:left="1440"/>
      </w:pPr>
      <w:r w:rsidRPr="00DF38B2">
        <w:t xml:space="preserve">(i) </w:t>
      </w:r>
      <w:proofErr w:type="gramStart"/>
      <w:r w:rsidRPr="00DF38B2">
        <w:t>a</w:t>
      </w:r>
      <w:proofErr w:type="gramEnd"/>
      <w:r w:rsidRPr="00DF38B2">
        <w:t xml:space="preserve"> motor vehicle; or</w:t>
      </w:r>
    </w:p>
    <w:p w:rsidR="001E07F5" w:rsidRPr="00DF38B2" w:rsidRDefault="001E07F5" w:rsidP="006654AE">
      <w:pPr>
        <w:spacing w:after="120" w:line="240" w:lineRule="auto"/>
        <w:ind w:left="1440"/>
      </w:pPr>
      <w:r w:rsidRPr="00DF38B2">
        <w:t xml:space="preserve">(ii) </w:t>
      </w:r>
      <w:proofErr w:type="gramStart"/>
      <w:r w:rsidRPr="00DF38B2">
        <w:t>a</w:t>
      </w:r>
      <w:proofErr w:type="gramEnd"/>
      <w:r w:rsidRPr="00DF38B2">
        <w:t xml:space="preserve"> motor cycle; or</w:t>
      </w:r>
    </w:p>
    <w:p w:rsidR="001E07F5" w:rsidRPr="00DF38B2" w:rsidRDefault="001E07F5" w:rsidP="006654AE">
      <w:pPr>
        <w:spacing w:after="120" w:line="240" w:lineRule="auto"/>
        <w:ind w:left="1440"/>
      </w:pPr>
      <w:r w:rsidRPr="00DF38B2">
        <w:t xml:space="preserve">(iii) </w:t>
      </w:r>
      <w:proofErr w:type="gramStart"/>
      <w:r w:rsidRPr="00DF38B2">
        <w:t>a</w:t>
      </w:r>
      <w:proofErr w:type="gramEnd"/>
      <w:r w:rsidRPr="00DF38B2">
        <w:t xml:space="preserve"> bicycle;</w:t>
      </w:r>
    </w:p>
    <w:p w:rsidR="001E07F5" w:rsidRPr="00DF38B2" w:rsidRDefault="001E07F5" w:rsidP="006654AE">
      <w:pPr>
        <w:spacing w:after="120" w:line="240" w:lineRule="auto"/>
        <w:ind w:left="1440"/>
      </w:pPr>
      <w:proofErr w:type="gramStart"/>
      <w:r w:rsidRPr="00DF38B2">
        <w:t>that</w:t>
      </w:r>
      <w:proofErr w:type="gramEnd"/>
      <w:r w:rsidRPr="00DF38B2">
        <w:t xml:space="preserve"> is used wholly or partly for purposes in connection with any of the above needs;</w:t>
      </w:r>
    </w:p>
    <w:p w:rsidR="001E07F5" w:rsidRPr="00DF38B2" w:rsidRDefault="001E07F5" w:rsidP="006654AE">
      <w:pPr>
        <w:spacing w:after="120" w:line="240" w:lineRule="auto"/>
        <w:ind w:left="720"/>
      </w:pPr>
      <w:r w:rsidRPr="00DF38B2">
        <w:t xml:space="preserve">(q) </w:t>
      </w:r>
      <w:proofErr w:type="spellStart"/>
      <w:proofErr w:type="gramStart"/>
      <w:r w:rsidRPr="00DF38B2">
        <w:t>any</w:t>
      </w:r>
      <w:proofErr w:type="gramEnd"/>
      <w:r w:rsidRPr="00DF38B2">
        <w:t xml:space="preserve"> thing</w:t>
      </w:r>
      <w:proofErr w:type="spellEnd"/>
      <w:r w:rsidRPr="00DF38B2">
        <w:t xml:space="preserve"> specified in a legislative instrument made by the Minister for the purposes of this paragraph.</w:t>
      </w:r>
    </w:p>
    <w:p w:rsidR="001E07F5" w:rsidRPr="00DF38B2" w:rsidRDefault="001E07F5" w:rsidP="006654AE">
      <w:pPr>
        <w:spacing w:after="120" w:line="240" w:lineRule="auto"/>
      </w:pPr>
      <w:r w:rsidRPr="00DF38B2">
        <w:t>(2) For the purposes of this Part, excluded goods or excluded services are not priority needs.</w:t>
      </w:r>
    </w:p>
    <w:p w:rsidR="001E07F5" w:rsidRPr="00DF38B2" w:rsidRDefault="001E07F5" w:rsidP="006654AE">
      <w:pPr>
        <w:spacing w:after="120" w:line="240" w:lineRule="auto"/>
      </w:pPr>
    </w:p>
    <w:p w:rsidR="001E07F5" w:rsidRPr="00DF38B2" w:rsidRDefault="001E07F5" w:rsidP="006654AE">
      <w:pPr>
        <w:spacing w:after="120" w:line="240" w:lineRule="auto"/>
        <w:rPr>
          <w:b/>
        </w:rPr>
      </w:pPr>
      <w:r w:rsidRPr="00DF38B2">
        <w:rPr>
          <w:b/>
        </w:rPr>
        <w:t xml:space="preserve">123TI </w:t>
      </w:r>
      <w:proofErr w:type="gramStart"/>
      <w:r w:rsidRPr="00DF38B2">
        <w:rPr>
          <w:b/>
        </w:rPr>
        <w:t>Excluded</w:t>
      </w:r>
      <w:proofErr w:type="gramEnd"/>
      <w:r w:rsidRPr="00DF38B2">
        <w:rPr>
          <w:b/>
        </w:rPr>
        <w:t xml:space="preserve"> goods and excluded services</w:t>
      </w:r>
    </w:p>
    <w:p w:rsidR="001E07F5" w:rsidRPr="00DF38B2" w:rsidRDefault="001E07F5" w:rsidP="006654AE">
      <w:pPr>
        <w:spacing w:after="120" w:line="240" w:lineRule="auto"/>
        <w:rPr>
          <w:i/>
        </w:rPr>
      </w:pPr>
      <w:r w:rsidRPr="00DF38B2">
        <w:rPr>
          <w:i/>
        </w:rPr>
        <w:t>Excluded goods</w:t>
      </w:r>
    </w:p>
    <w:p w:rsidR="001E07F5" w:rsidRPr="00DF38B2" w:rsidRDefault="001E07F5" w:rsidP="006654AE">
      <w:pPr>
        <w:spacing w:after="120" w:line="240" w:lineRule="auto"/>
      </w:pPr>
      <w:r w:rsidRPr="00DF38B2">
        <w:t xml:space="preserve">(1) Each of the following goods </w:t>
      </w:r>
      <w:proofErr w:type="gramStart"/>
      <w:r w:rsidRPr="00DF38B2">
        <w:t>are</w:t>
      </w:r>
      <w:proofErr w:type="gramEnd"/>
      <w:r w:rsidRPr="00DF38B2">
        <w:t xml:space="preserve"> excluded goods for the purposes of this Part:</w:t>
      </w:r>
    </w:p>
    <w:p w:rsidR="001E07F5" w:rsidRPr="00DF38B2" w:rsidRDefault="001E07F5" w:rsidP="006654AE">
      <w:pPr>
        <w:spacing w:after="120" w:line="240" w:lineRule="auto"/>
        <w:ind w:left="720"/>
      </w:pPr>
      <w:r w:rsidRPr="00DF38B2">
        <w:t xml:space="preserve">(a) </w:t>
      </w:r>
      <w:proofErr w:type="gramStart"/>
      <w:r w:rsidRPr="00DF38B2">
        <w:t>alcoholic</w:t>
      </w:r>
      <w:proofErr w:type="gramEnd"/>
      <w:r w:rsidRPr="00DF38B2">
        <w:t xml:space="preserve"> beverages;</w:t>
      </w:r>
    </w:p>
    <w:p w:rsidR="001E07F5" w:rsidRPr="00DF38B2" w:rsidRDefault="001E07F5" w:rsidP="006654AE">
      <w:pPr>
        <w:spacing w:after="120" w:line="240" w:lineRule="auto"/>
        <w:ind w:left="720"/>
      </w:pPr>
      <w:r w:rsidRPr="00DF38B2">
        <w:t xml:space="preserve">(b) </w:t>
      </w:r>
      <w:proofErr w:type="gramStart"/>
      <w:r w:rsidRPr="00DF38B2">
        <w:t>tobacco</w:t>
      </w:r>
      <w:proofErr w:type="gramEnd"/>
      <w:r w:rsidRPr="00DF38B2">
        <w:t xml:space="preserve"> products;</w:t>
      </w:r>
    </w:p>
    <w:p w:rsidR="001E07F5" w:rsidRPr="00DF38B2" w:rsidRDefault="001E07F5" w:rsidP="006654AE">
      <w:pPr>
        <w:spacing w:after="120" w:line="240" w:lineRule="auto"/>
        <w:ind w:left="720"/>
      </w:pPr>
      <w:r w:rsidRPr="00DF38B2">
        <w:t xml:space="preserve">(c) </w:t>
      </w:r>
      <w:proofErr w:type="gramStart"/>
      <w:r w:rsidRPr="00DF38B2">
        <w:t>pornographic</w:t>
      </w:r>
      <w:proofErr w:type="gramEnd"/>
      <w:r w:rsidRPr="00DF38B2">
        <w:t xml:space="preserve"> material;</w:t>
      </w:r>
    </w:p>
    <w:p w:rsidR="001E07F5" w:rsidRPr="00DF38B2" w:rsidRDefault="001E07F5" w:rsidP="006654AE">
      <w:pPr>
        <w:spacing w:after="120" w:line="240" w:lineRule="auto"/>
        <w:ind w:left="720"/>
      </w:pPr>
      <w:r w:rsidRPr="00DF38B2">
        <w:t xml:space="preserve">(d) </w:t>
      </w:r>
      <w:proofErr w:type="gramStart"/>
      <w:r w:rsidRPr="00DF38B2">
        <w:t>goods</w:t>
      </w:r>
      <w:proofErr w:type="gramEnd"/>
      <w:r w:rsidRPr="00DF38B2">
        <w:t xml:space="preserve"> specified in a legislative instrument made by the Minister for the purposes of this paragraph.</w:t>
      </w:r>
    </w:p>
    <w:p w:rsidR="001E07F5" w:rsidRPr="00DF38B2" w:rsidRDefault="001E07F5" w:rsidP="006654AE">
      <w:pPr>
        <w:spacing w:after="120" w:line="240" w:lineRule="auto"/>
        <w:rPr>
          <w:i/>
        </w:rPr>
      </w:pPr>
      <w:r w:rsidRPr="00DF38B2">
        <w:rPr>
          <w:i/>
        </w:rPr>
        <w:t>Excluded services</w:t>
      </w:r>
    </w:p>
    <w:p w:rsidR="001E07F5" w:rsidRPr="00DF38B2" w:rsidRDefault="001E07F5" w:rsidP="006654AE">
      <w:pPr>
        <w:spacing w:after="120" w:line="240" w:lineRule="auto"/>
      </w:pPr>
      <w:r w:rsidRPr="00DF38B2">
        <w:t>(2) Each of the following services is an excluded service for the purposes of this Part:</w:t>
      </w:r>
    </w:p>
    <w:p w:rsidR="001E07F5" w:rsidRPr="00DF38B2" w:rsidRDefault="001E07F5" w:rsidP="006654AE">
      <w:pPr>
        <w:spacing w:after="120" w:line="240" w:lineRule="auto"/>
        <w:ind w:left="720"/>
      </w:pPr>
      <w:r w:rsidRPr="00DF38B2">
        <w:t xml:space="preserve">(a) </w:t>
      </w:r>
      <w:proofErr w:type="gramStart"/>
      <w:r w:rsidRPr="00DF38B2">
        <w:t>gambling</w:t>
      </w:r>
      <w:proofErr w:type="gramEnd"/>
      <w:r w:rsidRPr="00DF38B2">
        <w:t>;</w:t>
      </w:r>
    </w:p>
    <w:p w:rsidR="001E07F5" w:rsidRPr="00DF38B2" w:rsidRDefault="001E07F5" w:rsidP="006654AE">
      <w:pPr>
        <w:spacing w:after="120" w:line="240" w:lineRule="auto"/>
        <w:ind w:left="720"/>
      </w:pPr>
      <w:r w:rsidRPr="00DF38B2">
        <w:t xml:space="preserve">(b) </w:t>
      </w:r>
      <w:proofErr w:type="gramStart"/>
      <w:r w:rsidRPr="00DF38B2">
        <w:t>a</w:t>
      </w:r>
      <w:proofErr w:type="gramEnd"/>
      <w:r w:rsidRPr="00DF38B2">
        <w:t xml:space="preserve"> service specified in a legislative instrument made by the Minister for the purposes of this paragraph.</w:t>
      </w:r>
    </w:p>
    <w:p w:rsidR="001E07F5" w:rsidRPr="00DF38B2" w:rsidRDefault="001E07F5" w:rsidP="006654AE">
      <w:pPr>
        <w:ind w:left="720"/>
        <w:rPr>
          <w:szCs w:val="19"/>
        </w:rPr>
      </w:pP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702" w:name="_Toc403739192"/>
      <w:r w:rsidRPr="00DF38B2">
        <w:lastRenderedPageBreak/>
        <w:t>Appendix F: Vulnerable Focus Group</w:t>
      </w:r>
      <w:r w:rsidR="00C3432C" w:rsidRPr="00DF38B2">
        <w:t xml:space="preserve"> Questions</w:t>
      </w:r>
      <w:bookmarkEnd w:id="702"/>
    </w:p>
    <w:p w:rsidR="0018055E" w:rsidRPr="007B739C" w:rsidRDefault="0018055E" w:rsidP="006654AE">
      <w:pPr>
        <w:jc w:val="center"/>
        <w:rPr>
          <w:b/>
          <w:sz w:val="24"/>
          <w:szCs w:val="24"/>
        </w:rPr>
      </w:pPr>
      <w:r w:rsidRPr="007B739C">
        <w:rPr>
          <w:b/>
          <w:sz w:val="24"/>
          <w:szCs w:val="24"/>
        </w:rPr>
        <w:t>Evaluation Income Management in the Northern Territory – final evaluation data collection</w:t>
      </w:r>
    </w:p>
    <w:p w:rsidR="0018055E" w:rsidRPr="007B739C" w:rsidRDefault="0018055E" w:rsidP="006654AE">
      <w:pPr>
        <w:jc w:val="center"/>
        <w:rPr>
          <w:b/>
          <w:sz w:val="24"/>
          <w:szCs w:val="24"/>
        </w:rPr>
      </w:pPr>
      <w:r w:rsidRPr="007B739C">
        <w:rPr>
          <w:b/>
          <w:sz w:val="24"/>
          <w:szCs w:val="24"/>
        </w:rPr>
        <w:t xml:space="preserve">Topic Guide for </w:t>
      </w:r>
      <w:r w:rsidR="00060511" w:rsidRPr="007B739C">
        <w:rPr>
          <w:b/>
          <w:sz w:val="24"/>
          <w:szCs w:val="24"/>
        </w:rPr>
        <w:t>DHS</w:t>
      </w:r>
      <w:r w:rsidRPr="007B739C">
        <w:rPr>
          <w:b/>
          <w:sz w:val="24"/>
          <w:szCs w:val="24"/>
        </w:rPr>
        <w:t xml:space="preserve"> Staff</w:t>
      </w:r>
    </w:p>
    <w:p w:rsidR="0018055E" w:rsidRPr="00DF38B2" w:rsidRDefault="0018055E" w:rsidP="006654AE">
      <w:r w:rsidRPr="00DF38B2">
        <w:t xml:space="preserve">This interview is part of the second stage of the evaluation of New Income Management in the NT and focuses on the Vulnerable Income Management (VWPR). We are interested in talking to you how you are using the vulnerable measure and in your work at the </w:t>
      </w:r>
      <w:r w:rsidR="00060511">
        <w:t>DHS</w:t>
      </w:r>
      <w:r w:rsidRPr="00DF38B2">
        <w:t xml:space="preserve"> and how effective you think VWPR is in your work with clients. </w:t>
      </w:r>
    </w:p>
    <w:p w:rsidR="0018055E" w:rsidRPr="00DF38B2" w:rsidRDefault="0018055E" w:rsidP="006654AE">
      <w:pPr>
        <w:spacing w:after="120"/>
        <w:jc w:val="center"/>
      </w:pPr>
      <w:r w:rsidRPr="00DF38B2">
        <w:rPr>
          <w:b/>
        </w:rPr>
        <w:t>Participation in this interview is voluntary. This means you can say NO.</w:t>
      </w:r>
    </w:p>
    <w:p w:rsidR="0018055E" w:rsidRPr="00DF38B2" w:rsidRDefault="0018055E" w:rsidP="006654AE">
      <w:pPr>
        <w:rPr>
          <w:color w:val="000000"/>
        </w:rPr>
      </w:pPr>
      <w:r w:rsidRPr="00DF38B2">
        <w:rPr>
          <w:color w:val="000000"/>
          <w:u w:val="single"/>
        </w:rPr>
        <w:t xml:space="preserve">The interview is </w:t>
      </w:r>
      <w:r w:rsidRPr="00DF38B2">
        <w:rPr>
          <w:bCs/>
          <w:color w:val="000000"/>
          <w:u w:val="single"/>
        </w:rPr>
        <w:t xml:space="preserve">not about evaluating the </w:t>
      </w:r>
      <w:r w:rsidR="00060511">
        <w:rPr>
          <w:bCs/>
          <w:color w:val="000000"/>
          <w:u w:val="single"/>
        </w:rPr>
        <w:t>DHS</w:t>
      </w:r>
      <w:r w:rsidRPr="00DF38B2">
        <w:rPr>
          <w:bCs/>
          <w:color w:val="000000"/>
          <w:u w:val="single"/>
        </w:rPr>
        <w:t xml:space="preserve"> or an individual’s work practices;</w:t>
      </w:r>
      <w:r w:rsidRPr="00DF38B2">
        <w:rPr>
          <w:color w:val="000000"/>
        </w:rPr>
        <w:t xml:space="preserve"> rather its aim is to elicit your views about how Income Management is impacting on your work and your clients.</w:t>
      </w:r>
    </w:p>
    <w:p w:rsidR="0018055E" w:rsidRPr="00DF38B2" w:rsidRDefault="0018055E" w:rsidP="006654AE">
      <w:pPr>
        <w:rPr>
          <w:color w:val="000000"/>
        </w:rPr>
      </w:pPr>
      <w:r w:rsidRPr="00DF38B2">
        <w:rPr>
          <w:color w:val="000000"/>
        </w:rPr>
        <w:t>We understand that the provision of information can be a sensitive matter. Please be assured that your confidentiality will be maintained throughout the research process. I’d also like to remind you that you may withdraw your consent to participate in the study at any time during the interview.</w:t>
      </w:r>
    </w:p>
    <w:p w:rsidR="0018055E" w:rsidRPr="00DF38B2" w:rsidRDefault="0018055E" w:rsidP="006654AE">
      <w:r w:rsidRPr="00DF38B2">
        <w:t>After starting the interview with a brief discussion about where you work and your role there, the questions will cover 6 broad areas:</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How/when is the vulnerable measure being used by DHS staff? </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What are the key triggers for referring a DHS customer to VWPR?</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 xml:space="preserve">What are the potential benefits of the VWPR for different circumstances and clients? </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In what circumstances is VWPR not appropriate?</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 xml:space="preserve">How </w:t>
      </w:r>
      <w:proofErr w:type="gramStart"/>
      <w:r w:rsidRPr="00DF38B2">
        <w:rPr>
          <w:color w:val="000000"/>
        </w:rPr>
        <w:t>does</w:t>
      </w:r>
      <w:proofErr w:type="gramEnd"/>
      <w:r w:rsidRPr="00DF38B2">
        <w:rPr>
          <w:color w:val="000000"/>
        </w:rPr>
        <w:t xml:space="preserve"> Voluntary Income Management, Compulsory Income Management, and other Centrelink options such as Centrepay and weekly payments affect decision making about how VPWR is used?</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How have these priorities changed since income management in the NT was initiated? Do you think these changes have improved the use of VWPR?</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Do you think VWPR is targeted appropriately?</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Are there people who should be on VWPR but are not currently on the measure?</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Are there people who are on VWPR who should be on another measure?</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are the </w:t>
      </w:r>
      <w:proofErr w:type="gramStart"/>
      <w:r w:rsidRPr="00DF38B2">
        <w:rPr>
          <w:color w:val="000000"/>
        </w:rPr>
        <w:t>range</w:t>
      </w:r>
      <w:proofErr w:type="gramEnd"/>
      <w:r w:rsidRPr="00DF38B2">
        <w:rPr>
          <w:color w:val="000000"/>
        </w:rPr>
        <w:t xml:space="preserve"> of circumstances under which clients move off the Vulnerable measure, and do clients continue on other forms of IM?</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is the impact of income management on the individuals </w:t>
      </w:r>
      <w:proofErr w:type="gramStart"/>
      <w:r w:rsidRPr="00DF38B2">
        <w:rPr>
          <w:color w:val="000000"/>
        </w:rPr>
        <w:t>involved,</w:t>
      </w:r>
      <w:proofErr w:type="gramEnd"/>
      <w:r w:rsidRPr="00DF38B2">
        <w:rPr>
          <w:color w:val="000000"/>
        </w:rPr>
        <w:t xml:space="preserve"> i.e. is it helping address issues that it is designed to?</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additional interventions (by social workers or others) benefit customers on the </w:t>
      </w:r>
      <w:proofErr w:type="gramStart"/>
      <w:r w:rsidRPr="00DF38B2">
        <w:rPr>
          <w:color w:val="000000"/>
        </w:rPr>
        <w:t>Vulnerable</w:t>
      </w:r>
      <w:proofErr w:type="gramEnd"/>
      <w:r w:rsidRPr="00DF38B2">
        <w:rPr>
          <w:color w:val="000000"/>
        </w:rPr>
        <w:t xml:space="preserve"> measure to address or minimise their vulnerabilities?</w:t>
      </w:r>
    </w:p>
    <w:p w:rsidR="0018055E" w:rsidRPr="00DF38B2" w:rsidRDefault="0018055E" w:rsidP="006654AE">
      <w:pPr>
        <w:numPr>
          <w:ilvl w:val="0"/>
          <w:numId w:val="15"/>
        </w:numPr>
        <w:spacing w:line="276" w:lineRule="auto"/>
        <w:contextualSpacing/>
        <w:jc w:val="left"/>
        <w:rPr>
          <w:color w:val="000000"/>
        </w:rPr>
      </w:pPr>
      <w:r w:rsidRPr="00DF38B2">
        <w:rPr>
          <w:color w:val="000000"/>
        </w:rPr>
        <w:t>Are clients able to access the appropriate services and interventions?</w:t>
      </w:r>
    </w:p>
    <w:p w:rsidR="001E07F5" w:rsidRPr="00DF38B2" w:rsidRDefault="001E07F5" w:rsidP="006654AE"/>
    <w:p w:rsidR="001E07F5" w:rsidRDefault="001E07F5" w:rsidP="006654AE">
      <w:pPr>
        <w:spacing w:line="276" w:lineRule="auto"/>
        <w:jc w:val="left"/>
      </w:pPr>
      <w:r w:rsidRPr="00DF38B2">
        <w:br w:type="page"/>
      </w:r>
    </w:p>
    <w:p w:rsidR="009655C3" w:rsidRPr="009655C3" w:rsidRDefault="009655C3" w:rsidP="006654AE">
      <w:pPr>
        <w:spacing w:line="276" w:lineRule="auto"/>
        <w:jc w:val="left"/>
      </w:pP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703" w:name="_Toc403739193"/>
      <w:r w:rsidRPr="00DF38B2">
        <w:lastRenderedPageBreak/>
        <w:t>Appendix G: Vulnerable File Review</w:t>
      </w:r>
      <w:bookmarkEnd w:id="703"/>
    </w:p>
    <w:p w:rsidR="001E07F5" w:rsidRPr="00DF38B2" w:rsidRDefault="00660E43" w:rsidP="006654AE">
      <w:r>
        <w:rPr>
          <w:noProof/>
        </w:rPr>
        <w:drawing>
          <wp:inline distT="0" distB="0" distL="0" distR="0" wp14:anchorId="656B958D" wp14:editId="6B552D98">
            <wp:extent cx="5292090" cy="6848475"/>
            <wp:effectExtent l="0" t="0" r="3810" b="9525"/>
            <wp:docPr id="28" name="Picture 28" descr="This image is of the instrument used in the Vulnerable Case File Audit. A text version is at [inse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1s.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1E07F5" w:rsidRPr="00DF38B2" w:rsidRDefault="001E07F5" w:rsidP="006654AE"/>
    <w:p w:rsidR="001E07F5" w:rsidRPr="00DF38B2" w:rsidRDefault="001E07F5" w:rsidP="006654AE">
      <w:pPr>
        <w:spacing w:line="276" w:lineRule="auto"/>
        <w:jc w:val="left"/>
      </w:pPr>
      <w:r w:rsidRPr="00DF38B2">
        <w:br w:type="page"/>
      </w:r>
    </w:p>
    <w:p w:rsidR="00660E43" w:rsidRDefault="00660E43" w:rsidP="006654AE">
      <w:r>
        <w:rPr>
          <w:noProof/>
        </w:rPr>
        <w:lastRenderedPageBreak/>
        <w:drawing>
          <wp:inline distT="0" distB="0" distL="0" distR="0" wp14:anchorId="3DC30539" wp14:editId="7DAC2FD9">
            <wp:extent cx="5292090" cy="6848475"/>
            <wp:effectExtent l="0" t="0" r="3810" b="9525"/>
            <wp:docPr id="34" name="Picture 34"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2s.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AE3323" w:rsidRDefault="00660E43" w:rsidP="006654AE">
      <w:r>
        <w:rPr>
          <w:noProof/>
        </w:rPr>
        <w:lastRenderedPageBreak/>
        <w:drawing>
          <wp:inline distT="0" distB="0" distL="0" distR="0" wp14:anchorId="51B4975C" wp14:editId="181F841C">
            <wp:extent cx="5292090" cy="6848475"/>
            <wp:effectExtent l="0" t="0" r="3810" b="9525"/>
            <wp:docPr id="48" name="Picture 48"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3s.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0C1BD7EE" wp14:editId="233769F4">
            <wp:extent cx="5292090" cy="6848475"/>
            <wp:effectExtent l="0" t="0" r="3810" b="9525"/>
            <wp:docPr id="113" name="Picture 113"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4s.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1FE87ABA" wp14:editId="34B8F72E">
            <wp:extent cx="5292090" cy="6848475"/>
            <wp:effectExtent l="0" t="0" r="3810" b="9525"/>
            <wp:docPr id="146" name="Picture 146"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5s.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36EF6FBC" wp14:editId="1A9E58D7">
            <wp:extent cx="5292090" cy="6848475"/>
            <wp:effectExtent l="0" t="0" r="3810" b="9525"/>
            <wp:docPr id="147" name="Picture 147"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6s.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Pr="00DF38B2" w:rsidRDefault="00660E43" w:rsidP="006654AE">
      <w:r>
        <w:rPr>
          <w:noProof/>
        </w:rPr>
        <w:lastRenderedPageBreak/>
        <w:drawing>
          <wp:inline distT="0" distB="0" distL="0" distR="0" wp14:anchorId="47C2E5E7" wp14:editId="1AFAB8CB">
            <wp:extent cx="5292090" cy="6848475"/>
            <wp:effectExtent l="0" t="0" r="3810" b="9525"/>
            <wp:docPr id="148" name="Picture 148"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7s.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sectPr w:rsidR="00660E43" w:rsidRPr="00DF38B2" w:rsidSect="00285084">
      <w:pgSz w:w="11906" w:h="16838" w:code="9"/>
      <w:pgMar w:top="1247" w:right="1701" w:bottom="1134" w:left="1871"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EF" w:rsidRDefault="00F612EF" w:rsidP="00EA5F63">
      <w:pPr>
        <w:spacing w:after="0" w:line="240" w:lineRule="auto"/>
      </w:pPr>
      <w:r>
        <w:separator/>
      </w:r>
    </w:p>
  </w:endnote>
  <w:endnote w:type="continuationSeparator" w:id="0">
    <w:p w:rsidR="00F612EF" w:rsidRDefault="00F612EF" w:rsidP="00EA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ommet">
    <w:altName w:val="Arial"/>
    <w:panose1 w:val="00000000000000000000"/>
    <w:charset w:val="00"/>
    <w:family w:val="modern"/>
    <w:notTrueType/>
    <w:pitch w:val="variable"/>
    <w:sig w:usb0="A00000AF" w:usb1="5000005B" w:usb2="00000000" w:usb3="00000000" w:csb0="00000193" w:csb1="00000000"/>
  </w:font>
  <w:font w:name="MetaPlusNormal-Roman">
    <w:altName w:val="MS Mincho"/>
    <w:panose1 w:val="00000000000000000000"/>
    <w:charset w:val="80"/>
    <w:family w:val="auto"/>
    <w:notTrueType/>
    <w:pitch w:val="default"/>
    <w:sig w:usb0="00000001" w:usb1="08070000" w:usb2="00000010" w:usb3="00000000" w:csb0="00020001" w:csb1="00000000"/>
  </w:font>
  <w:font w:name="MetaPlusBold-Roman">
    <w:altName w:val="MS Mincho"/>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99066A">
      <w:rPr>
        <w:rFonts w:asciiTheme="minorHAnsi" w:hAnsiTheme="minorHAnsi"/>
        <w:sz w:val="16"/>
        <w:szCs w:val="16"/>
      </w:rPr>
      <w:t xml:space="preserve">Evaluating New Income Management in the Northern Territory: Final Evaluation </w:t>
    </w:r>
    <w:proofErr w:type="gramStart"/>
    <w:r w:rsidRPr="0099066A">
      <w:rPr>
        <w:rFonts w:asciiTheme="minorHAnsi" w:hAnsiTheme="minorHAnsi"/>
        <w:sz w:val="16"/>
        <w:szCs w:val="16"/>
      </w:rPr>
      <w:t xml:space="preserve">Report  </w:t>
    </w:r>
    <w:r w:rsidRPr="00951F9E">
      <w:rPr>
        <w:rFonts w:asciiTheme="minorHAnsi" w:hAnsiTheme="minorHAnsi"/>
        <w:b/>
        <w:szCs w:val="20"/>
      </w:rPr>
      <w:t>|</w:t>
    </w:r>
    <w:proofErr w:type="gramEnd"/>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11</w:t>
    </w:r>
    <w:r w:rsidRPr="00951F9E">
      <w:rPr>
        <w:rFonts w:asciiTheme="minorHAnsi" w:hAnsiTheme="minorHAnsi"/>
        <w:b/>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99066A">
      <w:rPr>
        <w:rFonts w:asciiTheme="minorHAnsi" w:hAnsiTheme="minorHAnsi"/>
        <w:sz w:val="16"/>
        <w:szCs w:val="16"/>
      </w:rPr>
      <w:t>Evaluating New Income Management in the Northern Ter</w:t>
    </w:r>
    <w:r>
      <w:rPr>
        <w:rFonts w:asciiTheme="minorHAnsi" w:hAnsiTheme="minorHAnsi"/>
        <w:sz w:val="16"/>
        <w:szCs w:val="16"/>
      </w:rPr>
      <w:t>ritory: Final Evaluation Report</w:t>
    </w:r>
    <w:r w:rsidRPr="0099066A">
      <w:rPr>
        <w:rFonts w:asciiTheme="minorHAnsi" w:hAnsiTheme="minorHAnsi"/>
        <w:sz w:val="16"/>
        <w:szCs w:val="16"/>
      </w:rPr>
      <w:t xml:space="preserve">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39</w:t>
    </w:r>
    <w:r w:rsidRPr="00951F9E">
      <w:rPr>
        <w:rFonts w:asciiTheme="minorHAnsi" w:hAnsiTheme="minorHAnsi"/>
        <w:b/>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13</w:t>
    </w:r>
    <w:r w:rsidRPr="00286EF6">
      <w:rPr>
        <w:b/>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48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47</w:t>
    </w:r>
    <w:r w:rsidRPr="00951F9E">
      <w:rPr>
        <w:rFonts w:asciiTheme="minorHAnsi" w:hAnsiTheme="minorHAnsi"/>
        <w:b/>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41</w:t>
    </w:r>
    <w:r w:rsidRPr="00286EF6">
      <w:rPr>
        <w:b/>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94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93</w:t>
    </w:r>
    <w:r w:rsidRPr="00951F9E">
      <w:rPr>
        <w:rFonts w:asciiTheme="minorHAnsi" w:hAnsiTheme="minorHAnsi"/>
        <w:b/>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49</w:t>
    </w:r>
    <w:r w:rsidRPr="00286EF6">
      <w:rPr>
        <w:b/>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118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117</w:t>
    </w:r>
    <w:r w:rsidRPr="00951F9E">
      <w:rPr>
        <w:rFonts w:asciiTheme="minorHAnsi" w:hAnsiTheme="minorHAnsi"/>
        <w:b/>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31" w:type="dxa"/>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cial Policy Research Centre logo and Australian National University logo."/>
    </w:tblPr>
    <w:tblGrid>
      <w:gridCol w:w="4275"/>
      <w:gridCol w:w="5756"/>
    </w:tblGrid>
    <w:tr w:rsidR="00F612EF" w:rsidTr="00BC7257">
      <w:tc>
        <w:tcPr>
          <w:tcW w:w="4275" w:type="dxa"/>
        </w:tcPr>
        <w:p w:rsidR="00F612EF" w:rsidRDefault="00F612EF" w:rsidP="00BC7257">
          <w:pPr>
            <w:pStyle w:val="Footer"/>
            <w:jc w:val="left"/>
          </w:pPr>
          <w:r>
            <w:rPr>
              <w:noProof/>
            </w:rPr>
            <w:drawing>
              <wp:inline distT="0" distB="0" distL="0" distR="0" wp14:anchorId="6AEACEFC" wp14:editId="4D138CC9">
                <wp:extent cx="1256030" cy="457200"/>
                <wp:effectExtent l="0" t="0" r="1270" b="0"/>
                <wp:docPr id="1" name="Picture 1" descr="SPRC Logo&#10;SPRC&#10;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6030" cy="457200"/>
                        </a:xfrm>
                        <a:prstGeom prst="rect">
                          <a:avLst/>
                        </a:prstGeom>
                        <a:noFill/>
                      </pic:spPr>
                    </pic:pic>
                  </a:graphicData>
                </a:graphic>
              </wp:inline>
            </w:drawing>
          </w:r>
        </w:p>
      </w:tc>
      <w:tc>
        <w:tcPr>
          <w:tcW w:w="5756" w:type="dxa"/>
        </w:tcPr>
        <w:p w:rsidR="00F612EF" w:rsidRPr="00BC7257" w:rsidRDefault="00F612EF" w:rsidP="00BC7257">
          <w:pPr>
            <w:pStyle w:val="Footer"/>
            <w:jc w:val="right"/>
          </w:pPr>
          <w:r>
            <w:rPr>
              <w:noProof/>
            </w:rPr>
            <w:drawing>
              <wp:inline distT="0" distB="0" distL="0" distR="0" wp14:anchorId="020CE2CD" wp14:editId="4365758A">
                <wp:extent cx="1601470" cy="507365"/>
                <wp:effectExtent l="0" t="0" r="0" b="6985"/>
                <wp:docPr id="40" name="Picture 4" descr="ANU Logo&#10;Australian National University&#10;Naturam primum cognoscere rerum"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_LOGO_cmyk_56mm.jpg"/>
                        <pic:cNvPicPr/>
                      </pic:nvPicPr>
                      <pic:blipFill rotWithShape="1">
                        <a:blip r:embed="rId2" cstate="print">
                          <a:extLst>
                            <a:ext uri="{28A0092B-C50C-407E-A947-70E740481C1C}">
                              <a14:useLocalDpi xmlns:a14="http://schemas.microsoft.com/office/drawing/2010/main" val="0"/>
                            </a:ext>
                          </a:extLst>
                        </a:blip>
                        <a:srcRect l="7917" t="26906" r="13750" b="27892"/>
                        <a:stretch/>
                      </pic:blipFill>
                      <pic:spPr bwMode="auto">
                        <a:xfrm>
                          <a:off x="0" y="0"/>
                          <a:ext cx="1601470" cy="507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F612EF" w:rsidRDefault="00F612EF" w:rsidP="00BC725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95</w:t>
    </w:r>
    <w:r w:rsidRPr="00286EF6">
      <w:rPr>
        <w:b/>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164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167</w:t>
    </w:r>
    <w:r w:rsidRPr="00951F9E">
      <w:rPr>
        <w:rFonts w:asciiTheme="minorHAnsi" w:hAnsiTheme="minorHAnsi"/>
        <w:b/>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153</w:t>
    </w:r>
    <w:r w:rsidRPr="00286EF6">
      <w:rPr>
        <w:b/>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192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193</w:t>
    </w:r>
    <w:r w:rsidRPr="00951F9E">
      <w:rPr>
        <w:rFonts w:asciiTheme="minorHAnsi" w:hAnsiTheme="minorHAnsi"/>
        <w:b/>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168</w:t>
    </w:r>
    <w:r w:rsidRPr="00286EF6">
      <w:rPr>
        <w:b/>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208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209</w:t>
    </w:r>
    <w:r w:rsidRPr="00951F9E">
      <w:rPr>
        <w:rFonts w:asciiTheme="minorHAnsi" w:hAnsiTheme="minorHAnsi"/>
        <w:b/>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194</w:t>
    </w:r>
    <w:r w:rsidRPr="00286EF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xviii</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236</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237</w:t>
    </w:r>
    <w:r w:rsidRPr="00951F9E">
      <w:rPr>
        <w:rFonts w:asciiTheme="minorHAnsi" w:hAnsiTheme="minorHAnsi"/>
        <w:b/>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210</w:t>
    </w:r>
    <w:r w:rsidRPr="00286EF6">
      <w:rPr>
        <w:b/>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254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255</w:t>
    </w:r>
    <w:r w:rsidRPr="00951F9E">
      <w:rPr>
        <w:rFonts w:asciiTheme="minorHAnsi" w:hAnsiTheme="minorHAnsi"/>
        <w:b/>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238</w:t>
    </w:r>
    <w:r w:rsidRPr="00286EF6">
      <w:rPr>
        <w:b/>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262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263</w:t>
    </w:r>
    <w:r w:rsidRPr="00951F9E">
      <w:rPr>
        <w:rFonts w:asciiTheme="minorHAnsi" w:hAnsiTheme="minorHAnsi"/>
        <w:b/>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256</w:t>
    </w:r>
    <w:r w:rsidRPr="00286EF6">
      <w:rPr>
        <w:b/>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292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w:t>
    </w:r>
    <w:proofErr w:type="gramStart"/>
    <w:r>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xvii</w:t>
    </w:r>
    <w:r w:rsidRPr="00286EF6">
      <w:rPr>
        <w:b/>
        <w:sz w:val="20"/>
        <w:szCs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293</w:t>
    </w:r>
    <w:r w:rsidRPr="00951F9E">
      <w:rPr>
        <w:rFonts w:asciiTheme="minorHAnsi" w:hAnsiTheme="minorHAnsi"/>
        <w:b/>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280</w:t>
    </w:r>
    <w:r w:rsidRPr="00286EF6">
      <w:rPr>
        <w:b/>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314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715DC2">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315</w:t>
    </w:r>
    <w:r w:rsidRPr="00951F9E">
      <w:rPr>
        <w:rFonts w:asciiTheme="minorHAnsi" w:hAnsiTheme="minorHAnsi"/>
        <w:b/>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715DC2">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294</w:t>
    </w:r>
    <w:r w:rsidRPr="00286EF6">
      <w:rPr>
        <w:b/>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380</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6277DC">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35357E">
      <w:rPr>
        <w:rFonts w:asciiTheme="minorHAnsi" w:hAnsiTheme="minorHAnsi"/>
        <w:b/>
        <w:noProof/>
        <w:szCs w:val="20"/>
      </w:rPr>
      <w:t>381</w:t>
    </w:r>
    <w:r w:rsidRPr="00951F9E">
      <w:rPr>
        <w:rFonts w:asciiTheme="minorHAnsi" w:hAnsiTheme="minorHAnsi"/>
        <w:b/>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6277DC">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375</w:t>
    </w:r>
    <w:r w:rsidRPr="00286EF6">
      <w:rPr>
        <w:b/>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xxii</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xix</w:t>
    </w:r>
    <w:r w:rsidRPr="00286EF6">
      <w:rPr>
        <w:b/>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1</w:t>
    </w:r>
    <w:r w:rsidRPr="00286EF6">
      <w:rPr>
        <w:b/>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35357E">
      <w:rPr>
        <w:b/>
        <w:noProof/>
        <w:sz w:val="20"/>
        <w:szCs w:val="20"/>
      </w:rPr>
      <w:t>40</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EF" w:rsidRDefault="00F612EF" w:rsidP="00EA5F63">
      <w:pPr>
        <w:spacing w:after="0" w:line="240" w:lineRule="auto"/>
      </w:pPr>
      <w:r>
        <w:separator/>
      </w:r>
    </w:p>
  </w:footnote>
  <w:footnote w:type="continuationSeparator" w:id="0">
    <w:p w:rsidR="00F612EF" w:rsidRDefault="00F612EF" w:rsidP="00EA5F63">
      <w:pPr>
        <w:spacing w:after="0" w:line="240" w:lineRule="auto"/>
      </w:pPr>
      <w:r>
        <w:continuationSeparator/>
      </w:r>
    </w:p>
  </w:footnote>
  <w:footnote w:id="1">
    <w:p w:rsidR="00F612EF" w:rsidRDefault="00F612EF">
      <w:pPr>
        <w:pStyle w:val="FootnoteText"/>
      </w:pPr>
      <w:r>
        <w:rPr>
          <w:rStyle w:val="FootnoteReference"/>
        </w:rPr>
        <w:footnoteRef/>
      </w:r>
      <w:r>
        <w:t xml:space="preserve"> </w:t>
      </w:r>
      <w:r>
        <w:tab/>
        <w:t>The NTER is also often simply called “the intervention”.</w:t>
      </w:r>
    </w:p>
  </w:footnote>
  <w:footnote w:id="2">
    <w:p w:rsidR="00F612EF" w:rsidRDefault="00F612EF" w:rsidP="00BC2AD2">
      <w:pPr>
        <w:pStyle w:val="FootnoteText"/>
      </w:pPr>
      <w:r>
        <w:rPr>
          <w:rStyle w:val="FootnoteReference"/>
        </w:rPr>
        <w:footnoteRef/>
      </w:r>
      <w:r>
        <w:t xml:space="preserve"> </w:t>
      </w:r>
      <w:r>
        <w:tab/>
        <w:t>The Northern Territory is a self-governing territory within the Commonwealth of Australia. Although it accounts for about one-sixth of the land mass of Australia, it only contains one per cent of the population. Approximately half of the population live in the capital Darwin, while the balance are widely dispersed, many living in remote locations. Just over one-quarter of the population identify as being Indigenous in 2011.</w:t>
      </w:r>
    </w:p>
  </w:footnote>
  <w:footnote w:id="3">
    <w:p w:rsidR="00F612EF" w:rsidRDefault="00F612EF">
      <w:pPr>
        <w:pStyle w:val="FootnoteText"/>
      </w:pPr>
      <w:r>
        <w:rPr>
          <w:rStyle w:val="FootnoteReference"/>
        </w:rPr>
        <w:footnoteRef/>
      </w:r>
      <w:r>
        <w:t xml:space="preserve"> </w:t>
      </w:r>
      <w:r>
        <w:tab/>
        <w:t>In this report we have generally referred to the department as the Department of Social Services regardless of the official name at various points in time.</w:t>
      </w:r>
    </w:p>
  </w:footnote>
  <w:footnote w:id="4">
    <w:p w:rsidR="00F612EF" w:rsidRPr="00AB5C98" w:rsidRDefault="00F612EF" w:rsidP="00BC2AD2">
      <w:pPr>
        <w:pStyle w:val="FootnoteText"/>
      </w:pPr>
      <w:r w:rsidRPr="00AB5C98">
        <w:rPr>
          <w:rStyle w:val="FootnoteReference"/>
        </w:rPr>
        <w:footnoteRef/>
      </w:r>
      <w:r w:rsidRPr="00AB5C98">
        <w:t xml:space="preserve"> </w:t>
      </w:r>
      <w:r w:rsidRPr="00AB5C98">
        <w:tab/>
      </w:r>
      <w:proofErr w:type="gramStart"/>
      <w:r>
        <w:t>Referred to in this report as</w:t>
      </w:r>
      <w:r w:rsidRPr="00AB5C98">
        <w:t xml:space="preserve"> the Racial Discrimination Act.</w:t>
      </w:r>
      <w:proofErr w:type="gramEnd"/>
    </w:p>
  </w:footnote>
  <w:footnote w:id="5">
    <w:p w:rsidR="00F612EF" w:rsidRDefault="00F612EF">
      <w:pPr>
        <w:pStyle w:val="FootnoteText"/>
      </w:pPr>
      <w:r>
        <w:rPr>
          <w:rStyle w:val="FootnoteReference"/>
        </w:rPr>
        <w:footnoteRef/>
      </w:r>
      <w:r>
        <w:t xml:space="preserve"> Centrelink is part of the Department of Human Services and is responsible for the delivery of a range of payments and services including income support. The Department of Human Services is </w:t>
      </w:r>
      <w:r w:rsidRPr="00F3485B">
        <w:t>responsible for the development of service delivery policy and provides access to social, health and other payments and services.</w:t>
      </w:r>
      <w:r>
        <w:t xml:space="preserve"> This includes the payments for which the Department of Social Services is responsible for. </w:t>
      </w:r>
    </w:p>
  </w:footnote>
  <w:footnote w:id="6">
    <w:p w:rsidR="00F612EF" w:rsidRDefault="00F612EF" w:rsidP="00BC2AD2">
      <w:pPr>
        <w:pStyle w:val="FootnoteText"/>
      </w:pPr>
      <w:r>
        <w:rPr>
          <w:rStyle w:val="FootnoteReference"/>
        </w:rPr>
        <w:footnoteRef/>
      </w:r>
      <w:r>
        <w:t xml:space="preserve"> </w:t>
      </w:r>
      <w:r>
        <w:tab/>
        <w:t xml:space="preserve">The full title of the program is the Matched Savings Scheme (Income Management) Payment. </w:t>
      </w:r>
      <w:r w:rsidRPr="00EF3E03">
        <w:t>We note that financial counselling is provided by many organisations some of which are funded by the Commonwealth.  In our field work it has not always been possible to differentiate these services and for this reason we frequently refer to these services generically.</w:t>
      </w:r>
    </w:p>
  </w:footnote>
  <w:footnote w:id="7">
    <w:p w:rsidR="00F612EF" w:rsidRPr="00AB5C98" w:rsidRDefault="00F612EF" w:rsidP="00252DE4">
      <w:pPr>
        <w:pStyle w:val="FootnoteText"/>
        <w:jc w:val="left"/>
      </w:pPr>
      <w:r w:rsidRPr="00AB5C98">
        <w:rPr>
          <w:rStyle w:val="FootnoteReference"/>
        </w:rPr>
        <w:footnoteRef/>
      </w:r>
      <w:r w:rsidRPr="00AB5C98">
        <w:t xml:space="preserve"> </w:t>
      </w:r>
      <w:r>
        <w:tab/>
      </w:r>
      <w:r w:rsidRPr="00AB5C98">
        <w:t xml:space="preserve">The Evaluation Framework for New Income Management is available at </w:t>
      </w:r>
      <w:r w:rsidRPr="00AC040C">
        <w:t>http://www.dss.gov.au/sites/default/files/documents/evaluation_framework_nim.pdf</w:t>
      </w:r>
    </w:p>
  </w:footnote>
  <w:footnote w:id="8">
    <w:p w:rsidR="00F612EF" w:rsidRPr="00AB5C98" w:rsidRDefault="00F612EF" w:rsidP="00BC2AD2">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These aims were set out originally in the Evaluation Framework.</w:t>
      </w:r>
    </w:p>
  </w:footnote>
  <w:footnote w:id="9">
    <w:p w:rsidR="00F612EF" w:rsidRDefault="00F612EF" w:rsidP="00BC2AD2">
      <w:pPr>
        <w:pStyle w:val="FootnoteText"/>
      </w:pPr>
      <w:r>
        <w:rPr>
          <w:rStyle w:val="FootnoteReference"/>
        </w:rPr>
        <w:footnoteRef/>
      </w:r>
      <w:r>
        <w:t xml:space="preserve"> </w:t>
      </w:r>
      <w:r>
        <w:tab/>
        <w:t>Conceptually one approach to the evaluation would have been to focus on changes in individual household consumption using data collected prior to the introduction of the program and at a point in time after it was operational, using detailed household expenditure surveys. This was not feasible. Reasons include: the cost of such data collections; the difficulties in attempting to collect this type of data in remote communities with extended households and extensive levels of inter- and intra-household sharing; the characteristics of a significant portion of the population, including low levels of literacy and numeracy, and not having English as a first language; and, as noted, the difficulties of attempting to obtain baseline data at the time the evaluation was implemented given that New Income Management was in the process of implementation and that a high proportion of the population had already been on income management for a considerable period under the NTER. In addition, it is noted that even without these specific problems the ABS had considerable difficulties in obtaining accurate data on alcohol and tobacco consumption and gambling expenditure in their mainstream Household Expenditure Survey.</w:t>
      </w:r>
    </w:p>
  </w:footnote>
  <w:footnote w:id="10">
    <w:p w:rsidR="00F612EF" w:rsidRDefault="00F612EF" w:rsidP="00BC2AD2">
      <w:pPr>
        <w:pStyle w:val="FootnoteText"/>
      </w:pPr>
      <w:r>
        <w:rPr>
          <w:rStyle w:val="FootnoteReference"/>
        </w:rPr>
        <w:footnoteRef/>
      </w:r>
      <w:r>
        <w:t xml:space="preserve"> From October 2012 to December 2012</w:t>
      </w:r>
    </w:p>
  </w:footnote>
  <w:footnote w:id="11">
    <w:p w:rsidR="00F612EF" w:rsidRPr="00F17711" w:rsidRDefault="00F612EF" w:rsidP="00BC2AD2">
      <w:pPr>
        <w:pStyle w:val="FootnoteText"/>
      </w:pPr>
      <w:r w:rsidRPr="00F17711">
        <w:rPr>
          <w:rStyle w:val="FootnoteReference"/>
        </w:rPr>
        <w:footnoteRef/>
      </w:r>
      <w:r w:rsidRPr="00F17711">
        <w:t xml:space="preserve"> </w:t>
      </w:r>
      <w:r w:rsidRPr="00F17711">
        <w:tab/>
      </w:r>
      <w:r w:rsidRPr="00F17711">
        <w:rPr>
          <w:i/>
        </w:rPr>
        <w:t>Humbugging</w:t>
      </w:r>
      <w:r w:rsidRPr="00F17711">
        <w:t xml:space="preserve"> is a term used in many Indigenous communities to refer to a range of circumstances </w:t>
      </w:r>
      <w:r>
        <w:t>in which</w:t>
      </w:r>
      <w:r w:rsidRPr="00F17711">
        <w:t xml:space="preserve"> people expect financial or other support from others. In some circumstances this reflects cultural practices of sharing and mutual support; in others it can have </w:t>
      </w:r>
      <w:r>
        <w:t>some negative connotations</w:t>
      </w:r>
      <w:r w:rsidRPr="00F17711">
        <w:t>. Because of this ambiguity we have generally avoided the term, and instead have referred directly to financial harassment where this is the issue at stake. Nevertheless, the term is used in some quot</w:t>
      </w:r>
      <w:r>
        <w:t>ations</w:t>
      </w:r>
      <w:r w:rsidRPr="00F17711">
        <w:t xml:space="preserve"> and in some of the survey instruments.</w:t>
      </w:r>
      <w:r>
        <w:t xml:space="preserve">  It should also be noted that the term is also used more widely to mean pestering a person, or to denote overly demanding circumstances – ‘it’s just too much humbug’.</w:t>
      </w:r>
    </w:p>
  </w:footnote>
  <w:footnote w:id="12">
    <w:p w:rsidR="00F612EF" w:rsidRPr="002955BA" w:rsidRDefault="00F612EF" w:rsidP="00BC2AD2">
      <w:pPr>
        <w:pStyle w:val="FootnoteText"/>
      </w:pPr>
      <w:r w:rsidRPr="00AB5C98">
        <w:rPr>
          <w:rStyle w:val="FootnoteReference"/>
        </w:rPr>
        <w:footnoteRef/>
      </w:r>
      <w:r w:rsidRPr="00AB5C98">
        <w:t xml:space="preserve"> </w:t>
      </w:r>
      <w:r w:rsidRPr="002955BA">
        <w:tab/>
        <w:t>A monitoring report of the licensing of stores as part of NTER I</w:t>
      </w:r>
      <w:r>
        <w:t xml:space="preserve">ncome </w:t>
      </w:r>
      <w:r w:rsidRPr="002955BA">
        <w:t>M</w:t>
      </w:r>
      <w:r>
        <w:t>anagement</w:t>
      </w:r>
      <w:r w:rsidRPr="002955BA">
        <w:t xml:space="preserve"> was undertaken by </w:t>
      </w:r>
      <w:r>
        <w:t>DHS</w:t>
      </w:r>
      <w:r w:rsidRPr="002955BA">
        <w:t xml:space="preserve"> (FaHCSIA, 2009). The monitoring report was based upon interviews with store operators and did not involve collection of data from store customers or the analysis of store sales or financial data. This report found that store operators reported that they thought the overall impact of NTER I</w:t>
      </w:r>
      <w:r>
        <w:t xml:space="preserve">ncome </w:t>
      </w:r>
      <w:r w:rsidRPr="002955BA">
        <w:t>M</w:t>
      </w:r>
      <w:r>
        <w:t>anagement</w:t>
      </w:r>
      <w:r w:rsidRPr="002955BA">
        <w:t xml:space="preserve"> had been positive for communities</w:t>
      </w:r>
      <w:r>
        <w:t>,</w:t>
      </w:r>
      <w:r w:rsidRPr="002955BA">
        <w:t xml:space="preserve"> and two-thirds of store operators interviewed reported an increase in the amount of healthy food purchased from their store. The store operators interviewed also reported that determining BasicsCard balances was a major issue.</w:t>
      </w:r>
    </w:p>
  </w:footnote>
  <w:footnote w:id="13">
    <w:p w:rsidR="00F612EF" w:rsidRPr="00AB5C98" w:rsidRDefault="00F612EF" w:rsidP="00BC2AD2">
      <w:pPr>
        <w:pStyle w:val="FootnoteText"/>
      </w:pPr>
      <w:r w:rsidRPr="00AB5C98">
        <w:rPr>
          <w:rStyle w:val="FootnoteReference"/>
        </w:rPr>
        <w:footnoteRef/>
      </w:r>
      <w:r w:rsidRPr="00AB5C98">
        <w:t xml:space="preserve"> </w:t>
      </w:r>
      <w:r>
        <w:tab/>
      </w:r>
      <w:r w:rsidRPr="00AB5C98">
        <w:t xml:space="preserve">The findings of this study have been the subject of some debate. It has been argued </w:t>
      </w:r>
      <w:r>
        <w:t xml:space="preserve">by some </w:t>
      </w:r>
      <w:r w:rsidRPr="00AB5C98">
        <w:t xml:space="preserve">that the study had a number of limitations, including that </w:t>
      </w:r>
      <w:r w:rsidRPr="00176C99">
        <w:t xml:space="preserve">“the conclusions were not put into proper context for the statistical model structure chosen, the use of a convenience rather than a true random sample, the use of an interrupted time-series analysis, inconsistencies with the dates used to determine the switch-on time of income management for stores in the study (versus the actual switch-on dates) and differences between ALPA stores and other community stores, suggesting that the results are not easily </w:t>
      </w:r>
      <w:proofErr w:type="spellStart"/>
      <w:r w:rsidRPr="00176C99">
        <w:t>generalisable</w:t>
      </w:r>
      <w:proofErr w:type="spellEnd"/>
      <w:r w:rsidRPr="00176C99">
        <w:t xml:space="preserve"> to other stores.”</w:t>
      </w:r>
      <w:r w:rsidRPr="00AB5C98">
        <w:t xml:space="preserve"> </w:t>
      </w:r>
      <w:proofErr w:type="gramStart"/>
      <w:r w:rsidRPr="00AB5C98">
        <w:t>(</w:t>
      </w:r>
      <w:r>
        <w:t>FaHCSIA, 2011a, p. 347</w:t>
      </w:r>
      <w:r w:rsidRPr="00AB5C98">
        <w:t>).</w:t>
      </w:r>
      <w:proofErr w:type="gramEnd"/>
    </w:p>
  </w:footnote>
  <w:footnote w:id="14">
    <w:p w:rsidR="00F612EF" w:rsidRDefault="00F612EF" w:rsidP="00BC2AD2">
      <w:pPr>
        <w:pStyle w:val="FootnoteText"/>
      </w:pPr>
      <w:r>
        <w:rPr>
          <w:rStyle w:val="FootnoteReference"/>
        </w:rPr>
        <w:footnoteRef/>
      </w:r>
      <w:r>
        <w:t xml:space="preserve"> </w:t>
      </w:r>
      <w:r>
        <w:tab/>
        <w:t>There have been longstanding provisions for the income support payments for some individuals to be managed on an individual basis under nominee arrangements. These involve the payment of a person’s entitlement to a third party who takes on the responsibility for spending these funds on behalf of the person.</w:t>
      </w:r>
    </w:p>
  </w:footnote>
  <w:footnote w:id="15">
    <w:p w:rsidR="00F612EF" w:rsidRDefault="00F612EF" w:rsidP="00557ABF">
      <w:pPr>
        <w:pStyle w:val="FootnoteText"/>
      </w:pPr>
      <w:r>
        <w:rPr>
          <w:rStyle w:val="FootnoteReference"/>
        </w:rPr>
        <w:footnoteRef/>
      </w:r>
      <w:r>
        <w:t xml:space="preserve"> The full list of CLA is available </w:t>
      </w:r>
      <w:hyperlink r:id="rId1" w:history="1">
        <w:r w:rsidRPr="00F62499">
          <w:rPr>
            <w:rStyle w:val="Hyperlink"/>
          </w:rPr>
          <w:t>http://www.otl.gov.au/site/5year_leases_aboriginal_land.asp</w:t>
        </w:r>
      </w:hyperlink>
      <w:r>
        <w:t xml:space="preserve">. The full list of ALRA communities is available at </w:t>
      </w:r>
      <w:hyperlink r:id="rId2" w:history="1">
        <w:r w:rsidRPr="00F62499">
          <w:rPr>
            <w:rStyle w:val="Hyperlink"/>
          </w:rPr>
          <w:t>http://nterreview.gov.au/docs/report_nter_review/appendix-10.htm</w:t>
        </w:r>
      </w:hyperlink>
      <w:r>
        <w:t>.</w:t>
      </w:r>
    </w:p>
  </w:footnote>
  <w:footnote w:id="16">
    <w:p w:rsidR="00F612EF" w:rsidRDefault="00F612EF" w:rsidP="00557ABF">
      <w:pPr>
        <w:pStyle w:val="FootnoteText"/>
      </w:pPr>
      <w:r>
        <w:rPr>
          <w:rStyle w:val="FootnoteReference"/>
        </w:rPr>
        <w:footnoteRef/>
      </w:r>
      <w:r>
        <w:t xml:space="preserve"> The full list of NTER communities is available at </w:t>
      </w:r>
      <w:hyperlink r:id="rId3" w:history="1">
        <w:r w:rsidRPr="00F62499">
          <w:rPr>
            <w:rStyle w:val="Hyperlink"/>
          </w:rPr>
          <w:t>http://nterreview.gov.au/docs/report_nter_review/appendix-10.htm</w:t>
        </w:r>
      </w:hyperlink>
      <w:r>
        <w:t>.</w:t>
      </w:r>
    </w:p>
  </w:footnote>
  <w:footnote w:id="17">
    <w:p w:rsidR="00F612EF" w:rsidRPr="00AB5C98" w:rsidRDefault="00F612EF" w:rsidP="00BC2AD2">
      <w:pPr>
        <w:pStyle w:val="FootnoteText"/>
        <w:rPr>
          <w:rStyle w:val="FootnoteReference"/>
        </w:rPr>
      </w:pPr>
      <w:r w:rsidRPr="00AB5C98">
        <w:rPr>
          <w:rStyle w:val="FootnoteReference"/>
        </w:rPr>
        <w:footnoteRef/>
      </w:r>
      <w:r w:rsidRPr="00AB5C98">
        <w:rPr>
          <w:rStyle w:val="FootnoteReference"/>
        </w:rPr>
        <w:t xml:space="preserve"> </w:t>
      </w:r>
      <w:r w:rsidRPr="00AB5C98">
        <w:rPr>
          <w:rStyle w:val="FootnoteReference"/>
        </w:rPr>
        <w:tab/>
      </w:r>
      <w:r w:rsidRPr="00AB5C98">
        <w:t>The payments with larger numbers of recipients include: Newstart</w:t>
      </w:r>
      <w:r>
        <w:t xml:space="preserve"> Allowance,</w:t>
      </w:r>
      <w:r w:rsidRPr="00AB5C98">
        <w:t xml:space="preserve"> Parenting Payment Single</w:t>
      </w:r>
      <w:r>
        <w:t>,</w:t>
      </w:r>
      <w:r w:rsidRPr="00AB5C98">
        <w:t xml:space="preserve"> Parenting Payment Partnered</w:t>
      </w:r>
      <w:r>
        <w:t>,</w:t>
      </w:r>
      <w:r w:rsidRPr="00AB5C98">
        <w:t xml:space="preserve"> Age Pension</w:t>
      </w:r>
      <w:r>
        <w:t>,</w:t>
      </w:r>
      <w:r w:rsidRPr="00AB5C98">
        <w:t xml:space="preserve"> Disability Support Pension</w:t>
      </w:r>
      <w:r>
        <w:t>,</w:t>
      </w:r>
      <w:r w:rsidRPr="00AB5C98">
        <w:t xml:space="preserve"> Carer Payment</w:t>
      </w:r>
      <w:r>
        <w:t>,</w:t>
      </w:r>
      <w:r w:rsidRPr="00AB5C98">
        <w:t xml:space="preserve"> and ABSTU</w:t>
      </w:r>
      <w:r>
        <w:t>DY. W</w:t>
      </w:r>
      <w:r w:rsidRPr="00AB5C98">
        <w:t xml:space="preserve">hile there were some limited exemptions under the NTER </w:t>
      </w:r>
      <w:r>
        <w:t>Income Management program,</w:t>
      </w:r>
      <w:r w:rsidRPr="00AB5C98">
        <w:t xml:space="preserve"> these can be largely considered as being ‘technical’ in terms of being granted to people who, while within the location, did not have strong local community connections.</w:t>
      </w:r>
    </w:p>
  </w:footnote>
  <w:footnote w:id="18">
    <w:p w:rsidR="00F612EF" w:rsidRDefault="00F612EF" w:rsidP="00BC2AD2">
      <w:pPr>
        <w:pStyle w:val="FootnoteText"/>
      </w:pPr>
      <w:r>
        <w:rPr>
          <w:rStyle w:val="FootnoteReference"/>
        </w:rPr>
        <w:footnoteRef/>
      </w:r>
      <w:r>
        <w:t xml:space="preserve"> </w:t>
      </w:r>
      <w:r>
        <w:tab/>
      </w:r>
      <w:proofErr w:type="gramStart"/>
      <w:r>
        <w:t>CDEP - Community Development Employment Projects.</w:t>
      </w:r>
      <w:proofErr w:type="gramEnd"/>
    </w:p>
  </w:footnote>
  <w:footnote w:id="19">
    <w:p w:rsidR="00F612EF" w:rsidRDefault="00F612EF" w:rsidP="00BC2AD2">
      <w:pPr>
        <w:pStyle w:val="FootnoteText"/>
      </w:pPr>
      <w:r>
        <w:rPr>
          <w:rStyle w:val="FootnoteReference"/>
        </w:rPr>
        <w:footnoteRef/>
      </w:r>
      <w:r>
        <w:t xml:space="preserve"> Income management was introduced under a Liberal-National Party Coalition-led government in 2007. In November 2007, following a federal election, this government was replaced a government led by the Australian </w:t>
      </w:r>
      <w:proofErr w:type="spellStart"/>
      <w:r>
        <w:t>Labor</w:t>
      </w:r>
      <w:proofErr w:type="spellEnd"/>
      <w:r>
        <w:t xml:space="preserve"> Party. In September 2013 this government was replaced again following a federal election by another Liberal-National Party Coalition.</w:t>
      </w:r>
    </w:p>
  </w:footnote>
  <w:footnote w:id="20">
    <w:p w:rsidR="00F612EF" w:rsidRPr="00AB5C98" w:rsidRDefault="00F612EF" w:rsidP="00BC2AD2">
      <w:pPr>
        <w:pStyle w:val="FootnoteText"/>
        <w:rPr>
          <w:rStyle w:val="FootnoteReference"/>
          <w:b/>
          <w:bCs/>
          <w:smallCaps/>
        </w:rPr>
      </w:pPr>
      <w:r w:rsidRPr="00AB5C98">
        <w:rPr>
          <w:rStyle w:val="FootnoteReference"/>
        </w:rPr>
        <w:footnoteRef/>
      </w:r>
      <w:r w:rsidRPr="00AB5C98">
        <w:rPr>
          <w:rStyle w:val="FootnoteReference"/>
        </w:rPr>
        <w:t xml:space="preserve"> </w:t>
      </w:r>
      <w:r w:rsidRPr="00AB5C98">
        <w:rPr>
          <w:rStyle w:val="FootnoteReference"/>
        </w:rPr>
        <w:tab/>
      </w:r>
      <w:r w:rsidRPr="00AB5C98">
        <w:t>The amount of income that is subject to income management is calculated after deducting automatic deductions such as Child Support and government debt.</w:t>
      </w:r>
    </w:p>
  </w:footnote>
  <w:footnote w:id="21">
    <w:p w:rsidR="00F612EF" w:rsidRDefault="00F612EF">
      <w:pPr>
        <w:pStyle w:val="FootnoteText"/>
      </w:pPr>
      <w:r>
        <w:rPr>
          <w:rStyle w:val="FootnoteReference"/>
        </w:rPr>
        <w:footnoteRef/>
      </w:r>
      <w:r>
        <w:t xml:space="preserve"> In this document we have sought to differentiate between “Compulsory Income Management” which represents those on </w:t>
      </w:r>
      <w:r w:rsidRPr="001937EB">
        <w:t>Disengaged Youth</w:t>
      </w:r>
      <w:r>
        <w:t xml:space="preserve"> and </w:t>
      </w:r>
      <w:r w:rsidRPr="001937EB">
        <w:t>Long-term Welfare Payment Recipients</w:t>
      </w:r>
      <w:r>
        <w:t>, and “compulsory income management” which also includes these other measures.  This differentiation is however frequently difficult given the way in which programs are grouped for different analysis and in some more general references.</w:t>
      </w:r>
    </w:p>
  </w:footnote>
  <w:footnote w:id="22">
    <w:p w:rsidR="00F612EF" w:rsidRDefault="00F612EF" w:rsidP="00BC2AD2">
      <w:pPr>
        <w:pStyle w:val="FootnoteText"/>
      </w:pPr>
      <w:r>
        <w:rPr>
          <w:rStyle w:val="FootnoteReference"/>
        </w:rPr>
        <w:footnoteRef/>
      </w:r>
      <w:r>
        <w:t xml:space="preserve"> </w:t>
      </w:r>
      <w:r>
        <w:tab/>
      </w:r>
      <w:r w:rsidRPr="003A03C8">
        <w:t xml:space="preserve">This funding covers the cost of income management in the Northern Territory, and in trial sites in Perth and the Kimberley region, Laverton, and </w:t>
      </w:r>
      <w:proofErr w:type="spellStart"/>
      <w:r w:rsidRPr="003A03C8">
        <w:t>Ngaanyatjarra</w:t>
      </w:r>
      <w:proofErr w:type="spellEnd"/>
      <w:r w:rsidRPr="003A03C8">
        <w:t xml:space="preserve"> Lands of Western Australia and Anangu Pitjantjatjara Yankunytjatjara Lands in South Australia as well as expansion to the Ceduna Region in South Australia.</w:t>
      </w:r>
      <w:r>
        <w:t xml:space="preserve"> </w:t>
      </w:r>
      <w:r w:rsidRPr="003A03C8">
        <w:t>The amount does not cover place</w:t>
      </w:r>
      <w:r>
        <w:t>-</w:t>
      </w:r>
      <w:r w:rsidRPr="003A03C8">
        <w:t>based income management</w:t>
      </w:r>
      <w:r>
        <w:t>,</w:t>
      </w:r>
      <w:r w:rsidRPr="003A03C8">
        <w:t xml:space="preserve"> which is already funded until 30 June 2016</w:t>
      </w:r>
      <w:r>
        <w:t>,</w:t>
      </w:r>
      <w:r w:rsidRPr="003A03C8">
        <w:t xml:space="preserve"> or the Cape York initiative</w:t>
      </w:r>
      <w:r>
        <w:t>,</w:t>
      </w:r>
      <w:r w:rsidRPr="003A03C8">
        <w:t xml:space="preserve"> which is separately funded until 31 December 2015.</w:t>
      </w:r>
    </w:p>
  </w:footnote>
  <w:footnote w:id="23">
    <w:p w:rsidR="00F612EF" w:rsidRDefault="00F612EF" w:rsidP="00BC2AD2">
      <w:pPr>
        <w:pStyle w:val="FootnoteText"/>
      </w:pPr>
      <w:r>
        <w:rPr>
          <w:rStyle w:val="FootnoteReference"/>
        </w:rPr>
        <w:footnoteRef/>
      </w:r>
      <w:r>
        <w:t xml:space="preserve"> </w:t>
      </w:r>
      <w:r>
        <w:tab/>
        <w:t>Only some persons on Special Benefit are subject to income management.</w:t>
      </w:r>
    </w:p>
  </w:footnote>
  <w:footnote w:id="24">
    <w:p w:rsidR="00F612EF" w:rsidRDefault="00F612EF" w:rsidP="00BC2AD2">
      <w:pPr>
        <w:pStyle w:val="FootnoteText"/>
      </w:pPr>
      <w:r>
        <w:rPr>
          <w:rStyle w:val="FootnoteReference"/>
        </w:rPr>
        <w:footnoteRef/>
      </w:r>
      <w:r w:rsidRPr="00413186">
        <w:rPr>
          <w:rStyle w:val="FootnoteReference"/>
        </w:rPr>
        <w:t xml:space="preserve"> </w:t>
      </w:r>
      <w:r w:rsidRPr="00413186">
        <w:rPr>
          <w:rStyle w:val="FootnoteReference"/>
        </w:rPr>
        <w:tab/>
      </w:r>
      <w:r w:rsidRPr="00413186">
        <w:rPr>
          <w:rStyle w:val="FootnoteReference"/>
          <w:vertAlign w:val="baseline"/>
        </w:rPr>
        <w:t xml:space="preserve">Full details of this form of </w:t>
      </w:r>
      <w:r>
        <w:rPr>
          <w:rStyle w:val="FootnoteReference"/>
          <w:vertAlign w:val="baseline"/>
        </w:rPr>
        <w:t>income management</w:t>
      </w:r>
      <w:r w:rsidRPr="00413186">
        <w:rPr>
          <w:rStyle w:val="FootnoteReference"/>
          <w:vertAlign w:val="baseline"/>
        </w:rPr>
        <w:t xml:space="preserve"> and how it is applied are provided in Australian Government (2014), Section 11.14.10.</w:t>
      </w:r>
    </w:p>
  </w:footnote>
  <w:footnote w:id="25">
    <w:p w:rsidR="00F612EF" w:rsidRPr="00AB5C98" w:rsidRDefault="00F612EF" w:rsidP="00BC2AD2">
      <w:pPr>
        <w:pStyle w:val="FootnoteText"/>
      </w:pPr>
      <w:r w:rsidRPr="00AB5C98">
        <w:rPr>
          <w:rStyle w:val="FootnoteReference"/>
        </w:rPr>
        <w:footnoteRef/>
      </w:r>
      <w:r w:rsidRPr="00AB5C98">
        <w:t xml:space="preserve"> </w:t>
      </w:r>
      <w:r>
        <w:tab/>
      </w:r>
      <w:r w:rsidRPr="00AB5C98">
        <w:t xml:space="preserve">Effectively a person can apply for an exemption at any time while they are </w:t>
      </w:r>
      <w:r>
        <w:t>i</w:t>
      </w:r>
      <w:r w:rsidRPr="00AB5C98">
        <w:t>ncome</w:t>
      </w:r>
      <w:r>
        <w:t xml:space="preserve"> m</w:t>
      </w:r>
      <w:r w:rsidRPr="00AB5C98">
        <w:t>anaged.</w:t>
      </w:r>
      <w:r>
        <w:t xml:space="preserve"> </w:t>
      </w:r>
      <w:r w:rsidRPr="00AB5C98">
        <w:t xml:space="preserve">There are special provisions with regard to the actual implementation date of </w:t>
      </w:r>
      <w:r>
        <w:t>income management</w:t>
      </w:r>
      <w:r w:rsidRPr="00AB5C98">
        <w:t xml:space="preserve"> for those who seek an exemption when they are notified of the intention of Centrelink to </w:t>
      </w:r>
      <w:r>
        <w:t>place them on income management</w:t>
      </w:r>
      <w:r w:rsidRPr="00AB5C98">
        <w:t>.</w:t>
      </w:r>
    </w:p>
  </w:footnote>
  <w:footnote w:id="26">
    <w:p w:rsidR="00F612EF" w:rsidRDefault="00F612EF" w:rsidP="00BC2AD2">
      <w:pPr>
        <w:pStyle w:val="FootnoteText"/>
      </w:pPr>
      <w:r>
        <w:rPr>
          <w:rStyle w:val="FootnoteReference"/>
        </w:rPr>
        <w:footnoteRef/>
      </w:r>
      <w:r>
        <w:t xml:space="preserve"> </w:t>
      </w:r>
      <w:r>
        <w:tab/>
        <w:t>These ‘excluded payment nominees’ include: a public trustee; a payment nominee who is not subject to income management; or an organisation.</w:t>
      </w:r>
    </w:p>
  </w:footnote>
  <w:footnote w:id="27">
    <w:p w:rsidR="00F612EF" w:rsidRPr="002955BA" w:rsidRDefault="00F612EF" w:rsidP="00BC2AD2">
      <w:pPr>
        <w:pStyle w:val="FootnoteText"/>
      </w:pPr>
      <w:r w:rsidRPr="00AB5C98">
        <w:rPr>
          <w:rStyle w:val="FootnoteReference"/>
        </w:rPr>
        <w:footnoteRef/>
      </w:r>
      <w:r w:rsidRPr="00AB5C98">
        <w:t xml:space="preserve"> </w:t>
      </w:r>
      <w:r>
        <w:tab/>
      </w:r>
      <w:r w:rsidRPr="002955BA">
        <w:t>The full name for this measure is the Vulnerable Welfare Payment Recipient</w:t>
      </w:r>
      <w:r>
        <w:t>s</w:t>
      </w:r>
      <w:r w:rsidRPr="002955BA">
        <w:t xml:space="preserve"> measure.</w:t>
      </w:r>
    </w:p>
  </w:footnote>
  <w:footnote w:id="28">
    <w:p w:rsidR="00F612EF" w:rsidRPr="002955BA" w:rsidRDefault="00F612EF" w:rsidP="00BC2AD2">
      <w:pPr>
        <w:pStyle w:val="FootnoteText"/>
      </w:pPr>
      <w:r w:rsidRPr="00AB5C98">
        <w:rPr>
          <w:rStyle w:val="FootnoteReference"/>
        </w:rPr>
        <w:footnoteRef/>
      </w:r>
      <w:r w:rsidRPr="00AB5C98">
        <w:t xml:space="preserve"> </w:t>
      </w:r>
      <w:r>
        <w:tab/>
      </w:r>
      <w:r w:rsidRPr="00AB5C98">
        <w:t>Category H payments are Widow Allowance</w:t>
      </w:r>
      <w:r>
        <w:t>;</w:t>
      </w:r>
      <w:r w:rsidRPr="00AB5C98">
        <w:t xml:space="preserve"> Youth Allowance</w:t>
      </w:r>
      <w:r>
        <w:t>;</w:t>
      </w:r>
      <w:r w:rsidRPr="00AB5C98">
        <w:t xml:space="preserve"> </w:t>
      </w:r>
      <w:proofErr w:type="spellStart"/>
      <w:r>
        <w:t>Austudy</w:t>
      </w:r>
      <w:proofErr w:type="spellEnd"/>
      <w:r w:rsidRPr="00AB5C98">
        <w:t xml:space="preserve"> payment</w:t>
      </w:r>
      <w:r>
        <w:t>;</w:t>
      </w:r>
      <w:r w:rsidRPr="00AB5C98">
        <w:t xml:space="preserve"> </w:t>
      </w:r>
      <w:proofErr w:type="spellStart"/>
      <w:r w:rsidRPr="00AB5C98">
        <w:t>Newstart</w:t>
      </w:r>
      <w:proofErr w:type="spellEnd"/>
      <w:r w:rsidRPr="00AB5C98">
        <w:t xml:space="preserve"> Allowance</w:t>
      </w:r>
      <w:r>
        <w:t>;</w:t>
      </w:r>
      <w:r w:rsidRPr="00AB5C98">
        <w:t xml:space="preserve"> Sickness Allowance</w:t>
      </w:r>
      <w:r>
        <w:t>;</w:t>
      </w:r>
      <w:r w:rsidRPr="00AB5C98">
        <w:t xml:space="preserve"> Special Benefit</w:t>
      </w:r>
      <w:r>
        <w:t>;</w:t>
      </w:r>
      <w:r w:rsidRPr="00AB5C98">
        <w:t xml:space="preserve"> Partner Allowance</w:t>
      </w:r>
      <w:r>
        <w:t>;</w:t>
      </w:r>
      <w:r w:rsidRPr="00AB5C98">
        <w:t xml:space="preserve"> Mature Age Allowance under Part 2.12B</w:t>
      </w:r>
      <w:r>
        <w:t>;</w:t>
      </w:r>
      <w:r w:rsidRPr="00AB5C98">
        <w:t xml:space="preserve"> Parenting Payment (Partnered)</w:t>
      </w:r>
      <w:r>
        <w:t>;</w:t>
      </w:r>
      <w:r w:rsidRPr="00AB5C98">
        <w:t xml:space="preserve"> Parenting Allowance</w:t>
      </w:r>
      <w:r>
        <w:t xml:space="preserve"> </w:t>
      </w:r>
      <w:r w:rsidRPr="00AB5C98">
        <w:t>(other than non-benefit allowance); Age Pension; Disability Support Pension; Wife Pension; Carer Payment; Parenting Payment (single); Bereavement Allowance; Widow B Pension; Disability Wage Supplement; Mature Age Partner Allowance; Special Needs Pension; ABSTUDY with living allowance; Service Pension; Income Support Supplement; and Defence Force Income Support Allowance.</w:t>
      </w:r>
    </w:p>
  </w:footnote>
  <w:footnote w:id="29">
    <w:p w:rsidR="00F612EF" w:rsidRPr="00AB5C98" w:rsidRDefault="00F612EF" w:rsidP="00BC2AD2">
      <w:pPr>
        <w:pStyle w:val="FootnoteText"/>
      </w:pPr>
      <w:r w:rsidRPr="00AB5C98">
        <w:rPr>
          <w:rStyle w:val="FootnoteReference"/>
        </w:rPr>
        <w:footnoteRef/>
      </w:r>
      <w:r w:rsidRPr="00AB5C98">
        <w:t xml:space="preserve"> </w:t>
      </w:r>
      <w:r>
        <w:tab/>
      </w:r>
      <w:r w:rsidRPr="00AB5C98">
        <w:t>Centrepay is a voluntary bill</w:t>
      </w:r>
      <w:r>
        <w:t>-</w:t>
      </w:r>
      <w:r w:rsidRPr="00AB5C98">
        <w:t>paying service provided to people who receive regular payments from Centrelink. It is a free service to the user.</w:t>
      </w:r>
    </w:p>
  </w:footnote>
  <w:footnote w:id="30">
    <w:p w:rsidR="00F612EF" w:rsidRDefault="00F612EF" w:rsidP="00BC2AD2">
      <w:pPr>
        <w:pStyle w:val="FootnoteText"/>
      </w:pPr>
      <w:r>
        <w:rPr>
          <w:rStyle w:val="FootnoteReference"/>
        </w:rPr>
        <w:footnoteRef/>
      </w:r>
      <w:r>
        <w:t xml:space="preserve"> </w:t>
      </w:r>
      <w:r>
        <w:tab/>
        <w:t>This measure is part of the Cape York Welfare Reform Trial in Queensland, and is not part of NIM. However, if people are placed on Cape York income management and move to the NT they will continue on the Cape York measure, which is higher in the hierarchy than any measure that they may be eligible for under NIM.</w:t>
      </w:r>
    </w:p>
  </w:footnote>
  <w:footnote w:id="31">
    <w:p w:rsidR="00F612EF" w:rsidRDefault="00F612EF" w:rsidP="00BC2AD2">
      <w:pPr>
        <w:pStyle w:val="FootnoteText"/>
      </w:pPr>
      <w:r>
        <w:rPr>
          <w:rStyle w:val="FootnoteReference"/>
        </w:rPr>
        <w:footnoteRef/>
      </w:r>
      <w:r>
        <w:t xml:space="preserve"> </w:t>
      </w:r>
      <w:r>
        <w:tab/>
        <w:t xml:space="preserve">Lay-by refers to a purchase arrangement where a person wishes to purchase an item but does not have immediate sufficient funds and the merchant agrees to hold the item aside, with the person making a number of smaller, usually regular, payments until they have paid the purchase price, at which point they can pick up the item. </w:t>
      </w:r>
    </w:p>
  </w:footnote>
  <w:footnote w:id="32">
    <w:p w:rsidR="00F612EF" w:rsidRDefault="00F612EF" w:rsidP="00BC2AD2">
      <w:pPr>
        <w:pStyle w:val="FootnoteText"/>
      </w:pPr>
      <w:r>
        <w:rPr>
          <w:rStyle w:val="FootnoteReference"/>
        </w:rPr>
        <w:footnoteRef/>
      </w:r>
      <w:r>
        <w:t xml:space="preserve"> </w:t>
      </w:r>
      <w:r>
        <w:tab/>
        <w:t>As discussed further in Chapter 6, there is, however, some evidence of surcharges being imposed on the use of the card by merchants even if there are not direct charges for the use of the card.</w:t>
      </w:r>
    </w:p>
  </w:footnote>
  <w:footnote w:id="33">
    <w:p w:rsidR="00F612EF" w:rsidRDefault="00F612EF" w:rsidP="00BC2AD2">
      <w:pPr>
        <w:pStyle w:val="FootnoteText"/>
      </w:pPr>
      <w:r>
        <w:rPr>
          <w:rStyle w:val="FootnoteReference"/>
        </w:rPr>
        <w:footnoteRef/>
      </w:r>
      <w:r>
        <w:t xml:space="preserve"> </w:t>
      </w:r>
      <w:r>
        <w:tab/>
        <w:t>The criteria for the inclusion of an ATM in the fee-free arrangement are that: the ATM is located in very remote Indigenous communities based on indicators of remoteness provided by the ABS; the ATM is located in a community store, and not in a venue that provides alcohol or gambling services; and the residents of these very remote Indigenous communities lack access to an alternative retail banking service, such as a bank branch, bank ATM, post office (</w:t>
      </w:r>
      <w:proofErr w:type="spellStart"/>
      <w:r>
        <w:t>Bank@Post</w:t>
      </w:r>
      <w:proofErr w:type="spellEnd"/>
      <w:r>
        <w:t xml:space="preserve">) or Traditional Credit Union (TCU) branch. </w:t>
      </w:r>
      <w:proofErr w:type="gramStart"/>
      <w:r>
        <w:t>(Swan &amp; Macklin 2012).</w:t>
      </w:r>
      <w:proofErr w:type="gramEnd"/>
      <w:r>
        <w:t xml:space="preserve"> </w:t>
      </w:r>
    </w:p>
  </w:footnote>
  <w:footnote w:id="34">
    <w:p w:rsidR="00F612EF" w:rsidRPr="008B0FA8" w:rsidRDefault="00F612EF" w:rsidP="00BC2AD2">
      <w:pPr>
        <w:pStyle w:val="FootnoteText"/>
      </w:pPr>
      <w:r w:rsidRPr="00AB5C98">
        <w:rPr>
          <w:rStyle w:val="FootnoteReference"/>
        </w:rPr>
        <w:footnoteRef/>
      </w:r>
      <w:r w:rsidRPr="00AB5C98">
        <w:t xml:space="preserve"> </w:t>
      </w:r>
      <w:r w:rsidRPr="00AB5C98">
        <w:tab/>
      </w:r>
      <w:r w:rsidRPr="008B0FA8">
        <w:t>Centrelink is required to provide all people subject to income management a summary of their income</w:t>
      </w:r>
      <w:r>
        <w:t xml:space="preserve"> </w:t>
      </w:r>
      <w:r w:rsidRPr="008B0FA8">
        <w:t>managed account</w:t>
      </w:r>
      <w:r>
        <w:t>,</w:t>
      </w:r>
      <w:r w:rsidRPr="008B0FA8">
        <w:t xml:space="preserve"> which includes the balance of their I</w:t>
      </w:r>
      <w:r>
        <w:t xml:space="preserve">ncome </w:t>
      </w:r>
      <w:r w:rsidRPr="008B0FA8">
        <w:t>M</w:t>
      </w:r>
      <w:r>
        <w:t>anagement</w:t>
      </w:r>
      <w:r w:rsidRPr="008B0FA8">
        <w:t xml:space="preserve"> account, balance of their BasicsCard account, </w:t>
      </w:r>
      <w:r>
        <w:t xml:space="preserve">and </w:t>
      </w:r>
      <w:r w:rsidRPr="008B0FA8">
        <w:t>transaction statements for the I</w:t>
      </w:r>
      <w:r>
        <w:t xml:space="preserve">ncome </w:t>
      </w:r>
      <w:r w:rsidRPr="008B0FA8">
        <w:t>M</w:t>
      </w:r>
      <w:r>
        <w:t>anagement</w:t>
      </w:r>
      <w:r w:rsidRPr="008B0FA8">
        <w:t xml:space="preserve"> and BasicsCard accounts. </w:t>
      </w:r>
    </w:p>
  </w:footnote>
  <w:footnote w:id="35">
    <w:p w:rsidR="00F612EF" w:rsidRPr="008B0FA8" w:rsidRDefault="00F612EF" w:rsidP="00BC2AD2">
      <w:pPr>
        <w:pStyle w:val="FootnoteText"/>
        <w:rPr>
          <w:rStyle w:val="FootnoteReference"/>
        </w:rPr>
      </w:pPr>
      <w:r w:rsidRPr="008B0FA8">
        <w:rPr>
          <w:rStyle w:val="FootnoteReference"/>
        </w:rPr>
        <w:footnoteRef/>
      </w:r>
      <w:r w:rsidRPr="008B0FA8">
        <w:rPr>
          <w:rStyle w:val="FootnoteReference"/>
        </w:rPr>
        <w:t xml:space="preserve"> </w:t>
      </w:r>
      <w:r w:rsidRPr="008B0FA8">
        <w:rPr>
          <w:rStyle w:val="FootnoteReference"/>
        </w:rPr>
        <w:tab/>
      </w:r>
      <w:r w:rsidRPr="00D83695">
        <w:t>This option a</w:t>
      </w:r>
      <w:r w:rsidRPr="008B0FA8">
        <w:t xml:space="preserve">t the time of preparing this report was </w:t>
      </w:r>
      <w:r w:rsidRPr="00D83695">
        <w:t>offered by Coles Supermarkets, Coles Express, Target, Target Country, Kmart, Kmart Tyre and Auto Service</w:t>
      </w:r>
      <w:r>
        <w:t>,</w:t>
      </w:r>
      <w:r w:rsidRPr="00D83695">
        <w:t xml:space="preserve"> and </w:t>
      </w:r>
      <w:proofErr w:type="spellStart"/>
      <w:r w:rsidRPr="00D83695">
        <w:t>Bi-Lo</w:t>
      </w:r>
      <w:proofErr w:type="spellEnd"/>
      <w:r w:rsidRPr="00D83695">
        <w:t>.</w:t>
      </w:r>
      <w:r>
        <w:t xml:space="preserve"> </w:t>
      </w:r>
    </w:p>
  </w:footnote>
  <w:footnote w:id="36">
    <w:p w:rsidR="00F612EF" w:rsidRPr="00AB5C98" w:rsidRDefault="00F612EF" w:rsidP="00BC2AD2">
      <w:pPr>
        <w:pStyle w:val="FootnoteText"/>
        <w:rPr>
          <w:rStyle w:val="FootnoteReference"/>
        </w:rPr>
      </w:pPr>
      <w:r w:rsidRPr="008B0FA8">
        <w:rPr>
          <w:rStyle w:val="FootnoteReference"/>
        </w:rPr>
        <w:footnoteRef/>
      </w:r>
      <w:r w:rsidRPr="008B0FA8">
        <w:rPr>
          <w:rStyle w:val="FootnoteReference"/>
        </w:rPr>
        <w:t xml:space="preserve"> </w:t>
      </w:r>
      <w:r w:rsidRPr="008B0FA8">
        <w:tab/>
      </w:r>
      <w:r>
        <w:t>Available in 11</w:t>
      </w:r>
      <w:r w:rsidRPr="00D83695">
        <w:t xml:space="preserve"> sites in the Northern Territory</w:t>
      </w:r>
      <w:r>
        <w:t xml:space="preserve"> (Alice Springs: 3 locations; Bathurst Island; Darwin and Palmerston: 5 locations; Katherine; Wadeye)</w:t>
      </w:r>
      <w:r w:rsidRPr="00D83695">
        <w:t>.</w:t>
      </w:r>
    </w:p>
  </w:footnote>
  <w:footnote w:id="37">
    <w:p w:rsidR="00F612EF" w:rsidRDefault="00F612EF" w:rsidP="00BC2AD2">
      <w:pPr>
        <w:pStyle w:val="FootnoteText"/>
      </w:pPr>
      <w:r>
        <w:rPr>
          <w:rStyle w:val="FootnoteReference"/>
        </w:rPr>
        <w:footnoteRef/>
      </w:r>
      <w:r>
        <w:t xml:space="preserve"> </w:t>
      </w:r>
      <w:r>
        <w:tab/>
      </w:r>
      <w:r>
        <w:rPr>
          <w:lang w:val="en"/>
        </w:rPr>
        <w:t>BasicsCard balance checking line has been a free call from fixed line phones since May 2009. Until 19 November 2012 mobile phone charge costs applied if a mobile phone was used. From November 2012 calls to the BasicsCard balance checking line have been free from a Telstra mobile.</w:t>
      </w:r>
    </w:p>
  </w:footnote>
  <w:footnote w:id="38">
    <w:p w:rsidR="00F612EF" w:rsidRPr="00AB5C98" w:rsidRDefault="00F612EF" w:rsidP="00BC2AD2">
      <w:pPr>
        <w:pStyle w:val="FootnoteText"/>
      </w:pPr>
      <w:r w:rsidRPr="00AB5C98">
        <w:rPr>
          <w:rStyle w:val="FootnoteReference"/>
        </w:rPr>
        <w:footnoteRef/>
      </w:r>
      <w:r w:rsidRPr="00AB5C98">
        <w:t xml:space="preserve"> </w:t>
      </w:r>
      <w:r>
        <w:tab/>
      </w:r>
      <w:r w:rsidRPr="00AB5C98">
        <w:t>The one exception</w:t>
      </w:r>
      <w:r>
        <w:t xml:space="preserve"> was </w:t>
      </w:r>
      <w:r w:rsidRPr="00AB5C98">
        <w:t>people who were recorded as being full-time students</w:t>
      </w:r>
      <w:r>
        <w:t xml:space="preserve"> and apprentices</w:t>
      </w:r>
      <w:r w:rsidRPr="00AB5C98">
        <w:t>, who were automatically provided with an exemption.</w:t>
      </w:r>
      <w:r>
        <w:t xml:space="preserve"> The circumstances of this group are discussed in Chapter 5.</w:t>
      </w:r>
    </w:p>
  </w:footnote>
  <w:footnote w:id="39">
    <w:p w:rsidR="00F612EF" w:rsidRPr="00AB5C98" w:rsidRDefault="00F612EF" w:rsidP="00BC2AD2">
      <w:pPr>
        <w:pStyle w:val="FootnoteText"/>
        <w:rPr>
          <w:rStyle w:val="FootnoteReference"/>
        </w:rPr>
      </w:pPr>
      <w:r w:rsidRPr="00AB5C98">
        <w:rPr>
          <w:rStyle w:val="FootnoteReference"/>
        </w:rPr>
        <w:footnoteRef/>
      </w:r>
      <w:r w:rsidRPr="00AB5C98">
        <w:rPr>
          <w:rStyle w:val="FootnoteReference"/>
        </w:rPr>
        <w:t xml:space="preserve"> </w:t>
      </w:r>
      <w:r>
        <w:tab/>
      </w:r>
      <w:r w:rsidRPr="00AB5C98">
        <w:t>The individual can start saving for the Matched Savings Payment as soon as they have registered for the money management course. They do not need to have completed the course at the time they start saving.</w:t>
      </w:r>
    </w:p>
  </w:footnote>
  <w:footnote w:id="40">
    <w:p w:rsidR="00F612EF" w:rsidRPr="00AB5C98" w:rsidRDefault="00F612EF" w:rsidP="00BC2AD2">
      <w:pPr>
        <w:pStyle w:val="FootnoteText"/>
      </w:pPr>
      <w:r w:rsidRPr="00AB5C98">
        <w:rPr>
          <w:rStyle w:val="FootnoteReference"/>
        </w:rPr>
        <w:footnoteRef/>
      </w:r>
      <w:r w:rsidRPr="00AB5C98">
        <w:t xml:space="preserve"> </w:t>
      </w:r>
      <w:r>
        <w:tab/>
      </w:r>
      <w:r w:rsidRPr="00AB5C98">
        <w:t>Commonwealth Financial Counselling is a service strategy under the Australian Government’s Financial Management Program. Services are delivered by community and local government organisations and help people in personal financial difficulty to address their financial problems and make informed choices. Services may include direct casework (e.g.</w:t>
      </w:r>
      <w:r>
        <w:t>,</w:t>
      </w:r>
      <w:r w:rsidRPr="00AB5C98">
        <w:t xml:space="preserve"> provision of advice and information), advocacy and/or negotiation; referral; and community education.</w:t>
      </w:r>
    </w:p>
  </w:footnote>
  <w:footnote w:id="41">
    <w:p w:rsidR="00F612EF" w:rsidRPr="00372DFC" w:rsidRDefault="00F612EF" w:rsidP="00BC2AD2">
      <w:pPr>
        <w:pStyle w:val="FootnoteText"/>
      </w:pPr>
      <w:r>
        <w:rPr>
          <w:rStyle w:val="FootnoteReference"/>
        </w:rPr>
        <w:footnoteRef/>
      </w:r>
      <w:r>
        <w:t xml:space="preserve"> </w:t>
      </w:r>
      <w:r>
        <w:tab/>
      </w:r>
      <w:r w:rsidRPr="00372DFC">
        <w:t>Correspondence from DSS on 27 January 2014.</w:t>
      </w:r>
    </w:p>
  </w:footnote>
  <w:footnote w:id="42">
    <w:p w:rsidR="00F612EF" w:rsidRPr="00D83695" w:rsidRDefault="00F612EF" w:rsidP="00BC2AD2">
      <w:pPr>
        <w:pStyle w:val="FootnoteText"/>
        <w:rPr>
          <w:sz w:val="14"/>
        </w:rPr>
      </w:pPr>
      <w:r w:rsidRPr="00372DFC">
        <w:rPr>
          <w:rStyle w:val="FootnoteReference"/>
        </w:rPr>
        <w:footnoteRef/>
      </w:r>
      <w:r w:rsidRPr="00372DFC">
        <w:t xml:space="preserve"> </w:t>
      </w:r>
      <w:r w:rsidRPr="00372DFC">
        <w:tab/>
        <w:t>Figures provided by DSS.</w:t>
      </w:r>
    </w:p>
  </w:footnote>
  <w:footnote w:id="43">
    <w:p w:rsidR="00F612EF" w:rsidRPr="008B0FA8" w:rsidRDefault="00F612EF" w:rsidP="00BC2AD2">
      <w:pPr>
        <w:pStyle w:val="FootnoteText"/>
        <w:rPr>
          <w:rStyle w:val="FootnoteReference"/>
        </w:rPr>
      </w:pPr>
      <w:r w:rsidRPr="00C43E36">
        <w:rPr>
          <w:sz w:val="14"/>
          <w:vertAlign w:val="superscript"/>
        </w:rPr>
        <w:footnoteRef/>
      </w:r>
      <w:r w:rsidRPr="00C43E36">
        <w:rPr>
          <w:sz w:val="14"/>
          <w:vertAlign w:val="superscript"/>
        </w:rPr>
        <w:t xml:space="preserve"> </w:t>
      </w:r>
      <w:r w:rsidRPr="00D83695">
        <w:rPr>
          <w:sz w:val="14"/>
        </w:rPr>
        <w:tab/>
      </w:r>
      <w:r w:rsidRPr="003B4CE4">
        <w:t>Services provided by financial counsellors may include direct casework (e.g.</w:t>
      </w:r>
      <w:r>
        <w:t>,</w:t>
      </w:r>
      <w:r w:rsidRPr="003B4CE4">
        <w:t xml:space="preserve"> provision of advice and information); advocacy and/or negotiation; referral; and community education. Circumstances that can lead to personal financial difficulty include unemployment, sickness, credit over-commitment</w:t>
      </w:r>
      <w:r>
        <w:t>,</w:t>
      </w:r>
      <w:r w:rsidRPr="003B4CE4">
        <w:t xml:space="preserve"> and family breakdown (FaHCSIA, </w:t>
      </w:r>
      <w:r>
        <w:t>2012c</w:t>
      </w:r>
      <w:r w:rsidRPr="003B4CE4">
        <w:t>).</w:t>
      </w:r>
    </w:p>
  </w:footnote>
  <w:footnote w:id="44">
    <w:p w:rsidR="00F612EF" w:rsidRDefault="00F612EF" w:rsidP="00BC2AD2">
      <w:pPr>
        <w:pStyle w:val="FootnoteText"/>
      </w:pPr>
      <w:r w:rsidRPr="008B0FA8">
        <w:rPr>
          <w:rStyle w:val="FootnoteReference"/>
        </w:rPr>
        <w:footnoteRef/>
      </w:r>
      <w:r w:rsidRPr="008B0FA8">
        <w:t xml:space="preserve"> </w:t>
      </w:r>
      <w:r w:rsidRPr="008B0FA8">
        <w:tab/>
        <w:t xml:space="preserve">Language, literacy and numeracy assistance is available through the Financial Management Resource Unit for all </w:t>
      </w:r>
      <w:r>
        <w:t>DSS-</w:t>
      </w:r>
      <w:r w:rsidRPr="008B0FA8">
        <w:t>funded money management workers. Prior to commencing accredited training</w:t>
      </w:r>
      <w:r>
        <w:t>,</w:t>
      </w:r>
      <w:r w:rsidRPr="008B0FA8">
        <w:t xml:space="preserve"> a skills</w:t>
      </w:r>
      <w:r>
        <w:t xml:space="preserve"> and competencies analysis is undertaken to determine the appropriate training pathway for each worker.</w:t>
      </w:r>
    </w:p>
  </w:footnote>
  <w:footnote w:id="45">
    <w:p w:rsidR="00F612EF" w:rsidRDefault="00F612EF" w:rsidP="0040485A">
      <w:pPr>
        <w:pStyle w:val="FootnoteText"/>
      </w:pPr>
      <w:r>
        <w:rPr>
          <w:rStyle w:val="FootnoteReference"/>
        </w:rPr>
        <w:footnoteRef/>
      </w:r>
      <w:r>
        <w:t xml:space="preserve"> DSS have advised that: </w:t>
      </w:r>
    </w:p>
    <w:p w:rsidR="00F612EF" w:rsidRDefault="00F612EF" w:rsidP="0040485A">
      <w:pPr>
        <w:pStyle w:val="FootnoteText"/>
      </w:pPr>
      <w:r>
        <w:tab/>
        <w:t xml:space="preserve">“The Commonwealth is currently revising Stronger Futures in collaboration with the Northern Territory Government. The revision will realign the Agreement with Government priorities, including getting children to school, adults to work, making communities safer and reducing unnecessary administration and red tape. It will also ensure that funding is being used to the greatest effect. </w:t>
      </w:r>
    </w:p>
    <w:p w:rsidR="00F612EF" w:rsidRDefault="00F612EF" w:rsidP="0040485A">
      <w:pPr>
        <w:pStyle w:val="FootnoteText"/>
      </w:pPr>
      <w:r>
        <w:tab/>
        <w:t xml:space="preserve">The revised Agreement will create greater linkages with the Indigenous Advancement Strategy. This Strategy will see more than 150 programmes and services streamlined into five broad-based programmes to achieve better outcomes on the ground and make a lasting difference to the lives of Aboriginal people. </w:t>
      </w:r>
    </w:p>
    <w:p w:rsidR="00F612EF" w:rsidRDefault="00F612EF" w:rsidP="0040485A">
      <w:pPr>
        <w:pStyle w:val="FootnoteText"/>
      </w:pPr>
      <w:r>
        <w:tab/>
        <w:t>The Indigenous Advancement Strategy will be supported by the establishment of a new Remote Community Advancement Network in the Department of the Prime Minister and Cabinet. The Network will move to a Regional model rather than the current state and territory management arrangements so decisions can be made closer to the people and the communities they affect. It will support a new engagement with Indigenous people allowing flexibility of funding and ensuring it meets the aspirations and priorities of communities, rather than a one-size fits all approach.” (</w:t>
      </w:r>
      <w:proofErr w:type="gramStart"/>
      <w:r>
        <w:t>email</w:t>
      </w:r>
      <w:proofErr w:type="gramEnd"/>
      <w:r>
        <w:t xml:space="preserve"> 18 August 2014).</w:t>
      </w:r>
    </w:p>
  </w:footnote>
  <w:footnote w:id="46">
    <w:p w:rsidR="00F612EF" w:rsidRDefault="00F612EF" w:rsidP="00FA3F72">
      <w:pPr>
        <w:pStyle w:val="FootnoteText"/>
      </w:pPr>
      <w:r>
        <w:rPr>
          <w:rStyle w:val="FootnoteReference"/>
        </w:rPr>
        <w:footnoteRef/>
      </w:r>
      <w:r>
        <w:t xml:space="preserve"> </w:t>
      </w:r>
      <w:r w:rsidRPr="0040485A">
        <w:rPr>
          <w:rStyle w:val="FootnoteTextChar"/>
        </w:rPr>
        <w:t>Government Business Managers have recently been renamed Government Engagement Coordinators. In this report the term Government Business Manager is generally used because this was the term used when the evaluation data was collected.</w:t>
      </w:r>
    </w:p>
  </w:footnote>
  <w:footnote w:id="47">
    <w:p w:rsidR="00F612EF" w:rsidRPr="00A655A4" w:rsidRDefault="00F612EF" w:rsidP="00BC2AD2">
      <w:pPr>
        <w:pStyle w:val="FootnoteText"/>
        <w:rPr>
          <w:rStyle w:val="FootnoteReference"/>
          <w:vertAlign w:val="baseline"/>
        </w:rPr>
      </w:pPr>
      <w:r>
        <w:rPr>
          <w:rStyle w:val="FootnoteReference"/>
        </w:rPr>
        <w:footnoteRef/>
      </w:r>
      <w:r w:rsidRPr="00A655A4">
        <w:rPr>
          <w:rStyle w:val="FootnoteReference"/>
        </w:rPr>
        <w:t xml:space="preserve"> </w:t>
      </w:r>
      <w:r w:rsidRPr="00A655A4">
        <w:rPr>
          <w:rStyle w:val="FootnoteReference"/>
        </w:rPr>
        <w:tab/>
      </w:r>
      <w:r w:rsidRPr="00A655A4">
        <w:rPr>
          <w:rStyle w:val="FootnoteReference"/>
          <w:vertAlign w:val="baseline"/>
        </w:rPr>
        <w:t>If income support payments are suspended and subsequently the child returns to school on a regular basis within 13 weeks, the income support payments are reinstated with back pay.</w:t>
      </w:r>
    </w:p>
  </w:footnote>
  <w:footnote w:id="48">
    <w:p w:rsidR="00F612EF" w:rsidRDefault="00F612EF" w:rsidP="00F377B1">
      <w:pPr>
        <w:pStyle w:val="FootnoteText"/>
      </w:pPr>
      <w:r>
        <w:rPr>
          <w:rStyle w:val="FootnoteReference"/>
        </w:rPr>
        <w:footnoteRef/>
      </w:r>
      <w:r>
        <w:t xml:space="preserve"> It also operated in 30 schools across six communities in Queensland.</w:t>
      </w:r>
    </w:p>
  </w:footnote>
  <w:footnote w:id="49">
    <w:p w:rsidR="00F612EF" w:rsidRPr="00A655A4" w:rsidRDefault="00F612EF" w:rsidP="00F377B1">
      <w:pPr>
        <w:pStyle w:val="FootnoteText"/>
        <w:rPr>
          <w:rStyle w:val="FootnoteReference"/>
        </w:rPr>
      </w:pPr>
      <w:r w:rsidRPr="00AB5C98">
        <w:rPr>
          <w:rStyle w:val="FootnoteReference"/>
        </w:rPr>
        <w:footnoteRef/>
      </w:r>
      <w:r w:rsidRPr="00A655A4">
        <w:rPr>
          <w:rStyle w:val="FootnoteReference"/>
        </w:rPr>
        <w:t xml:space="preserve"> </w:t>
      </w:r>
      <w:r w:rsidRPr="00F377B1">
        <w:tab/>
        <w:t xml:space="preserve">The Northern Territory sites are: Alice Springs , Alyangula, Angurugu, Katherine, Katherine Town Camps, Lajamanu, </w:t>
      </w:r>
      <w:proofErr w:type="spellStart"/>
      <w:r w:rsidRPr="00F377B1">
        <w:t>Milyakburra</w:t>
      </w:r>
      <w:proofErr w:type="spellEnd"/>
      <w:r w:rsidRPr="00F377B1">
        <w:t xml:space="preserve">, Ngukurr, </w:t>
      </w:r>
      <w:proofErr w:type="spellStart"/>
      <w:r w:rsidRPr="00F377B1">
        <w:t>Ntaria</w:t>
      </w:r>
      <w:proofErr w:type="spellEnd"/>
      <w:r w:rsidRPr="00F377B1">
        <w:t xml:space="preserve"> (Hermannsburg), Numbulwar, Tennant Creek, Umbakumba, Wadeye, Wallace Rockhole and Yuendumu. </w:t>
      </w:r>
      <w:proofErr w:type="gramStart"/>
      <w:r w:rsidRPr="00F377B1">
        <w:t>(Department of Education, 2013).</w:t>
      </w:r>
      <w:proofErr w:type="gramEnd"/>
      <w:r w:rsidRPr="00F377B1">
        <w:t xml:space="preserve"> </w:t>
      </w:r>
    </w:p>
  </w:footnote>
  <w:footnote w:id="50">
    <w:p w:rsidR="00F612EF" w:rsidRPr="00C43E36" w:rsidRDefault="00F612EF" w:rsidP="00F377B1">
      <w:pPr>
        <w:pStyle w:val="FootnoteText"/>
      </w:pPr>
      <w:r w:rsidRPr="00C43E36">
        <w:rPr>
          <w:rStyle w:val="FootnoteReference"/>
        </w:rPr>
        <w:footnoteRef/>
      </w:r>
      <w:r w:rsidRPr="00C43E36">
        <w:t xml:space="preserve"> </w:t>
      </w:r>
      <w:r w:rsidRPr="00C43E36">
        <w:tab/>
        <w:t>There are some locations in the NT where families can access IFSS even if the parent is not on Child Protection Income Management.</w:t>
      </w:r>
    </w:p>
  </w:footnote>
  <w:footnote w:id="51">
    <w:p w:rsidR="00F612EF" w:rsidRDefault="00F612EF" w:rsidP="00F377B1">
      <w:pPr>
        <w:pStyle w:val="FootnoteText"/>
      </w:pPr>
      <w:r>
        <w:rPr>
          <w:rStyle w:val="FootnoteReference"/>
        </w:rPr>
        <w:footnoteRef/>
      </w:r>
      <w:r>
        <w:t xml:space="preserve"> </w:t>
      </w:r>
      <w:r>
        <w:tab/>
        <w:t>Information on numbers of new houses built and the number of existing houses rebuilt or refurbished provided by DSS by email (18 August 2014).</w:t>
      </w:r>
    </w:p>
  </w:footnote>
  <w:footnote w:id="52">
    <w:p w:rsidR="00F612EF" w:rsidRDefault="00F612EF" w:rsidP="00F377B1">
      <w:pPr>
        <w:pStyle w:val="FootnoteText"/>
      </w:pPr>
      <w:r>
        <w:rPr>
          <w:rStyle w:val="FootnoteReference"/>
        </w:rPr>
        <w:footnoteRef/>
      </w:r>
      <w:r>
        <w:t xml:space="preserve"> </w:t>
      </w:r>
      <w:r>
        <w:tab/>
        <w:t>Information on the Stronger Futures Housing Implementation Plan provided by DSS</w:t>
      </w:r>
      <w:r w:rsidRPr="00D2705D">
        <w:t xml:space="preserve"> </w:t>
      </w:r>
      <w:r>
        <w:t>by email (18 August 2014).</w:t>
      </w:r>
    </w:p>
  </w:footnote>
  <w:footnote w:id="53">
    <w:p w:rsidR="00F612EF" w:rsidRDefault="00F612EF" w:rsidP="00BC2AD2">
      <w:pPr>
        <w:pStyle w:val="FootnoteText"/>
      </w:pPr>
      <w:r>
        <w:rPr>
          <w:rStyle w:val="FootnoteReference"/>
        </w:rPr>
        <w:footnoteRef/>
      </w:r>
      <w:r>
        <w:t xml:space="preserve"> </w:t>
      </w:r>
      <w:r>
        <w:tab/>
        <w:t xml:space="preserve">By ‘consistently’ we do not necessarily mean comprehensively, but rather that the movements across different indicators are not contradictory, or that there are good grounds for understanding why one indicator may have moved but not another. </w:t>
      </w:r>
    </w:p>
  </w:footnote>
  <w:footnote w:id="54">
    <w:p w:rsidR="00F612EF" w:rsidRDefault="00F612EF">
      <w:pPr>
        <w:pStyle w:val="FootnoteText"/>
      </w:pPr>
      <w:r>
        <w:rPr>
          <w:rStyle w:val="FootnoteReference"/>
        </w:rPr>
        <w:footnoteRef/>
      </w:r>
      <w:r>
        <w:t xml:space="preserve"> </w:t>
      </w:r>
      <w:r>
        <w:tab/>
        <w:t>This is particularly likely where data is drawn from surveys rather than full enumeration of the population, or where data items are not always able to be precisely measured.</w:t>
      </w:r>
    </w:p>
  </w:footnote>
  <w:footnote w:id="55">
    <w:p w:rsidR="00F612EF" w:rsidRDefault="00F612EF">
      <w:pPr>
        <w:pStyle w:val="FootnoteText"/>
      </w:pPr>
      <w:r>
        <w:rPr>
          <w:rStyle w:val="FootnoteReference"/>
        </w:rPr>
        <w:footnoteRef/>
      </w:r>
      <w:r>
        <w:t xml:space="preserve"> </w:t>
      </w:r>
      <w:r>
        <w:tab/>
        <w:t xml:space="preserve">It should be noted that for this and other reasons some caution needs to be exercised in interpreting results for “Indigenous” and “non-Indigenous” people in this analysis. Firstly, for many people, specifying their Indigenous identity is a sensitive and context dependent matter. This may lead them not to state their identity in some circumstances. Secondly, there can be administrative errors in reporting Indigenous identification in data systems and thirdly the above process may result in Indigenous people whose status is not recorded being misclassified as being non-Indigenous. </w:t>
      </w:r>
    </w:p>
    <w:p w:rsidR="00F612EF" w:rsidRDefault="00F612EF">
      <w:pPr>
        <w:pStyle w:val="FootnoteText"/>
      </w:pPr>
      <w:r>
        <w:t>For this reason the text frequently refers to this population as “people who identify as Indigenous”, as well as more abbreviated reference to them as being the Indigenous population.</w:t>
      </w:r>
    </w:p>
  </w:footnote>
  <w:footnote w:id="56">
    <w:p w:rsidR="00F612EF" w:rsidRDefault="00F612EF" w:rsidP="00BC2AD2">
      <w:pPr>
        <w:pStyle w:val="FootnoteText"/>
      </w:pPr>
      <w:r>
        <w:rPr>
          <w:rStyle w:val="FootnoteReference"/>
        </w:rPr>
        <w:footnoteRef/>
      </w:r>
      <w:r>
        <w:t xml:space="preserve"> </w:t>
      </w:r>
      <w:r>
        <w:tab/>
        <w:t>For the purposes of the evaluation all people who are living in the Northern Territory and are subject to income management are treated as being on New Income Management, regardless of where the actual decision to place them on income management was made. This approach has little impact on the overall population.</w:t>
      </w:r>
    </w:p>
  </w:footnote>
  <w:footnote w:id="57">
    <w:p w:rsidR="00F612EF" w:rsidRDefault="00F612EF" w:rsidP="00BC2AD2">
      <w:pPr>
        <w:pStyle w:val="FootnoteText"/>
      </w:pPr>
      <w:r>
        <w:rPr>
          <w:rStyle w:val="FootnoteReference"/>
        </w:rPr>
        <w:footnoteRef/>
      </w:r>
      <w:r>
        <w:t xml:space="preserve"> </w:t>
      </w:r>
      <w:r>
        <w:tab/>
        <w:t>The count of the number of people on income management in the Northern Territory varies between the different datasets used in this analysis. In most cases these differences are small and do not affect the interpretation of data. In addition, the totals of some tables will not add to the full population as a result of some records not containing particular variables used in cross-classifications in the tables.</w:t>
      </w:r>
    </w:p>
  </w:footnote>
  <w:footnote w:id="58">
    <w:p w:rsidR="00F612EF" w:rsidRDefault="00F612EF" w:rsidP="00BC2AD2">
      <w:pPr>
        <w:pStyle w:val="FootnoteText"/>
      </w:pPr>
      <w:r>
        <w:rPr>
          <w:rStyle w:val="FootnoteReference"/>
        </w:rPr>
        <w:footnoteRef/>
      </w:r>
      <w:r>
        <w:t xml:space="preserve"> </w:t>
      </w:r>
      <w:r>
        <w:tab/>
        <w:t>While the language of ‘family’ is used here, the data actually relates to the income unit classification of the person and not the family structure of the household. Hence a single person may be an older child living at home with their parents. Given that the central interest is in those families with dependent children, the nomenclature of ‘family’ has been maintained.</w:t>
      </w:r>
    </w:p>
  </w:footnote>
  <w:footnote w:id="59">
    <w:p w:rsidR="00F612EF" w:rsidRDefault="00F612EF" w:rsidP="00BC2AD2">
      <w:pPr>
        <w:pStyle w:val="FootnoteText"/>
      </w:pPr>
      <w:r>
        <w:rPr>
          <w:rStyle w:val="FootnoteReference"/>
        </w:rPr>
        <w:footnoteRef/>
      </w:r>
      <w:r>
        <w:t xml:space="preserve"> </w:t>
      </w:r>
      <w:r>
        <w:tab/>
      </w:r>
      <w:r w:rsidRPr="00AB5C98">
        <w:t>Because individuals are ass</w:t>
      </w:r>
      <w:r>
        <w:t>ess</w:t>
      </w:r>
      <w:r w:rsidRPr="00AB5C98">
        <w:t>ed for income management based upon their characteristics, these estimates represent a count of person</w:t>
      </w:r>
      <w:r>
        <w:t>al</w:t>
      </w:r>
      <w:r w:rsidRPr="00AB5C98">
        <w:t xml:space="preserve"> characteristics and not a count of the actual families. While in some couples both members may be subject to income management, in other couples only one may be.</w:t>
      </w:r>
    </w:p>
  </w:footnote>
  <w:footnote w:id="60">
    <w:p w:rsidR="00F612EF" w:rsidRDefault="00F612EF" w:rsidP="00BC2AD2">
      <w:pPr>
        <w:pStyle w:val="FootnoteText"/>
      </w:pPr>
      <w:r>
        <w:rPr>
          <w:rStyle w:val="FootnoteReference"/>
        </w:rPr>
        <w:footnoteRef/>
      </w:r>
      <w:r>
        <w:t xml:space="preserve"> </w:t>
      </w:r>
      <w:r>
        <w:tab/>
        <w:t>In this analysis the presence of a child is based on whether or not a person or their partner is in receipt of Family Tax Benefit for a child. While this is an effective measure of the presence of children from the perspective of policies which relate to how income support payments are used, it does not necessarily represent the actual responsibility of the person for a child. For example, a grandparent may be caring for a child notwithstanding the fact that a parent is receiving the FTB for that child. In these data the grandparent would be recorded as childless while the parent would be identified as having a child, even if that child was not living with the parent. Kinship responsibilities are also not identified in this type of analysis.</w:t>
      </w:r>
    </w:p>
  </w:footnote>
  <w:footnote w:id="61">
    <w:p w:rsidR="00F612EF" w:rsidRDefault="00F612EF" w:rsidP="00BC2AD2">
      <w:pPr>
        <w:pStyle w:val="FootnoteText"/>
      </w:pPr>
      <w:r>
        <w:rPr>
          <w:rStyle w:val="FootnoteReference"/>
        </w:rPr>
        <w:footnoteRef/>
      </w:r>
      <w:r>
        <w:t xml:space="preserve"> </w:t>
      </w:r>
      <w:r>
        <w:tab/>
        <w:t xml:space="preserve">Main English-speaking countries defined as EP Group 1: Canada, Ireland, New Zealand, South Africa, United Kingdom, USA, and Zimbabwe. This is consistent with the classification used by the </w:t>
      </w:r>
      <w:r w:rsidRPr="006D451C">
        <w:t>Department of Immigration</w:t>
      </w:r>
      <w:r>
        <w:t>,</w:t>
      </w:r>
      <w:r w:rsidRPr="006D451C">
        <w:t xml:space="preserve"> Multicultural and Indigenous Affairs </w:t>
      </w:r>
      <w:r>
        <w:t>(</w:t>
      </w:r>
      <w:r w:rsidRPr="006D451C">
        <w:t>2003</w:t>
      </w:r>
      <w:r>
        <w:t>)</w:t>
      </w:r>
      <w:r w:rsidRPr="006D451C">
        <w:t>.</w:t>
      </w:r>
    </w:p>
  </w:footnote>
  <w:footnote w:id="62">
    <w:p w:rsidR="00F612EF" w:rsidRDefault="00F612EF">
      <w:pPr>
        <w:pStyle w:val="FootnoteText"/>
      </w:pPr>
      <w:r>
        <w:rPr>
          <w:rStyle w:val="FootnoteReference"/>
        </w:rPr>
        <w:footnoteRef/>
      </w:r>
      <w:r>
        <w:t xml:space="preserve"> </w:t>
      </w:r>
      <w:r>
        <w:tab/>
        <w:t>Issues with Indigenous identification have been noted earlier in this chapter. Because of these some caution needs to be exercised in considering the data on the identified non-Indigenous population in remote areas as these are particularly sensitive to the accuracy of identification given the often very small non-Indigenous population sizes.</w:t>
      </w:r>
    </w:p>
  </w:footnote>
  <w:footnote w:id="63">
    <w:p w:rsidR="00F612EF" w:rsidRDefault="00F612EF">
      <w:pPr>
        <w:pStyle w:val="FootnoteText"/>
      </w:pPr>
      <w:r>
        <w:rPr>
          <w:rStyle w:val="FootnoteReference"/>
        </w:rPr>
        <w:footnoteRef/>
      </w:r>
      <w:r>
        <w:t xml:space="preserve"> The apparent </w:t>
      </w:r>
      <w:proofErr w:type="gramStart"/>
      <w:r>
        <w:t>increases in ‘last exit’ seen in the chart in mid to late 2013 is</w:t>
      </w:r>
      <w:proofErr w:type="gramEnd"/>
      <w:r>
        <w:t xml:space="preserve"> an artefact of the method. It reflects the lesser time available in the dataset at this point to observe returns to income management after a break.</w:t>
      </w:r>
    </w:p>
  </w:footnote>
  <w:footnote w:id="64">
    <w:p w:rsidR="00F612EF" w:rsidRDefault="00F612EF" w:rsidP="00BC2AD2">
      <w:pPr>
        <w:pStyle w:val="FootnoteText"/>
      </w:pPr>
      <w:r>
        <w:rPr>
          <w:rStyle w:val="FootnoteReference"/>
        </w:rPr>
        <w:footnoteRef/>
      </w:r>
      <w:r>
        <w:t xml:space="preserve"> The nature of the data is such that a record for each person only commences when they first go onto income management, but after this point a record is kept of their income support and income management experience.</w:t>
      </w:r>
    </w:p>
  </w:footnote>
  <w:footnote w:id="65">
    <w:p w:rsidR="00F612EF" w:rsidRDefault="00F612EF" w:rsidP="00BC2AD2">
      <w:pPr>
        <w:pStyle w:val="FootnoteText"/>
      </w:pPr>
      <w:r>
        <w:rPr>
          <w:rStyle w:val="FootnoteReference"/>
        </w:rPr>
        <w:footnoteRef/>
      </w:r>
      <w:r>
        <w:t xml:space="preserve"> Because we can only observe the experience to date we cannot identify whether or not a person will have multiple spells; however, to the extent people who have had one spell in the past have had a number of spells, it can be equally expected that this is the case for people currently on their first spell.</w:t>
      </w:r>
    </w:p>
  </w:footnote>
  <w:footnote w:id="66">
    <w:p w:rsidR="00F612EF" w:rsidRDefault="00F612EF" w:rsidP="00BC2AD2">
      <w:pPr>
        <w:pStyle w:val="FootnoteText"/>
      </w:pPr>
      <w:r>
        <w:rPr>
          <w:rStyle w:val="FootnoteReference"/>
        </w:rPr>
        <w:footnoteRef/>
      </w:r>
      <w:r>
        <w:t xml:space="preserve"> The evaluation only has ‘current’ records from mid-2010. These records do, however, contain information on the duration a person has been on income management prior to the record date. For this data the ‘time first on’ has been estimated from these data. A limitation of this methodology is that if a person exits income management, the duration counter may be reset and the data will not correctly identify the ‘first date’ a person was subject to income management prior to June 2010.</w:t>
      </w:r>
    </w:p>
  </w:footnote>
  <w:footnote w:id="67">
    <w:p w:rsidR="00F612EF" w:rsidRDefault="00F612EF" w:rsidP="00BC2AD2">
      <w:pPr>
        <w:pStyle w:val="FootnoteText"/>
      </w:pPr>
      <w:r>
        <w:rPr>
          <w:rStyle w:val="FootnoteReference"/>
        </w:rPr>
        <w:footnoteRef/>
      </w:r>
      <w:r>
        <w:t xml:space="preserve"> Survival functions were initially developed for use in medical research and are concerned with estimating the proportion of people who survive after various intervals after a diagnosis, treatment or other occurrence. In its use here the concept of ‘survival’ is that of remaining on income management. It is a non-parametric statistical technique that uses data from an incomplete and censored population to generate a survival estimate. As the technique does not forecast survival beyond the maximum period for which it has available data, the survival functions as plotted here all end showing a proportion of the population still ‘surviving’.</w:t>
      </w:r>
    </w:p>
  </w:footnote>
  <w:footnote w:id="68">
    <w:p w:rsidR="00F612EF" w:rsidRDefault="00F612EF" w:rsidP="00BC2AD2">
      <w:pPr>
        <w:pStyle w:val="FootnoteText"/>
      </w:pPr>
      <w:r>
        <w:rPr>
          <w:rStyle w:val="FootnoteReference"/>
        </w:rPr>
        <w:footnoteRef/>
      </w:r>
      <w:r>
        <w:t xml:space="preserve"> In the table and figure a person is classified as being on Compulsory or Voluntary Income Management on the basis of the type of income management they were on in the first period. This may not be the same as that at the time immediately prior to exit.</w:t>
      </w:r>
    </w:p>
  </w:footnote>
  <w:footnote w:id="69">
    <w:p w:rsidR="00F612EF" w:rsidRDefault="00F612EF" w:rsidP="00BC2AD2">
      <w:pPr>
        <w:pStyle w:val="FootnoteText"/>
      </w:pPr>
      <w:r>
        <w:rPr>
          <w:rStyle w:val="FootnoteReference"/>
        </w:rPr>
        <w:footnoteRef/>
      </w:r>
      <w:r>
        <w:t xml:space="preserve"> There were an additional 174 people who exited from Voluntary Income Management and went onto Compulsory Income Management over this period, and 63 people who exited Compulsory Income Management and chose to go onto Voluntary Income Management.</w:t>
      </w:r>
    </w:p>
  </w:footnote>
  <w:footnote w:id="70">
    <w:p w:rsidR="00F612EF" w:rsidRDefault="00F612EF" w:rsidP="00BC2AD2">
      <w:pPr>
        <w:pStyle w:val="FootnoteText"/>
      </w:pPr>
      <w:r>
        <w:rPr>
          <w:rStyle w:val="FootnoteReference"/>
        </w:rPr>
        <w:footnoteRef/>
      </w:r>
      <w:r>
        <w:t xml:space="preserve"> </w:t>
      </w:r>
      <w:r>
        <w:tab/>
        <w:t>Experience of income management refers to any income management irrespective of whether the person was subject to income management at the time of incarceration. However, in 71.5 per cent of cases those subject to income management before incarceration were subject to income management immediately prior to their incarceration.</w:t>
      </w:r>
    </w:p>
  </w:footnote>
  <w:footnote w:id="71">
    <w:p w:rsidR="00F612EF" w:rsidRDefault="00F612EF">
      <w:pPr>
        <w:pStyle w:val="FootnoteText"/>
      </w:pPr>
      <w:r>
        <w:rPr>
          <w:rStyle w:val="FootnoteReference"/>
        </w:rPr>
        <w:footnoteRef/>
      </w:r>
      <w:r>
        <w:t xml:space="preserve"> </w:t>
      </w:r>
      <w:r w:rsidRPr="00D075EE">
        <w:t xml:space="preserve">It is noted that money management and financial counselling are separate service types although some of the services are a combined Commonwealth Financial Counselling and </w:t>
      </w:r>
      <w:r>
        <w:t>M</w:t>
      </w:r>
      <w:r w:rsidRPr="00D075EE">
        <w:t xml:space="preserve">oney </w:t>
      </w:r>
      <w:r>
        <w:t>M</w:t>
      </w:r>
      <w:r w:rsidRPr="00D075EE">
        <w:t xml:space="preserve">anagement </w:t>
      </w:r>
      <w:r>
        <w:t>S</w:t>
      </w:r>
      <w:r w:rsidRPr="00D075EE">
        <w:t xml:space="preserve">ervice, and there is some overlap in what is actually provided to the clients, in most cases this is not the situation. While this distinction is important from a program perspective, it is less important for understanding income management, and from the perspective of individuals accessing the services it is not a differentiation they are </w:t>
      </w:r>
      <w:r>
        <w:t xml:space="preserve">usually </w:t>
      </w:r>
      <w:r w:rsidRPr="00D075EE">
        <w:t xml:space="preserve">aware of or note. In addition </w:t>
      </w:r>
      <w:r>
        <w:t>i</w:t>
      </w:r>
      <w:r w:rsidRPr="00D075EE">
        <w:t xml:space="preserve">ndividuals will frequently be unaware of the funding of the services they receive, especially when these are delivered by third parties.  For this reason we have not sought </w:t>
      </w:r>
      <w:r>
        <w:t xml:space="preserve">in this analysis </w:t>
      </w:r>
      <w:r w:rsidRPr="00D075EE">
        <w:t>to reflect the detailed program structure underlying these services.</w:t>
      </w:r>
    </w:p>
  </w:footnote>
  <w:footnote w:id="72">
    <w:p w:rsidR="00F612EF" w:rsidRDefault="00F612EF">
      <w:pPr>
        <w:pStyle w:val="FootnoteText"/>
      </w:pPr>
      <w:r>
        <w:rPr>
          <w:rStyle w:val="FootnoteReference"/>
        </w:rPr>
        <w:footnoteRef/>
      </w:r>
      <w:r>
        <w:t xml:space="preserve"> In the survey people were asked about these services generically, although interviewers had a list of some of the main service providers to act as prompts.  It is not known to what extent the services reported by respondents in the LSNIM were actually Commonwealth funded services.</w:t>
      </w:r>
    </w:p>
  </w:footnote>
  <w:footnote w:id="73">
    <w:p w:rsidR="00F612EF" w:rsidRDefault="00F612EF" w:rsidP="00BC2AD2">
      <w:pPr>
        <w:pStyle w:val="FootnoteText"/>
      </w:pPr>
      <w:r>
        <w:rPr>
          <w:rStyle w:val="FootnoteReference"/>
        </w:rPr>
        <w:footnoteRef/>
      </w:r>
      <w:r>
        <w:t xml:space="preserve"> </w:t>
      </w:r>
      <w:proofErr w:type="gramStart"/>
      <w:r>
        <w:t xml:space="preserve">The </w:t>
      </w:r>
      <w:r w:rsidRPr="00F658B6">
        <w:t>Disengaged Youth and the Long Term Welfare Payment Recipient streams</w:t>
      </w:r>
      <w:r>
        <w:t>.</w:t>
      </w:r>
      <w:proofErr w:type="gramEnd"/>
    </w:p>
  </w:footnote>
  <w:footnote w:id="74">
    <w:p w:rsidR="00F612EF" w:rsidRDefault="00F612EF" w:rsidP="00E964B4">
      <w:pPr>
        <w:pStyle w:val="FootnoteText"/>
      </w:pPr>
      <w:r>
        <w:rPr>
          <w:rStyle w:val="FootnoteReference"/>
        </w:rPr>
        <w:footnoteRef/>
      </w:r>
      <w:r>
        <w:t xml:space="preserve"> Under NTER Income Management the exemption rate for non-Indigenous men and women was about equal at 40 per cent.</w:t>
      </w:r>
    </w:p>
  </w:footnote>
  <w:footnote w:id="75">
    <w:p w:rsidR="00F612EF" w:rsidRDefault="00F612EF" w:rsidP="00BC2AD2">
      <w:pPr>
        <w:pStyle w:val="FootnoteText"/>
      </w:pPr>
      <w:r>
        <w:rPr>
          <w:rStyle w:val="FootnoteReference"/>
        </w:rPr>
        <w:footnoteRef/>
      </w:r>
      <w:r>
        <w:t xml:space="preserve"> The data used in this chapter is drawn from a number of different datasets. Because of slight differences in timing and scope, the estimates of the number of people on income management and exempt from the program differ between these. Our approach is to provide the estimates as derived from the specific datasets, rather than making any adjustments for consistency. Hence the estimated rate of exemptions of 7.6 per cent for Indigenous women compared with the rate of 7.5 per cent shown previously.</w:t>
      </w:r>
    </w:p>
  </w:footnote>
  <w:footnote w:id="76">
    <w:p w:rsidR="00F612EF" w:rsidRDefault="00F612EF" w:rsidP="00BC2AD2">
      <w:pPr>
        <w:pStyle w:val="FootnoteText"/>
      </w:pPr>
      <w:r>
        <w:rPr>
          <w:rStyle w:val="FootnoteReference"/>
        </w:rPr>
        <w:footnoteRef/>
      </w:r>
      <w:r>
        <w:t xml:space="preserve"> A </w:t>
      </w:r>
      <w:proofErr w:type="spellStart"/>
      <w:r>
        <w:t>probit</w:t>
      </w:r>
      <w:proofErr w:type="spellEnd"/>
      <w:r>
        <w:t xml:space="preserve"> model is used because the dependent variable, whether or not a person achieves an exemption, is dichotomous – either the person is or is not exempt. </w:t>
      </w:r>
      <w:proofErr w:type="spellStart"/>
      <w:r>
        <w:t>Probit</w:t>
      </w:r>
      <w:proofErr w:type="spellEnd"/>
      <w:r>
        <w:t xml:space="preserve"> has been used in preference to a logit as it enables easier interpretation.</w:t>
      </w:r>
    </w:p>
  </w:footnote>
  <w:footnote w:id="77">
    <w:p w:rsidR="00F612EF" w:rsidRDefault="00F612EF" w:rsidP="00BC2AD2">
      <w:pPr>
        <w:pStyle w:val="FootnoteText"/>
      </w:pPr>
      <w:r>
        <w:rPr>
          <w:rStyle w:val="FootnoteReference"/>
        </w:rPr>
        <w:footnoteRef/>
      </w:r>
      <w:r>
        <w:t xml:space="preserve"> There were 66 people in the survey who identified as having obtained an exemption: 90.6 per cent of these were women, and 67.1 per cent were non-Indigenous.</w:t>
      </w:r>
    </w:p>
  </w:footnote>
  <w:footnote w:id="78">
    <w:p w:rsidR="00F612EF" w:rsidRDefault="00F612EF" w:rsidP="00BC2AD2">
      <w:pPr>
        <w:pStyle w:val="FootnoteText"/>
      </w:pPr>
      <w:r>
        <w:rPr>
          <w:rStyle w:val="FootnoteReference"/>
        </w:rPr>
        <w:footnoteRef/>
      </w:r>
      <w:r>
        <w:t xml:space="preserve"> Only 25 of the people surveyed responded to these questions, although some two-thirds of those with an exemption indicated that they had been on income management at some time.</w:t>
      </w:r>
    </w:p>
  </w:footnote>
  <w:footnote w:id="79">
    <w:p w:rsidR="00F612EF" w:rsidRDefault="00F612EF">
      <w:pPr>
        <w:pStyle w:val="FootnoteText"/>
      </w:pPr>
      <w:r>
        <w:rPr>
          <w:rStyle w:val="FootnoteReference"/>
        </w:rPr>
        <w:footnoteRef/>
      </w:r>
      <w:r>
        <w:t xml:space="preserve"> </w:t>
      </w:r>
      <w:r w:rsidRPr="009D2F15">
        <w:t>DSS advise that some of these requirem</w:t>
      </w:r>
      <w:r>
        <w:t xml:space="preserve">ents have been reduced and that </w:t>
      </w:r>
      <w:r w:rsidRPr="009D2F15">
        <w:t>people who have moved interstate and want to apply for an exemption within the 13 weeks can now sign a statutory declaration saying they have met the criteria.</w:t>
      </w:r>
    </w:p>
  </w:footnote>
  <w:footnote w:id="80">
    <w:p w:rsidR="00F612EF" w:rsidRDefault="00F612EF" w:rsidP="00D20973">
      <w:pPr>
        <w:pStyle w:val="FootnoteText"/>
      </w:pPr>
      <w:r>
        <w:rPr>
          <w:rStyle w:val="FootnoteReference"/>
        </w:rPr>
        <w:footnoteRef/>
      </w:r>
      <w:r>
        <w:t xml:space="preserve"> These criteria are those that were in place for most of the period over which this evaluation has been based. DSS advise they were revised with regard to toys on  13 May 2013 to read:</w:t>
      </w:r>
    </w:p>
    <w:p w:rsidR="00F612EF" w:rsidRDefault="00F612EF" w:rsidP="00D20973">
      <w:pPr>
        <w:pStyle w:val="FootnoteText"/>
        <w:ind w:left="340"/>
      </w:pPr>
      <w:r>
        <w:t>'Toys if they meet the following criteria:</w:t>
      </w:r>
    </w:p>
    <w:p w:rsidR="00F612EF" w:rsidRDefault="00F612EF" w:rsidP="00D20973">
      <w:pPr>
        <w:pStyle w:val="FootnoteText"/>
        <w:ind w:left="340"/>
      </w:pPr>
      <w:r>
        <w:t>• provide opportunities for physical activity and develop gross-motor skills</w:t>
      </w:r>
    </w:p>
    <w:p w:rsidR="00F612EF" w:rsidRDefault="00F612EF" w:rsidP="00D20973">
      <w:pPr>
        <w:pStyle w:val="FootnoteText"/>
        <w:ind w:left="340"/>
      </w:pPr>
      <w:r>
        <w:t>• promote literacy, numeracy, thinking skills and social skills</w:t>
      </w:r>
    </w:p>
    <w:p w:rsidR="00F612EF" w:rsidRDefault="00F612EF" w:rsidP="00D20973">
      <w:pPr>
        <w:pStyle w:val="FootnoteText"/>
        <w:ind w:left="340"/>
      </w:pPr>
      <w:r>
        <w:t>• help children develop fine motor skills and imagination</w:t>
      </w:r>
    </w:p>
    <w:p w:rsidR="00F612EF" w:rsidRDefault="00F612EF" w:rsidP="00D20973">
      <w:pPr>
        <w:pStyle w:val="FootnoteText"/>
        <w:ind w:left="340"/>
      </w:pPr>
      <w:r>
        <w:t>• encourage creative play, role modelling, language development and fun.</w:t>
      </w:r>
    </w:p>
    <w:p w:rsidR="00F612EF" w:rsidRDefault="00F612EF" w:rsidP="00D20973">
      <w:pPr>
        <w:pStyle w:val="FootnoteText"/>
        <w:ind w:left="340"/>
      </w:pPr>
      <w:r>
        <w:tab/>
        <w:t>NB: Stores that primarily sell electronic consoles and games will be excluded from eligibility for the BasicsCard due to the requirement to sit while interacting with a screen rather than exercising and socialising, and due to the difficulties associated with limiting the sale of M rated games that potentially are violent or aggressive.'</w:t>
      </w:r>
    </w:p>
    <w:p w:rsidR="00F612EF" w:rsidRDefault="00F612EF" w:rsidP="00D20973">
      <w:pPr>
        <w:pStyle w:val="FootnoteText"/>
        <w:ind w:left="340"/>
      </w:pPr>
      <w:r>
        <w:t>DSS further advise “</w:t>
      </w:r>
      <w:proofErr w:type="gramStart"/>
      <w:r>
        <w:t>Consequently  the</w:t>
      </w:r>
      <w:proofErr w:type="gramEnd"/>
      <w:r>
        <w:t xml:space="preserve"> attachment was removed from </w:t>
      </w:r>
      <w:proofErr w:type="spellStart"/>
      <w:r>
        <w:t>eRef</w:t>
      </w:r>
      <w:proofErr w:type="spellEnd"/>
      <w:r>
        <w:t xml:space="preserve"> completely on 3/1/2014”.</w:t>
      </w:r>
    </w:p>
  </w:footnote>
  <w:footnote w:id="81">
    <w:p w:rsidR="00F612EF" w:rsidRDefault="00F612EF">
      <w:pPr>
        <w:pStyle w:val="FootnoteText"/>
      </w:pPr>
      <w:r>
        <w:rPr>
          <w:rStyle w:val="FootnoteReference"/>
        </w:rPr>
        <w:footnoteRef/>
      </w:r>
      <w:r>
        <w:t xml:space="preserve"> </w:t>
      </w:r>
      <w:r w:rsidRPr="00D20973">
        <w:t xml:space="preserve">The conditions relating to acquisition, repair or maintenance of </w:t>
      </w:r>
      <w:proofErr w:type="gramStart"/>
      <w:r w:rsidRPr="00D20973">
        <w:t>vehicles  reflect</w:t>
      </w:r>
      <w:proofErr w:type="gramEnd"/>
      <w:r w:rsidRPr="00D20973">
        <w:t xml:space="preserve"> legislative provisions</w:t>
      </w:r>
      <w:r>
        <w:t>.</w:t>
      </w:r>
    </w:p>
  </w:footnote>
  <w:footnote w:id="82">
    <w:p w:rsidR="00F612EF" w:rsidRDefault="00F612EF">
      <w:pPr>
        <w:pStyle w:val="FootnoteText"/>
      </w:pPr>
      <w:r>
        <w:rPr>
          <w:rStyle w:val="FootnoteReference"/>
        </w:rPr>
        <w:footnoteRef/>
      </w:r>
      <w:r>
        <w:t xml:space="preserve"> </w:t>
      </w:r>
      <w:r w:rsidRPr="00D20973">
        <w:t xml:space="preserve">An exception to this occurs when a person has not engaged with Centrelink within the required timeframe and income management is automatically applied. In these cases, Centrelink seeks to conduct an Initial Assessment </w:t>
      </w:r>
      <w:r>
        <w:t>I</w:t>
      </w:r>
      <w:r w:rsidRPr="00D20973">
        <w:t>nterview at the next opportunity</w:t>
      </w:r>
      <w:r>
        <w:t>.</w:t>
      </w:r>
    </w:p>
  </w:footnote>
  <w:footnote w:id="83">
    <w:p w:rsidR="00F612EF" w:rsidRDefault="00F612EF" w:rsidP="00BC2AD2">
      <w:pPr>
        <w:pStyle w:val="FootnoteText"/>
      </w:pPr>
      <w:r>
        <w:rPr>
          <w:rStyle w:val="FootnoteReference"/>
        </w:rPr>
        <w:footnoteRef/>
      </w:r>
      <w:r>
        <w:t xml:space="preserve"> </w:t>
      </w:r>
      <w:r>
        <w:tab/>
        <w:t>The data used in this analysis is based upon daily data provided by Centrelink for the purpose of the analysis. The data comprises two files, one for October 2011 and another for October 2013. The data here has been drawn from the latter file. For each individual subject to income management a fortnight of transactions has been extracted, usually in the first half of the month. Elsewhere in this chapter data are based on all BasicsCard transactions, not just those over this limited period.</w:t>
      </w:r>
    </w:p>
  </w:footnote>
  <w:footnote w:id="84">
    <w:p w:rsidR="00F612EF" w:rsidRDefault="00F612EF" w:rsidP="00C12453">
      <w:pPr>
        <w:pStyle w:val="FootnoteText"/>
      </w:pPr>
      <w:r>
        <w:rPr>
          <w:rStyle w:val="FootnoteReference"/>
        </w:rPr>
        <w:footnoteRef/>
      </w:r>
      <w:r>
        <w:t xml:space="preserve"> In this discussion the focus is on the allocation of funds to a BasicsCard and not whether the person has a BasicsCard issued to them. As noted in section </w:t>
      </w:r>
      <w:r>
        <w:fldChar w:fldCharType="begin"/>
      </w:r>
      <w:r>
        <w:instrText xml:space="preserve"> REF _Ref391538651 \r \h </w:instrText>
      </w:r>
      <w:r>
        <w:fldChar w:fldCharType="separate"/>
      </w:r>
      <w:r>
        <w:t>6.3.1</w:t>
      </w:r>
      <w:r>
        <w:fldChar w:fldCharType="end"/>
      </w:r>
      <w:r>
        <w:t xml:space="preserve">, only 1.0 per cent of the income managed population has not had a BasicsCard issued to them. </w:t>
      </w:r>
    </w:p>
  </w:footnote>
  <w:footnote w:id="85">
    <w:p w:rsidR="00F612EF" w:rsidRDefault="00F612EF">
      <w:pPr>
        <w:pStyle w:val="FootnoteText"/>
      </w:pPr>
      <w:r>
        <w:rPr>
          <w:rStyle w:val="FootnoteReference"/>
        </w:rPr>
        <w:footnoteRef/>
      </w:r>
      <w:r>
        <w:t xml:space="preserve"> </w:t>
      </w:r>
      <w:r w:rsidRPr="00D20973">
        <w:t xml:space="preserve">DSS advise that while there is potential for School Nutrition Payments to be made without the customer's consent, there is no evidence that this is occurring frequently.  They advise that </w:t>
      </w:r>
      <w:proofErr w:type="gramStart"/>
      <w:r w:rsidRPr="00D20973">
        <w:t>In</w:t>
      </w:r>
      <w:proofErr w:type="gramEnd"/>
      <w:r w:rsidRPr="00D20973">
        <w:t xml:space="preserve"> practice, Centrelink staff do not generally make allocations without the customer's consent</w:t>
      </w:r>
      <w:r>
        <w:t>.</w:t>
      </w:r>
    </w:p>
  </w:footnote>
  <w:footnote w:id="86">
    <w:p w:rsidR="00F612EF" w:rsidRPr="00BE2F8F" w:rsidRDefault="00F612EF" w:rsidP="00BC2AD2">
      <w:pPr>
        <w:pStyle w:val="FootnoteText"/>
      </w:pPr>
      <w:r w:rsidRPr="00883A5A">
        <w:rPr>
          <w:rStyle w:val="FootnoteReference"/>
        </w:rPr>
        <w:footnoteRef/>
      </w:r>
      <w:r w:rsidRPr="00883A5A">
        <w:t xml:space="preserve"> The </w:t>
      </w:r>
      <w:proofErr w:type="spellStart"/>
      <w:r w:rsidRPr="00883A5A">
        <w:t>Larrakia</w:t>
      </w:r>
      <w:proofErr w:type="spellEnd"/>
      <w:r w:rsidRPr="00883A5A">
        <w:t xml:space="preserve"> Nation Aboriginal Corporation is one of the major providers of this type of service for people in Darwin. See </w:t>
      </w:r>
      <w:proofErr w:type="spellStart"/>
      <w:r w:rsidRPr="00883A5A">
        <w:t>Larrakia</w:t>
      </w:r>
      <w:proofErr w:type="spellEnd"/>
      <w:r w:rsidRPr="00883A5A">
        <w:t xml:space="preserve"> Nation (2014). The conditions for the service include that the “Client must receive Centrelink payments…. Client must sign Centrepay deduction form.” </w:t>
      </w:r>
    </w:p>
  </w:footnote>
  <w:footnote w:id="87">
    <w:p w:rsidR="00F612EF" w:rsidRDefault="00F612EF" w:rsidP="00BC2AD2">
      <w:pPr>
        <w:pStyle w:val="FootnoteText"/>
      </w:pPr>
      <w:r>
        <w:rPr>
          <w:rStyle w:val="FootnoteReference"/>
        </w:rPr>
        <w:footnoteRef/>
      </w:r>
      <w:r>
        <w:t xml:space="preserve"> This number may include a small number of replacement cards issued in 2010 to people who were still on NTER Income Management at the time of the replacement.</w:t>
      </w:r>
    </w:p>
  </w:footnote>
  <w:footnote w:id="88">
    <w:p w:rsidR="00F612EF" w:rsidRDefault="00F612EF" w:rsidP="00BC2AD2">
      <w:pPr>
        <w:pStyle w:val="FootnoteText"/>
      </w:pPr>
      <w:r>
        <w:rPr>
          <w:rStyle w:val="FootnoteReference"/>
        </w:rPr>
        <w:footnoteRef/>
      </w:r>
      <w:r>
        <w:t xml:space="preserve"> Defined on the basis of the </w:t>
      </w:r>
      <w:proofErr w:type="gramStart"/>
      <w:r>
        <w:t>final  income</w:t>
      </w:r>
      <w:proofErr w:type="gramEnd"/>
      <w:r>
        <w:t xml:space="preserve"> management status. Hence people who have ended a past spell on income management with a classification of compulsory are classified as having been on compulsory even if they may have spent more time on other measures. For current spells people are again classified by their current income-management stream. Chapter 4 has presented some analysis of transitions between payments. </w:t>
      </w:r>
    </w:p>
  </w:footnote>
  <w:footnote w:id="89">
    <w:p w:rsidR="00F612EF" w:rsidRDefault="00F612EF" w:rsidP="00BC2AD2">
      <w:pPr>
        <w:pStyle w:val="FootnoteText"/>
      </w:pPr>
      <w:r>
        <w:rPr>
          <w:rStyle w:val="FootnoteReference"/>
        </w:rPr>
        <w:footnoteRef/>
      </w:r>
      <w:r>
        <w:t xml:space="preserve"> It should be noted that these data are based on a fortnightly average number of transactions for each person, constructed as an average over the period in 2013 for which they had transactions on their BasicsCard account. For convenience and clarity this is provided as a pseudo fortnight of spending. This approach has allowed streamlining of the number of transactions and has reduced the number of outliers with nil or large numbers of transactions in any one fortnight. A consequence of this is that when the number of transactions is presented in the table and in discussion this refers to an average, and not a discrete specific monthly count, hence the fact that the number of transactions at some points of the distribution is expressed in decimals. </w:t>
      </w:r>
    </w:p>
  </w:footnote>
  <w:footnote w:id="90">
    <w:p w:rsidR="00F612EF" w:rsidRDefault="00F612EF" w:rsidP="00C12453">
      <w:pPr>
        <w:pStyle w:val="FootnoteText"/>
      </w:pPr>
      <w:r>
        <w:rPr>
          <w:rStyle w:val="FootnoteReference"/>
        </w:rPr>
        <w:footnoteRef/>
      </w:r>
      <w:r>
        <w:t xml:space="preserve"> The median is the middle of the distribution – where half of the transactions are of a greater value and half are of a lesser value. The distributions of the number of transactions and the value of transactions are independent. That is, for example, the p25 value of transfers is based upon the distribution of all transfers ranked by value: it is not the value of the transaction which has been identified as being at the 25th percentile of the distribution of frequency of the number of transactions.</w:t>
      </w:r>
    </w:p>
  </w:footnote>
  <w:footnote w:id="91">
    <w:p w:rsidR="00F612EF" w:rsidRDefault="00F612EF" w:rsidP="00BC2AD2">
      <w:pPr>
        <w:pStyle w:val="FootnoteText"/>
      </w:pPr>
      <w:r>
        <w:rPr>
          <w:rStyle w:val="FootnoteReference"/>
        </w:rPr>
        <w:footnoteRef/>
      </w:r>
      <w:r>
        <w:t xml:space="preserve"> ALPA stores consist of both stores owned by the members of these communities and stores that they manage on behalf of other communities. Outback Stores is a Commonwealth Government-owned company with an independent board, </w:t>
      </w:r>
      <w:r w:rsidRPr="00D072EB">
        <w:t>provid</w:t>
      </w:r>
      <w:r>
        <w:t>ing</w:t>
      </w:r>
      <w:r w:rsidRPr="00D072EB">
        <w:t xml:space="preserve"> retail services to remote stores on behalf of Indigenous communities</w:t>
      </w:r>
      <w:r>
        <w:t xml:space="preserve">. </w:t>
      </w:r>
    </w:p>
  </w:footnote>
  <w:footnote w:id="92">
    <w:p w:rsidR="00F612EF" w:rsidRDefault="00F612EF" w:rsidP="00BC2AD2">
      <w:pPr>
        <w:pStyle w:val="FootnoteText"/>
      </w:pPr>
      <w:r>
        <w:rPr>
          <w:rStyle w:val="FootnoteReference"/>
        </w:rPr>
        <w:footnoteRef/>
      </w:r>
      <w:r>
        <w:t xml:space="preserve"> Detailed ownership data are not available on the dataset provided by DSS for the purpose of the evaluation. The identification of Community and other stores has been derived from the trading name and other publicly available data.</w:t>
      </w:r>
    </w:p>
  </w:footnote>
  <w:footnote w:id="93">
    <w:p w:rsidR="00F612EF" w:rsidRDefault="00F612EF" w:rsidP="00B4703E">
      <w:pPr>
        <w:pStyle w:val="FootnoteText"/>
      </w:pPr>
      <w:r>
        <w:rPr>
          <w:rStyle w:val="FootnoteReference"/>
        </w:rPr>
        <w:footnoteRef/>
      </w:r>
      <w:r>
        <w:t xml:space="preserve"> Some service stations are, however, only approved for BasicsCard for fuel and related automotive product sales.</w:t>
      </w:r>
    </w:p>
  </w:footnote>
  <w:footnote w:id="94">
    <w:p w:rsidR="00F612EF" w:rsidRDefault="00F612EF" w:rsidP="00BC2AD2">
      <w:pPr>
        <w:pStyle w:val="FootnoteText"/>
      </w:pPr>
      <w:r>
        <w:rPr>
          <w:rStyle w:val="FootnoteReference"/>
        </w:rPr>
        <w:footnoteRef/>
      </w:r>
      <w:r>
        <w:t xml:space="preserve"> </w:t>
      </w:r>
      <w:r w:rsidRPr="00931DFC">
        <w:t xml:space="preserve">There is considerable variation in the estimated market shares of the major supermarket groups, in part associated with the definition of the scope of the market – for example groceries only or more widely.  The Australian Competition and Consumer Commission in 2008 stated “the ACCC’s view is that the MSCs [major supermarket chains] account for between 55 per cent and 60 per cent of consumer expenditure on grocery items. Woolworths accounts for at least 30 per cent and Coles around 25 per cent.” (ACCC, 2008 p 48)). In a report for Coles, </w:t>
      </w:r>
      <w:proofErr w:type="spellStart"/>
      <w:r w:rsidRPr="00931DFC">
        <w:t>Delloite</w:t>
      </w:r>
      <w:proofErr w:type="spellEnd"/>
      <w:r w:rsidRPr="00931DFC">
        <w:t xml:space="preserve"> Access Economics report data from Coles which estimates that Woolworths had 41.1 per cent of the grocery market and Coles/</w:t>
      </w:r>
      <w:proofErr w:type="spellStart"/>
      <w:r w:rsidRPr="00931DFC">
        <w:t>Bi-Lo</w:t>
      </w:r>
      <w:proofErr w:type="spellEnd"/>
      <w:r w:rsidRPr="00931DFC">
        <w:t xml:space="preserve"> 31.0 per cent (see Deloitte Access Economics, 2012). The Master Grocers Australia, claim that Woolworths and Coles control 75 per cent of the grocery market in Australia (see Master Grocers Australia, 2014). Roy Morgan estimated in December 2013 that spending at Woolworths accounts for 39.0 per cent of all grocery dollars with spending at Coles accounting for a further 33.5 per cent – a total of 72.5 per cent. (Roy Morgan Research, 2014)</w:t>
      </w:r>
    </w:p>
  </w:footnote>
  <w:footnote w:id="95">
    <w:p w:rsidR="00F612EF" w:rsidRDefault="00F612EF">
      <w:pPr>
        <w:pStyle w:val="FootnoteText"/>
      </w:pPr>
      <w:r>
        <w:rPr>
          <w:rStyle w:val="FootnoteReference"/>
        </w:rPr>
        <w:footnoteRef/>
      </w:r>
      <w:r>
        <w:t xml:space="preserve"> In discussions in the feedback process in September 2014 it was reported that because of this high rejection rate many taxi drivers were quoting a fixed fare and then charging this to BasicsCard prior to making the trip. Data on taxi fares charged to BasicsCard indicates that there are a large number of transactions which seem to be for a fixed amount, rather than the distribution which would be expected if distance based fares were charged.</w:t>
      </w:r>
    </w:p>
  </w:footnote>
  <w:footnote w:id="96">
    <w:p w:rsidR="00F612EF" w:rsidRDefault="00F612EF" w:rsidP="00BC2AD2">
      <w:pPr>
        <w:pStyle w:val="FootnoteText"/>
      </w:pPr>
      <w:r>
        <w:rPr>
          <w:rStyle w:val="FootnoteReference"/>
        </w:rPr>
        <w:footnoteRef/>
      </w:r>
      <w:r>
        <w:t xml:space="preserve"> While this is presented as an aggregate proportion from the LSNIM as a matter of simplicity and ease of interpretation, this needs to be viewed with some caution. The LSNIM, as has been indicated previously, is not designed as a representative population survey and has an oversampling of some groups including non-Indigenous, and does not cover all locations. Hence this figure while suggestive should not be interpreted as being representative of the income managed population overall.</w:t>
      </w:r>
    </w:p>
  </w:footnote>
  <w:footnote w:id="97">
    <w:p w:rsidR="00F612EF" w:rsidRDefault="00F612EF" w:rsidP="00BC2AD2">
      <w:pPr>
        <w:pStyle w:val="FootnoteText"/>
      </w:pPr>
      <w:r>
        <w:rPr>
          <w:rStyle w:val="FootnoteReference"/>
        </w:rPr>
        <w:footnoteRef/>
      </w:r>
      <w:r>
        <w:t xml:space="preserve"> No attempt was made to obtain data on the discount rate which applied in these transactions.</w:t>
      </w:r>
    </w:p>
  </w:footnote>
  <w:footnote w:id="98">
    <w:p w:rsidR="00F612EF" w:rsidRDefault="00F612EF" w:rsidP="00BC2AD2">
      <w:pPr>
        <w:pStyle w:val="FootnoteText"/>
      </w:pPr>
      <w:r>
        <w:rPr>
          <w:rStyle w:val="FootnoteReference"/>
        </w:rPr>
        <w:footnoteRef/>
      </w:r>
      <w:r>
        <w:t xml:space="preserve"> The Centrelink merchant terms and conditions state that the merchant “(f) not impose any charge or fee on a Card Holder, in addition to the price of the goods and services to be supplied, because the Card Holder has made a BasicsCard Transaction, unless the Merchant imposes that same charge or fee on all EFTPOS card transactions it processes; (g) not impose a minimum spend for a BasicsCard Transaction of more than $5” (see Department of Human Services, 2014b). </w:t>
      </w:r>
      <w:r w:rsidRPr="009C5859">
        <w:t>DSS state that the experience reported by people of paying higher minimum purchase amounts “is not supported by compliance checks</w:t>
      </w:r>
      <w:r>
        <w:t>.</w:t>
      </w:r>
    </w:p>
  </w:footnote>
  <w:footnote w:id="99">
    <w:p w:rsidR="00F612EF" w:rsidRDefault="00F612EF" w:rsidP="00BC2AD2">
      <w:pPr>
        <w:pStyle w:val="FootnoteText"/>
      </w:pPr>
      <w:r>
        <w:rPr>
          <w:rStyle w:val="FootnoteReference"/>
        </w:rPr>
        <w:footnoteRef/>
      </w:r>
      <w:r>
        <w:t xml:space="preserve"> </w:t>
      </w:r>
      <w:r>
        <w:tab/>
        <w:t xml:space="preserve">While the BasicsCard was apparently accepted by some Post Offices, it was not accepted at others. According to Australia Post (2013), changes to the Australia Post electronic transaction system have now enabled it to become an approved BasicsCard merchant. </w:t>
      </w:r>
      <w:r w:rsidRPr="009C5859">
        <w:t xml:space="preserve">DSS advise that from 20 January 2014 customers can use BasicsCard at Australia Post outlets to pay bills that have </w:t>
      </w:r>
      <w:proofErr w:type="spellStart"/>
      <w:r w:rsidRPr="009C5859">
        <w:t>POSTbillpay</w:t>
      </w:r>
      <w:proofErr w:type="spellEnd"/>
      <w:r w:rsidRPr="009C5859">
        <w:t xml:space="preserve"> as an option, purchase phone credits, stamps or send parcels.</w:t>
      </w:r>
    </w:p>
  </w:footnote>
  <w:footnote w:id="100">
    <w:p w:rsidR="00F612EF" w:rsidRDefault="00F612EF">
      <w:pPr>
        <w:pStyle w:val="FootnoteText"/>
      </w:pPr>
      <w:r>
        <w:rPr>
          <w:rStyle w:val="FootnoteReference"/>
        </w:rPr>
        <w:footnoteRef/>
      </w:r>
      <w:r>
        <w:t xml:space="preserve"> </w:t>
      </w:r>
      <w:r w:rsidRPr="009C5859">
        <w:t xml:space="preserve">DSS advise that </w:t>
      </w:r>
      <w:r>
        <w:t>o</w:t>
      </w:r>
      <w:r w:rsidRPr="00D1211F">
        <w:t>n 3 June 2014 Power and Water were approved to accept payment via BasicsCard</w:t>
      </w:r>
      <w:r w:rsidRPr="009C5859">
        <w:t>”.</w:t>
      </w:r>
    </w:p>
  </w:footnote>
  <w:footnote w:id="101">
    <w:p w:rsidR="00F612EF" w:rsidRDefault="00F612EF">
      <w:pPr>
        <w:pStyle w:val="FootnoteText"/>
      </w:pPr>
      <w:r>
        <w:rPr>
          <w:rStyle w:val="FootnoteReference"/>
        </w:rPr>
        <w:footnoteRef/>
      </w:r>
      <w:r>
        <w:t xml:space="preserve"> In discussions associated with providing feedback to communities which had participated in the LSNIM a number of additional purchasing problems were raised. These were difficulties with purchasing second hand motor vehicles through private arrangements, as opposed to car yards, and that while it was easy to use the BasicsCard when travelling to purchase fuel there were greater difficulties with items such as tyres.</w:t>
      </w:r>
    </w:p>
  </w:footnote>
  <w:footnote w:id="102">
    <w:p w:rsidR="00F612EF" w:rsidRDefault="00F612EF" w:rsidP="00BC2AD2">
      <w:pPr>
        <w:pStyle w:val="FootnoteText"/>
      </w:pPr>
      <w:r>
        <w:rPr>
          <w:rStyle w:val="FootnoteReference"/>
        </w:rPr>
        <w:footnoteRef/>
      </w:r>
      <w:r>
        <w:t xml:space="preserve"> While this aspect is subject to audit and stores need to maintain detailed records of all sales, this is only undertaken retrospectively and hence action cannot be taken in any one sale, although persistent breaches may lead to withdrawal of the merchant’s approval to accept BasicsCard.</w:t>
      </w:r>
    </w:p>
  </w:footnote>
  <w:footnote w:id="103">
    <w:p w:rsidR="00F612EF" w:rsidRDefault="00F612EF" w:rsidP="00BC2AD2">
      <w:pPr>
        <w:pStyle w:val="FootnoteText"/>
      </w:pPr>
      <w:r>
        <w:rPr>
          <w:rStyle w:val="FootnoteReference"/>
        </w:rPr>
        <w:footnoteRef/>
      </w:r>
      <w:r>
        <w:t xml:space="preserve"> This pressure can be particularly strong in smaller communities where Indigenous staff members may have cultural obligations to those seeking to make such purchases.</w:t>
      </w:r>
    </w:p>
  </w:footnote>
  <w:footnote w:id="104">
    <w:p w:rsidR="00F612EF" w:rsidRDefault="00F612EF" w:rsidP="00BC2AD2">
      <w:pPr>
        <w:pStyle w:val="FootnoteText"/>
      </w:pPr>
      <w:r>
        <w:rPr>
          <w:rStyle w:val="FootnoteReference"/>
        </w:rPr>
        <w:footnoteRef/>
      </w:r>
      <w:r>
        <w:t xml:space="preserve"> This is also likely to be the case with pornography, where similar age restrictions apply, although this was not followed up in any of the discussions. </w:t>
      </w:r>
    </w:p>
  </w:footnote>
  <w:footnote w:id="105">
    <w:p w:rsidR="00F612EF" w:rsidRDefault="00F612EF" w:rsidP="00BC2AD2">
      <w:pPr>
        <w:pStyle w:val="FootnoteText"/>
      </w:pPr>
      <w:r>
        <w:rPr>
          <w:rStyle w:val="FootnoteReference"/>
        </w:rPr>
        <w:footnoteRef/>
      </w:r>
      <w:r>
        <w:t xml:space="preserve"> </w:t>
      </w:r>
      <w:r w:rsidRPr="00EE2D69">
        <w:t>The classification system does not permit the easy identification of food items and the data can be grouped in various ways. It should be noted that the classification of “Other grocery” contains a range of dry food products as well as other grocery items such as cleaning products.</w:t>
      </w:r>
    </w:p>
  </w:footnote>
  <w:footnote w:id="106">
    <w:p w:rsidR="00F612EF" w:rsidRDefault="00F612EF" w:rsidP="00BC2AD2">
      <w:pPr>
        <w:pStyle w:val="FootnoteText"/>
      </w:pPr>
      <w:r>
        <w:rPr>
          <w:rStyle w:val="FootnoteReference"/>
        </w:rPr>
        <w:footnoteRef/>
      </w:r>
      <w:r>
        <w:t xml:space="preserve"> In this detailed analysis we have only extracted data for those sales that have been successfully completed using a BasicsCard. Hence where no sale was made, no details were obtained. Similarly, a sale that failed on BasicsCard but then was successfully transacted on a private card or in cash is not identified.</w:t>
      </w:r>
    </w:p>
  </w:footnote>
  <w:footnote w:id="107">
    <w:p w:rsidR="00F612EF" w:rsidRDefault="00F612EF" w:rsidP="00BC2AD2">
      <w:pPr>
        <w:pStyle w:val="FootnoteText"/>
      </w:pPr>
      <w:r>
        <w:rPr>
          <w:rStyle w:val="FootnoteReference"/>
        </w:rPr>
        <w:footnoteRef/>
      </w:r>
      <w:r>
        <w:t xml:space="preserve"> All have been undertaken using robust regression techniques.</w:t>
      </w:r>
    </w:p>
  </w:footnote>
  <w:footnote w:id="108">
    <w:p w:rsidR="00F612EF" w:rsidRDefault="00F612EF" w:rsidP="00BC2AD2">
      <w:pPr>
        <w:pStyle w:val="FootnoteText"/>
      </w:pPr>
      <w:r>
        <w:rPr>
          <w:rStyle w:val="FootnoteReference"/>
        </w:rPr>
        <w:footnoteRef/>
      </w:r>
      <w:r>
        <w:t xml:space="preserve"> For these regressions two sliding windows were used to select the population based upon their use of the BasicsCard. The first was whether the person used their card both prior to 1 March and after 30 November in the particular year, or used their card prior to 1 February and after 30 October. If either of these criteria was met they were kept within the analysis population for the year.</w:t>
      </w:r>
    </w:p>
  </w:footnote>
  <w:footnote w:id="109">
    <w:p w:rsidR="00F612EF" w:rsidRDefault="00F612EF" w:rsidP="00BC2AD2">
      <w:pPr>
        <w:pStyle w:val="FootnoteText"/>
      </w:pPr>
      <w:r>
        <w:rPr>
          <w:rStyle w:val="FootnoteReference"/>
        </w:rPr>
        <w:footnoteRef/>
      </w:r>
      <w:r>
        <w:t xml:space="preserve"> The inverse Hyperbolic Sine function is similar to using the logarithm, but is a transformation that can be used with data with significant numbers of zero values.</w:t>
      </w:r>
    </w:p>
  </w:footnote>
  <w:footnote w:id="110">
    <w:p w:rsidR="00F612EF" w:rsidRDefault="00F612EF" w:rsidP="00BC2AD2">
      <w:pPr>
        <w:pStyle w:val="FootnoteText"/>
      </w:pPr>
      <w:r>
        <w:rPr>
          <w:rStyle w:val="FootnoteReference"/>
        </w:rPr>
        <w:footnoteRef/>
      </w:r>
      <w:r>
        <w:t xml:space="preserve"> While described here as the initial transaction, it is effectively the last unsuccessful transaction which is being recorded. In many cases the transaction involves multiple attempted transactions with a reducing balance each time. In the data extraction, however, only the last transaction that was rejected due to an inadequate balance has been included.</w:t>
      </w:r>
    </w:p>
  </w:footnote>
  <w:footnote w:id="111">
    <w:p w:rsidR="00F612EF" w:rsidRDefault="00F612EF">
      <w:pPr>
        <w:pStyle w:val="FootnoteText"/>
      </w:pPr>
      <w:r>
        <w:rPr>
          <w:rStyle w:val="FootnoteReference"/>
        </w:rPr>
        <w:footnoteRef/>
      </w:r>
      <w:r>
        <w:t xml:space="preserve"> Problems in checking balances, including excess waiting times and non-functioning equipment were repeatedly raised in the September 2014 feedback process.  This suggests that some significant issues still remain.</w:t>
      </w:r>
    </w:p>
  </w:footnote>
  <w:footnote w:id="112">
    <w:p w:rsidR="00F612EF" w:rsidRDefault="00F612EF" w:rsidP="00BC2AD2">
      <w:pPr>
        <w:pStyle w:val="FootnoteText"/>
      </w:pPr>
      <w:r>
        <w:rPr>
          <w:rStyle w:val="FootnoteReference"/>
        </w:rPr>
        <w:footnoteRef/>
      </w:r>
      <w:r>
        <w:t xml:space="preserve"> </w:t>
      </w:r>
      <w:r w:rsidRPr="006F1365">
        <w:t>The size of the cohorts var</w:t>
      </w:r>
      <w:r>
        <w:t>ies</w:t>
      </w:r>
      <w:r w:rsidRPr="006F1365">
        <w:t xml:space="preserve"> considerably. For the population still on income management at the end December 2013</w:t>
      </w:r>
      <w:r>
        <w:t>,</w:t>
      </w:r>
      <w:r w:rsidRPr="006F1365">
        <w:t xml:space="preserve"> 44.9 per cent are in the 2009 cohort, 22.0 per cent in the 2010 cohort, 11.4 in the 2011 cohort, 9.4 per cent in the 2012 cohort</w:t>
      </w:r>
      <w:r>
        <w:t>,</w:t>
      </w:r>
      <w:r w:rsidRPr="006F1365">
        <w:t xml:space="preserve"> and 12.4 per cent in the 2013 cohort.</w:t>
      </w:r>
    </w:p>
  </w:footnote>
  <w:footnote w:id="113">
    <w:p w:rsidR="00F612EF" w:rsidRDefault="00F612EF" w:rsidP="00BC2AD2">
      <w:pPr>
        <w:pStyle w:val="FootnoteText"/>
      </w:pPr>
      <w:r>
        <w:rPr>
          <w:rStyle w:val="FootnoteReference"/>
        </w:rPr>
        <w:footnoteRef/>
      </w:r>
      <w:r>
        <w:t xml:space="preserve"> </w:t>
      </w:r>
      <w:r w:rsidRPr="001E4ADD">
        <w:t>This approach is noted in the DSS</w:t>
      </w:r>
      <w:r>
        <w:t xml:space="preserve"> </w:t>
      </w:r>
      <w:r w:rsidRPr="001E4ADD">
        <w:t>explanatory page “How does income management work?”: “This means people can plan ahead to buy larger items such as motor vehicles or whitegoods wit</w:t>
      </w:r>
      <w:r>
        <w:t>h their income managed funds” (DSS, 2014i</w:t>
      </w:r>
      <w:proofErr w:type="gramStart"/>
      <w:r>
        <w:t>) .</w:t>
      </w:r>
      <w:proofErr w:type="gramEnd"/>
    </w:p>
  </w:footnote>
  <w:footnote w:id="114">
    <w:p w:rsidR="00F612EF" w:rsidRDefault="00F612EF" w:rsidP="00BC2AD2">
      <w:pPr>
        <w:pStyle w:val="FootnoteText"/>
      </w:pPr>
      <w:r>
        <w:rPr>
          <w:rStyle w:val="FootnoteReference"/>
        </w:rPr>
        <w:footnoteRef/>
      </w:r>
      <w:r>
        <w:t xml:space="preserve"> </w:t>
      </w:r>
      <w:r w:rsidRPr="00CA34ED">
        <w:t xml:space="preserve">The </w:t>
      </w:r>
      <w:r>
        <w:t>I</w:t>
      </w:r>
      <w:r w:rsidRPr="00CA34ED">
        <w:t xml:space="preserve">ncome </w:t>
      </w:r>
      <w:r>
        <w:t>S</w:t>
      </w:r>
      <w:r w:rsidRPr="00CA34ED">
        <w:t xml:space="preserve">upport </w:t>
      </w:r>
      <w:r>
        <w:t>B</w:t>
      </w:r>
      <w:r w:rsidRPr="00CA34ED">
        <w:t xml:space="preserve">onus payment was </w:t>
      </w:r>
      <w:proofErr w:type="gramStart"/>
      <w:r w:rsidRPr="00CA34ED">
        <w:t>part</w:t>
      </w:r>
      <w:proofErr w:type="gramEnd"/>
      <w:r w:rsidRPr="00CA34ED">
        <w:t xml:space="preserve"> of the then Government’s 2012-13 budget commitment to introduce a new supplementary allowance for certain income support recipients. The objective was to enable them to manage unanticipated expenses such as urgent repairs on the family car or appliances, bills that are higher than expected</w:t>
      </w:r>
      <w:r>
        <w:t>,</w:t>
      </w:r>
      <w:r w:rsidRPr="00CA34ED">
        <w:t xml:space="preserve"> or unforeseeable medical or dental cost</w:t>
      </w:r>
      <w:r>
        <w:t>s</w:t>
      </w:r>
      <w:r w:rsidRPr="00CA34ED">
        <w:t xml:space="preserve"> by providing an additional $210 a year to single recipients and $175 a year to members of a couple. The payment was made to recipients of</w:t>
      </w:r>
      <w:r>
        <w:t xml:space="preserve"> </w:t>
      </w:r>
      <w:r w:rsidRPr="00CA34ED">
        <w:t xml:space="preserve">Newstart </w:t>
      </w:r>
      <w:r>
        <w:t>A</w:t>
      </w:r>
      <w:r w:rsidRPr="00CA34ED">
        <w:t xml:space="preserve">llowance, </w:t>
      </w:r>
      <w:r>
        <w:t>Y</w:t>
      </w:r>
      <w:r w:rsidRPr="00CA34ED">
        <w:t xml:space="preserve">outh </w:t>
      </w:r>
      <w:r>
        <w:t>A</w:t>
      </w:r>
      <w:r w:rsidRPr="00CA34ED">
        <w:t xml:space="preserve">llowance, </w:t>
      </w:r>
      <w:r>
        <w:t>P</w:t>
      </w:r>
      <w:r w:rsidRPr="00CA34ED">
        <w:t xml:space="preserve">arenting </w:t>
      </w:r>
      <w:r>
        <w:t>P</w:t>
      </w:r>
      <w:r w:rsidRPr="00CA34ED">
        <w:t xml:space="preserve">ayment, </w:t>
      </w:r>
      <w:proofErr w:type="spellStart"/>
      <w:r w:rsidRPr="00CA34ED">
        <w:t>Austudy</w:t>
      </w:r>
      <w:proofErr w:type="spellEnd"/>
      <w:r w:rsidRPr="00CA34ED">
        <w:t xml:space="preserve">, ABSTUDY, Living Away From Home Allowance, </w:t>
      </w:r>
      <w:r>
        <w:t>S</w:t>
      </w:r>
      <w:r w:rsidRPr="00CA34ED">
        <w:t xml:space="preserve">ickness </w:t>
      </w:r>
      <w:r>
        <w:t>A</w:t>
      </w:r>
      <w:r w:rsidRPr="00CA34ED">
        <w:t>llowance, Exceptional Circumstances Relief Payment, Transitional Farm Family Payment</w:t>
      </w:r>
      <w:r>
        <w:t>,</w:t>
      </w:r>
      <w:r w:rsidRPr="00CA34ED">
        <w:t xml:space="preserve"> </w:t>
      </w:r>
      <w:r>
        <w:t>a</w:t>
      </w:r>
      <w:r w:rsidRPr="00CA34ED">
        <w:t xml:space="preserve">nd Special Benefit. The Government has announced its intention to abolish this </w:t>
      </w:r>
      <w:r>
        <w:t xml:space="preserve">supplementary </w:t>
      </w:r>
      <w:r w:rsidRPr="00CA34ED">
        <w:t>payment</w:t>
      </w:r>
      <w:r>
        <w:t>.</w:t>
      </w:r>
    </w:p>
  </w:footnote>
  <w:footnote w:id="115">
    <w:p w:rsidR="00F612EF" w:rsidRDefault="00F612EF" w:rsidP="00BC2AD2">
      <w:pPr>
        <w:pStyle w:val="FootnoteText"/>
      </w:pPr>
      <w:r>
        <w:rPr>
          <w:rStyle w:val="FootnoteReference"/>
        </w:rPr>
        <w:footnoteRef/>
      </w:r>
      <w:r>
        <w:t xml:space="preserve"> </w:t>
      </w:r>
      <w:r w:rsidRPr="00F84F3D">
        <w:t xml:space="preserve">As detailed in Appendix B there were 1,083 </w:t>
      </w:r>
      <w:r>
        <w:t>Wave 2</w:t>
      </w:r>
      <w:r w:rsidRPr="00F84F3D">
        <w:t xml:space="preserve"> surveys completed</w:t>
      </w:r>
      <w:r>
        <w:t>;</w:t>
      </w:r>
      <w:r w:rsidRPr="00F84F3D">
        <w:t xml:space="preserve"> of these 1,021 were described as complete</w:t>
      </w:r>
      <w:r>
        <w:t>,</w:t>
      </w:r>
      <w:r w:rsidRPr="00F84F3D">
        <w:t xml:space="preserve"> 52 as incomplete</w:t>
      </w:r>
      <w:r>
        <w:t>,</w:t>
      </w:r>
      <w:r w:rsidRPr="00F84F3D">
        <w:t xml:space="preserve"> and </w:t>
      </w:r>
      <w:r>
        <w:t>ten</w:t>
      </w:r>
      <w:r w:rsidRPr="00F84F3D">
        <w:t xml:space="preserve"> partial.</w:t>
      </w:r>
      <w:r>
        <w:t xml:space="preserve"> </w:t>
      </w:r>
      <w:r w:rsidRPr="00F84F3D">
        <w:t>For the analysis here a number of the incomplete and partial survey responses have been used where they contain usable data.</w:t>
      </w:r>
    </w:p>
  </w:footnote>
  <w:footnote w:id="116">
    <w:p w:rsidR="00F612EF" w:rsidRDefault="00F612EF">
      <w:pPr>
        <w:pStyle w:val="FootnoteText"/>
      </w:pPr>
      <w:r>
        <w:rPr>
          <w:rStyle w:val="FootnoteReference"/>
        </w:rPr>
        <w:footnoteRef/>
      </w:r>
      <w:r>
        <w:t xml:space="preserve"> The second wave questions in the LSNIM required a degree of complex sequencing dependent upon the initial and current income management status of individuals. The problems of identifying this status accurately, along with some differences in the administrative sample selection data and person’s perception of their income management status raised some issues with this sequencing.  These were addressed in post-survey data processing.</w:t>
      </w:r>
    </w:p>
  </w:footnote>
  <w:footnote w:id="117">
    <w:p w:rsidR="00F612EF" w:rsidRDefault="00F612EF" w:rsidP="00BC2AD2">
      <w:pPr>
        <w:pStyle w:val="FootnoteText"/>
      </w:pPr>
      <w:r>
        <w:rPr>
          <w:rStyle w:val="FootnoteReference"/>
        </w:rPr>
        <w:footnoteRef/>
      </w:r>
      <w:r>
        <w:t xml:space="preserve"> This type of response also needs to be considered from the perspective of attribution theory, and the extent to which people seek to relate outcomes to a particular cause, and also the extent to which income management is associated with income support, and the lack of clarity among some respondents in this regard. In other words, income management may be viewed positively because it is seen as part of the package of income support and income management – and hence people consider the fact that they receive income as being the positive; or, conversely, negative views may reflect feelings about the rate of payment they receive. </w:t>
      </w:r>
    </w:p>
  </w:footnote>
  <w:footnote w:id="118">
    <w:p w:rsidR="00F612EF" w:rsidRDefault="00F612EF" w:rsidP="00BC2AD2">
      <w:pPr>
        <w:pStyle w:val="FootnoteText"/>
      </w:pPr>
      <w:r>
        <w:rPr>
          <w:rStyle w:val="FootnoteReference"/>
        </w:rPr>
        <w:footnoteRef/>
      </w:r>
      <w:r>
        <w:t xml:space="preserve"> Notwithstanding this result, because of the sample design and the deliberate policy of oversampling the potential non-Indigenous population, the results in this analysis are mainly provided according to Indigeneity rather than attempting to group data by location.</w:t>
      </w:r>
    </w:p>
  </w:footnote>
  <w:footnote w:id="119">
    <w:p w:rsidR="00F612EF" w:rsidRDefault="00F612EF" w:rsidP="00BC2AD2">
      <w:pPr>
        <w:pStyle w:val="FootnoteText"/>
      </w:pPr>
      <w:r>
        <w:rPr>
          <w:rStyle w:val="FootnoteReference"/>
        </w:rPr>
        <w:footnoteRef/>
      </w:r>
      <w:r>
        <w:t xml:space="preserve"> The group with exemptions was excluded from this analysis as only a small number responded to this question and in many cases people gained exemptions with little if any actual experience of income management. </w:t>
      </w:r>
    </w:p>
  </w:footnote>
  <w:footnote w:id="120">
    <w:p w:rsidR="00F612EF" w:rsidRDefault="00F612EF" w:rsidP="00BC2AD2">
      <w:pPr>
        <w:pStyle w:val="FootnoteText"/>
      </w:pPr>
      <w:r>
        <w:rPr>
          <w:rStyle w:val="FootnoteReference"/>
        </w:rPr>
        <w:footnoteRef/>
      </w:r>
      <w:r>
        <w:t xml:space="preserve"> The balance between demand sharing as a cultural value and as an exploitative process has been discussed extensively by Noel Pearson, often linked with the impact of passive welfare: </w:t>
      </w:r>
      <w:r w:rsidRPr="00E51DB5">
        <w:t>“Demand sharing was ultimately reciprocal and underpinned generosity and mutuality. But when demand sharing came into contact with passive welfare, alcohol, drugs and gambling, what was a valuable cultural tradition was highly susceptible to corruption and exploitation” (Pearson, 2007)</w:t>
      </w:r>
      <w:r>
        <w:t>.</w:t>
      </w:r>
      <w:r w:rsidRPr="00E51DB5">
        <w:t xml:space="preserve"> More generally</w:t>
      </w:r>
      <w:r>
        <w:t>,</w:t>
      </w:r>
      <w:r w:rsidRPr="00E51DB5">
        <w:t xml:space="preserve"> he has also identified a link with people</w:t>
      </w:r>
      <w:r>
        <w:t xml:space="preserve"> being</w:t>
      </w:r>
      <w:r w:rsidRPr="00E51DB5">
        <w:t xml:space="preserve"> frustrat</w:t>
      </w:r>
      <w:r>
        <w:t xml:space="preserve">ed in their efforts </w:t>
      </w:r>
      <w:r w:rsidRPr="00E51DB5">
        <w:t>to find an outlet for their aspirations: “For the majority who are daunted by the prospect of realising self</w:t>
      </w:r>
      <w:r w:rsidRPr="00E51DB5">
        <w:rPr>
          <w:rFonts w:ascii="Cambria Math" w:hAnsi="Cambria Math" w:cs="Cambria Math"/>
        </w:rPr>
        <w:t>‐</w:t>
      </w:r>
      <w:r w:rsidRPr="00E51DB5">
        <w:t>interest in the public domain, then self</w:t>
      </w:r>
      <w:r w:rsidRPr="00E51DB5">
        <w:rPr>
          <w:rFonts w:ascii="Cambria Math" w:hAnsi="Cambria Math" w:cs="Cambria Math"/>
        </w:rPr>
        <w:t>‐</w:t>
      </w:r>
      <w:r w:rsidRPr="00E51DB5">
        <w:t>interest is pursued within the kinship and demand</w:t>
      </w:r>
      <w:r w:rsidRPr="00E51DB5">
        <w:rPr>
          <w:rFonts w:ascii="Cambria Math" w:hAnsi="Cambria Math" w:cs="Cambria Math"/>
        </w:rPr>
        <w:t>‐</w:t>
      </w:r>
      <w:r w:rsidRPr="00E51DB5">
        <w:t xml:space="preserve">sharing network of the community’s culture. </w:t>
      </w:r>
      <w:proofErr w:type="gramStart"/>
      <w:r w:rsidRPr="00E51DB5">
        <w:t>So cultural reciprocity and generosity turns into humbugging, bludging and ruthless manipulation, exploitation and plain theft and fraud within and between families.”</w:t>
      </w:r>
      <w:proofErr w:type="gramEnd"/>
      <w:r>
        <w:t xml:space="preserve"> </w:t>
      </w:r>
      <w:proofErr w:type="gramStart"/>
      <w:r>
        <w:t>(Pearson, 2011).</w:t>
      </w:r>
      <w:proofErr w:type="gramEnd"/>
    </w:p>
  </w:footnote>
  <w:footnote w:id="121">
    <w:p w:rsidR="00F612EF" w:rsidRDefault="00F612EF" w:rsidP="00BC2AD2">
      <w:pPr>
        <w:pStyle w:val="FootnoteText"/>
      </w:pPr>
      <w:r>
        <w:rPr>
          <w:rStyle w:val="FootnoteReference"/>
        </w:rPr>
        <w:footnoteRef/>
      </w:r>
      <w:r>
        <w:t xml:space="preserve"> The difference in difference estimator focuses on the extent to which the difference in scores for the ‘treated group’ relative to the ‘control group’ changes before and after the ‘treatment’ – in this case an additional two years of income management. The estimates presented in this section have been derived using a propensity score match approach, which introduces a weighting to best match individuals in the control and treatment groups rather than simply relying upon group means (Villa, 2012; Blundell &amp; Costa Dias, 2008). In all models the propensity score matching has been implemented using demographic characteristics including: age, family characteristics, gender, and education.</w:t>
      </w:r>
    </w:p>
  </w:footnote>
  <w:footnote w:id="122">
    <w:p w:rsidR="00F612EF" w:rsidRDefault="00F612EF" w:rsidP="00BC2AD2">
      <w:pPr>
        <w:pStyle w:val="FootnoteText"/>
      </w:pPr>
      <w:r>
        <w:rPr>
          <w:rStyle w:val="FootnoteReference"/>
        </w:rPr>
        <w:footnoteRef/>
      </w:r>
      <w:r>
        <w:t xml:space="preserve"> As always the statistical significance of this type of result should be taken into account, but not always be treated as a rigid tool in determining whether the finding is important or not. The measure of one of the degrees of confidence in the estimate varies from a zero effect, with the 90 per cent, 95 per cent and 99 per cent levels of confidence being shown. Attention needs also to be given to the actual parameter value. That is, just because a change is statistically significant it does not necessarily mean it is a big change, and hence significant in policy terms. Similarly, while estimates that are not significant need to be treated with considerable caution, they should not be entirely dismissed.</w:t>
      </w:r>
    </w:p>
    <w:p w:rsidR="00F612EF" w:rsidRDefault="00F612EF" w:rsidP="00BC2AD2">
      <w:pPr>
        <w:pStyle w:val="FootnoteText"/>
      </w:pPr>
      <w:r>
        <w:tab/>
        <w:t>Furthermore, especially in this type of analysis where there are multiple indicators that all represent different dimensions of wider phenomena – such as experiencing some form of social problem, or overall financial wellbeing – there is value in paying attention to the consistency of trends across the indicators, rather than any one, unless there are good conceptual reasons to expect an impact to occur differentially in one outcome but not another.</w:t>
      </w:r>
    </w:p>
  </w:footnote>
  <w:footnote w:id="123">
    <w:p w:rsidR="00F612EF" w:rsidRDefault="00F612EF">
      <w:pPr>
        <w:pStyle w:val="FootnoteText"/>
      </w:pPr>
      <w:r>
        <w:rPr>
          <w:rStyle w:val="FootnoteReference"/>
        </w:rPr>
        <w:footnoteRef/>
      </w:r>
      <w:r>
        <w:t xml:space="preserve"> In using this control population a question arose as to whether or not the whole population should be maintained as the control or simply those still in receipt of income support payments. Considerable sensitivity testing was undertaken on this question and in the end the whole control population was maintained. This essentially makes no material difference to the pattern of results, but was preferred as the results using this methodology were more robust and avoided some concerns with the size of the control population when this was overly restricted.</w:t>
      </w:r>
    </w:p>
  </w:footnote>
  <w:footnote w:id="124">
    <w:p w:rsidR="00F612EF" w:rsidRDefault="00F612EF">
      <w:pPr>
        <w:pStyle w:val="FootnoteText"/>
      </w:pPr>
      <w:r>
        <w:rPr>
          <w:rStyle w:val="FootnoteReference"/>
        </w:rPr>
        <w:footnoteRef/>
      </w:r>
      <w:r>
        <w:t xml:space="preserve"> DSS advise that t</w:t>
      </w:r>
      <w:r w:rsidRPr="0025567B">
        <w:t>he official process is that Centrelink notify people in writing their payments will be income managed requesting they contact</w:t>
      </w:r>
      <w:r>
        <w:t xml:space="preserve"> Centrelink</w:t>
      </w:r>
      <w:r w:rsidRPr="0025567B">
        <w:t xml:space="preserve">. Letters includes advice that if they do not </w:t>
      </w:r>
      <w:r>
        <w:t xml:space="preserve">make </w:t>
      </w:r>
      <w:r w:rsidRPr="0025567B">
        <w:t>contact within 28 (urban)</w:t>
      </w:r>
      <w:r>
        <w:t>,</w:t>
      </w:r>
      <w:r w:rsidRPr="0025567B">
        <w:t xml:space="preserve"> </w:t>
      </w:r>
      <w:r>
        <w:t xml:space="preserve">or </w:t>
      </w:r>
      <w:r w:rsidRPr="0025567B">
        <w:t>56 (non-urban)</w:t>
      </w:r>
      <w:r>
        <w:t>,</w:t>
      </w:r>
      <w:r w:rsidRPr="0025567B">
        <w:t xml:space="preserve"> days income management may automatically commence.  There is some discussion of this commencement process from the perspective of intermediaries in Section 10.3.1</w:t>
      </w:r>
    </w:p>
  </w:footnote>
  <w:footnote w:id="125">
    <w:p w:rsidR="00F612EF" w:rsidRDefault="00F612EF">
      <w:pPr>
        <w:pStyle w:val="FootnoteText"/>
      </w:pPr>
      <w:r>
        <w:rPr>
          <w:rStyle w:val="FootnoteReference"/>
        </w:rPr>
        <w:footnoteRef/>
      </w:r>
      <w:r w:rsidRPr="003B078B">
        <w:t xml:space="preserve"> DSS advise that as of November 2012 phone calls made from Telstra mobile phones to the Centrelink “</w:t>
      </w:r>
      <w:r>
        <w:t>f</w:t>
      </w:r>
      <w:r w:rsidRPr="003B078B">
        <w:t>ree</w:t>
      </w:r>
      <w:r>
        <w:t xml:space="preserve"> </w:t>
      </w:r>
      <w:r w:rsidRPr="003B078B">
        <w:t xml:space="preserve">call” number became free. Prior to </w:t>
      </w:r>
      <w:proofErr w:type="gramStart"/>
      <w:r w:rsidRPr="003B078B">
        <w:t xml:space="preserve">this </w:t>
      </w:r>
      <w:r>
        <w:t>only calls</w:t>
      </w:r>
      <w:proofErr w:type="gramEnd"/>
      <w:r>
        <w:t xml:space="preserve"> from fixed phone services were free and </w:t>
      </w:r>
      <w:r w:rsidRPr="003B078B">
        <w:t xml:space="preserve">calls </w:t>
      </w:r>
      <w:r>
        <w:t xml:space="preserve">from mobiles </w:t>
      </w:r>
      <w:r w:rsidRPr="003B078B">
        <w:t>were charged at full mobile rates, as they continue to be on non-Telstra phones. The issue of changing of these calls has been</w:t>
      </w:r>
      <w:r>
        <w:t xml:space="preserve"> one of the key issues that the</w:t>
      </w:r>
      <w:r w:rsidRPr="003B078B">
        <w:t xml:space="preserve"> Australian Communications and Media Authority has been working on since 2010, the deadline for all providers to provide this to all </w:t>
      </w:r>
      <w:proofErr w:type="spellStart"/>
      <w:r w:rsidRPr="003B078B">
        <w:t>freecall</w:t>
      </w:r>
      <w:proofErr w:type="spellEnd"/>
      <w:r w:rsidRPr="003B078B">
        <w:t xml:space="preserve"> numbers is January 2015. </w:t>
      </w:r>
      <w:r>
        <w:t>(</w:t>
      </w:r>
      <w:r w:rsidRPr="003B078B">
        <w:t>ACMA 2013)</w:t>
      </w:r>
    </w:p>
  </w:footnote>
  <w:footnote w:id="126">
    <w:p w:rsidR="00F612EF" w:rsidRDefault="00F612EF">
      <w:pPr>
        <w:pStyle w:val="FootnoteText"/>
      </w:pPr>
      <w:r>
        <w:rPr>
          <w:rStyle w:val="FootnoteReference"/>
        </w:rPr>
        <w:footnoteRef/>
      </w:r>
      <w:r>
        <w:t xml:space="preserve"> As noted earlier in footnotes </w:t>
      </w:r>
      <w:r>
        <w:fldChar w:fldCharType="begin"/>
      </w:r>
      <w:r>
        <w:instrText xml:space="preserve"> NOTEREF _Ref398106637 \h </w:instrText>
      </w:r>
      <w:r>
        <w:fldChar w:fldCharType="separate"/>
      </w:r>
      <w:r>
        <w:t>97</w:t>
      </w:r>
      <w:r>
        <w:fldChar w:fldCharType="end"/>
      </w:r>
      <w:r>
        <w:t xml:space="preserve"> and </w:t>
      </w:r>
      <w:r>
        <w:fldChar w:fldCharType="begin"/>
      </w:r>
      <w:r>
        <w:instrText xml:space="preserve"> NOTEREF _Ref398106642 \h </w:instrText>
      </w:r>
      <w:r>
        <w:fldChar w:fldCharType="separate"/>
      </w:r>
      <w:r>
        <w:t>98</w:t>
      </w:r>
      <w:r>
        <w:fldChar w:fldCharType="end"/>
      </w:r>
      <w:r>
        <w:t xml:space="preserve"> there have been some expansion in the range of merchants, including utilities and Australia Post, who accept the BasicsCard</w:t>
      </w:r>
    </w:p>
  </w:footnote>
  <w:footnote w:id="127">
    <w:p w:rsidR="00F612EF" w:rsidRDefault="00F612EF" w:rsidP="00BC2AD2">
      <w:pPr>
        <w:pStyle w:val="FootnoteText"/>
      </w:pPr>
      <w:r>
        <w:rPr>
          <w:rStyle w:val="FootnoteReference"/>
        </w:rPr>
        <w:footnoteRef/>
      </w:r>
      <w:r>
        <w:t xml:space="preserve"> If effective, income management is also expected to have the effect of reducing gambling expenditure. Data limitation has meant that we have not considered the time trends in gambling expenditure in the Northern Territory.</w:t>
      </w:r>
    </w:p>
  </w:footnote>
  <w:footnote w:id="128">
    <w:p w:rsidR="00F612EF" w:rsidRDefault="00F612EF" w:rsidP="00BC2AD2">
      <w:pPr>
        <w:pStyle w:val="FootnoteText"/>
      </w:pPr>
      <w:r>
        <w:rPr>
          <w:rStyle w:val="FootnoteReference"/>
        </w:rPr>
        <w:footnoteRef/>
      </w:r>
      <w:r>
        <w:t xml:space="preserve"> Data are from the NT Department of Education Enrolment and Attendance Statistics Database.</w:t>
      </w:r>
    </w:p>
  </w:footnote>
  <w:footnote w:id="129">
    <w:p w:rsidR="00F612EF" w:rsidRDefault="00F612EF" w:rsidP="00BC2AD2">
      <w:pPr>
        <w:pStyle w:val="FootnoteText"/>
      </w:pPr>
      <w:r>
        <w:rPr>
          <w:rStyle w:val="FootnoteReference"/>
        </w:rPr>
        <w:footnoteRef/>
      </w:r>
      <w:r>
        <w:t xml:space="preserve"> There is some evidence that Indigenous people are less likely to identify as having a disability than are non-Indigenous people who have the same “objective” rate of disability (see Biddle et al., 2012).</w:t>
      </w:r>
    </w:p>
  </w:footnote>
  <w:footnote w:id="130">
    <w:p w:rsidR="00F612EF" w:rsidRPr="006759C9" w:rsidRDefault="00F612EF" w:rsidP="00BC2AD2">
      <w:pPr>
        <w:pStyle w:val="FootnoteText"/>
      </w:pPr>
      <w:r w:rsidRPr="006759C9">
        <w:rPr>
          <w:rStyle w:val="FootnoteReference"/>
        </w:rPr>
        <w:footnoteRef/>
      </w:r>
      <w:r w:rsidRPr="006759C9">
        <w:t xml:space="preserve"> Based on the 2013 NHMRC Australian Dietary Guidelines (see NHMRC, 2013).</w:t>
      </w:r>
    </w:p>
  </w:footnote>
  <w:footnote w:id="131">
    <w:p w:rsidR="00F612EF" w:rsidRDefault="00F612EF" w:rsidP="00BC2AD2">
      <w:pPr>
        <w:pStyle w:val="FootnoteText"/>
      </w:pPr>
      <w:r w:rsidRPr="006759C9">
        <w:rPr>
          <w:rStyle w:val="FootnoteReference"/>
        </w:rPr>
        <w:footnoteRef/>
      </w:r>
      <w:r w:rsidRPr="006759C9">
        <w:t xml:space="preserve"> </w:t>
      </w:r>
      <w:proofErr w:type="gramStart"/>
      <w:r w:rsidRPr="006759C9">
        <w:t>Ibid.</w:t>
      </w:r>
      <w:proofErr w:type="gramEnd"/>
      <w:r w:rsidRPr="006759C9">
        <w:t xml:space="preserve"> </w:t>
      </w:r>
    </w:p>
  </w:footnote>
  <w:footnote w:id="132">
    <w:p w:rsidR="00F612EF" w:rsidRDefault="00F612EF" w:rsidP="00BC2AD2">
      <w:pPr>
        <w:pStyle w:val="FootnoteText"/>
      </w:pPr>
      <w:r>
        <w:rPr>
          <w:rStyle w:val="FootnoteReference"/>
        </w:rPr>
        <w:footnoteRef/>
      </w:r>
      <w:r>
        <w:t xml:space="preserve"> We have been unable to locate Northern Territory level tobacco sales data, but rather use data from selected stores. These data are reported in Chapter 6.</w:t>
      </w:r>
    </w:p>
  </w:footnote>
  <w:footnote w:id="133">
    <w:p w:rsidR="00F612EF" w:rsidRDefault="00F612EF">
      <w:pPr>
        <w:pStyle w:val="FootnoteText"/>
      </w:pPr>
      <w:r>
        <w:rPr>
          <w:rStyle w:val="FootnoteReference"/>
        </w:rPr>
        <w:footnoteRef/>
      </w:r>
      <w:r>
        <w:t xml:space="preserve"> The problem of mail delivery arose on a number of occasions, and was discussed in some communities in the September 2014 feedback process. Many difficulties were reported in the mail distribution system within communities and a number of communities noted that they regularly had to return substantial quantities of undelivered Centrelink correspondence.</w:t>
      </w:r>
    </w:p>
  </w:footnote>
  <w:footnote w:id="134">
    <w:p w:rsidR="00F612EF" w:rsidRDefault="00F612EF">
      <w:pPr>
        <w:pStyle w:val="FootnoteText"/>
      </w:pPr>
      <w:r>
        <w:rPr>
          <w:rStyle w:val="FootnoteReference"/>
        </w:rPr>
        <w:footnoteRef/>
      </w:r>
      <w:r>
        <w:t xml:space="preserve"> DHS advise in response to this </w:t>
      </w:r>
      <w:proofErr w:type="gramStart"/>
      <w:r>
        <w:t xml:space="preserve">observation </w:t>
      </w:r>
      <w:r w:rsidRPr="004616EF">
        <w:t xml:space="preserve"> that</w:t>
      </w:r>
      <w:proofErr w:type="gramEnd"/>
      <w:r w:rsidRPr="004616EF">
        <w:t xml:space="preserve"> payments are commonly late due to customers reporting late; as a result funds are not available to make regular payments</w:t>
      </w:r>
      <w:r>
        <w:t>.</w:t>
      </w:r>
    </w:p>
  </w:footnote>
  <w:footnote w:id="135">
    <w:p w:rsidR="00F612EF" w:rsidRDefault="00F612EF">
      <w:pPr>
        <w:pStyle w:val="FootnoteText"/>
      </w:pPr>
      <w:r>
        <w:rPr>
          <w:rStyle w:val="FootnoteReference"/>
        </w:rPr>
        <w:footnoteRef/>
      </w:r>
      <w:r>
        <w:t xml:space="preserve"> “Poison cousins” refer to a cultural taboo on some people having contact with or communicating with some kin.</w:t>
      </w:r>
    </w:p>
  </w:footnote>
  <w:footnote w:id="136">
    <w:p w:rsidR="00F612EF" w:rsidRDefault="00F612EF" w:rsidP="00BC2AD2">
      <w:pPr>
        <w:pStyle w:val="FootnoteText"/>
      </w:pPr>
      <w:r>
        <w:rPr>
          <w:rStyle w:val="FootnoteReference"/>
        </w:rPr>
        <w:footnoteRef/>
      </w:r>
      <w:r>
        <w:t xml:space="preserve"> This is mainly due to the targeting of other measures. Age pensioners are excluded from Compulsory Income Management, and Child Protection Income Management is aimed at people with children. Only the Vulnerable measure target group potentially engages this age group. </w:t>
      </w:r>
    </w:p>
  </w:footnote>
  <w:footnote w:id="137">
    <w:p w:rsidR="00F612EF" w:rsidRPr="002955BA" w:rsidRDefault="00F612EF" w:rsidP="00BC2AD2">
      <w:pPr>
        <w:pStyle w:val="FootnoteText"/>
      </w:pPr>
      <w:r w:rsidRPr="00AB5C98">
        <w:rPr>
          <w:rStyle w:val="FootnoteReference"/>
        </w:rPr>
        <w:footnoteRef/>
      </w:r>
      <w:r w:rsidRPr="00AB5C98">
        <w:t xml:space="preserve"> </w:t>
      </w:r>
      <w:r w:rsidRPr="002955BA">
        <w:t>The full name for this measure is the Vulnerable Welfare Payment Recipient</w:t>
      </w:r>
      <w:r>
        <w:t>s</w:t>
      </w:r>
      <w:r w:rsidRPr="002955BA">
        <w:t xml:space="preserve"> measure.</w:t>
      </w:r>
    </w:p>
  </w:footnote>
  <w:footnote w:id="138">
    <w:p w:rsidR="00F612EF" w:rsidRDefault="00F612EF" w:rsidP="00BC2AD2">
      <w:pPr>
        <w:pStyle w:val="FootnoteText"/>
      </w:pPr>
      <w:r>
        <w:rPr>
          <w:rStyle w:val="FootnoteReference"/>
        </w:rPr>
        <w:footnoteRef/>
      </w:r>
      <w:r>
        <w:t xml:space="preserve"> While in December 2013 assessed vulnerable remained the largest single form of vulnerable, with 170 persons on this stream, almost an equal number are now on the automatic vulnerable Unreasonable to Live at Home measure (165 persons) and 87 persons are on the Crisis Payment measure.</w:t>
      </w:r>
    </w:p>
  </w:footnote>
  <w:footnote w:id="139">
    <w:p w:rsidR="00F612EF" w:rsidRDefault="00F612EF" w:rsidP="009968AA">
      <w:pPr>
        <w:pStyle w:val="FootnoteText"/>
      </w:pPr>
      <w:r>
        <w:rPr>
          <w:rStyle w:val="FootnoteReference"/>
        </w:rPr>
        <w:footnoteRef/>
      </w:r>
      <w:r>
        <w:t xml:space="preserve"> Under the Guardianship and Trusteeship Act, a judge can appoint the Public Trustee as trustee if (a) sufficient evidence is presented to the court that the person cannot manage his/her own financial affairs and (b) there would be a substantial benefit from such an appointment. Once appointed, the Public Trustee is responsible for protecting and managing the person’s financial affairs. The Public Trustee will continue to look after the person’s affairs until a judge determines that the person is well enough to look after his/her own affairs. The money and assets would then be returned as quickly as possible. (Source: http://www.justice.gov.nt.ca/PublicTrustee/index.shtml)</w:t>
      </w:r>
    </w:p>
  </w:footnote>
  <w:footnote w:id="140">
    <w:p w:rsidR="00F612EF" w:rsidRDefault="00F612EF" w:rsidP="00E327D5">
      <w:pPr>
        <w:pStyle w:val="FootnoteText"/>
        <w:tabs>
          <w:tab w:val="clear" w:pos="170"/>
          <w:tab w:val="left" w:pos="426"/>
        </w:tabs>
        <w:ind w:left="426" w:hanging="426"/>
      </w:pPr>
      <w:r>
        <w:rPr>
          <w:rStyle w:val="FootnoteReference"/>
        </w:rPr>
        <w:footnoteRef/>
      </w:r>
      <w:r>
        <w:tab/>
        <w:t xml:space="preserve">Child Protection Income Management sits second in the hierarchy of measures behind Cape York Income Management. </w:t>
      </w:r>
    </w:p>
  </w:footnote>
  <w:footnote w:id="141">
    <w:p w:rsidR="00F612EF" w:rsidRDefault="00F612EF" w:rsidP="00E327D5">
      <w:pPr>
        <w:pStyle w:val="FootnoteText"/>
        <w:tabs>
          <w:tab w:val="clear" w:pos="170"/>
          <w:tab w:val="left" w:pos="426"/>
        </w:tabs>
        <w:ind w:left="426" w:hanging="426"/>
      </w:pPr>
      <w:r>
        <w:rPr>
          <w:rStyle w:val="FootnoteReference"/>
        </w:rPr>
        <w:footnoteRef/>
      </w:r>
      <w:r>
        <w:t xml:space="preserve"> </w:t>
      </w:r>
      <w:r>
        <w:tab/>
        <w:t>One of the findings of the first wave of LSNIM was that many clients were not very clear about which specific strand of Income Management they were allocated to.</w:t>
      </w:r>
    </w:p>
  </w:footnote>
  <w:footnote w:id="142">
    <w:p w:rsidR="00F612EF" w:rsidRPr="00E72A11" w:rsidRDefault="00F612EF" w:rsidP="00E327D5">
      <w:pPr>
        <w:pStyle w:val="FootnoteText"/>
        <w:tabs>
          <w:tab w:val="clear" w:pos="170"/>
          <w:tab w:val="left" w:pos="426"/>
        </w:tabs>
        <w:ind w:left="426" w:hanging="426"/>
        <w:rPr>
          <w:lang w:val="en-US"/>
        </w:rPr>
      </w:pPr>
      <w:r>
        <w:rPr>
          <w:rStyle w:val="FootnoteReference"/>
        </w:rPr>
        <w:footnoteRef/>
      </w:r>
      <w:r>
        <w:t xml:space="preserve"> </w:t>
      </w:r>
      <w:r>
        <w:tab/>
      </w:r>
      <w:r>
        <w:rPr>
          <w:lang w:val="en-US"/>
        </w:rPr>
        <w:t xml:space="preserve">See </w:t>
      </w:r>
      <w:hyperlink r:id="rId4" w:history="1">
        <w:r w:rsidRPr="0095577D">
          <w:rPr>
            <w:rStyle w:val="Hyperlink"/>
            <w:lang w:val="en-US"/>
          </w:rPr>
          <w:t>http://www.ifss.net.au/about-ifss/what-is-ifss.html</w:t>
        </w:r>
      </w:hyperlink>
      <w:r>
        <w:rPr>
          <w:lang w:val="en-US"/>
        </w:rPr>
        <w:t xml:space="preserve"> for a more detailed overview of the IFSS model.</w:t>
      </w:r>
    </w:p>
  </w:footnote>
  <w:footnote w:id="143">
    <w:p w:rsidR="00F612EF" w:rsidRDefault="00F612EF" w:rsidP="00E327D5">
      <w:pPr>
        <w:pStyle w:val="FootnoteText"/>
        <w:tabs>
          <w:tab w:val="clear" w:pos="170"/>
          <w:tab w:val="left" w:pos="426"/>
        </w:tabs>
        <w:ind w:left="426" w:hanging="426"/>
      </w:pPr>
      <w:r>
        <w:rPr>
          <w:rStyle w:val="FootnoteReference"/>
        </w:rPr>
        <w:footnoteRef/>
      </w:r>
      <w:r>
        <w:t xml:space="preserve"> </w:t>
      </w:r>
      <w:r>
        <w:tab/>
        <w:t>IFSS is subject to a separate evaluation which will report separately. Part of that evaluation involved a survey of IFSS providers and qualitative interviews with a number of IFSS stakeholders. A question on Child Protection Income Management was included in survey and the interview topic guide. This material has been made available for this chapter. However this evaluation has not had access to the findings of the IFSS evaluation itself.</w:t>
      </w:r>
    </w:p>
  </w:footnote>
  <w:footnote w:id="144">
    <w:p w:rsidR="00F612EF" w:rsidRPr="00A9721B" w:rsidRDefault="00F612EF" w:rsidP="009053D1">
      <w:pPr>
        <w:pStyle w:val="FootnoteText"/>
        <w:rPr>
          <w:lang w:val="en-US"/>
        </w:rPr>
      </w:pPr>
      <w:r>
        <w:rPr>
          <w:rStyle w:val="FootnoteReference"/>
        </w:rPr>
        <w:footnoteRef/>
      </w:r>
      <w:r>
        <w:t xml:space="preserve"> </w:t>
      </w:r>
      <w:r>
        <w:rPr>
          <w:lang w:val="en-US"/>
        </w:rPr>
        <w:t xml:space="preserve">Many of the caseworkers allocated to families in the sample list were no longer employed by the Department. In addition, for some families the case that was related to the Child Protection Income Management referral was not able to be identified within the data recording system. </w:t>
      </w:r>
    </w:p>
  </w:footnote>
  <w:footnote w:id="145">
    <w:p w:rsidR="00F612EF" w:rsidRPr="009D36F6" w:rsidRDefault="00F612EF" w:rsidP="009053D1">
      <w:pPr>
        <w:pStyle w:val="FootnoteText"/>
        <w:rPr>
          <w:lang w:val="en-US"/>
        </w:rPr>
      </w:pPr>
      <w:r>
        <w:rPr>
          <w:rStyle w:val="FootnoteReference"/>
        </w:rPr>
        <w:footnoteRef/>
      </w:r>
      <w:r>
        <w:t xml:space="preserve"> </w:t>
      </w:r>
      <w:r>
        <w:rPr>
          <w:lang w:val="en-US"/>
        </w:rPr>
        <w:t>This figure may include people who have been referred to Child Protection Income Management by another child protection department, such as the Western Australian Department of Child protection, but who have resided in the Northern Territory whilst on the measure.</w:t>
      </w:r>
    </w:p>
  </w:footnote>
  <w:footnote w:id="146">
    <w:p w:rsidR="00F612EF" w:rsidRPr="00004AAA" w:rsidRDefault="00F612EF" w:rsidP="009053D1">
      <w:pPr>
        <w:pStyle w:val="FootnoteText"/>
        <w:rPr>
          <w:lang w:val="en-US"/>
        </w:rPr>
      </w:pPr>
      <w:r>
        <w:rPr>
          <w:rStyle w:val="FootnoteReference"/>
        </w:rPr>
        <w:footnoteRef/>
      </w:r>
      <w:r>
        <w:t xml:space="preserve"> </w:t>
      </w:r>
      <w:r>
        <w:rPr>
          <w:lang w:val="en-US"/>
        </w:rPr>
        <w:t>Copies of these internal documents were provided to the evaluation team as context to implementation of the policy.</w:t>
      </w:r>
    </w:p>
  </w:footnote>
  <w:footnote w:id="147">
    <w:p w:rsidR="00F612EF" w:rsidRPr="00592BDB" w:rsidRDefault="00F612EF" w:rsidP="009053D1">
      <w:pPr>
        <w:pStyle w:val="FootnoteText"/>
        <w:rPr>
          <w:lang w:val="en-US"/>
        </w:rPr>
      </w:pPr>
      <w:r>
        <w:rPr>
          <w:rStyle w:val="FootnoteReference"/>
        </w:rPr>
        <w:footnoteRef/>
      </w:r>
      <w:r>
        <w:t xml:space="preserve"> </w:t>
      </w:r>
      <w:r>
        <w:rPr>
          <w:lang w:val="en-US"/>
        </w:rPr>
        <w:t xml:space="preserve">Data supplied by DSS in March 2014. It should be noted, however, that some families may have been referred to IFSS without a referral to Child Protection Income Management. DSS has advised that </w:t>
      </w:r>
      <w:r w:rsidRPr="001942BF">
        <w:rPr>
          <w:lang w:val="en-US"/>
        </w:rPr>
        <w:t>t</w:t>
      </w:r>
      <w:r w:rsidRPr="00CA3DA2">
        <w:rPr>
          <w:lang w:val="en-US"/>
        </w:rPr>
        <w:t>he referral pathway to IFSS is through the State or Territory child protection agency.</w:t>
      </w:r>
      <w:r>
        <w:rPr>
          <w:lang w:val="en-US"/>
        </w:rPr>
        <w:t xml:space="preserve"> </w:t>
      </w:r>
      <w:r w:rsidRPr="00CA3DA2">
        <w:rPr>
          <w:lang w:val="en-US"/>
        </w:rPr>
        <w:t>In the Northern Territory, families must be referred to Chil</w:t>
      </w:r>
      <w:r>
        <w:rPr>
          <w:lang w:val="en-US"/>
        </w:rPr>
        <w:t xml:space="preserve">d Protection Income Management Child Protection Income Management </w:t>
      </w:r>
      <w:r w:rsidRPr="00CA3DA2">
        <w:rPr>
          <w:lang w:val="en-US"/>
        </w:rPr>
        <w:t>to be eligible for the service.</w:t>
      </w:r>
      <w:r>
        <w:rPr>
          <w:lang w:val="en-US"/>
        </w:rPr>
        <w:t xml:space="preserve"> </w:t>
      </w:r>
      <w:r w:rsidRPr="00CA3DA2">
        <w:rPr>
          <w:lang w:val="en-US"/>
        </w:rPr>
        <w:t xml:space="preserve">In selected remote service areas, Priority of Access will apply in service areas where there is a limited child protection footprint and </w:t>
      </w:r>
      <w:r>
        <w:rPr>
          <w:lang w:val="en-US"/>
        </w:rPr>
        <w:t>Child Protection Income Management</w:t>
      </w:r>
      <w:r w:rsidRPr="00CA3DA2">
        <w:rPr>
          <w:lang w:val="en-US"/>
        </w:rPr>
        <w:t xml:space="preserve"> referral activity. This will ensure that families on </w:t>
      </w:r>
      <w:r>
        <w:rPr>
          <w:lang w:val="en-US"/>
        </w:rPr>
        <w:t>Child Protection Income Management</w:t>
      </w:r>
      <w:r w:rsidRPr="00CA3DA2">
        <w:rPr>
          <w:lang w:val="en-US"/>
        </w:rPr>
        <w:t xml:space="preserve"> continue to have priority access to the service, but also allow for other families in the community who may not be on </w:t>
      </w:r>
      <w:r>
        <w:rPr>
          <w:lang w:val="en-US"/>
        </w:rPr>
        <w:t>Child Protection Income Management</w:t>
      </w:r>
      <w:r w:rsidRPr="00CA3DA2">
        <w:rPr>
          <w:lang w:val="en-US"/>
        </w:rPr>
        <w:t xml:space="preserve"> or engaged with child protection au</w:t>
      </w:r>
      <w:r>
        <w:rPr>
          <w:lang w:val="en-US"/>
        </w:rPr>
        <w:t>thorities to access the program</w:t>
      </w:r>
      <w:r w:rsidRPr="00CA3DA2">
        <w:rPr>
          <w:lang w:val="en-US"/>
        </w:rPr>
        <w:t xml:space="preserve"> while there are vacancies.</w:t>
      </w:r>
    </w:p>
  </w:footnote>
  <w:footnote w:id="148">
    <w:p w:rsidR="00F612EF" w:rsidRDefault="00F612EF" w:rsidP="009053D1">
      <w:pPr>
        <w:pStyle w:val="FootnoteText"/>
      </w:pPr>
      <w:r>
        <w:rPr>
          <w:rStyle w:val="FootnoteReference"/>
        </w:rPr>
        <w:footnoteRef/>
      </w:r>
      <w:r>
        <w:t xml:space="preserve"> Child Protection Income Management differs in the Northern Territory from the measure in Western Australia in that a higher proportion of the people in the Northern Territory who are subject to Child Protection Income Management are already on other forms of income management, whereas in Western Australia the majority of people on Child Protection Income Management have not.</w:t>
      </w:r>
    </w:p>
  </w:footnote>
  <w:footnote w:id="149">
    <w:p w:rsidR="00F612EF" w:rsidRDefault="00F612EF" w:rsidP="00BC2AD2">
      <w:pPr>
        <w:pStyle w:val="FootnoteText"/>
      </w:pPr>
      <w:r>
        <w:rPr>
          <w:rStyle w:val="FootnoteReference"/>
        </w:rPr>
        <w:footnoteRef/>
      </w:r>
      <w:r>
        <w:t xml:space="preserve"> This does not include the funding for Money Management and Commonwealth Financial Counselling services in 2010-11.</w:t>
      </w:r>
    </w:p>
  </w:footnote>
  <w:footnote w:id="150">
    <w:p w:rsidR="00F612EF" w:rsidRDefault="00F612EF" w:rsidP="00BC2AD2">
      <w:pPr>
        <w:pStyle w:val="FootnoteText"/>
      </w:pPr>
      <w:r>
        <w:rPr>
          <w:rStyle w:val="FootnoteReference"/>
        </w:rPr>
        <w:footnoteRef/>
      </w:r>
      <w:r>
        <w:t xml:space="preserve"> As detailed in Chapter 5, those groups who obtain automatic exemptions (full-time students and apprentices) have been treated as out of scope of income management – this equates to the treatment of Indigenous students in receipt of ABSTUDY. The exemptions considered in the evaluation are those which arise from individual applications for exemption.</w:t>
      </w:r>
    </w:p>
  </w:footnote>
  <w:footnote w:id="151">
    <w:p w:rsidR="00F612EF" w:rsidRDefault="00F612EF" w:rsidP="00BC2AD2">
      <w:pPr>
        <w:pStyle w:val="FootnoteText"/>
      </w:pPr>
      <w:r>
        <w:rPr>
          <w:rStyle w:val="FootnoteReference"/>
        </w:rPr>
        <w:footnoteRef/>
      </w:r>
      <w:r>
        <w:t xml:space="preserve"> Figures on exemption rates are for December 2013.</w:t>
      </w:r>
    </w:p>
  </w:footnote>
  <w:footnote w:id="152">
    <w:p w:rsidR="00F612EF" w:rsidRDefault="00F612EF" w:rsidP="00BC2AD2">
      <w:pPr>
        <w:pStyle w:val="FootnoteText"/>
      </w:pPr>
      <w:r>
        <w:rPr>
          <w:rStyle w:val="FootnoteReference"/>
        </w:rPr>
        <w:footnoteRef/>
      </w:r>
      <w:r>
        <w:t xml:space="preserve"> Figures for December 2013.</w:t>
      </w:r>
    </w:p>
  </w:footnote>
  <w:footnote w:id="153">
    <w:p w:rsidR="00F612EF" w:rsidRDefault="00F612EF" w:rsidP="00BC2AD2">
      <w:pPr>
        <w:pStyle w:val="FootnoteText"/>
      </w:pPr>
      <w:r>
        <w:rPr>
          <w:rStyle w:val="FootnoteReference"/>
        </w:rPr>
        <w:footnoteRef/>
      </w:r>
      <w:r>
        <w:t xml:space="preserve"> Figures for December 2013.</w:t>
      </w:r>
    </w:p>
  </w:footnote>
  <w:footnote w:id="154">
    <w:p w:rsidR="00F612EF" w:rsidRDefault="00F612EF" w:rsidP="00BC2AD2">
      <w:pPr>
        <w:pStyle w:val="FootnoteText"/>
      </w:pPr>
      <w:r>
        <w:rPr>
          <w:rStyle w:val="FootnoteReference"/>
        </w:rPr>
        <w:footnoteRef/>
      </w:r>
      <w:r>
        <w:t xml:space="preserve"> Data are not available on actual living arrangements of people, only whether they have a partner or dependent children for whom they or their partner receives Family Tax Benefit payments. A single person may be living by </w:t>
      </w:r>
      <w:proofErr w:type="gramStart"/>
      <w:r>
        <w:t>themselves</w:t>
      </w:r>
      <w:proofErr w:type="gramEnd"/>
      <w:r>
        <w:t>, can be a non-dependent child living with their parents, a grandparent living with their children, or living with others in a wide range of different household types.</w:t>
      </w:r>
    </w:p>
  </w:footnote>
  <w:footnote w:id="155">
    <w:p w:rsidR="00F612EF" w:rsidRDefault="00F612EF" w:rsidP="00931412">
      <w:pPr>
        <w:pStyle w:val="FootnoteText"/>
        <w:tabs>
          <w:tab w:val="clear" w:pos="170"/>
          <w:tab w:val="left" w:pos="284"/>
        </w:tabs>
        <w:ind w:left="284" w:hanging="284"/>
      </w:pPr>
      <w:r>
        <w:rPr>
          <w:rStyle w:val="FootnoteReference"/>
        </w:rPr>
        <w:footnoteRef/>
      </w:r>
      <w:r>
        <w:t xml:space="preserve"> </w:t>
      </w:r>
      <w:r>
        <w:tab/>
        <w:t xml:space="preserve">As has been noted while the evidence is that there is very little direct expenditure on tobacco on the BasicsCard </w:t>
      </w:r>
      <w:proofErr w:type="gramStart"/>
      <w:r>
        <w:t>this  result</w:t>
      </w:r>
      <w:proofErr w:type="gramEnd"/>
      <w:r>
        <w:t xml:space="preserve">  simply addresses  a process evaluation question and does not address the more significant outcome evaluation question of whether there has been a change in the level of tobacco spending associated with the introduction of income management.</w:t>
      </w:r>
    </w:p>
  </w:footnote>
  <w:footnote w:id="156">
    <w:p w:rsidR="00F612EF" w:rsidRDefault="00F612EF" w:rsidP="00931412">
      <w:pPr>
        <w:pStyle w:val="FootnoteText"/>
        <w:tabs>
          <w:tab w:val="clear" w:pos="170"/>
          <w:tab w:val="left" w:pos="284"/>
        </w:tabs>
        <w:ind w:left="284" w:hanging="284"/>
      </w:pPr>
      <w:r>
        <w:rPr>
          <w:rStyle w:val="FootnoteReference"/>
        </w:rPr>
        <w:footnoteRef/>
      </w:r>
      <w:r>
        <w:t xml:space="preserve"> </w:t>
      </w:r>
      <w:r>
        <w:tab/>
        <w:t>As discussed in the body of the analysis, these data have not been adjusted for changes in the rate at which payment is made and prices change, nor has account been taken of the payment of the Income Support Bonus in 2013. Both of these will tend towards it appearing that people are holding higher balances in 2013.</w:t>
      </w:r>
    </w:p>
  </w:footnote>
  <w:footnote w:id="157">
    <w:p w:rsidR="00F612EF" w:rsidRDefault="00F612EF" w:rsidP="00BC2AD2">
      <w:pPr>
        <w:pStyle w:val="FootnoteText"/>
      </w:pPr>
      <w:r w:rsidRPr="00453BDB">
        <w:rPr>
          <w:rStyle w:val="FootnoteReference"/>
        </w:rPr>
        <w:footnoteRef/>
      </w:r>
      <w:r w:rsidRPr="00453BDB">
        <w:t xml:space="preserve"> This was termed the participation/parenting stream in the</w:t>
      </w:r>
      <w:r>
        <w:t xml:space="preserve"> original formulation of the evaluation questions in the evaluation framework. </w:t>
      </w:r>
    </w:p>
  </w:footnote>
  <w:footnote w:id="158">
    <w:p w:rsidR="00F612EF" w:rsidRDefault="00F612EF" w:rsidP="00BC2AD2">
      <w:pPr>
        <w:pStyle w:val="FootnoteText"/>
      </w:pPr>
      <w:r>
        <w:rPr>
          <w:rStyle w:val="FootnoteReference"/>
        </w:rPr>
        <w:footnoteRef/>
      </w:r>
      <w:r>
        <w:t xml:space="preserve"> When attempting to estimate the impact of a program, the possibility that outcomes would have worsened in its absence needs to be considered. In the case of this evaluation – which has found no consistent evidence of income management having a significant positive impact – we have considered the possibility that in the absence of income management, outcomes would have worsened, and therefore a finding of no improvement masks an underlying positive impact. </w:t>
      </w:r>
    </w:p>
    <w:p w:rsidR="00F612EF" w:rsidRDefault="00F612EF" w:rsidP="00BC2AD2">
      <w:pPr>
        <w:pStyle w:val="FootnoteText"/>
      </w:pPr>
      <w:r>
        <w:tab/>
        <w:t>In this analysis we dismiss this possibility for the following reasons. First, the evaluation methodology has been designed to construct a counterfactual of what would have occurred in the absence of income management. This has been achieved through the collection of data from people on income support payments living outside of the Northern Territory and who are not subject to New Income Management (the control group), and wherever possible</w:t>
      </w:r>
      <w:r w:rsidRPr="00D675A7">
        <w:t xml:space="preserve"> </w:t>
      </w:r>
      <w:r>
        <w:t xml:space="preserve">by looking at the trends in outcomes, both in the Northern Territory and for Australia as a whole. Second, there is no reason to expect that in the absence of income management </w:t>
      </w:r>
      <w:proofErr w:type="gramStart"/>
      <w:r>
        <w:t>that outcomes</w:t>
      </w:r>
      <w:proofErr w:type="gramEnd"/>
      <w:r>
        <w:t xml:space="preserve"> in the Northern Territory would </w:t>
      </w:r>
      <w:r w:rsidRPr="001B721E">
        <w:t>have worse</w:t>
      </w:r>
      <w:r>
        <w:t>ned autonomously</w:t>
      </w:r>
      <w:r w:rsidRPr="001B721E">
        <w:t>. For example, while various labour market</w:t>
      </w:r>
      <w:r>
        <w:t xml:space="preserve"> indicators are volatile, the trend of employment to population ratio in the Northern Territory has increased from 71.0 per cent in August 2010 to 71.8 per cent in December 2013. Indeed, given the large additional investments made in the Northern Territory through the NTER and subsequently, it would be expected that any Northern Territory-specific change would be more positive. This conclusion is reinforced by the wide range of potential impacts of income management that the evaluation considered.</w:t>
      </w:r>
    </w:p>
  </w:footnote>
  <w:footnote w:id="159">
    <w:p w:rsidR="00F612EF" w:rsidRDefault="00F612EF">
      <w:pPr>
        <w:pStyle w:val="FootnoteText"/>
      </w:pPr>
      <w:r>
        <w:rPr>
          <w:rStyle w:val="FootnoteReference"/>
        </w:rPr>
        <w:footnoteRef/>
      </w:r>
      <w:r>
        <w:t xml:space="preserve"> </w:t>
      </w:r>
      <w:r>
        <w:tab/>
        <w:t xml:space="preserve">Each of the communities was provided with a community specific brochure which detailed the main findings of the evaluation and reported on some specific results from the LSNIM for that community. The community consultations were facilitated by Colmar </w:t>
      </w:r>
      <w:proofErr w:type="spellStart"/>
      <w:r>
        <w:t>Brunton</w:t>
      </w:r>
      <w:proofErr w:type="spellEnd"/>
      <w:r>
        <w:t xml:space="preserve"> and in some cases researchers from</w:t>
      </w:r>
      <w:r w:rsidRPr="000D4385">
        <w:t xml:space="preserve"> </w:t>
      </w:r>
      <w:proofErr w:type="spellStart"/>
      <w:r w:rsidRPr="000D4385">
        <w:t>Tangentyere</w:t>
      </w:r>
      <w:proofErr w:type="spellEnd"/>
      <w:r>
        <w:t xml:space="preserve"> Research Hub. </w:t>
      </w:r>
    </w:p>
  </w:footnote>
  <w:footnote w:id="160">
    <w:p w:rsidR="00F612EF" w:rsidRDefault="00F612EF">
      <w:pPr>
        <w:pStyle w:val="FootnoteText"/>
      </w:pPr>
      <w:r>
        <w:rPr>
          <w:rStyle w:val="FootnoteReference"/>
        </w:rPr>
        <w:footnoteRef/>
      </w:r>
      <w:r>
        <w:t xml:space="preserve"> </w:t>
      </w:r>
      <w:r>
        <w:tab/>
        <w:t xml:space="preserve">As the survey results showed in all communities a mix of community views about income management, and the feedback sessions only involved a limited number of people in each community, caution needs to be taken in interpreting the views we were provided with as being representative of the community as a whole. </w:t>
      </w:r>
    </w:p>
  </w:footnote>
  <w:footnote w:id="161">
    <w:p w:rsidR="00F612EF" w:rsidRDefault="00F612EF" w:rsidP="00E75AB0">
      <w:pPr>
        <w:pStyle w:val="FootnoteText"/>
      </w:pPr>
      <w:r>
        <w:rPr>
          <w:rStyle w:val="FootnoteReference"/>
        </w:rPr>
        <w:footnoteRef/>
      </w:r>
      <w:r>
        <w:t xml:space="preserve"> The issue of this historical continuity has been identified by other researchers including Bielefeld who notes “Early colonial attitudes about the desirability of placing limitations on access to money for Indigenous Australians have been resuscitated in recent years” (Bielefeld, 2012 p 522) </w:t>
      </w:r>
    </w:p>
  </w:footnote>
  <w:footnote w:id="162">
    <w:p w:rsidR="00F612EF" w:rsidRDefault="00F612EF">
      <w:pPr>
        <w:pStyle w:val="FootnoteText"/>
      </w:pPr>
      <w:r>
        <w:rPr>
          <w:rStyle w:val="FootnoteReference"/>
        </w:rPr>
        <w:footnoteRef/>
      </w:r>
      <w:r>
        <w:t xml:space="preserve"> In at least two of the communities a specific concern raised by members of the community related to what they saw as the risk of children being taken from them if truancy officers become involved in attendance problems with children. As we have noted in the main report the scarring effect of the stolen generations is for many an integral element of their relationship with state authorities.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Pr>
        <w:rFonts w:asciiTheme="minorHAnsi" w:hAnsiTheme="minorHAnsi"/>
        <w:noProof/>
        <w:sz w:val="18"/>
        <w:szCs w:val="18"/>
      </w:rPr>
      <w:t>Research Team</w:t>
    </w:r>
    <w:r>
      <w:rPr>
        <w:rFonts w:asciiTheme="minorHAnsi" w:hAnsiTheme="minorHAnsi"/>
        <w:sz w:val="18"/>
        <w:szCs w:val="18"/>
      </w:rPr>
      <w:fldChar w:fldCharType="end"/>
    </w:r>
    <w:r>
      <w:rPr>
        <w:rFonts w:asciiTheme="minorHAnsi" w:hAnsiTheme="minorHAnsi"/>
        <w:sz w:val="18"/>
        <w:szCs w:val="18"/>
      </w:rPr>
      <w:fldChar w:fldCharType="begin"/>
    </w:r>
    <w:r>
      <w:rPr>
        <w:rFonts w:asciiTheme="minorHAnsi" w:hAnsiTheme="minorHAnsi"/>
        <w:sz w:val="18"/>
        <w:szCs w:val="18"/>
      </w:rPr>
      <w:instrText xml:space="preserve"> STYLEREF  unumchpt  \* MERGEFORMAT </w:instrText>
    </w:r>
    <w:r>
      <w:rPr>
        <w:rFonts w:asciiTheme="minorHAnsi" w:hAnsiTheme="minorHAnsi"/>
        <w:sz w:val="18"/>
        <w:szCs w:val="18"/>
      </w:rPr>
      <w:fldChar w:fldCharType="separate"/>
    </w:r>
    <w:r>
      <w:rPr>
        <w:rFonts w:asciiTheme="minorHAnsi" w:hAnsiTheme="minorHAnsi"/>
        <w:noProof/>
        <w:sz w:val="18"/>
        <w:szCs w:val="18"/>
      </w:rPr>
      <w:t>Executive Summary</w:t>
    </w:r>
    <w:r>
      <w:rPr>
        <w:rFonts w:asciiTheme="minorHAnsi" w:hAnsiTheme="minorHAnsi"/>
        <w:sz w:val="18"/>
        <w:szCs w:val="18"/>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1</w:t>
    </w:r>
    <w:r w:rsidRPr="00951F9E">
      <w:rPr>
        <w:b/>
        <w:sz w:val="20"/>
        <w:szCs w:val="20"/>
      </w:rPr>
      <w:fldChar w:fldCharType="end"/>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"Heading 1"  \* MERGEFORMAT </w:instrText>
    </w:r>
    <w:r>
      <w:rPr>
        <w:rFonts w:asciiTheme="minorHAnsi" w:hAnsiTheme="minorHAnsi"/>
        <w:sz w:val="18"/>
        <w:szCs w:val="18"/>
      </w:rPr>
      <w:fldChar w:fldCharType="separate"/>
    </w:r>
    <w:r w:rsidR="0035357E">
      <w:rPr>
        <w:rFonts w:asciiTheme="minorHAnsi" w:hAnsiTheme="minorHAnsi"/>
        <w:noProof/>
        <w:sz w:val="18"/>
        <w:szCs w:val="18"/>
      </w:rPr>
      <w:t>Introduction</w:t>
    </w:r>
    <w:r>
      <w:rPr>
        <w:rFonts w:asciiTheme="minorHAnsi" w:hAnsiTheme="minorHAnsi"/>
        <w:sz w:val="18"/>
        <w:szCs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2</w:t>
    </w:r>
    <w:r w:rsidRPr="00951F9E">
      <w:rPr>
        <w:b/>
        <w:sz w:val="20"/>
        <w:szCs w:val="20"/>
      </w:rPr>
      <w:fldChar w:fldCharType="end"/>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Overview of New Income</w:t>
    </w:r>
    <w:r w:rsidR="0035357E">
      <w:rPr>
        <w:rFonts w:asciiTheme="minorHAnsi" w:hAnsiTheme="minorHAnsi"/>
        <w:noProof/>
        <w:sz w:val="18"/>
        <w:szCs w:val="18"/>
      </w:rPr>
      <w:br/>
      <w:t>Management policy</w:t>
    </w:r>
    <w:r w:rsidRPr="00951F9E">
      <w:rPr>
        <w:rFonts w:asciiTheme="minorHAnsi" w:hAnsiTheme="minorHAnsi"/>
        <w:sz w:val="18"/>
        <w:szCs w:val="18"/>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3</w:t>
    </w:r>
    <w:r w:rsidRPr="00951F9E">
      <w:rPr>
        <w:b/>
        <w:sz w:val="20"/>
        <w:szCs w:val="20"/>
      </w:rPr>
      <w:fldChar w:fldCharType="end"/>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Evaluation processes and data sources</w:t>
    </w:r>
    <w:r w:rsidRPr="00951F9E">
      <w:rPr>
        <w:rFonts w:asciiTheme="minorHAnsi" w:hAnsiTheme="minorHAnsi"/>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r>
      <w:rPr>
        <w:noProof/>
      </w:rPr>
      <w:drawing>
        <wp:inline distT="0" distB="0" distL="0" distR="0" wp14:anchorId="076A0966" wp14:editId="09F72FA0">
          <wp:extent cx="7916400" cy="1818000"/>
          <wp:effectExtent l="0" t="0" r="0" b="0"/>
          <wp:docPr id="65" name="Picture 65" descr="SPRC HEADER&#10;&#10;UNSW Australia logo; Never Stand Still; Faculty of Arts &amp; Social Sciences; 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 cstate="print">
                    <a:extLst>
                      <a:ext uri="{28A0092B-C50C-407E-A947-70E740481C1C}">
                        <a14:useLocalDpi xmlns:a14="http://schemas.microsoft.com/office/drawing/2010/main" val="0"/>
                      </a:ext>
                    </a:extLst>
                  </a:blip>
                  <a:srcRect l="-46" r="1464" b="3787"/>
                  <a:stretch/>
                </pic:blipFill>
                <pic:spPr bwMode="auto">
                  <a:xfrm>
                    <a:off x="0" y="0"/>
                    <a:ext cx="7916400" cy="1818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4</w:t>
    </w:r>
    <w:r w:rsidRPr="00951F9E">
      <w:rPr>
        <w:b/>
        <w:sz w:val="20"/>
        <w:szCs w:val="20"/>
      </w:rPr>
      <w:fldChar w:fldCharType="end"/>
    </w: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The population on income management</w:t>
    </w:r>
    <w:r w:rsidRPr="00951F9E">
      <w:rPr>
        <w:rFonts w:asciiTheme="minorHAnsi" w:hAnsiTheme="minorHAnsi"/>
        <w:sz w:val="18"/>
        <w:szCs w:val="18"/>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5</w:t>
    </w:r>
    <w:r w:rsidRPr="00951F9E">
      <w:rPr>
        <w:b/>
        <w:sz w:val="20"/>
        <w:szCs w:val="20"/>
      </w:rPr>
      <w:fldChar w:fldCharType="end"/>
    </w: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Exemptions</w:t>
    </w:r>
    <w:r w:rsidRPr="00951F9E">
      <w:rPr>
        <w:rFonts w:asciiTheme="minorHAnsi" w:hAnsiTheme="minorHAnsi"/>
        <w:sz w:val="18"/>
        <w:szCs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sidRPr="0035357E">
      <w:rPr>
        <w:bCs/>
        <w:sz w:val="20"/>
        <w:szCs w:val="20"/>
        <w:lang w:val="en-US"/>
      </w:rPr>
      <w:t>6</w:t>
    </w:r>
    <w:r w:rsidRPr="00951F9E">
      <w:rPr>
        <w:b/>
        <w:sz w:val="20"/>
        <w:szCs w:val="20"/>
      </w:rPr>
      <w:fldChar w:fldCharType="end"/>
    </w: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DA618C" w:rsidRDefault="00F612EF" w:rsidP="00951F9E">
    <w:pPr>
      <w:pStyle w:val="Header"/>
      <w:jc w:val="right"/>
      <w:rPr>
        <w:rFonts w:asciiTheme="minorHAnsi" w:hAnsiTheme="minorHAnsi"/>
        <w:sz w:val="18"/>
        <w:szCs w:val="18"/>
      </w:rPr>
    </w:pPr>
    <w:r w:rsidRPr="00DA618C">
      <w:rPr>
        <w:rFonts w:asciiTheme="minorHAnsi" w:hAnsiTheme="minorHAnsi"/>
        <w:sz w:val="18"/>
        <w:szCs w:val="18"/>
      </w:rPr>
      <w:fldChar w:fldCharType="begin"/>
    </w:r>
    <w:r w:rsidRPr="00DA618C">
      <w:rPr>
        <w:rFonts w:asciiTheme="minorHAnsi" w:hAnsiTheme="minorHAnsi"/>
        <w:sz w:val="18"/>
        <w:szCs w:val="18"/>
      </w:rPr>
      <w:instrText xml:space="preserve"> STYLEREF  "Heading 1"  \* MERGEFORMAT </w:instrText>
    </w:r>
    <w:r w:rsidRPr="00DA618C">
      <w:rPr>
        <w:rFonts w:asciiTheme="minorHAnsi" w:hAnsiTheme="minorHAnsi"/>
        <w:sz w:val="18"/>
        <w:szCs w:val="18"/>
      </w:rPr>
      <w:fldChar w:fldCharType="separate"/>
    </w:r>
    <w:r w:rsidR="0035357E" w:rsidRPr="0035357E">
      <w:rPr>
        <w:rFonts w:asciiTheme="minorHAnsi" w:hAnsiTheme="minorHAnsi"/>
        <w:bCs/>
        <w:noProof/>
        <w:sz w:val="18"/>
        <w:szCs w:val="18"/>
        <w:lang w:val="en-US"/>
      </w:rPr>
      <w:t>Patterns</w:t>
    </w:r>
    <w:r w:rsidR="0035357E">
      <w:rPr>
        <w:rFonts w:asciiTheme="minorHAnsi" w:hAnsiTheme="minorHAnsi"/>
        <w:noProof/>
        <w:sz w:val="18"/>
        <w:szCs w:val="18"/>
      </w:rPr>
      <w:t xml:space="preserve"> of consumption and financial management</w:t>
    </w:r>
    <w:r w:rsidRPr="00DA618C">
      <w:rPr>
        <w:rFonts w:asciiTheme="minorHAnsi" w:hAnsiTheme="minorHAnsi"/>
        <w:sz w:val="18"/>
        <w:szCs w:val="18"/>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C13362" w:rsidRDefault="00F612EF" w:rsidP="00C1336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529F4" w:rsidRDefault="00F612EF" w:rsidP="00F529F4">
    <w:pPr>
      <w:pStyle w:val="Header"/>
      <w:jc w:val="right"/>
      <w:rPr>
        <w:rFonts w:asciiTheme="minorHAnsi" w:hAnsiTheme="minorHAnsi"/>
        <w:sz w:val="18"/>
        <w:szCs w:val="18"/>
      </w:rPr>
    </w:pPr>
    <w:r w:rsidRPr="00DA618C">
      <w:rPr>
        <w:rFonts w:asciiTheme="minorHAnsi" w:hAnsiTheme="minorHAnsi"/>
        <w:sz w:val="18"/>
        <w:szCs w:val="18"/>
      </w:rPr>
      <w:fldChar w:fldCharType="begin"/>
    </w:r>
    <w:r w:rsidRPr="00DA618C">
      <w:rPr>
        <w:rFonts w:asciiTheme="minorHAnsi" w:hAnsiTheme="minorHAnsi"/>
        <w:sz w:val="18"/>
        <w:szCs w:val="18"/>
      </w:rPr>
      <w:instrText xml:space="preserve"> STYLEREF  "Heading 1"  \* MERGEFORMAT </w:instrText>
    </w:r>
    <w:r w:rsidRPr="00DA618C">
      <w:rPr>
        <w:rFonts w:asciiTheme="minorHAnsi" w:hAnsiTheme="minorHAnsi"/>
        <w:sz w:val="18"/>
        <w:szCs w:val="18"/>
      </w:rPr>
      <w:fldChar w:fldCharType="separate"/>
    </w:r>
    <w:r w:rsidR="0035357E" w:rsidRPr="0035357E">
      <w:rPr>
        <w:rFonts w:asciiTheme="minorHAnsi" w:hAnsiTheme="minorHAnsi"/>
        <w:bCs/>
        <w:noProof/>
        <w:sz w:val="18"/>
        <w:szCs w:val="18"/>
        <w:lang w:val="en-US"/>
      </w:rPr>
      <w:t>Patterns of consumption and financial management</w:t>
    </w:r>
    <w:r w:rsidRPr="00DA618C">
      <w:rPr>
        <w:rFonts w:asciiTheme="minorHAnsi" w:hAnsiTheme="minorHAnsi"/>
        <w:sz w:val="18"/>
        <w:szCs w:val="18"/>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529F4">
    <w:pPr>
      <w:pStyle w:val="header1"/>
    </w:pPr>
    <w:r>
      <w:t>Chapter</w:t>
    </w:r>
    <w:r w:rsidRPr="00F529F4">
      <w:t xml:space="preserve"> </w:t>
    </w:r>
    <w:r w:rsidR="0035357E">
      <w:fldChar w:fldCharType="begin"/>
    </w:r>
    <w:r w:rsidR="0035357E">
      <w:instrText xml:space="preserve"> STYLEREF  "Heading 1" \r  \* MERGEFORMAT </w:instrText>
    </w:r>
    <w:r w:rsidR="0035357E">
      <w:fldChar w:fldCharType="separate"/>
    </w:r>
    <w:r w:rsidR="0035357E">
      <w:t>6</w:t>
    </w:r>
    <w:r w:rsidR="0035357E">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529F4">
    <w:pPr>
      <w:pStyle w:val="header1"/>
    </w:pPr>
    <w:r>
      <w:t>Chapter</w:t>
    </w:r>
    <w:r w:rsidRPr="00F529F4">
      <w:t xml:space="preserve"> </w:t>
    </w:r>
    <w:r w:rsidR="0035357E">
      <w:fldChar w:fldCharType="begin"/>
    </w:r>
    <w:r w:rsidR="0035357E">
      <w:instrText xml:space="preserve"> STYLEREF  "Heading 1" \r  \* MERGEFORMAT </w:instrText>
    </w:r>
    <w:r w:rsidR="0035357E">
      <w:fldChar w:fldCharType="separate"/>
    </w:r>
    <w:r w:rsidR="0035357E">
      <w:t>6</w:t>
    </w:r>
    <w:r w:rsidR="0035357E">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7</w:t>
    </w:r>
    <w:r w:rsidRPr="00951F9E">
      <w:rPr>
        <w:b/>
        <w:sz w:val="20"/>
        <w:szCs w:val="20"/>
      </w:rPr>
      <w:fldChar w:fldCharType="end"/>
    </w: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Views and experiences of those subject to income management</w:t>
    </w:r>
    <w:r w:rsidRPr="00951F9E">
      <w:rPr>
        <w:rFonts w:asciiTheme="minorHAnsi" w:hAnsiTheme="minorHAnsi"/>
        <w:sz w:val="18"/>
        <w:szCs w:val="1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42BEE" w:rsidRDefault="00F612EF" w:rsidP="00F42BE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8</w:t>
    </w:r>
    <w:r w:rsidRPr="00951F9E">
      <w:rPr>
        <w:b/>
        <w:sz w:val="20"/>
        <w:szCs w:val="20"/>
      </w:rPr>
      <w:fldChar w:fldCharType="end"/>
    </w: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Views of people on income management – qualitative findings</w:t>
    </w:r>
    <w:r w:rsidRPr="00951F9E">
      <w:rPr>
        <w:rFonts w:asciiTheme="minorHAnsi" w:hAnsiTheme="minorHAnsi"/>
        <w:sz w:val="18"/>
        <w:szCs w:val="1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9</w:t>
    </w:r>
    <w:r w:rsidRPr="00951F9E">
      <w:rPr>
        <w:b/>
        <w:sz w:val="20"/>
        <w:szCs w:val="20"/>
      </w:rPr>
      <w:fldChar w:fldCharType="end"/>
    </w:r>
    <w:r>
      <w:t xml:space="preserve"> </w:t>
    </w:r>
  </w:p>
  <w:p w:rsidR="00F612EF" w:rsidRPr="00286EF6" w:rsidRDefault="00F612EF" w:rsidP="00286EF6">
    <w:pPr>
      <w:pStyle w:val="header1"/>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The broader impacts of income management</w:t>
    </w:r>
    <w:r w:rsidRPr="00951F9E">
      <w:rPr>
        <w:rFonts w:asciiTheme="minorHAnsi" w:hAnsiTheme="minorHAnsi"/>
        <w:sz w:val="18"/>
        <w:szCs w:val="1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10</w:t>
    </w:r>
    <w:r w:rsidRPr="00951F9E">
      <w:rPr>
        <w:b/>
        <w:sz w:val="20"/>
        <w:szCs w:val="20"/>
      </w:rPr>
      <w:fldChar w:fldCharType="end"/>
    </w:r>
    <w: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The perspectives of intermediaries</w:t>
    </w:r>
    <w:r w:rsidRPr="00951F9E">
      <w:rPr>
        <w:rFonts w:asciiTheme="minorHAnsi" w:hAnsiTheme="minorHAnsi"/>
        <w:sz w:val="18"/>
        <w:szCs w:val="18"/>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11</w:t>
    </w:r>
    <w:r w:rsidRPr="00951F9E">
      <w:rPr>
        <w:b/>
        <w:sz w:val="20"/>
        <w:szCs w:val="20"/>
      </w:rPr>
      <w:fldChar w:fldCharType="end"/>
    </w:r>
    <w: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Voluntary Income Management</w:t>
    </w:r>
    <w:r w:rsidRPr="00951F9E">
      <w:rPr>
        <w:rFonts w:asciiTheme="minorHAnsi" w:hAnsiTheme="minorHAnsi"/>
        <w:sz w:val="18"/>
        <w:szCs w:val="1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Pr>
        <w:b/>
        <w:sz w:val="20"/>
        <w:szCs w:val="20"/>
      </w:rPr>
      <w:fldChar w:fldCharType="begin"/>
    </w:r>
    <w:r>
      <w:rPr>
        <w:b/>
        <w:sz w:val="20"/>
        <w:szCs w:val="20"/>
      </w:rPr>
      <w:instrText xml:space="preserve"> STYLEREF  "Heading 1" \r  \* MERGEFORMAT </w:instrText>
    </w:r>
    <w:r>
      <w:rPr>
        <w:b/>
        <w:sz w:val="20"/>
        <w:szCs w:val="20"/>
      </w:rPr>
      <w:fldChar w:fldCharType="separate"/>
    </w:r>
    <w:r w:rsidR="0035357E">
      <w:rPr>
        <w:b/>
        <w:sz w:val="20"/>
        <w:szCs w:val="20"/>
      </w:rPr>
      <w:t>13</w:t>
    </w:r>
    <w:r>
      <w:rPr>
        <w:b/>
        <w:sz w:val="20"/>
        <w:szCs w:val="20"/>
      </w:rP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Child Protection Income Management</w:t>
    </w:r>
    <w:r w:rsidRPr="00951F9E">
      <w:rPr>
        <w:rFonts w:asciiTheme="minorHAnsi" w:hAnsiTheme="minorHAnsi"/>
        <w:sz w:val="18"/>
        <w:szCs w:val="18"/>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14</w:t>
    </w:r>
    <w:r w:rsidRPr="00951F9E">
      <w:rPr>
        <w:b/>
        <w:sz w:val="20"/>
        <w:szCs w:val="20"/>
      </w:rPr>
      <w:fldChar w:fldCharType="end"/>
    </w:r>
    <w: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Findings against the evaluation framework</w:t>
    </w:r>
    <w:r w:rsidRPr="00951F9E">
      <w:rPr>
        <w:rFonts w:asciiTheme="minorHAnsi" w:hAnsiTheme="minorHAnsi"/>
        <w:sz w:val="18"/>
        <w:szCs w:val="1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35357E">
      <w:rPr>
        <w:b/>
        <w:sz w:val="20"/>
        <w:szCs w:val="20"/>
      </w:rPr>
      <w:t>16</w:t>
    </w:r>
    <w:r w:rsidRPr="00951F9E">
      <w:rPr>
        <w:b/>
        <w:sz w:val="20"/>
        <w:szCs w:val="20"/>
      </w:rPr>
      <w:fldChar w:fldCharType="end"/>
    </w:r>
    <w: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35357E">
      <w:rPr>
        <w:rFonts w:asciiTheme="minorHAnsi" w:hAnsiTheme="minorHAnsi"/>
        <w:noProof/>
        <w:sz w:val="18"/>
        <w:szCs w:val="18"/>
      </w:rPr>
      <w:t>Epilogue – Reporting Back</w:t>
    </w:r>
    <w:r w:rsidRPr="00951F9E">
      <w:rPr>
        <w:rFonts w:asciiTheme="minorHAnsi" w:hAnsiTheme="minorHAnsi"/>
        <w:sz w:val="18"/>
        <w:szCs w:val="18"/>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sidR="0035357E">
      <w:rPr>
        <w:rFonts w:asciiTheme="minorHAnsi" w:hAnsiTheme="minorHAnsi"/>
        <w:noProof/>
        <w:sz w:val="18"/>
        <w:szCs w:val="18"/>
      </w:rPr>
      <w:t>Appendix G: Vulnerable File Review</w:t>
    </w:r>
    <w:r>
      <w:rPr>
        <w:rFonts w:asciiTheme="minorHAnsi" w:hAnsiTheme="minorHAnsi"/>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B0FB9" w:rsidRDefault="00F612EF" w:rsidP="00FB0FB9">
    <w:pPr>
      <w:pStyle w:val="Header"/>
    </w:pPr>
    <w:r>
      <w:rPr>
        <w:rFonts w:asciiTheme="minorHAnsi" w:hAnsiTheme="minorHAnsi"/>
        <w:noProof/>
        <w:sz w:val="16"/>
        <w:szCs w:val="16"/>
      </w:rPr>
      <w:fldChar w:fldCharType="begin"/>
    </w:r>
    <w:r>
      <w:rPr>
        <w:rFonts w:asciiTheme="minorHAnsi" w:hAnsiTheme="minorHAnsi"/>
        <w:noProof/>
        <w:sz w:val="16"/>
        <w:szCs w:val="16"/>
      </w:rPr>
      <w:instrText xml:space="preserve"> STYLEREF  pretitle  \* MERGEFORMAT </w:instrText>
    </w:r>
    <w:r>
      <w:rPr>
        <w:rFonts w:asciiTheme="minorHAnsi" w:hAnsiTheme="minorHAnsi"/>
        <w:noProof/>
        <w:sz w:val="16"/>
        <w:szCs w:val="16"/>
      </w:rPr>
      <w:fldChar w:fldCharType="separate"/>
    </w:r>
    <w:r w:rsidR="0035357E">
      <w:rPr>
        <w:rFonts w:asciiTheme="minorHAnsi" w:hAnsiTheme="minorHAnsi"/>
        <w:noProof/>
        <w:sz w:val="16"/>
        <w:szCs w:val="16"/>
      </w:rPr>
      <w:t>Glossary</w:t>
    </w:r>
    <w:r>
      <w:rPr>
        <w:rFonts w:asciiTheme="minorHAnsi" w:hAnsiTheme="minorHAnsi"/>
        <w:noProof/>
        <w:sz w:val="16"/>
        <w:szCs w:val="16"/>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AF425D">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sidR="0035357E">
      <w:rPr>
        <w:rFonts w:asciiTheme="minorHAnsi" w:hAnsiTheme="minorHAnsi"/>
        <w:noProof/>
        <w:sz w:val="18"/>
        <w:szCs w:val="18"/>
      </w:rPr>
      <w:t>Appendix G: Vulnerable File Review</w:t>
    </w:r>
    <w:r>
      <w:rPr>
        <w:rFonts w:asciiTheme="minorHAnsi" w:hAnsiTheme="minorHAnsi"/>
        <w:sz w:val="18"/>
        <w:szCs w:val="18"/>
      </w:rPr>
      <w:fldChar w:fldCharType="end"/>
    </w:r>
  </w:p>
  <w:p w:rsidR="00F612EF" w:rsidRPr="00AF425D" w:rsidRDefault="00F612EF" w:rsidP="00AF42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B0FB9">
    <w:pPr>
      <w:pStyle w:val="Header"/>
      <w:rPr>
        <w:rFonts w:asciiTheme="minorHAnsi" w:hAnsiTheme="minorHAnsi"/>
        <w:noProof/>
        <w:sz w:val="16"/>
        <w:szCs w:val="16"/>
      </w:rPr>
    </w:pPr>
    <w:r>
      <w:rPr>
        <w:rFonts w:asciiTheme="minorHAnsi" w:hAnsiTheme="minorHAnsi"/>
        <w:noProof/>
        <w:sz w:val="16"/>
        <w:szCs w:val="16"/>
      </w:rPr>
      <w:fldChar w:fldCharType="begin"/>
    </w:r>
    <w:r>
      <w:rPr>
        <w:rFonts w:asciiTheme="minorHAnsi" w:hAnsiTheme="minorHAnsi"/>
        <w:noProof/>
        <w:sz w:val="16"/>
        <w:szCs w:val="16"/>
      </w:rPr>
      <w:instrText xml:space="preserve"> STYLEREF  unumchpt  \* MERGEFORMAT </w:instrText>
    </w:r>
    <w:r>
      <w:rPr>
        <w:rFonts w:asciiTheme="minorHAnsi" w:hAnsiTheme="minorHAnsi"/>
        <w:noProof/>
        <w:sz w:val="16"/>
        <w:szCs w:val="16"/>
      </w:rPr>
      <w:fldChar w:fldCharType="separate"/>
    </w:r>
    <w:r w:rsidR="0035357E">
      <w:rPr>
        <w:rFonts w:asciiTheme="minorHAnsi" w:hAnsiTheme="minorHAnsi"/>
        <w:noProof/>
        <w:sz w:val="16"/>
        <w:szCs w:val="16"/>
      </w:rPr>
      <w:t>Executive Summary</w:t>
    </w:r>
    <w:r>
      <w:rPr>
        <w:rFonts w:asciiTheme="minorHAnsi" w:hAnsiTheme="minorHAnsi"/>
        <w:noProof/>
        <w:sz w:val="16"/>
        <w:szCs w:val="16"/>
      </w:rPr>
      <w:fldChar w:fldCharType="end"/>
    </w:r>
  </w:p>
  <w:p w:rsidR="00F612EF" w:rsidRDefault="00F612EF" w:rsidP="00FB0FB9">
    <w:pPr>
      <w:pStyle w:val="Header"/>
      <w:rPr>
        <w:rFonts w:asciiTheme="minorHAnsi" w:hAnsiTheme="minorHAnsi"/>
        <w:noProof/>
        <w:sz w:val="16"/>
        <w:szCs w:val="16"/>
      </w:rPr>
    </w:pPr>
  </w:p>
  <w:p w:rsidR="00F612EF" w:rsidRPr="00FB0FB9" w:rsidRDefault="00F612EF" w:rsidP="00FB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F093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01E17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9CE0FAC"/>
    <w:lvl w:ilvl="0">
      <w:start w:val="1"/>
      <w:numFmt w:val="decimal"/>
      <w:pStyle w:val="ListNumber3"/>
      <w:lvlText w:val="%1."/>
      <w:lvlJc w:val="left"/>
      <w:pPr>
        <w:tabs>
          <w:tab w:val="num" w:pos="926"/>
        </w:tabs>
        <w:ind w:left="926" w:hanging="360"/>
      </w:pPr>
    </w:lvl>
  </w:abstractNum>
  <w:abstractNum w:abstractNumId="3">
    <w:nsid w:val="FFFFFF7F"/>
    <w:multiLevelType w:val="singleLevel"/>
    <w:tmpl w:val="BC302E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29037D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610D5E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F208B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7CF23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5BE5222"/>
    <w:lvl w:ilvl="0">
      <w:start w:val="1"/>
      <w:numFmt w:val="decimal"/>
      <w:pStyle w:val="ListNumber"/>
      <w:lvlText w:val="%1."/>
      <w:lvlJc w:val="left"/>
      <w:pPr>
        <w:tabs>
          <w:tab w:val="num" w:pos="360"/>
        </w:tabs>
        <w:ind w:left="360" w:hanging="360"/>
      </w:pPr>
      <w:rPr>
        <w:b w:val="0"/>
        <w:color w:val="auto"/>
      </w:rPr>
    </w:lvl>
  </w:abstractNum>
  <w:abstractNum w:abstractNumId="9">
    <w:nsid w:val="00684D81"/>
    <w:multiLevelType w:val="hybridMultilevel"/>
    <w:tmpl w:val="150A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D45BE2"/>
    <w:multiLevelType w:val="hybridMultilevel"/>
    <w:tmpl w:val="7D046DB8"/>
    <w:lvl w:ilvl="0" w:tplc="9CC6FF9A">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nsid w:val="10FB257B"/>
    <w:multiLevelType w:val="hybridMultilevel"/>
    <w:tmpl w:val="7BD62F68"/>
    <w:lvl w:ilvl="0" w:tplc="CAB2AC1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nsid w:val="12991EE6"/>
    <w:multiLevelType w:val="multilevel"/>
    <w:tmpl w:val="6F5805BE"/>
    <w:styleLink w:val="SPRC-style"/>
    <w:lvl w:ilvl="0">
      <w:start w:val="1"/>
      <w:numFmt w:val="decimal"/>
      <w:lvlText w:val="%1."/>
      <w:lvlJc w:val="left"/>
      <w:pPr>
        <w:ind w:left="2204" w:hanging="360"/>
      </w:pPr>
      <w:rPr>
        <w:rFonts w:ascii="Arial" w:hAnsi="Arial" w:hint="default"/>
        <w:b/>
        <w:i w:val="0"/>
        <w:color w:val="3F58A8"/>
        <w:sz w:val="36"/>
      </w:rPr>
    </w:lvl>
    <w:lvl w:ilvl="1">
      <w:start w:val="1"/>
      <w:numFmt w:val="decimal"/>
      <w:lvlText w:val="%1.%2"/>
      <w:lvlJc w:val="left"/>
      <w:pPr>
        <w:ind w:left="794" w:hanging="794"/>
      </w:pPr>
      <w:rPr>
        <w:rFonts w:hint="default"/>
        <w:color w:val="3F58A8"/>
        <w:sz w:val="24"/>
      </w:rPr>
    </w:lvl>
    <w:lvl w:ilvl="2">
      <w:start w:val="1"/>
      <w:numFmt w:val="decimal"/>
      <w:lvlText w:val="%1.%2.%3"/>
      <w:lvlJc w:val="left"/>
      <w:pPr>
        <w:ind w:left="4488" w:hanging="1078"/>
      </w:pPr>
      <w:rPr>
        <w:rFonts w:hint="default"/>
        <w:sz w:val="24"/>
      </w:rPr>
    </w:lvl>
    <w:lvl w:ilvl="3">
      <w:start w:val="1"/>
      <w:numFmt w:val="none"/>
      <w:lvlText w:val=""/>
      <w:lvlJc w:val="left"/>
      <w:pPr>
        <w:ind w:left="4518" w:hanging="648"/>
      </w:pPr>
      <w:rPr>
        <w:rFonts w:hint="default"/>
      </w:rPr>
    </w:lvl>
    <w:lvl w:ilvl="4">
      <w:start w:val="1"/>
      <w:numFmt w:val="decimal"/>
      <w:lvlText w:val="%1.%2.%3.%4.%5."/>
      <w:lvlJc w:val="left"/>
      <w:pPr>
        <w:ind w:left="5022" w:hanging="792"/>
      </w:pPr>
      <w:rPr>
        <w:rFonts w:hint="default"/>
      </w:rPr>
    </w:lvl>
    <w:lvl w:ilvl="5">
      <w:start w:val="1"/>
      <w:numFmt w:val="decimal"/>
      <w:lvlText w:val="%1.%2.%3.%4.%5.%6."/>
      <w:lvlJc w:val="left"/>
      <w:pPr>
        <w:ind w:left="5526" w:hanging="936"/>
      </w:pPr>
      <w:rPr>
        <w:rFonts w:hint="default"/>
      </w:rPr>
    </w:lvl>
    <w:lvl w:ilvl="6">
      <w:start w:val="1"/>
      <w:numFmt w:val="decimal"/>
      <w:lvlText w:val="%1.%2.%3.%4.%5.%6.%7."/>
      <w:lvlJc w:val="left"/>
      <w:pPr>
        <w:ind w:left="6030" w:hanging="1080"/>
      </w:pPr>
      <w:rPr>
        <w:rFonts w:hint="default"/>
      </w:rPr>
    </w:lvl>
    <w:lvl w:ilvl="7">
      <w:start w:val="1"/>
      <w:numFmt w:val="decimal"/>
      <w:lvlText w:val="%1.%2.%3.%4.%5.%6.%7.%8."/>
      <w:lvlJc w:val="left"/>
      <w:pPr>
        <w:ind w:left="6534" w:hanging="1224"/>
      </w:pPr>
      <w:rPr>
        <w:rFonts w:hint="default"/>
      </w:rPr>
    </w:lvl>
    <w:lvl w:ilvl="8">
      <w:start w:val="1"/>
      <w:numFmt w:val="decimal"/>
      <w:lvlText w:val="%1.%2.%3.%4.%5.%6.%7.%8.%9."/>
      <w:lvlJc w:val="left"/>
      <w:pPr>
        <w:ind w:left="7110" w:hanging="1440"/>
      </w:pPr>
      <w:rPr>
        <w:rFonts w:hint="default"/>
      </w:rPr>
    </w:lvl>
  </w:abstractNum>
  <w:abstractNum w:abstractNumId="13">
    <w:nsid w:val="19255D38"/>
    <w:multiLevelType w:val="multilevel"/>
    <w:tmpl w:val="2BF855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ppendix %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D7B246F"/>
    <w:multiLevelType w:val="hybridMultilevel"/>
    <w:tmpl w:val="A41AF828"/>
    <w:lvl w:ilvl="0" w:tplc="3064DC64">
      <w:start w:val="1"/>
      <w:numFmt w:val="bullet"/>
      <w:pStyle w:val="dash"/>
      <w:lvlText w:val="▬"/>
      <w:lvlJc w:val="left"/>
      <w:pPr>
        <w:ind w:left="717" w:hanging="360"/>
      </w:pPr>
      <w:rPr>
        <w:rFonts w:ascii="Garamond" w:hAnsi="Garamond" w:hint="default"/>
        <w:b/>
        <w:i w:val="0"/>
        <w:color w:val="9D4A48"/>
        <w:w w:val="76"/>
        <w:sz w:val="10"/>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A14DDE"/>
    <w:multiLevelType w:val="multilevel"/>
    <w:tmpl w:val="0C09001F"/>
    <w:styleLink w:val="SPRC-NEW"/>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4C4DC9"/>
    <w:multiLevelType w:val="hybridMultilevel"/>
    <w:tmpl w:val="40D0C734"/>
    <w:lvl w:ilvl="0" w:tplc="B42EC446">
      <w:start w:val="1"/>
      <w:numFmt w:val="decimal"/>
      <w:pStyle w:val="Figure"/>
      <w:lvlText w:val="Figure %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6953531"/>
    <w:multiLevelType w:val="hybridMultilevel"/>
    <w:tmpl w:val="B7F6F324"/>
    <w:lvl w:ilvl="0" w:tplc="9CC6FF9A">
      <w:start w:val="1"/>
      <w:numFmt w:val="bulle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44204AE6"/>
    <w:multiLevelType w:val="hybridMultilevel"/>
    <w:tmpl w:val="9D646D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4C86FD1"/>
    <w:multiLevelType w:val="hybridMultilevel"/>
    <w:tmpl w:val="2B36FD40"/>
    <w:lvl w:ilvl="0" w:tplc="7A709EDE">
      <w:start w:val="1"/>
      <w:numFmt w:val="lowerLetter"/>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48D13588"/>
    <w:multiLevelType w:val="hybridMultilevel"/>
    <w:tmpl w:val="D37009A2"/>
    <w:lvl w:ilvl="0" w:tplc="F702CD9C">
      <w:start w:val="1"/>
      <w:numFmt w:val="bullet"/>
      <w:pStyle w:val="dot"/>
      <w:lvlText w:val="■"/>
      <w:lvlJc w:val="left"/>
      <w:pPr>
        <w:ind w:left="720" w:hanging="360"/>
      </w:pPr>
      <w:rPr>
        <w:rFonts w:ascii="MS Gothic" w:eastAsia="MS Gothic" w:hAnsi="MS Gothic" w:hint="default"/>
        <w:color w:val="9D4A48"/>
        <w:w w:val="76"/>
        <w:sz w:val="10"/>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3D5251"/>
    <w:multiLevelType w:val="hybridMultilevel"/>
    <w:tmpl w:val="7CE26EE0"/>
    <w:lvl w:ilvl="0" w:tplc="0F940648">
      <w:start w:val="1"/>
      <w:numFmt w:val="bullet"/>
      <w:lvlText w:val=""/>
      <w:lvlJc w:val="left"/>
      <w:pPr>
        <w:ind w:left="720" w:hanging="360"/>
      </w:pPr>
      <w:rPr>
        <w:rFonts w:ascii="Wingdings" w:hAnsi="Wingdings" w:hint="default"/>
        <w:color w:val="943634"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083ED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EDA3E7C"/>
    <w:multiLevelType w:val="hybridMultilevel"/>
    <w:tmpl w:val="1FE4F53E"/>
    <w:lvl w:ilvl="0" w:tplc="1548CF0A">
      <w:start w:val="1"/>
      <w:numFmt w:val="bullet"/>
      <w:pStyle w:val="fv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nsid w:val="5D0023D2"/>
    <w:multiLevelType w:val="hybridMultilevel"/>
    <w:tmpl w:val="E36C6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0904E24"/>
    <w:multiLevelType w:val="multilevel"/>
    <w:tmpl w:val="0C06A096"/>
    <w:lvl w:ilvl="0">
      <w:start w:val="1"/>
      <w:numFmt w:val="decimal"/>
      <w:pStyle w:val="aphead1"/>
      <w:lvlText w:val="B.%1"/>
      <w:lvlJc w:val="left"/>
      <w:pPr>
        <w:ind w:left="720" w:hanging="360"/>
      </w:pPr>
      <w:rPr>
        <w:rFonts w:hint="default"/>
      </w:rPr>
    </w:lvl>
    <w:lvl w:ilvl="1">
      <w:start w:val="1"/>
      <w:numFmt w:val="decimal"/>
      <w:pStyle w:val="aphead2"/>
      <w:lvlText w:val="B.%1.%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20F2873"/>
    <w:multiLevelType w:val="hybridMultilevel"/>
    <w:tmpl w:val="FBD24CD4"/>
    <w:lvl w:ilvl="0" w:tplc="9CC6FF9A">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nsid w:val="62843D03"/>
    <w:multiLevelType w:val="hybridMultilevel"/>
    <w:tmpl w:val="C1BAB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23D5B19"/>
    <w:multiLevelType w:val="multilevel"/>
    <w:tmpl w:val="41A6E494"/>
    <w:lvl w:ilvl="0">
      <w:start w:val="1"/>
      <w:numFmt w:val="decimal"/>
      <w:pStyle w:val="Heading1"/>
      <w:lvlText w:val="%1"/>
      <w:lvlJc w:val="left"/>
      <w:pPr>
        <w:ind w:left="432" w:hanging="432"/>
      </w:pPr>
      <w:rPr>
        <w:rFonts w:hint="default"/>
        <w:b/>
        <w:sz w:val="144"/>
        <w:szCs w:val="144"/>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73734840"/>
    <w:multiLevelType w:val="hybridMultilevel"/>
    <w:tmpl w:val="EDD49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8EE07BB"/>
    <w:multiLevelType w:val="multilevel"/>
    <w:tmpl w:val="0C09001D"/>
    <w:styleLink w:val="dotdash"/>
    <w:lvl w:ilvl="0">
      <w:start w:val="1"/>
      <w:numFmt w:val="bullet"/>
      <w:pStyle w:val="Dotpoin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20652A"/>
    <w:multiLevelType w:val="hybridMultilevel"/>
    <w:tmpl w:val="37645910"/>
    <w:lvl w:ilvl="0" w:tplc="14B266E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0"/>
  </w:num>
  <w:num w:numId="3">
    <w:abstractNumId w:val="14"/>
  </w:num>
  <w:num w:numId="4">
    <w:abstractNumId w:val="12"/>
  </w:num>
  <w:num w:numId="5">
    <w:abstractNumId w:val="18"/>
  </w:num>
  <w:num w:numId="6">
    <w:abstractNumId w:val="16"/>
  </w:num>
  <w:num w:numId="7">
    <w:abstractNumId w:val="15"/>
  </w:num>
  <w:num w:numId="8">
    <w:abstractNumId w:val="30"/>
  </w:num>
  <w:num w:numId="9">
    <w:abstractNumId w:val="21"/>
  </w:num>
  <w:num w:numId="10">
    <w:abstractNumId w:val="25"/>
  </w:num>
  <w:num w:numId="11">
    <w:abstractNumId w:val="10"/>
  </w:num>
  <w:num w:numId="12">
    <w:abstractNumId w:val="23"/>
  </w:num>
  <w:num w:numId="13">
    <w:abstractNumId w:val="17"/>
  </w:num>
  <w:num w:numId="14">
    <w:abstractNumId w:val="26"/>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2"/>
  </w:num>
  <w:num w:numId="18">
    <w:abstractNumId w:val="13"/>
  </w:num>
  <w:num w:numId="19">
    <w:abstractNumId w:val="31"/>
  </w:num>
  <w:num w:numId="20">
    <w:abstractNumId w:val="9"/>
  </w:num>
  <w:num w:numId="21">
    <w:abstractNumId w:val="8"/>
    <w:lvlOverride w:ilvl="0">
      <w:startOverride w:val="1"/>
    </w:lvlOverride>
  </w:num>
  <w:num w:numId="22">
    <w:abstractNumId w:val="24"/>
  </w:num>
  <w:num w:numId="23">
    <w:abstractNumId w:val="27"/>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910"/>
    <w:rsid w:val="000007A7"/>
    <w:rsid w:val="000059DA"/>
    <w:rsid w:val="00012F91"/>
    <w:rsid w:val="00014403"/>
    <w:rsid w:val="0001519A"/>
    <w:rsid w:val="00017026"/>
    <w:rsid w:val="0001702F"/>
    <w:rsid w:val="000208AE"/>
    <w:rsid w:val="000253E5"/>
    <w:rsid w:val="0002698C"/>
    <w:rsid w:val="00030047"/>
    <w:rsid w:val="00033E1C"/>
    <w:rsid w:val="000379F8"/>
    <w:rsid w:val="00040708"/>
    <w:rsid w:val="0004165E"/>
    <w:rsid w:val="00041D1B"/>
    <w:rsid w:val="000461E7"/>
    <w:rsid w:val="00055A7B"/>
    <w:rsid w:val="00060511"/>
    <w:rsid w:val="000628DB"/>
    <w:rsid w:val="000654F4"/>
    <w:rsid w:val="0006585A"/>
    <w:rsid w:val="000660EF"/>
    <w:rsid w:val="00066B6E"/>
    <w:rsid w:val="00066FEF"/>
    <w:rsid w:val="0006701E"/>
    <w:rsid w:val="00074155"/>
    <w:rsid w:val="0007578C"/>
    <w:rsid w:val="000853F3"/>
    <w:rsid w:val="00086970"/>
    <w:rsid w:val="00087BE9"/>
    <w:rsid w:val="00087D72"/>
    <w:rsid w:val="00094B97"/>
    <w:rsid w:val="00095720"/>
    <w:rsid w:val="00097266"/>
    <w:rsid w:val="000A0FE5"/>
    <w:rsid w:val="000A16CE"/>
    <w:rsid w:val="000A1999"/>
    <w:rsid w:val="000A24A5"/>
    <w:rsid w:val="000A3982"/>
    <w:rsid w:val="000A6A59"/>
    <w:rsid w:val="000A6BC5"/>
    <w:rsid w:val="000B08CA"/>
    <w:rsid w:val="000B1518"/>
    <w:rsid w:val="000B5E41"/>
    <w:rsid w:val="000B62BB"/>
    <w:rsid w:val="000B7FEC"/>
    <w:rsid w:val="000C04BC"/>
    <w:rsid w:val="000C1A13"/>
    <w:rsid w:val="000C234B"/>
    <w:rsid w:val="000C35F4"/>
    <w:rsid w:val="000C4773"/>
    <w:rsid w:val="000C5418"/>
    <w:rsid w:val="000D104B"/>
    <w:rsid w:val="000D3BE7"/>
    <w:rsid w:val="000E1342"/>
    <w:rsid w:val="000E1435"/>
    <w:rsid w:val="000E3239"/>
    <w:rsid w:val="000E7F9D"/>
    <w:rsid w:val="000F03E0"/>
    <w:rsid w:val="000F06BF"/>
    <w:rsid w:val="00100D07"/>
    <w:rsid w:val="00103400"/>
    <w:rsid w:val="001053D1"/>
    <w:rsid w:val="00105A7F"/>
    <w:rsid w:val="00106C4F"/>
    <w:rsid w:val="00107528"/>
    <w:rsid w:val="001140D3"/>
    <w:rsid w:val="00114D2A"/>
    <w:rsid w:val="00114EFF"/>
    <w:rsid w:val="00115F4A"/>
    <w:rsid w:val="001162BF"/>
    <w:rsid w:val="00120803"/>
    <w:rsid w:val="00124F5A"/>
    <w:rsid w:val="0012744E"/>
    <w:rsid w:val="00127934"/>
    <w:rsid w:val="001301D2"/>
    <w:rsid w:val="00130ADB"/>
    <w:rsid w:val="00133B20"/>
    <w:rsid w:val="00136606"/>
    <w:rsid w:val="001414E2"/>
    <w:rsid w:val="00144EDC"/>
    <w:rsid w:val="0014788B"/>
    <w:rsid w:val="00150A56"/>
    <w:rsid w:val="001544DF"/>
    <w:rsid w:val="00156BBE"/>
    <w:rsid w:val="001622EE"/>
    <w:rsid w:val="00164027"/>
    <w:rsid w:val="00164E5B"/>
    <w:rsid w:val="001651EA"/>
    <w:rsid w:val="00167037"/>
    <w:rsid w:val="00167549"/>
    <w:rsid w:val="00171E9A"/>
    <w:rsid w:val="00172C71"/>
    <w:rsid w:val="00173D09"/>
    <w:rsid w:val="00175CDF"/>
    <w:rsid w:val="00176499"/>
    <w:rsid w:val="00176C99"/>
    <w:rsid w:val="0018055E"/>
    <w:rsid w:val="00180B4C"/>
    <w:rsid w:val="00180E4E"/>
    <w:rsid w:val="001838DD"/>
    <w:rsid w:val="00184119"/>
    <w:rsid w:val="00187191"/>
    <w:rsid w:val="00192DCA"/>
    <w:rsid w:val="001937EB"/>
    <w:rsid w:val="00194C44"/>
    <w:rsid w:val="00195284"/>
    <w:rsid w:val="001A4519"/>
    <w:rsid w:val="001A4830"/>
    <w:rsid w:val="001A5F30"/>
    <w:rsid w:val="001A6DC0"/>
    <w:rsid w:val="001B260D"/>
    <w:rsid w:val="001B2C4D"/>
    <w:rsid w:val="001C0BE0"/>
    <w:rsid w:val="001C19F4"/>
    <w:rsid w:val="001C2CB5"/>
    <w:rsid w:val="001C3AAB"/>
    <w:rsid w:val="001C3FB9"/>
    <w:rsid w:val="001C44CD"/>
    <w:rsid w:val="001C5610"/>
    <w:rsid w:val="001C6AD0"/>
    <w:rsid w:val="001C741C"/>
    <w:rsid w:val="001D11BD"/>
    <w:rsid w:val="001D189F"/>
    <w:rsid w:val="001D25DF"/>
    <w:rsid w:val="001D2920"/>
    <w:rsid w:val="001D32C1"/>
    <w:rsid w:val="001D410A"/>
    <w:rsid w:val="001D5E12"/>
    <w:rsid w:val="001D67CA"/>
    <w:rsid w:val="001E07F5"/>
    <w:rsid w:val="001E189B"/>
    <w:rsid w:val="001E19E9"/>
    <w:rsid w:val="001E2112"/>
    <w:rsid w:val="001E4ADD"/>
    <w:rsid w:val="001F1187"/>
    <w:rsid w:val="001F25F5"/>
    <w:rsid w:val="001F468C"/>
    <w:rsid w:val="001F5B7B"/>
    <w:rsid w:val="001F5F6D"/>
    <w:rsid w:val="00201020"/>
    <w:rsid w:val="002013D1"/>
    <w:rsid w:val="00201738"/>
    <w:rsid w:val="00201DF3"/>
    <w:rsid w:val="00201E8C"/>
    <w:rsid w:val="0020613E"/>
    <w:rsid w:val="00210B0C"/>
    <w:rsid w:val="00210F4F"/>
    <w:rsid w:val="0021173D"/>
    <w:rsid w:val="00212938"/>
    <w:rsid w:val="00214E95"/>
    <w:rsid w:val="00215E2C"/>
    <w:rsid w:val="00217B7F"/>
    <w:rsid w:val="002202EF"/>
    <w:rsid w:val="00222662"/>
    <w:rsid w:val="00225D5C"/>
    <w:rsid w:val="00227C83"/>
    <w:rsid w:val="00232101"/>
    <w:rsid w:val="00235D8B"/>
    <w:rsid w:val="00244196"/>
    <w:rsid w:val="002447D3"/>
    <w:rsid w:val="00244FE9"/>
    <w:rsid w:val="002451CB"/>
    <w:rsid w:val="002456DD"/>
    <w:rsid w:val="00245CF0"/>
    <w:rsid w:val="00246DC1"/>
    <w:rsid w:val="00246DF0"/>
    <w:rsid w:val="00252DE4"/>
    <w:rsid w:val="002532F6"/>
    <w:rsid w:val="0025567B"/>
    <w:rsid w:val="00255D85"/>
    <w:rsid w:val="00256152"/>
    <w:rsid w:val="00256FDF"/>
    <w:rsid w:val="002604C3"/>
    <w:rsid w:val="00263366"/>
    <w:rsid w:val="00270A0E"/>
    <w:rsid w:val="00271203"/>
    <w:rsid w:val="00271D4B"/>
    <w:rsid w:val="002727B8"/>
    <w:rsid w:val="00273BCA"/>
    <w:rsid w:val="0027478A"/>
    <w:rsid w:val="002818B1"/>
    <w:rsid w:val="00285084"/>
    <w:rsid w:val="00285530"/>
    <w:rsid w:val="00286EF6"/>
    <w:rsid w:val="00287C53"/>
    <w:rsid w:val="00292F40"/>
    <w:rsid w:val="002961FB"/>
    <w:rsid w:val="00296744"/>
    <w:rsid w:val="002A03D8"/>
    <w:rsid w:val="002A11FD"/>
    <w:rsid w:val="002A14F3"/>
    <w:rsid w:val="002A3669"/>
    <w:rsid w:val="002A3FFE"/>
    <w:rsid w:val="002A44A5"/>
    <w:rsid w:val="002A485F"/>
    <w:rsid w:val="002A650D"/>
    <w:rsid w:val="002A7F98"/>
    <w:rsid w:val="002B00A9"/>
    <w:rsid w:val="002B019F"/>
    <w:rsid w:val="002B02A7"/>
    <w:rsid w:val="002B30B2"/>
    <w:rsid w:val="002B3B35"/>
    <w:rsid w:val="002B3CEA"/>
    <w:rsid w:val="002B4EC4"/>
    <w:rsid w:val="002B725B"/>
    <w:rsid w:val="002B7C0E"/>
    <w:rsid w:val="002C06DE"/>
    <w:rsid w:val="002C2E8A"/>
    <w:rsid w:val="002C314B"/>
    <w:rsid w:val="002C3738"/>
    <w:rsid w:val="002C3FD7"/>
    <w:rsid w:val="002D042A"/>
    <w:rsid w:val="002D4F0B"/>
    <w:rsid w:val="002D6A32"/>
    <w:rsid w:val="002E19D6"/>
    <w:rsid w:val="002E2E24"/>
    <w:rsid w:val="002E4CB6"/>
    <w:rsid w:val="002E6340"/>
    <w:rsid w:val="002F189D"/>
    <w:rsid w:val="002F3791"/>
    <w:rsid w:val="002F499B"/>
    <w:rsid w:val="002F5E90"/>
    <w:rsid w:val="002F74BE"/>
    <w:rsid w:val="00301801"/>
    <w:rsid w:val="00305D80"/>
    <w:rsid w:val="00307073"/>
    <w:rsid w:val="0030759F"/>
    <w:rsid w:val="00307C76"/>
    <w:rsid w:val="00310622"/>
    <w:rsid w:val="0031120E"/>
    <w:rsid w:val="00312074"/>
    <w:rsid w:val="0031457B"/>
    <w:rsid w:val="003172B6"/>
    <w:rsid w:val="003173D0"/>
    <w:rsid w:val="003231AF"/>
    <w:rsid w:val="00323789"/>
    <w:rsid w:val="00325E51"/>
    <w:rsid w:val="003317C9"/>
    <w:rsid w:val="003317E4"/>
    <w:rsid w:val="00333CEA"/>
    <w:rsid w:val="00337106"/>
    <w:rsid w:val="00343627"/>
    <w:rsid w:val="00343CFB"/>
    <w:rsid w:val="00345D93"/>
    <w:rsid w:val="00350406"/>
    <w:rsid w:val="003517EC"/>
    <w:rsid w:val="0035357E"/>
    <w:rsid w:val="00353891"/>
    <w:rsid w:val="003544C5"/>
    <w:rsid w:val="003573ED"/>
    <w:rsid w:val="00361238"/>
    <w:rsid w:val="00362CAD"/>
    <w:rsid w:val="003633FC"/>
    <w:rsid w:val="00364FB0"/>
    <w:rsid w:val="00372DFC"/>
    <w:rsid w:val="00373299"/>
    <w:rsid w:val="00373506"/>
    <w:rsid w:val="003757E7"/>
    <w:rsid w:val="003769D1"/>
    <w:rsid w:val="00380B02"/>
    <w:rsid w:val="00380D67"/>
    <w:rsid w:val="00384AE0"/>
    <w:rsid w:val="00384E39"/>
    <w:rsid w:val="00385CF1"/>
    <w:rsid w:val="003866EF"/>
    <w:rsid w:val="00386B63"/>
    <w:rsid w:val="00387EB5"/>
    <w:rsid w:val="003908FC"/>
    <w:rsid w:val="003928BD"/>
    <w:rsid w:val="00394415"/>
    <w:rsid w:val="00395990"/>
    <w:rsid w:val="003A03C8"/>
    <w:rsid w:val="003A0928"/>
    <w:rsid w:val="003A2D33"/>
    <w:rsid w:val="003A3B53"/>
    <w:rsid w:val="003B055F"/>
    <w:rsid w:val="003B078B"/>
    <w:rsid w:val="003B233C"/>
    <w:rsid w:val="003B5657"/>
    <w:rsid w:val="003C1097"/>
    <w:rsid w:val="003C14F9"/>
    <w:rsid w:val="003C307F"/>
    <w:rsid w:val="003C3FC0"/>
    <w:rsid w:val="003C4726"/>
    <w:rsid w:val="003C5E3F"/>
    <w:rsid w:val="003D3FFD"/>
    <w:rsid w:val="003D75FE"/>
    <w:rsid w:val="003E03B6"/>
    <w:rsid w:val="003E21F7"/>
    <w:rsid w:val="003E3ABD"/>
    <w:rsid w:val="003E3F95"/>
    <w:rsid w:val="003E5403"/>
    <w:rsid w:val="003E59D3"/>
    <w:rsid w:val="003E68A5"/>
    <w:rsid w:val="003E6AB5"/>
    <w:rsid w:val="003E7695"/>
    <w:rsid w:val="003F2A38"/>
    <w:rsid w:val="003F5DAE"/>
    <w:rsid w:val="003F64AA"/>
    <w:rsid w:val="003F73A8"/>
    <w:rsid w:val="0040282D"/>
    <w:rsid w:val="0040485A"/>
    <w:rsid w:val="00407528"/>
    <w:rsid w:val="00407977"/>
    <w:rsid w:val="00407AEF"/>
    <w:rsid w:val="00411356"/>
    <w:rsid w:val="00413655"/>
    <w:rsid w:val="00414118"/>
    <w:rsid w:val="00414B40"/>
    <w:rsid w:val="0041731C"/>
    <w:rsid w:val="00417863"/>
    <w:rsid w:val="00417B51"/>
    <w:rsid w:val="00420C35"/>
    <w:rsid w:val="0042753A"/>
    <w:rsid w:val="00430144"/>
    <w:rsid w:val="00432E1C"/>
    <w:rsid w:val="00432F0A"/>
    <w:rsid w:val="00433A52"/>
    <w:rsid w:val="004346BB"/>
    <w:rsid w:val="00434740"/>
    <w:rsid w:val="00435CA3"/>
    <w:rsid w:val="00435CC0"/>
    <w:rsid w:val="00435FB7"/>
    <w:rsid w:val="00437109"/>
    <w:rsid w:val="00437BA7"/>
    <w:rsid w:val="00445BB3"/>
    <w:rsid w:val="004468D2"/>
    <w:rsid w:val="00453B89"/>
    <w:rsid w:val="00457712"/>
    <w:rsid w:val="0046083F"/>
    <w:rsid w:val="00460F8F"/>
    <w:rsid w:val="004616EF"/>
    <w:rsid w:val="00461D2F"/>
    <w:rsid w:val="00462A0B"/>
    <w:rsid w:val="00463742"/>
    <w:rsid w:val="0046399E"/>
    <w:rsid w:val="00466992"/>
    <w:rsid w:val="00470E86"/>
    <w:rsid w:val="004756D3"/>
    <w:rsid w:val="0048058F"/>
    <w:rsid w:val="00484A16"/>
    <w:rsid w:val="00491292"/>
    <w:rsid w:val="00492329"/>
    <w:rsid w:val="00492F14"/>
    <w:rsid w:val="00493766"/>
    <w:rsid w:val="004964F8"/>
    <w:rsid w:val="00496885"/>
    <w:rsid w:val="004971AD"/>
    <w:rsid w:val="00497A7D"/>
    <w:rsid w:val="004A348F"/>
    <w:rsid w:val="004A5209"/>
    <w:rsid w:val="004A5E93"/>
    <w:rsid w:val="004A6B59"/>
    <w:rsid w:val="004A746A"/>
    <w:rsid w:val="004B007B"/>
    <w:rsid w:val="004B4DCB"/>
    <w:rsid w:val="004B6B41"/>
    <w:rsid w:val="004B7836"/>
    <w:rsid w:val="004C2537"/>
    <w:rsid w:val="004C2538"/>
    <w:rsid w:val="004C409A"/>
    <w:rsid w:val="004D2288"/>
    <w:rsid w:val="004D42F6"/>
    <w:rsid w:val="004E2725"/>
    <w:rsid w:val="004E6A1F"/>
    <w:rsid w:val="004E7CBB"/>
    <w:rsid w:val="004E7F9B"/>
    <w:rsid w:val="004F12BB"/>
    <w:rsid w:val="004F2AB0"/>
    <w:rsid w:val="004F2D9B"/>
    <w:rsid w:val="004F2FEC"/>
    <w:rsid w:val="004F3A3D"/>
    <w:rsid w:val="004F3EB7"/>
    <w:rsid w:val="004F5B58"/>
    <w:rsid w:val="004F6139"/>
    <w:rsid w:val="004F77DE"/>
    <w:rsid w:val="00506E74"/>
    <w:rsid w:val="0050777D"/>
    <w:rsid w:val="00507CF8"/>
    <w:rsid w:val="00510EC7"/>
    <w:rsid w:val="005211DF"/>
    <w:rsid w:val="005216D5"/>
    <w:rsid w:val="00522675"/>
    <w:rsid w:val="00522936"/>
    <w:rsid w:val="0053158E"/>
    <w:rsid w:val="00532086"/>
    <w:rsid w:val="00532BE6"/>
    <w:rsid w:val="0053304D"/>
    <w:rsid w:val="00533A21"/>
    <w:rsid w:val="00534784"/>
    <w:rsid w:val="00535C84"/>
    <w:rsid w:val="00536061"/>
    <w:rsid w:val="00553C8C"/>
    <w:rsid w:val="00557AB5"/>
    <w:rsid w:val="00557ABF"/>
    <w:rsid w:val="00564B47"/>
    <w:rsid w:val="00564D33"/>
    <w:rsid w:val="00572D19"/>
    <w:rsid w:val="00574ADE"/>
    <w:rsid w:val="00576E85"/>
    <w:rsid w:val="00582870"/>
    <w:rsid w:val="005834D0"/>
    <w:rsid w:val="00585B6D"/>
    <w:rsid w:val="00587CFD"/>
    <w:rsid w:val="005927B9"/>
    <w:rsid w:val="00593B60"/>
    <w:rsid w:val="00593D5C"/>
    <w:rsid w:val="00593F5B"/>
    <w:rsid w:val="0059429A"/>
    <w:rsid w:val="00596AE8"/>
    <w:rsid w:val="005A15B2"/>
    <w:rsid w:val="005A2A0A"/>
    <w:rsid w:val="005A520B"/>
    <w:rsid w:val="005A598E"/>
    <w:rsid w:val="005B1324"/>
    <w:rsid w:val="005B2D97"/>
    <w:rsid w:val="005B3DA2"/>
    <w:rsid w:val="005B4B89"/>
    <w:rsid w:val="005B6B76"/>
    <w:rsid w:val="005B7E72"/>
    <w:rsid w:val="005C1C07"/>
    <w:rsid w:val="005C211E"/>
    <w:rsid w:val="005C60B5"/>
    <w:rsid w:val="005C68C3"/>
    <w:rsid w:val="005C6D08"/>
    <w:rsid w:val="005D1CC5"/>
    <w:rsid w:val="005D3B79"/>
    <w:rsid w:val="005D50A5"/>
    <w:rsid w:val="005D5C04"/>
    <w:rsid w:val="005E0278"/>
    <w:rsid w:val="005E1DCA"/>
    <w:rsid w:val="005E1FE0"/>
    <w:rsid w:val="005E26DE"/>
    <w:rsid w:val="005E41A1"/>
    <w:rsid w:val="005E4CAC"/>
    <w:rsid w:val="005E57E9"/>
    <w:rsid w:val="005E5EE8"/>
    <w:rsid w:val="005E6707"/>
    <w:rsid w:val="005F0337"/>
    <w:rsid w:val="005F0611"/>
    <w:rsid w:val="005F2164"/>
    <w:rsid w:val="005F6709"/>
    <w:rsid w:val="00600D7F"/>
    <w:rsid w:val="0060160E"/>
    <w:rsid w:val="0060639D"/>
    <w:rsid w:val="006063DD"/>
    <w:rsid w:val="00610D2A"/>
    <w:rsid w:val="006110B2"/>
    <w:rsid w:val="00613781"/>
    <w:rsid w:val="0062160C"/>
    <w:rsid w:val="00622598"/>
    <w:rsid w:val="00622798"/>
    <w:rsid w:val="00624329"/>
    <w:rsid w:val="00624BDC"/>
    <w:rsid w:val="00625E6B"/>
    <w:rsid w:val="0062659D"/>
    <w:rsid w:val="006277DC"/>
    <w:rsid w:val="00630C33"/>
    <w:rsid w:val="00630F5A"/>
    <w:rsid w:val="0063487D"/>
    <w:rsid w:val="006370EB"/>
    <w:rsid w:val="0063799D"/>
    <w:rsid w:val="006428C2"/>
    <w:rsid w:val="006429AB"/>
    <w:rsid w:val="0064456B"/>
    <w:rsid w:val="00644732"/>
    <w:rsid w:val="00646533"/>
    <w:rsid w:val="00646756"/>
    <w:rsid w:val="0065415A"/>
    <w:rsid w:val="00654689"/>
    <w:rsid w:val="006551F8"/>
    <w:rsid w:val="00656A64"/>
    <w:rsid w:val="00660E43"/>
    <w:rsid w:val="00662313"/>
    <w:rsid w:val="00664FBE"/>
    <w:rsid w:val="006654AE"/>
    <w:rsid w:val="00665AAB"/>
    <w:rsid w:val="00666BF3"/>
    <w:rsid w:val="00670730"/>
    <w:rsid w:val="0067141C"/>
    <w:rsid w:val="00671430"/>
    <w:rsid w:val="00671FDE"/>
    <w:rsid w:val="006759C9"/>
    <w:rsid w:val="00676B6A"/>
    <w:rsid w:val="00681677"/>
    <w:rsid w:val="00683B21"/>
    <w:rsid w:val="00683D67"/>
    <w:rsid w:val="00690B56"/>
    <w:rsid w:val="00692788"/>
    <w:rsid w:val="00693854"/>
    <w:rsid w:val="00693F84"/>
    <w:rsid w:val="006960EE"/>
    <w:rsid w:val="006A2175"/>
    <w:rsid w:val="006A3A6F"/>
    <w:rsid w:val="006A4A22"/>
    <w:rsid w:val="006A5A23"/>
    <w:rsid w:val="006C0292"/>
    <w:rsid w:val="006C31EF"/>
    <w:rsid w:val="006C510D"/>
    <w:rsid w:val="006C71C0"/>
    <w:rsid w:val="006C7328"/>
    <w:rsid w:val="006D0A23"/>
    <w:rsid w:val="006D10E7"/>
    <w:rsid w:val="006D2449"/>
    <w:rsid w:val="006D2C8C"/>
    <w:rsid w:val="006D34DF"/>
    <w:rsid w:val="006D3E76"/>
    <w:rsid w:val="006D451C"/>
    <w:rsid w:val="006D5A0C"/>
    <w:rsid w:val="006D7AF6"/>
    <w:rsid w:val="006E0379"/>
    <w:rsid w:val="006E190D"/>
    <w:rsid w:val="006E2187"/>
    <w:rsid w:val="006E3723"/>
    <w:rsid w:val="006E4460"/>
    <w:rsid w:val="006E54E4"/>
    <w:rsid w:val="006E6E03"/>
    <w:rsid w:val="006E7C14"/>
    <w:rsid w:val="006F03A2"/>
    <w:rsid w:val="006F1365"/>
    <w:rsid w:val="006F28A7"/>
    <w:rsid w:val="006F3B27"/>
    <w:rsid w:val="006F40C7"/>
    <w:rsid w:val="006F51EF"/>
    <w:rsid w:val="006F5273"/>
    <w:rsid w:val="007020F0"/>
    <w:rsid w:val="00702676"/>
    <w:rsid w:val="00702BAD"/>
    <w:rsid w:val="0070488E"/>
    <w:rsid w:val="00704EAC"/>
    <w:rsid w:val="007063D9"/>
    <w:rsid w:val="00710AA3"/>
    <w:rsid w:val="00711326"/>
    <w:rsid w:val="00711762"/>
    <w:rsid w:val="00711BD2"/>
    <w:rsid w:val="00712E33"/>
    <w:rsid w:val="00713331"/>
    <w:rsid w:val="00715DC2"/>
    <w:rsid w:val="00717A03"/>
    <w:rsid w:val="0072072C"/>
    <w:rsid w:val="0072208A"/>
    <w:rsid w:val="00723FAF"/>
    <w:rsid w:val="00724D7D"/>
    <w:rsid w:val="00726DB8"/>
    <w:rsid w:val="00730A46"/>
    <w:rsid w:val="00730C83"/>
    <w:rsid w:val="00732819"/>
    <w:rsid w:val="00733D0E"/>
    <w:rsid w:val="00734EA8"/>
    <w:rsid w:val="00735436"/>
    <w:rsid w:val="00736978"/>
    <w:rsid w:val="00737087"/>
    <w:rsid w:val="00740328"/>
    <w:rsid w:val="0074530D"/>
    <w:rsid w:val="00746064"/>
    <w:rsid w:val="007464DD"/>
    <w:rsid w:val="0074694B"/>
    <w:rsid w:val="00753044"/>
    <w:rsid w:val="007542C5"/>
    <w:rsid w:val="00755934"/>
    <w:rsid w:val="00760D13"/>
    <w:rsid w:val="00762D6D"/>
    <w:rsid w:val="00763B8A"/>
    <w:rsid w:val="00772166"/>
    <w:rsid w:val="00773554"/>
    <w:rsid w:val="007763C2"/>
    <w:rsid w:val="007775D9"/>
    <w:rsid w:val="00780951"/>
    <w:rsid w:val="00781F64"/>
    <w:rsid w:val="0078431A"/>
    <w:rsid w:val="007903FE"/>
    <w:rsid w:val="00791004"/>
    <w:rsid w:val="00791F92"/>
    <w:rsid w:val="0079321F"/>
    <w:rsid w:val="00794088"/>
    <w:rsid w:val="00797D91"/>
    <w:rsid w:val="00797E34"/>
    <w:rsid w:val="00797E6F"/>
    <w:rsid w:val="007A0337"/>
    <w:rsid w:val="007A1D43"/>
    <w:rsid w:val="007A7AEB"/>
    <w:rsid w:val="007B08FE"/>
    <w:rsid w:val="007B6104"/>
    <w:rsid w:val="007B739C"/>
    <w:rsid w:val="007C106D"/>
    <w:rsid w:val="007C2C27"/>
    <w:rsid w:val="007C39E8"/>
    <w:rsid w:val="007D127E"/>
    <w:rsid w:val="007D7A3B"/>
    <w:rsid w:val="007E46B6"/>
    <w:rsid w:val="007E5C25"/>
    <w:rsid w:val="007E76A6"/>
    <w:rsid w:val="007F20E0"/>
    <w:rsid w:val="007F2223"/>
    <w:rsid w:val="007F2D64"/>
    <w:rsid w:val="007F5F9B"/>
    <w:rsid w:val="007F6C2C"/>
    <w:rsid w:val="007F70B0"/>
    <w:rsid w:val="0080034E"/>
    <w:rsid w:val="00804838"/>
    <w:rsid w:val="008054DB"/>
    <w:rsid w:val="00805620"/>
    <w:rsid w:val="00805646"/>
    <w:rsid w:val="00813217"/>
    <w:rsid w:val="00816C07"/>
    <w:rsid w:val="00817C48"/>
    <w:rsid w:val="00821E1A"/>
    <w:rsid w:val="008220B8"/>
    <w:rsid w:val="00822E8A"/>
    <w:rsid w:val="00823476"/>
    <w:rsid w:val="00824C32"/>
    <w:rsid w:val="008260A2"/>
    <w:rsid w:val="008271AF"/>
    <w:rsid w:val="008313F0"/>
    <w:rsid w:val="00832E2A"/>
    <w:rsid w:val="00835C81"/>
    <w:rsid w:val="00837B4F"/>
    <w:rsid w:val="00837DB6"/>
    <w:rsid w:val="008411D0"/>
    <w:rsid w:val="008425FC"/>
    <w:rsid w:val="00842824"/>
    <w:rsid w:val="008432E5"/>
    <w:rsid w:val="008438F4"/>
    <w:rsid w:val="0084437C"/>
    <w:rsid w:val="008459FB"/>
    <w:rsid w:val="008460B9"/>
    <w:rsid w:val="008463A4"/>
    <w:rsid w:val="008463FC"/>
    <w:rsid w:val="008474F8"/>
    <w:rsid w:val="00851710"/>
    <w:rsid w:val="008525AF"/>
    <w:rsid w:val="0085272F"/>
    <w:rsid w:val="00854300"/>
    <w:rsid w:val="008545E6"/>
    <w:rsid w:val="008605CA"/>
    <w:rsid w:val="00860B69"/>
    <w:rsid w:val="00863608"/>
    <w:rsid w:val="00863DBE"/>
    <w:rsid w:val="00864DE5"/>
    <w:rsid w:val="0086770A"/>
    <w:rsid w:val="00871D1D"/>
    <w:rsid w:val="00874B51"/>
    <w:rsid w:val="00875B4C"/>
    <w:rsid w:val="008767DE"/>
    <w:rsid w:val="00876F4A"/>
    <w:rsid w:val="00880014"/>
    <w:rsid w:val="00883A5A"/>
    <w:rsid w:val="00886235"/>
    <w:rsid w:val="00892147"/>
    <w:rsid w:val="0089220F"/>
    <w:rsid w:val="00892257"/>
    <w:rsid w:val="00892C2C"/>
    <w:rsid w:val="00893CD8"/>
    <w:rsid w:val="008949C9"/>
    <w:rsid w:val="00896062"/>
    <w:rsid w:val="008A297F"/>
    <w:rsid w:val="008A4421"/>
    <w:rsid w:val="008B284B"/>
    <w:rsid w:val="008B3D14"/>
    <w:rsid w:val="008B66C8"/>
    <w:rsid w:val="008B7EFF"/>
    <w:rsid w:val="008C012D"/>
    <w:rsid w:val="008C15F3"/>
    <w:rsid w:val="008C1A2C"/>
    <w:rsid w:val="008C22EA"/>
    <w:rsid w:val="008C33EA"/>
    <w:rsid w:val="008C6244"/>
    <w:rsid w:val="008C63EF"/>
    <w:rsid w:val="008D1E37"/>
    <w:rsid w:val="008D1ECF"/>
    <w:rsid w:val="008D21EC"/>
    <w:rsid w:val="008D52CC"/>
    <w:rsid w:val="008D7AB7"/>
    <w:rsid w:val="008D7DC2"/>
    <w:rsid w:val="008E3CD6"/>
    <w:rsid w:val="008E493B"/>
    <w:rsid w:val="008E4D9D"/>
    <w:rsid w:val="008E6751"/>
    <w:rsid w:val="008E67CC"/>
    <w:rsid w:val="008F17CD"/>
    <w:rsid w:val="008F181E"/>
    <w:rsid w:val="008F282E"/>
    <w:rsid w:val="008F2997"/>
    <w:rsid w:val="008F31E7"/>
    <w:rsid w:val="008F437F"/>
    <w:rsid w:val="008F48BE"/>
    <w:rsid w:val="008F5906"/>
    <w:rsid w:val="008F5FD0"/>
    <w:rsid w:val="0090049D"/>
    <w:rsid w:val="00900637"/>
    <w:rsid w:val="009019C3"/>
    <w:rsid w:val="009053D1"/>
    <w:rsid w:val="0090611E"/>
    <w:rsid w:val="00906D13"/>
    <w:rsid w:val="00912565"/>
    <w:rsid w:val="009132C8"/>
    <w:rsid w:val="00913C91"/>
    <w:rsid w:val="00921F37"/>
    <w:rsid w:val="009225E7"/>
    <w:rsid w:val="0092331A"/>
    <w:rsid w:val="0092436A"/>
    <w:rsid w:val="0092447D"/>
    <w:rsid w:val="00924D8D"/>
    <w:rsid w:val="00925856"/>
    <w:rsid w:val="00925982"/>
    <w:rsid w:val="009309B0"/>
    <w:rsid w:val="00931412"/>
    <w:rsid w:val="00931DFC"/>
    <w:rsid w:val="00934368"/>
    <w:rsid w:val="00935124"/>
    <w:rsid w:val="0093628B"/>
    <w:rsid w:val="00936304"/>
    <w:rsid w:val="00942CCF"/>
    <w:rsid w:val="00946E00"/>
    <w:rsid w:val="00947349"/>
    <w:rsid w:val="00951F9E"/>
    <w:rsid w:val="009567BE"/>
    <w:rsid w:val="00957347"/>
    <w:rsid w:val="00961A43"/>
    <w:rsid w:val="00963F11"/>
    <w:rsid w:val="00964A5F"/>
    <w:rsid w:val="009655C3"/>
    <w:rsid w:val="009669A2"/>
    <w:rsid w:val="00966BA8"/>
    <w:rsid w:val="00972F62"/>
    <w:rsid w:val="009755F2"/>
    <w:rsid w:val="00981833"/>
    <w:rsid w:val="00981F65"/>
    <w:rsid w:val="0098307E"/>
    <w:rsid w:val="00983147"/>
    <w:rsid w:val="00983906"/>
    <w:rsid w:val="0098392C"/>
    <w:rsid w:val="0098477D"/>
    <w:rsid w:val="0099066A"/>
    <w:rsid w:val="00992705"/>
    <w:rsid w:val="009968AA"/>
    <w:rsid w:val="009A06B6"/>
    <w:rsid w:val="009A76A8"/>
    <w:rsid w:val="009B1F23"/>
    <w:rsid w:val="009B63A3"/>
    <w:rsid w:val="009B651E"/>
    <w:rsid w:val="009B7361"/>
    <w:rsid w:val="009B7F69"/>
    <w:rsid w:val="009C0262"/>
    <w:rsid w:val="009C059F"/>
    <w:rsid w:val="009C13F9"/>
    <w:rsid w:val="009C1AFB"/>
    <w:rsid w:val="009C5365"/>
    <w:rsid w:val="009C5859"/>
    <w:rsid w:val="009C5F5A"/>
    <w:rsid w:val="009C646F"/>
    <w:rsid w:val="009C7410"/>
    <w:rsid w:val="009D0860"/>
    <w:rsid w:val="009D0AC3"/>
    <w:rsid w:val="009D2F15"/>
    <w:rsid w:val="009D3738"/>
    <w:rsid w:val="009D5475"/>
    <w:rsid w:val="009D5B08"/>
    <w:rsid w:val="009D68AA"/>
    <w:rsid w:val="009D7612"/>
    <w:rsid w:val="009D7C6E"/>
    <w:rsid w:val="009E078C"/>
    <w:rsid w:val="009E23C8"/>
    <w:rsid w:val="009E256C"/>
    <w:rsid w:val="009E3B56"/>
    <w:rsid w:val="009E4767"/>
    <w:rsid w:val="009E64A5"/>
    <w:rsid w:val="009F2E6B"/>
    <w:rsid w:val="009F3286"/>
    <w:rsid w:val="009F3F05"/>
    <w:rsid w:val="009F7C7A"/>
    <w:rsid w:val="009F7DB9"/>
    <w:rsid w:val="00A008EA"/>
    <w:rsid w:val="00A04166"/>
    <w:rsid w:val="00A04470"/>
    <w:rsid w:val="00A054DE"/>
    <w:rsid w:val="00A1081F"/>
    <w:rsid w:val="00A1421A"/>
    <w:rsid w:val="00A14F87"/>
    <w:rsid w:val="00A1609C"/>
    <w:rsid w:val="00A17A5D"/>
    <w:rsid w:val="00A17D3A"/>
    <w:rsid w:val="00A224A2"/>
    <w:rsid w:val="00A23730"/>
    <w:rsid w:val="00A246F0"/>
    <w:rsid w:val="00A24A36"/>
    <w:rsid w:val="00A30614"/>
    <w:rsid w:val="00A30D5D"/>
    <w:rsid w:val="00A343D2"/>
    <w:rsid w:val="00A34CB7"/>
    <w:rsid w:val="00A360E4"/>
    <w:rsid w:val="00A40FA0"/>
    <w:rsid w:val="00A412BD"/>
    <w:rsid w:val="00A419CE"/>
    <w:rsid w:val="00A42C08"/>
    <w:rsid w:val="00A43A90"/>
    <w:rsid w:val="00A45D37"/>
    <w:rsid w:val="00A47E26"/>
    <w:rsid w:val="00A47E6F"/>
    <w:rsid w:val="00A51BD1"/>
    <w:rsid w:val="00A52CF9"/>
    <w:rsid w:val="00A55266"/>
    <w:rsid w:val="00A55962"/>
    <w:rsid w:val="00A60AF1"/>
    <w:rsid w:val="00A6114D"/>
    <w:rsid w:val="00A630D4"/>
    <w:rsid w:val="00A65CFA"/>
    <w:rsid w:val="00A66DDF"/>
    <w:rsid w:val="00A70B3C"/>
    <w:rsid w:val="00A7221D"/>
    <w:rsid w:val="00A73C77"/>
    <w:rsid w:val="00A74355"/>
    <w:rsid w:val="00A75096"/>
    <w:rsid w:val="00A7548A"/>
    <w:rsid w:val="00A75910"/>
    <w:rsid w:val="00A77C74"/>
    <w:rsid w:val="00A77FC9"/>
    <w:rsid w:val="00A8053C"/>
    <w:rsid w:val="00A838EF"/>
    <w:rsid w:val="00A87530"/>
    <w:rsid w:val="00A900A8"/>
    <w:rsid w:val="00A92194"/>
    <w:rsid w:val="00A93FCC"/>
    <w:rsid w:val="00A97240"/>
    <w:rsid w:val="00AA1DA0"/>
    <w:rsid w:val="00AA1F43"/>
    <w:rsid w:val="00AA62FD"/>
    <w:rsid w:val="00AA76DB"/>
    <w:rsid w:val="00AB1022"/>
    <w:rsid w:val="00AB3348"/>
    <w:rsid w:val="00AB39EF"/>
    <w:rsid w:val="00AB7B73"/>
    <w:rsid w:val="00AB7C6F"/>
    <w:rsid w:val="00AC040C"/>
    <w:rsid w:val="00AC465F"/>
    <w:rsid w:val="00AD1251"/>
    <w:rsid w:val="00AD3907"/>
    <w:rsid w:val="00AD4398"/>
    <w:rsid w:val="00AD7014"/>
    <w:rsid w:val="00AD7572"/>
    <w:rsid w:val="00AD7E37"/>
    <w:rsid w:val="00AE0AAD"/>
    <w:rsid w:val="00AE126C"/>
    <w:rsid w:val="00AE2910"/>
    <w:rsid w:val="00AE3323"/>
    <w:rsid w:val="00AE455E"/>
    <w:rsid w:val="00AE5F52"/>
    <w:rsid w:val="00AE67AD"/>
    <w:rsid w:val="00AE733A"/>
    <w:rsid w:val="00AE74AA"/>
    <w:rsid w:val="00AE7A28"/>
    <w:rsid w:val="00AF07A8"/>
    <w:rsid w:val="00AF36B6"/>
    <w:rsid w:val="00AF425D"/>
    <w:rsid w:val="00AF5B1C"/>
    <w:rsid w:val="00AF5CD4"/>
    <w:rsid w:val="00AF719C"/>
    <w:rsid w:val="00B01EB2"/>
    <w:rsid w:val="00B03FF6"/>
    <w:rsid w:val="00B0402A"/>
    <w:rsid w:val="00B0423F"/>
    <w:rsid w:val="00B0466C"/>
    <w:rsid w:val="00B102A0"/>
    <w:rsid w:val="00B11AFE"/>
    <w:rsid w:val="00B12083"/>
    <w:rsid w:val="00B12917"/>
    <w:rsid w:val="00B14A7E"/>
    <w:rsid w:val="00B2147D"/>
    <w:rsid w:val="00B235E1"/>
    <w:rsid w:val="00B262CF"/>
    <w:rsid w:val="00B26705"/>
    <w:rsid w:val="00B323FE"/>
    <w:rsid w:val="00B32874"/>
    <w:rsid w:val="00B33816"/>
    <w:rsid w:val="00B349A6"/>
    <w:rsid w:val="00B34FA4"/>
    <w:rsid w:val="00B37C26"/>
    <w:rsid w:val="00B43455"/>
    <w:rsid w:val="00B43CB3"/>
    <w:rsid w:val="00B45D47"/>
    <w:rsid w:val="00B45DD0"/>
    <w:rsid w:val="00B4703E"/>
    <w:rsid w:val="00B472CE"/>
    <w:rsid w:val="00B476AE"/>
    <w:rsid w:val="00B505B3"/>
    <w:rsid w:val="00B520BE"/>
    <w:rsid w:val="00B52C92"/>
    <w:rsid w:val="00B5343C"/>
    <w:rsid w:val="00B55E4D"/>
    <w:rsid w:val="00B56568"/>
    <w:rsid w:val="00B61903"/>
    <w:rsid w:val="00B63EA2"/>
    <w:rsid w:val="00B65124"/>
    <w:rsid w:val="00B6641C"/>
    <w:rsid w:val="00B66EA5"/>
    <w:rsid w:val="00B67369"/>
    <w:rsid w:val="00B7179F"/>
    <w:rsid w:val="00B7352B"/>
    <w:rsid w:val="00B76347"/>
    <w:rsid w:val="00B764F5"/>
    <w:rsid w:val="00B76AD6"/>
    <w:rsid w:val="00B84834"/>
    <w:rsid w:val="00B84AFE"/>
    <w:rsid w:val="00B84E0D"/>
    <w:rsid w:val="00B84F50"/>
    <w:rsid w:val="00B85179"/>
    <w:rsid w:val="00B8523A"/>
    <w:rsid w:val="00B87814"/>
    <w:rsid w:val="00B87E38"/>
    <w:rsid w:val="00B91ACE"/>
    <w:rsid w:val="00B92E70"/>
    <w:rsid w:val="00B9729F"/>
    <w:rsid w:val="00B97DE6"/>
    <w:rsid w:val="00B97FB1"/>
    <w:rsid w:val="00BA44C3"/>
    <w:rsid w:val="00BA4E03"/>
    <w:rsid w:val="00BA5F8B"/>
    <w:rsid w:val="00BB5643"/>
    <w:rsid w:val="00BB5D24"/>
    <w:rsid w:val="00BC1194"/>
    <w:rsid w:val="00BC1EFF"/>
    <w:rsid w:val="00BC2AD2"/>
    <w:rsid w:val="00BC3672"/>
    <w:rsid w:val="00BC4BAF"/>
    <w:rsid w:val="00BC7257"/>
    <w:rsid w:val="00BD1599"/>
    <w:rsid w:val="00BD1A28"/>
    <w:rsid w:val="00BD1D58"/>
    <w:rsid w:val="00BD2058"/>
    <w:rsid w:val="00BD334B"/>
    <w:rsid w:val="00BD347F"/>
    <w:rsid w:val="00BD3757"/>
    <w:rsid w:val="00BD4F59"/>
    <w:rsid w:val="00BE1F41"/>
    <w:rsid w:val="00BE2F8F"/>
    <w:rsid w:val="00BE5414"/>
    <w:rsid w:val="00BE5854"/>
    <w:rsid w:val="00BE5FEA"/>
    <w:rsid w:val="00BE67C1"/>
    <w:rsid w:val="00BF0116"/>
    <w:rsid w:val="00BF0717"/>
    <w:rsid w:val="00BF0A16"/>
    <w:rsid w:val="00BF1AF5"/>
    <w:rsid w:val="00BF21EB"/>
    <w:rsid w:val="00BF27B1"/>
    <w:rsid w:val="00BF2CE4"/>
    <w:rsid w:val="00BF56C6"/>
    <w:rsid w:val="00BF7625"/>
    <w:rsid w:val="00C0094E"/>
    <w:rsid w:val="00C0104E"/>
    <w:rsid w:val="00C02630"/>
    <w:rsid w:val="00C07563"/>
    <w:rsid w:val="00C07A1B"/>
    <w:rsid w:val="00C07CF6"/>
    <w:rsid w:val="00C11F61"/>
    <w:rsid w:val="00C12453"/>
    <w:rsid w:val="00C132CB"/>
    <w:rsid w:val="00C13362"/>
    <w:rsid w:val="00C151B7"/>
    <w:rsid w:val="00C1628E"/>
    <w:rsid w:val="00C16A87"/>
    <w:rsid w:val="00C210E0"/>
    <w:rsid w:val="00C23964"/>
    <w:rsid w:val="00C27A71"/>
    <w:rsid w:val="00C32D5A"/>
    <w:rsid w:val="00C32E6C"/>
    <w:rsid w:val="00C33B8C"/>
    <w:rsid w:val="00C3432C"/>
    <w:rsid w:val="00C351F6"/>
    <w:rsid w:val="00C36273"/>
    <w:rsid w:val="00C3754E"/>
    <w:rsid w:val="00C42CDC"/>
    <w:rsid w:val="00C43CFF"/>
    <w:rsid w:val="00C43DD2"/>
    <w:rsid w:val="00C455FE"/>
    <w:rsid w:val="00C47730"/>
    <w:rsid w:val="00C52C6D"/>
    <w:rsid w:val="00C53E9A"/>
    <w:rsid w:val="00C54FFC"/>
    <w:rsid w:val="00C55DB5"/>
    <w:rsid w:val="00C60BAA"/>
    <w:rsid w:val="00C60F1A"/>
    <w:rsid w:val="00C61A58"/>
    <w:rsid w:val="00C62FE2"/>
    <w:rsid w:val="00C63E19"/>
    <w:rsid w:val="00C64F39"/>
    <w:rsid w:val="00C65383"/>
    <w:rsid w:val="00C70C8F"/>
    <w:rsid w:val="00C74BD2"/>
    <w:rsid w:val="00C75506"/>
    <w:rsid w:val="00C75E55"/>
    <w:rsid w:val="00C76190"/>
    <w:rsid w:val="00C77EB8"/>
    <w:rsid w:val="00C802EB"/>
    <w:rsid w:val="00C820F4"/>
    <w:rsid w:val="00C8335D"/>
    <w:rsid w:val="00C87A73"/>
    <w:rsid w:val="00C909FD"/>
    <w:rsid w:val="00C915DF"/>
    <w:rsid w:val="00C9227A"/>
    <w:rsid w:val="00C9305A"/>
    <w:rsid w:val="00C958A6"/>
    <w:rsid w:val="00C97A3F"/>
    <w:rsid w:val="00CA0587"/>
    <w:rsid w:val="00CA34ED"/>
    <w:rsid w:val="00CA49D9"/>
    <w:rsid w:val="00CA59C9"/>
    <w:rsid w:val="00CA60AC"/>
    <w:rsid w:val="00CA6ED8"/>
    <w:rsid w:val="00CB2B07"/>
    <w:rsid w:val="00CB5352"/>
    <w:rsid w:val="00CB5F85"/>
    <w:rsid w:val="00CB7B6B"/>
    <w:rsid w:val="00CC6215"/>
    <w:rsid w:val="00CC649C"/>
    <w:rsid w:val="00CC7910"/>
    <w:rsid w:val="00CD05FD"/>
    <w:rsid w:val="00CD0E26"/>
    <w:rsid w:val="00CD4C0B"/>
    <w:rsid w:val="00CD74D0"/>
    <w:rsid w:val="00CE2C7A"/>
    <w:rsid w:val="00CE40BB"/>
    <w:rsid w:val="00CE4A20"/>
    <w:rsid w:val="00CF1F0F"/>
    <w:rsid w:val="00CF50CF"/>
    <w:rsid w:val="00CF5838"/>
    <w:rsid w:val="00CF7EEE"/>
    <w:rsid w:val="00D02C90"/>
    <w:rsid w:val="00D0429A"/>
    <w:rsid w:val="00D06B20"/>
    <w:rsid w:val="00D0720C"/>
    <w:rsid w:val="00D075EE"/>
    <w:rsid w:val="00D11358"/>
    <w:rsid w:val="00D1211F"/>
    <w:rsid w:val="00D134EF"/>
    <w:rsid w:val="00D140FE"/>
    <w:rsid w:val="00D158AC"/>
    <w:rsid w:val="00D1689F"/>
    <w:rsid w:val="00D17A0B"/>
    <w:rsid w:val="00D20973"/>
    <w:rsid w:val="00D22917"/>
    <w:rsid w:val="00D239CD"/>
    <w:rsid w:val="00D24C27"/>
    <w:rsid w:val="00D25947"/>
    <w:rsid w:val="00D25EAF"/>
    <w:rsid w:val="00D2600E"/>
    <w:rsid w:val="00D304D0"/>
    <w:rsid w:val="00D31F1D"/>
    <w:rsid w:val="00D3490D"/>
    <w:rsid w:val="00D36FF8"/>
    <w:rsid w:val="00D3756C"/>
    <w:rsid w:val="00D3767F"/>
    <w:rsid w:val="00D37FBC"/>
    <w:rsid w:val="00D40B64"/>
    <w:rsid w:val="00D44171"/>
    <w:rsid w:val="00D457FB"/>
    <w:rsid w:val="00D45B86"/>
    <w:rsid w:val="00D46A77"/>
    <w:rsid w:val="00D50403"/>
    <w:rsid w:val="00D52EA5"/>
    <w:rsid w:val="00D53B54"/>
    <w:rsid w:val="00D5404D"/>
    <w:rsid w:val="00D6046B"/>
    <w:rsid w:val="00D60D50"/>
    <w:rsid w:val="00D615D9"/>
    <w:rsid w:val="00D6341D"/>
    <w:rsid w:val="00D64057"/>
    <w:rsid w:val="00D675A7"/>
    <w:rsid w:val="00D70EB6"/>
    <w:rsid w:val="00D7119A"/>
    <w:rsid w:val="00D71304"/>
    <w:rsid w:val="00D74155"/>
    <w:rsid w:val="00D76AEA"/>
    <w:rsid w:val="00D80993"/>
    <w:rsid w:val="00D83A62"/>
    <w:rsid w:val="00D847C3"/>
    <w:rsid w:val="00D86209"/>
    <w:rsid w:val="00D908C7"/>
    <w:rsid w:val="00D9109B"/>
    <w:rsid w:val="00D95B12"/>
    <w:rsid w:val="00D95C94"/>
    <w:rsid w:val="00D966D3"/>
    <w:rsid w:val="00D970EF"/>
    <w:rsid w:val="00DA056B"/>
    <w:rsid w:val="00DA618C"/>
    <w:rsid w:val="00DA7305"/>
    <w:rsid w:val="00DB1538"/>
    <w:rsid w:val="00DB178D"/>
    <w:rsid w:val="00DB2253"/>
    <w:rsid w:val="00DB3285"/>
    <w:rsid w:val="00DB5E5B"/>
    <w:rsid w:val="00DB6DF1"/>
    <w:rsid w:val="00DB7D1C"/>
    <w:rsid w:val="00DC1746"/>
    <w:rsid w:val="00DC17C4"/>
    <w:rsid w:val="00DC1D42"/>
    <w:rsid w:val="00DC5BF0"/>
    <w:rsid w:val="00DC6400"/>
    <w:rsid w:val="00DC686F"/>
    <w:rsid w:val="00DC73F7"/>
    <w:rsid w:val="00DD3886"/>
    <w:rsid w:val="00DD4B14"/>
    <w:rsid w:val="00DD663A"/>
    <w:rsid w:val="00DE3F20"/>
    <w:rsid w:val="00DE40C3"/>
    <w:rsid w:val="00DF38B2"/>
    <w:rsid w:val="00DF458E"/>
    <w:rsid w:val="00DF4A3C"/>
    <w:rsid w:val="00DF6B91"/>
    <w:rsid w:val="00E006A5"/>
    <w:rsid w:val="00E01E23"/>
    <w:rsid w:val="00E02BC2"/>
    <w:rsid w:val="00E06ABD"/>
    <w:rsid w:val="00E1340D"/>
    <w:rsid w:val="00E145BE"/>
    <w:rsid w:val="00E16825"/>
    <w:rsid w:val="00E17A85"/>
    <w:rsid w:val="00E22428"/>
    <w:rsid w:val="00E232DC"/>
    <w:rsid w:val="00E235E5"/>
    <w:rsid w:val="00E24772"/>
    <w:rsid w:val="00E255F2"/>
    <w:rsid w:val="00E327D5"/>
    <w:rsid w:val="00E32EC1"/>
    <w:rsid w:val="00E3344E"/>
    <w:rsid w:val="00E33A60"/>
    <w:rsid w:val="00E371AB"/>
    <w:rsid w:val="00E40F45"/>
    <w:rsid w:val="00E41C0E"/>
    <w:rsid w:val="00E45EFB"/>
    <w:rsid w:val="00E51DB5"/>
    <w:rsid w:val="00E523E8"/>
    <w:rsid w:val="00E62781"/>
    <w:rsid w:val="00E65399"/>
    <w:rsid w:val="00E65F56"/>
    <w:rsid w:val="00E7210E"/>
    <w:rsid w:val="00E72544"/>
    <w:rsid w:val="00E731B8"/>
    <w:rsid w:val="00E75AB0"/>
    <w:rsid w:val="00E77527"/>
    <w:rsid w:val="00E83100"/>
    <w:rsid w:val="00E92B70"/>
    <w:rsid w:val="00E9541F"/>
    <w:rsid w:val="00E964B4"/>
    <w:rsid w:val="00E964F2"/>
    <w:rsid w:val="00EA06AA"/>
    <w:rsid w:val="00EA152F"/>
    <w:rsid w:val="00EA1CA7"/>
    <w:rsid w:val="00EA3A7C"/>
    <w:rsid w:val="00EA547C"/>
    <w:rsid w:val="00EA5D5B"/>
    <w:rsid w:val="00EA5F63"/>
    <w:rsid w:val="00EA66D9"/>
    <w:rsid w:val="00EA6E18"/>
    <w:rsid w:val="00EA7AE6"/>
    <w:rsid w:val="00EB0B7A"/>
    <w:rsid w:val="00EB5275"/>
    <w:rsid w:val="00EB570A"/>
    <w:rsid w:val="00EB6097"/>
    <w:rsid w:val="00EB66AD"/>
    <w:rsid w:val="00EC066B"/>
    <w:rsid w:val="00EC1E3B"/>
    <w:rsid w:val="00EC2519"/>
    <w:rsid w:val="00EC4A86"/>
    <w:rsid w:val="00EC6BE9"/>
    <w:rsid w:val="00EC777E"/>
    <w:rsid w:val="00ED02A4"/>
    <w:rsid w:val="00ED25D4"/>
    <w:rsid w:val="00ED28D3"/>
    <w:rsid w:val="00ED3423"/>
    <w:rsid w:val="00ED4223"/>
    <w:rsid w:val="00ED5160"/>
    <w:rsid w:val="00ED73EB"/>
    <w:rsid w:val="00ED7B19"/>
    <w:rsid w:val="00EE003F"/>
    <w:rsid w:val="00EE0D91"/>
    <w:rsid w:val="00EE2D69"/>
    <w:rsid w:val="00EE43BF"/>
    <w:rsid w:val="00EE4E32"/>
    <w:rsid w:val="00EF09F0"/>
    <w:rsid w:val="00EF1D73"/>
    <w:rsid w:val="00EF3909"/>
    <w:rsid w:val="00EF3E03"/>
    <w:rsid w:val="00EF4F91"/>
    <w:rsid w:val="00F07E9F"/>
    <w:rsid w:val="00F105C9"/>
    <w:rsid w:val="00F12D5A"/>
    <w:rsid w:val="00F157EE"/>
    <w:rsid w:val="00F15F6C"/>
    <w:rsid w:val="00F176E5"/>
    <w:rsid w:val="00F20DC8"/>
    <w:rsid w:val="00F2336A"/>
    <w:rsid w:val="00F266CC"/>
    <w:rsid w:val="00F30A93"/>
    <w:rsid w:val="00F30AF5"/>
    <w:rsid w:val="00F33D50"/>
    <w:rsid w:val="00F3485B"/>
    <w:rsid w:val="00F377B1"/>
    <w:rsid w:val="00F37B32"/>
    <w:rsid w:val="00F4005D"/>
    <w:rsid w:val="00F40C29"/>
    <w:rsid w:val="00F4194A"/>
    <w:rsid w:val="00F41BA8"/>
    <w:rsid w:val="00F42BEE"/>
    <w:rsid w:val="00F45BDC"/>
    <w:rsid w:val="00F508D2"/>
    <w:rsid w:val="00F529F4"/>
    <w:rsid w:val="00F5396E"/>
    <w:rsid w:val="00F5565A"/>
    <w:rsid w:val="00F56E0D"/>
    <w:rsid w:val="00F57911"/>
    <w:rsid w:val="00F612EF"/>
    <w:rsid w:val="00F61D96"/>
    <w:rsid w:val="00F62BE9"/>
    <w:rsid w:val="00F63215"/>
    <w:rsid w:val="00F63BB0"/>
    <w:rsid w:val="00F64474"/>
    <w:rsid w:val="00F64C10"/>
    <w:rsid w:val="00F6585C"/>
    <w:rsid w:val="00F663EF"/>
    <w:rsid w:val="00F716DA"/>
    <w:rsid w:val="00F74C63"/>
    <w:rsid w:val="00F8365F"/>
    <w:rsid w:val="00F84F3D"/>
    <w:rsid w:val="00F861CA"/>
    <w:rsid w:val="00F86F88"/>
    <w:rsid w:val="00F87E87"/>
    <w:rsid w:val="00F9041A"/>
    <w:rsid w:val="00F90E75"/>
    <w:rsid w:val="00F92AF9"/>
    <w:rsid w:val="00F92F33"/>
    <w:rsid w:val="00F94DDB"/>
    <w:rsid w:val="00F96F07"/>
    <w:rsid w:val="00F97C6A"/>
    <w:rsid w:val="00FA269F"/>
    <w:rsid w:val="00FA3C3B"/>
    <w:rsid w:val="00FA3F72"/>
    <w:rsid w:val="00FA48C3"/>
    <w:rsid w:val="00FA610B"/>
    <w:rsid w:val="00FA7EDE"/>
    <w:rsid w:val="00FB0FB9"/>
    <w:rsid w:val="00FB22CE"/>
    <w:rsid w:val="00FB275C"/>
    <w:rsid w:val="00FB38DF"/>
    <w:rsid w:val="00FB4C92"/>
    <w:rsid w:val="00FB59D1"/>
    <w:rsid w:val="00FB6C36"/>
    <w:rsid w:val="00FB7147"/>
    <w:rsid w:val="00FB7610"/>
    <w:rsid w:val="00FC23F6"/>
    <w:rsid w:val="00FC30DA"/>
    <w:rsid w:val="00FC7BDC"/>
    <w:rsid w:val="00FD2137"/>
    <w:rsid w:val="00FD2E09"/>
    <w:rsid w:val="00FD30B2"/>
    <w:rsid w:val="00FD62CF"/>
    <w:rsid w:val="00FE0C92"/>
    <w:rsid w:val="00FE1A6A"/>
    <w:rsid w:val="00FE502F"/>
    <w:rsid w:val="00FF1EE3"/>
    <w:rsid w:val="00FF3C85"/>
    <w:rsid w:val="00FF46E5"/>
    <w:rsid w:val="00FF555C"/>
    <w:rsid w:val="00FF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362"/>
    <w:pPr>
      <w:spacing w:line="264" w:lineRule="auto"/>
      <w:jc w:val="both"/>
    </w:pPr>
    <w:rPr>
      <w:rFonts w:ascii="Garamond" w:hAnsi="Garamond"/>
      <w:sz w:val="20"/>
    </w:rPr>
  </w:style>
  <w:style w:type="paragraph" w:styleId="Heading1">
    <w:name w:val="heading 1"/>
    <w:basedOn w:val="Normal"/>
    <w:next w:val="Normal"/>
    <w:link w:val="Heading1Char"/>
    <w:uiPriority w:val="9"/>
    <w:qFormat/>
    <w:rsid w:val="00C07CF6"/>
    <w:pPr>
      <w:keepNext/>
      <w:keepLines/>
      <w:numPr>
        <w:numId w:val="1"/>
      </w:numPr>
      <w:pBdr>
        <w:top w:val="single" w:sz="4" w:space="31" w:color="891919"/>
        <w:left w:val="single" w:sz="4" w:space="31" w:color="891919"/>
        <w:bottom w:val="single" w:sz="4" w:space="31" w:color="891919"/>
        <w:right w:val="single" w:sz="4" w:space="4" w:color="891919"/>
      </w:pBdr>
      <w:shd w:val="clear" w:color="auto" w:fill="891919"/>
      <w:tabs>
        <w:tab w:val="left" w:pos="709"/>
      </w:tabs>
      <w:spacing w:before="360" w:after="0"/>
      <w:ind w:left="301" w:right="-856" w:hanging="573"/>
      <w:jc w:val="left"/>
      <w:outlineLvl w:val="0"/>
    </w:pPr>
    <w:rPr>
      <w:rFonts w:ascii="Arial Narrow" w:eastAsiaTheme="majorEastAsia" w:hAnsi="Arial Narrow" w:cstheme="majorBidi"/>
      <w:b/>
      <w:bCs/>
      <w:color w:val="FFFFFF" w:themeColor="background1"/>
      <w:sz w:val="56"/>
      <w:szCs w:val="28"/>
    </w:rPr>
  </w:style>
  <w:style w:type="paragraph" w:styleId="Heading2">
    <w:name w:val="heading 2"/>
    <w:basedOn w:val="Normal"/>
    <w:next w:val="Normal"/>
    <w:link w:val="Heading2Char"/>
    <w:uiPriority w:val="9"/>
    <w:unhideWhenUsed/>
    <w:qFormat/>
    <w:rsid w:val="00C07CF6"/>
    <w:pPr>
      <w:keepNext/>
      <w:keepLines/>
      <w:numPr>
        <w:ilvl w:val="1"/>
        <w:numId w:val="1"/>
      </w:numPr>
      <w:spacing w:after="120" w:line="240" w:lineRule="auto"/>
      <w:ind w:left="851" w:hanging="851"/>
      <w:jc w:val="left"/>
      <w:outlineLvl w:val="1"/>
    </w:pPr>
    <w:rPr>
      <w:rFonts w:asciiTheme="minorHAnsi" w:eastAsiaTheme="majorEastAsia" w:hAnsiTheme="minorHAnsi" w:cstheme="majorBidi"/>
      <w:bCs/>
      <w:color w:val="891919"/>
      <w:sz w:val="32"/>
      <w:szCs w:val="26"/>
    </w:rPr>
  </w:style>
  <w:style w:type="paragraph" w:styleId="Heading3">
    <w:name w:val="heading 3"/>
    <w:basedOn w:val="Normal"/>
    <w:next w:val="Normal"/>
    <w:link w:val="Heading3Char"/>
    <w:uiPriority w:val="9"/>
    <w:unhideWhenUsed/>
    <w:qFormat/>
    <w:rsid w:val="00780951"/>
    <w:pPr>
      <w:keepNext/>
      <w:keepLines/>
      <w:numPr>
        <w:ilvl w:val="2"/>
        <w:numId w:val="1"/>
      </w:numPr>
      <w:spacing w:before="120" w:after="120" w:line="240" w:lineRule="auto"/>
      <w:ind w:left="851" w:hanging="851"/>
      <w:jc w:val="left"/>
      <w:outlineLvl w:val="2"/>
    </w:pPr>
    <w:rPr>
      <w:rFonts w:asciiTheme="minorHAnsi" w:eastAsiaTheme="majorEastAsia" w:hAnsiTheme="minorHAnsi" w:cstheme="majorBidi"/>
      <w:bCs/>
      <w:color w:val="891919"/>
      <w:sz w:val="28"/>
    </w:rPr>
  </w:style>
  <w:style w:type="paragraph" w:styleId="Heading4">
    <w:name w:val="heading 4"/>
    <w:basedOn w:val="Normal"/>
    <w:next w:val="Normal"/>
    <w:link w:val="Heading4Char"/>
    <w:uiPriority w:val="9"/>
    <w:unhideWhenUsed/>
    <w:qFormat/>
    <w:rsid w:val="00FA3F72"/>
    <w:pPr>
      <w:keepNext/>
      <w:keepLines/>
      <w:spacing w:before="120" w:after="120" w:line="240" w:lineRule="auto"/>
      <w:jc w:val="left"/>
      <w:outlineLvl w:val="3"/>
    </w:pPr>
    <w:rPr>
      <w:rFonts w:asciiTheme="minorHAnsi" w:eastAsiaTheme="majorEastAsia" w:hAnsiTheme="minorHAnsi" w:cstheme="majorBidi"/>
      <w:bCs/>
      <w:iCs/>
      <w:color w:val="891919"/>
      <w:sz w:val="24"/>
    </w:rPr>
  </w:style>
  <w:style w:type="paragraph" w:styleId="Heading5">
    <w:name w:val="heading 5"/>
    <w:basedOn w:val="Normal"/>
    <w:next w:val="Normal"/>
    <w:link w:val="Heading5Char"/>
    <w:uiPriority w:val="9"/>
    <w:unhideWhenUsed/>
    <w:qFormat/>
    <w:rsid w:val="006C510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51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51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510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6C51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F63"/>
  </w:style>
  <w:style w:type="paragraph" w:styleId="Footer">
    <w:name w:val="footer"/>
    <w:basedOn w:val="Normal"/>
    <w:link w:val="FooterChar"/>
    <w:uiPriority w:val="99"/>
    <w:unhideWhenUsed/>
    <w:rsid w:val="00EA5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F63"/>
  </w:style>
  <w:style w:type="paragraph" w:customStyle="1" w:styleId="Footer1">
    <w:name w:val="Footer1"/>
    <w:basedOn w:val="Footer"/>
    <w:qFormat/>
    <w:rsid w:val="00286EF6"/>
    <w:pPr>
      <w:pBdr>
        <w:top w:val="single" w:sz="4" w:space="1" w:color="auto"/>
      </w:pBdr>
    </w:pPr>
    <w:rPr>
      <w:rFonts w:asciiTheme="minorHAnsi" w:hAnsiTheme="minorHAnsi"/>
      <w:sz w:val="16"/>
      <w:szCs w:val="16"/>
    </w:rPr>
  </w:style>
  <w:style w:type="paragraph" w:styleId="Title">
    <w:name w:val="Title"/>
    <w:basedOn w:val="Normal"/>
    <w:next w:val="Normal"/>
    <w:link w:val="TitleChar"/>
    <w:uiPriority w:val="10"/>
    <w:qFormat/>
    <w:rsid w:val="00C02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630"/>
    <w:rPr>
      <w:rFonts w:asciiTheme="majorHAnsi" w:eastAsiaTheme="majorEastAsia" w:hAnsiTheme="majorHAnsi" w:cstheme="majorBidi"/>
      <w:color w:val="17365D" w:themeColor="text2" w:themeShade="BF"/>
      <w:spacing w:val="5"/>
      <w:kern w:val="28"/>
      <w:sz w:val="52"/>
      <w:szCs w:val="52"/>
    </w:rPr>
  </w:style>
  <w:style w:type="paragraph" w:customStyle="1" w:styleId="Chapterhead">
    <w:name w:val="Chapter head"/>
    <w:basedOn w:val="Title"/>
    <w:qFormat/>
    <w:rsid w:val="006C510D"/>
    <w:pPr>
      <w:pBdr>
        <w:bottom w:val="none" w:sz="0" w:space="0" w:color="auto"/>
      </w:pBdr>
    </w:pPr>
    <w:rPr>
      <w:rFonts w:ascii="Arial Narrow" w:hAnsi="Arial Narrow"/>
      <w:color w:val="F2F2F2" w:themeColor="background1" w:themeShade="F2"/>
      <w:sz w:val="56"/>
    </w:rPr>
  </w:style>
  <w:style w:type="character" w:customStyle="1" w:styleId="Heading1Char">
    <w:name w:val="Heading 1 Char"/>
    <w:basedOn w:val="DefaultParagraphFont"/>
    <w:link w:val="Heading1"/>
    <w:uiPriority w:val="9"/>
    <w:rsid w:val="00C07CF6"/>
    <w:rPr>
      <w:rFonts w:ascii="Arial Narrow" w:eastAsiaTheme="majorEastAsia" w:hAnsi="Arial Narrow" w:cstheme="majorBidi"/>
      <w:b/>
      <w:bCs/>
      <w:color w:val="FFFFFF" w:themeColor="background1"/>
      <w:sz w:val="56"/>
      <w:szCs w:val="28"/>
      <w:shd w:val="clear" w:color="auto" w:fill="891919"/>
    </w:rPr>
  </w:style>
  <w:style w:type="character" w:customStyle="1" w:styleId="Heading2Char">
    <w:name w:val="Heading 2 Char"/>
    <w:basedOn w:val="DefaultParagraphFont"/>
    <w:link w:val="Heading2"/>
    <w:uiPriority w:val="9"/>
    <w:rsid w:val="00C07CF6"/>
    <w:rPr>
      <w:rFonts w:eastAsiaTheme="majorEastAsia" w:cstheme="majorBidi"/>
      <w:bCs/>
      <w:color w:val="891919"/>
      <w:sz w:val="32"/>
      <w:szCs w:val="26"/>
    </w:rPr>
  </w:style>
  <w:style w:type="character" w:customStyle="1" w:styleId="Heading3Char">
    <w:name w:val="Heading 3 Char"/>
    <w:basedOn w:val="DefaultParagraphFont"/>
    <w:link w:val="Heading3"/>
    <w:uiPriority w:val="9"/>
    <w:rsid w:val="00780951"/>
    <w:rPr>
      <w:rFonts w:eastAsiaTheme="majorEastAsia" w:cstheme="majorBidi"/>
      <w:bCs/>
      <w:color w:val="891919"/>
      <w:sz w:val="28"/>
    </w:rPr>
  </w:style>
  <w:style w:type="character" w:customStyle="1" w:styleId="Heading4Char">
    <w:name w:val="Heading 4 Char"/>
    <w:basedOn w:val="DefaultParagraphFont"/>
    <w:link w:val="Heading4"/>
    <w:uiPriority w:val="9"/>
    <w:rsid w:val="00FA3F72"/>
    <w:rPr>
      <w:rFonts w:eastAsiaTheme="majorEastAsia" w:cstheme="majorBidi"/>
      <w:bCs/>
      <w:iCs/>
      <w:color w:val="891919"/>
      <w:sz w:val="24"/>
    </w:rPr>
  </w:style>
  <w:style w:type="character" w:customStyle="1" w:styleId="Heading5Char">
    <w:name w:val="Heading 5 Char"/>
    <w:basedOn w:val="DefaultParagraphFont"/>
    <w:link w:val="Heading5"/>
    <w:rsid w:val="006C510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6C510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6C510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6C51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C510D"/>
    <w:rPr>
      <w:rFonts w:asciiTheme="majorHAnsi" w:eastAsiaTheme="majorEastAsia" w:hAnsiTheme="majorHAnsi" w:cstheme="majorBidi"/>
      <w:i/>
      <w:iCs/>
      <w:color w:val="404040" w:themeColor="text1" w:themeTint="BF"/>
      <w:sz w:val="20"/>
      <w:szCs w:val="20"/>
    </w:rPr>
  </w:style>
  <w:style w:type="paragraph" w:customStyle="1" w:styleId="header1">
    <w:name w:val="header 1"/>
    <w:basedOn w:val="Header"/>
    <w:qFormat/>
    <w:rsid w:val="00286EF6"/>
    <w:rPr>
      <w:rFonts w:asciiTheme="minorHAnsi" w:hAnsiTheme="minorHAnsi"/>
      <w:noProof/>
      <w:sz w:val="16"/>
      <w:szCs w:val="16"/>
    </w:rPr>
  </w:style>
  <w:style w:type="paragraph" w:customStyle="1" w:styleId="indent">
    <w:name w:val="indent"/>
    <w:basedOn w:val="Normal"/>
    <w:qFormat/>
    <w:rsid w:val="00F07E9F"/>
    <w:pPr>
      <w:ind w:left="454" w:right="510"/>
    </w:pPr>
    <w:rPr>
      <w:szCs w:val="19"/>
    </w:rPr>
  </w:style>
  <w:style w:type="paragraph" w:styleId="Caption">
    <w:name w:val="caption"/>
    <w:basedOn w:val="Normal"/>
    <w:next w:val="Normal"/>
    <w:uiPriority w:val="35"/>
    <w:unhideWhenUsed/>
    <w:qFormat/>
    <w:rsid w:val="00B235E1"/>
    <w:pPr>
      <w:keepNext/>
      <w:spacing w:line="240" w:lineRule="auto"/>
      <w:ind w:left="1305" w:right="284" w:hanging="1021"/>
      <w:jc w:val="left"/>
    </w:pPr>
    <w:rPr>
      <w:rFonts w:asciiTheme="minorHAnsi" w:hAnsiTheme="minorHAnsi"/>
      <w:b/>
      <w:bCs/>
      <w:color w:val="891919"/>
      <w:szCs w:val="18"/>
    </w:rPr>
  </w:style>
  <w:style w:type="paragraph" w:customStyle="1" w:styleId="Tablehead">
    <w:name w:val="Table head"/>
    <w:basedOn w:val="Caption"/>
    <w:qFormat/>
    <w:rsid w:val="00C0104E"/>
    <w:pPr>
      <w:keepLines/>
    </w:pPr>
    <w:rPr>
      <w:color w:val="auto"/>
    </w:rPr>
  </w:style>
  <w:style w:type="paragraph" w:styleId="FootnoteText">
    <w:name w:val="footnote text"/>
    <w:aliases w:val="single space,ft,Footnote Text Char1 Char"/>
    <w:basedOn w:val="Normal"/>
    <w:link w:val="FootnoteTextChar"/>
    <w:uiPriority w:val="99"/>
    <w:unhideWhenUsed/>
    <w:rsid w:val="00FA3F72"/>
    <w:pPr>
      <w:tabs>
        <w:tab w:val="left" w:pos="170"/>
      </w:tabs>
      <w:spacing w:after="60" w:line="240" w:lineRule="auto"/>
      <w:ind w:left="170" w:hanging="170"/>
    </w:pPr>
    <w:rPr>
      <w:sz w:val="16"/>
      <w:szCs w:val="20"/>
    </w:rPr>
  </w:style>
  <w:style w:type="character" w:customStyle="1" w:styleId="FootnoteTextChar">
    <w:name w:val="Footnote Text Char"/>
    <w:aliases w:val="single space Char,ft Char,Footnote Text Char1 Char Char"/>
    <w:basedOn w:val="DefaultParagraphFont"/>
    <w:link w:val="FootnoteText"/>
    <w:uiPriority w:val="99"/>
    <w:rsid w:val="00FA3F72"/>
    <w:rPr>
      <w:rFonts w:ascii="Garamond" w:hAnsi="Garamond"/>
      <w:sz w:val="16"/>
      <w:szCs w:val="20"/>
    </w:rPr>
  </w:style>
  <w:style w:type="character" w:styleId="FootnoteReference">
    <w:name w:val="footnote reference"/>
    <w:basedOn w:val="DefaultParagraphFont"/>
    <w:uiPriority w:val="99"/>
    <w:unhideWhenUsed/>
    <w:rsid w:val="00AE2910"/>
    <w:rPr>
      <w:vertAlign w:val="superscript"/>
    </w:rPr>
  </w:style>
  <w:style w:type="paragraph" w:customStyle="1" w:styleId="tabletextleft">
    <w:name w:val="table text left"/>
    <w:basedOn w:val="Normal"/>
    <w:qFormat/>
    <w:rsid w:val="00AE2910"/>
    <w:pPr>
      <w:keepNext/>
      <w:keepLines/>
      <w:spacing w:after="0" w:line="240" w:lineRule="auto"/>
    </w:pPr>
    <w:rPr>
      <w:rFonts w:asciiTheme="minorHAnsi" w:hAnsiTheme="minorHAnsi"/>
      <w:sz w:val="18"/>
      <w:szCs w:val="18"/>
    </w:rPr>
  </w:style>
  <w:style w:type="paragraph" w:customStyle="1" w:styleId="tabletextright">
    <w:name w:val="table text right"/>
    <w:basedOn w:val="Normal"/>
    <w:qFormat/>
    <w:rsid w:val="00AE2910"/>
    <w:pPr>
      <w:keepNext/>
      <w:keepLines/>
      <w:spacing w:after="0" w:line="240" w:lineRule="auto"/>
      <w:jc w:val="right"/>
    </w:pPr>
    <w:rPr>
      <w:rFonts w:ascii="Calibri" w:hAnsi="Calibri"/>
      <w:sz w:val="18"/>
    </w:rPr>
  </w:style>
  <w:style w:type="paragraph" w:customStyle="1" w:styleId="tablenotes">
    <w:name w:val="table notes"/>
    <w:basedOn w:val="Normal"/>
    <w:qFormat/>
    <w:rsid w:val="00A77FC9"/>
    <w:pPr>
      <w:keepNext/>
      <w:keepLines/>
      <w:spacing w:after="60" w:line="240" w:lineRule="auto"/>
      <w:ind w:left="567" w:right="567"/>
    </w:pPr>
    <w:rPr>
      <w:sz w:val="16"/>
    </w:rPr>
  </w:style>
  <w:style w:type="paragraph" w:customStyle="1" w:styleId="aphead1">
    <w:name w:val="ap head1"/>
    <w:basedOn w:val="Normal"/>
    <w:next w:val="Normal"/>
    <w:qFormat/>
    <w:rsid w:val="0092447D"/>
    <w:pPr>
      <w:keepNext/>
      <w:keepLines/>
      <w:numPr>
        <w:numId w:val="10"/>
      </w:numPr>
      <w:ind w:left="357" w:hanging="357"/>
    </w:pPr>
    <w:rPr>
      <w:rFonts w:asciiTheme="minorHAnsi" w:hAnsiTheme="minorHAnsi"/>
      <w:color w:val="7F1919"/>
      <w:sz w:val="32"/>
    </w:rPr>
  </w:style>
  <w:style w:type="paragraph" w:customStyle="1" w:styleId="Style1">
    <w:name w:val="Style1"/>
    <w:basedOn w:val="Normal"/>
    <w:qFormat/>
    <w:rsid w:val="005B6B76"/>
    <w:pPr>
      <w:spacing w:after="120"/>
      <w:ind w:left="567" w:right="567"/>
      <w:jc w:val="right"/>
    </w:pPr>
    <w:rPr>
      <w:szCs w:val="19"/>
    </w:rPr>
  </w:style>
  <w:style w:type="paragraph" w:customStyle="1" w:styleId="dot">
    <w:name w:val="dot"/>
    <w:basedOn w:val="Normal"/>
    <w:qFormat/>
    <w:rsid w:val="00A7221D"/>
    <w:pPr>
      <w:numPr>
        <w:numId w:val="2"/>
      </w:numPr>
      <w:ind w:left="357" w:hanging="357"/>
    </w:pPr>
    <w:rPr>
      <w:szCs w:val="19"/>
    </w:rPr>
  </w:style>
  <w:style w:type="paragraph" w:customStyle="1" w:styleId="dash">
    <w:name w:val="dash"/>
    <w:basedOn w:val="Normal"/>
    <w:qFormat/>
    <w:rsid w:val="00353891"/>
    <w:pPr>
      <w:numPr>
        <w:numId w:val="3"/>
      </w:numPr>
    </w:pPr>
    <w:rPr>
      <w:szCs w:val="19"/>
    </w:rPr>
  </w:style>
  <w:style w:type="table" w:styleId="TableGrid">
    <w:name w:val="Table Grid"/>
    <w:basedOn w:val="TableNormal"/>
    <w:uiPriority w:val="59"/>
    <w:rsid w:val="00F96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roposals">
    <w:name w:val="Heading 3 Proposals"/>
    <w:basedOn w:val="Normal"/>
    <w:autoRedefine/>
    <w:qFormat/>
    <w:rsid w:val="008411D0"/>
    <w:pPr>
      <w:spacing w:after="160" w:line="288" w:lineRule="auto"/>
      <w:ind w:left="1803"/>
    </w:pPr>
    <w:rPr>
      <w:rFonts w:ascii="Arial" w:eastAsia="Times New Roman" w:hAnsi="Arial" w:cs="Arial"/>
      <w:b/>
      <w:sz w:val="24"/>
      <w:szCs w:val="24"/>
      <w:lang w:eastAsia="en-US" w:bidi="en-US"/>
    </w:rPr>
  </w:style>
  <w:style w:type="numbering" w:customStyle="1" w:styleId="SPRC-style">
    <w:name w:val="SPRC-style"/>
    <w:uiPriority w:val="99"/>
    <w:rsid w:val="0027478A"/>
    <w:pPr>
      <w:numPr>
        <w:numId w:val="4"/>
      </w:numPr>
    </w:pPr>
  </w:style>
  <w:style w:type="paragraph" w:styleId="ListParagraph">
    <w:name w:val="List Paragraph"/>
    <w:basedOn w:val="Normal"/>
    <w:link w:val="ListParagraphChar"/>
    <w:uiPriority w:val="34"/>
    <w:qFormat/>
    <w:rsid w:val="0027478A"/>
    <w:pPr>
      <w:spacing w:after="0" w:line="240" w:lineRule="auto"/>
      <w:ind w:left="720"/>
      <w:jc w:val="left"/>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27478A"/>
    <w:rPr>
      <w:color w:val="0000FF" w:themeColor="hyperlink"/>
      <w:u w:val="single"/>
    </w:rPr>
  </w:style>
  <w:style w:type="paragraph" w:styleId="Quote">
    <w:name w:val="Quote"/>
    <w:basedOn w:val="Normal"/>
    <w:next w:val="Normal"/>
    <w:link w:val="QuoteChar"/>
    <w:uiPriority w:val="99"/>
    <w:qFormat/>
    <w:rsid w:val="0027478A"/>
    <w:pPr>
      <w:spacing w:after="160" w:line="288" w:lineRule="auto"/>
      <w:ind w:left="1803"/>
    </w:pPr>
    <w:rPr>
      <w:rFonts w:ascii="Arial" w:eastAsia="Times New Roman" w:hAnsi="Arial" w:cs="Times New Roman"/>
      <w:i/>
      <w:iCs/>
      <w:color w:val="000000" w:themeColor="text1"/>
      <w:lang w:eastAsia="en-US" w:bidi="en-US"/>
    </w:rPr>
  </w:style>
  <w:style w:type="character" w:customStyle="1" w:styleId="QuoteChar">
    <w:name w:val="Quote Char"/>
    <w:basedOn w:val="DefaultParagraphFont"/>
    <w:link w:val="Quote"/>
    <w:uiPriority w:val="99"/>
    <w:rsid w:val="0027478A"/>
    <w:rPr>
      <w:rFonts w:ascii="Arial" w:eastAsia="Times New Roman" w:hAnsi="Arial" w:cs="Times New Roman"/>
      <w:i/>
      <w:iCs/>
      <w:color w:val="000000" w:themeColor="text1"/>
      <w:sz w:val="20"/>
      <w:lang w:eastAsia="en-US" w:bidi="en-US"/>
    </w:rPr>
  </w:style>
  <w:style w:type="paragraph" w:styleId="BalloonText">
    <w:name w:val="Balloon Text"/>
    <w:basedOn w:val="Normal"/>
    <w:link w:val="BalloonTextChar"/>
    <w:uiPriority w:val="99"/>
    <w:semiHidden/>
    <w:unhideWhenUsed/>
    <w:rsid w:val="00274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78A"/>
    <w:rPr>
      <w:rFonts w:ascii="Tahoma" w:hAnsi="Tahoma" w:cs="Tahoma"/>
      <w:sz w:val="16"/>
      <w:szCs w:val="16"/>
    </w:rPr>
  </w:style>
  <w:style w:type="character" w:styleId="CommentReference">
    <w:name w:val="annotation reference"/>
    <w:basedOn w:val="DefaultParagraphFont"/>
    <w:uiPriority w:val="99"/>
    <w:semiHidden/>
    <w:unhideWhenUsed/>
    <w:rsid w:val="005B7E72"/>
    <w:rPr>
      <w:sz w:val="16"/>
      <w:szCs w:val="16"/>
    </w:rPr>
  </w:style>
  <w:style w:type="paragraph" w:styleId="CommentText">
    <w:name w:val="annotation text"/>
    <w:basedOn w:val="Normal"/>
    <w:link w:val="CommentTextChar"/>
    <w:uiPriority w:val="99"/>
    <w:unhideWhenUsed/>
    <w:rsid w:val="005B7E72"/>
    <w:pPr>
      <w:spacing w:line="240" w:lineRule="auto"/>
    </w:pPr>
    <w:rPr>
      <w:szCs w:val="20"/>
    </w:rPr>
  </w:style>
  <w:style w:type="character" w:customStyle="1" w:styleId="CommentTextChar">
    <w:name w:val="Comment Text Char"/>
    <w:basedOn w:val="DefaultParagraphFont"/>
    <w:link w:val="CommentText"/>
    <w:uiPriority w:val="99"/>
    <w:rsid w:val="005B7E7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B7E72"/>
    <w:rPr>
      <w:b/>
      <w:bCs/>
    </w:rPr>
  </w:style>
  <w:style w:type="character" w:customStyle="1" w:styleId="CommentSubjectChar">
    <w:name w:val="Comment Subject Char"/>
    <w:basedOn w:val="CommentTextChar"/>
    <w:link w:val="CommentSubject"/>
    <w:uiPriority w:val="99"/>
    <w:semiHidden/>
    <w:rsid w:val="005B7E72"/>
    <w:rPr>
      <w:rFonts w:ascii="Garamond" w:hAnsi="Garamond"/>
      <w:b/>
      <w:bCs/>
      <w:sz w:val="20"/>
      <w:szCs w:val="20"/>
    </w:rPr>
  </w:style>
  <w:style w:type="paragraph" w:styleId="Revision">
    <w:name w:val="Revision"/>
    <w:hidden/>
    <w:uiPriority w:val="99"/>
    <w:semiHidden/>
    <w:rsid w:val="00457712"/>
    <w:pPr>
      <w:spacing w:after="0" w:line="240" w:lineRule="auto"/>
    </w:pPr>
    <w:rPr>
      <w:rFonts w:ascii="Garamond" w:hAnsi="Garamond"/>
      <w:sz w:val="19"/>
    </w:rPr>
  </w:style>
  <w:style w:type="paragraph" w:customStyle="1" w:styleId="TableText">
    <w:name w:val="Table Text"/>
    <w:basedOn w:val="Normal"/>
    <w:rsid w:val="005E1FE0"/>
    <w:pPr>
      <w:keepNext/>
      <w:keepLines/>
      <w:autoSpaceDE w:val="0"/>
      <w:autoSpaceDN w:val="0"/>
      <w:adjustRightInd w:val="0"/>
      <w:spacing w:after="40" w:line="240" w:lineRule="auto"/>
      <w:jc w:val="left"/>
    </w:pPr>
    <w:rPr>
      <w:rFonts w:ascii="Times New Roman" w:eastAsia="Times" w:hAnsi="Times New Roman" w:cs="Times New Roman"/>
      <w:noProof/>
      <w:sz w:val="16"/>
      <w:szCs w:val="24"/>
      <w:lang w:val="en-US" w:eastAsia="en-US"/>
    </w:rPr>
  </w:style>
  <w:style w:type="paragraph" w:customStyle="1" w:styleId="tablefootnoteslastline">
    <w:name w:val="table footnotes last line"/>
    <w:basedOn w:val="Normal"/>
    <w:rsid w:val="005E1FE0"/>
    <w:pPr>
      <w:keepLines/>
      <w:spacing w:after="0" w:line="240" w:lineRule="auto"/>
      <w:ind w:left="2041" w:hanging="907"/>
      <w:jc w:val="left"/>
    </w:pPr>
    <w:rPr>
      <w:rFonts w:ascii="Times New Roman" w:eastAsia="Times" w:hAnsi="Times New Roman" w:cs="Times New Roman"/>
      <w:noProof/>
      <w:sz w:val="16"/>
      <w:szCs w:val="20"/>
      <w:lang w:val="en-US" w:eastAsia="en-US"/>
    </w:rPr>
  </w:style>
  <w:style w:type="character" w:customStyle="1" w:styleId="highlight">
    <w:name w:val="highlight"/>
    <w:basedOn w:val="DefaultParagraphFont"/>
    <w:rsid w:val="005E1FE0"/>
  </w:style>
  <w:style w:type="character" w:styleId="Emphasis">
    <w:name w:val="Emphasis"/>
    <w:basedOn w:val="DefaultParagraphFont"/>
    <w:uiPriority w:val="20"/>
    <w:qFormat/>
    <w:rsid w:val="005E1FE0"/>
    <w:rPr>
      <w:i/>
      <w:iCs/>
    </w:rPr>
  </w:style>
  <w:style w:type="character" w:styleId="FollowedHyperlink">
    <w:name w:val="FollowedHyperlink"/>
    <w:basedOn w:val="DefaultParagraphFont"/>
    <w:uiPriority w:val="99"/>
    <w:semiHidden/>
    <w:unhideWhenUsed/>
    <w:rsid w:val="005E1FE0"/>
    <w:rPr>
      <w:color w:val="800080" w:themeColor="followedHyperlink"/>
      <w:u w:val="single"/>
    </w:rPr>
  </w:style>
  <w:style w:type="paragraph" w:styleId="EndnoteText">
    <w:name w:val="endnote text"/>
    <w:basedOn w:val="Normal"/>
    <w:link w:val="EndnoteTextChar"/>
    <w:uiPriority w:val="99"/>
    <w:semiHidden/>
    <w:unhideWhenUsed/>
    <w:rsid w:val="005E1FE0"/>
    <w:pPr>
      <w:spacing w:after="0" w:line="240" w:lineRule="auto"/>
    </w:pPr>
    <w:rPr>
      <w:szCs w:val="20"/>
    </w:rPr>
  </w:style>
  <w:style w:type="character" w:customStyle="1" w:styleId="EndnoteTextChar">
    <w:name w:val="Endnote Text Char"/>
    <w:basedOn w:val="DefaultParagraphFont"/>
    <w:link w:val="EndnoteText"/>
    <w:uiPriority w:val="99"/>
    <w:semiHidden/>
    <w:rsid w:val="005E1FE0"/>
    <w:rPr>
      <w:rFonts w:ascii="Garamond" w:hAnsi="Garamond"/>
      <w:sz w:val="20"/>
      <w:szCs w:val="20"/>
    </w:rPr>
  </w:style>
  <w:style w:type="character" w:styleId="EndnoteReference">
    <w:name w:val="endnote reference"/>
    <w:basedOn w:val="DefaultParagraphFont"/>
    <w:uiPriority w:val="99"/>
    <w:semiHidden/>
    <w:unhideWhenUsed/>
    <w:rsid w:val="005E1FE0"/>
    <w:rPr>
      <w:vertAlign w:val="superscript"/>
    </w:rPr>
  </w:style>
  <w:style w:type="character" w:styleId="BookTitle">
    <w:name w:val="Book Title"/>
    <w:uiPriority w:val="33"/>
    <w:qFormat/>
    <w:rsid w:val="005E1FE0"/>
    <w:rPr>
      <w:i/>
      <w:iCs/>
      <w:smallCaps/>
      <w:spacing w:val="5"/>
    </w:rPr>
  </w:style>
  <w:style w:type="paragraph" w:customStyle="1" w:styleId="Figure">
    <w:name w:val="Figure"/>
    <w:basedOn w:val="Normal"/>
    <w:link w:val="FigureChar"/>
    <w:qFormat/>
    <w:rsid w:val="005E1FE0"/>
    <w:pPr>
      <w:keepNext/>
      <w:keepLines/>
      <w:numPr>
        <w:numId w:val="6"/>
      </w:numPr>
      <w:spacing w:after="0" w:line="240" w:lineRule="auto"/>
      <w:jc w:val="center"/>
    </w:pPr>
    <w:rPr>
      <w:rFonts w:asciiTheme="minorHAnsi" w:eastAsiaTheme="minorHAnsi" w:hAnsiTheme="minorHAnsi"/>
      <w:b/>
      <w:color w:val="1F497D" w:themeColor="text2"/>
      <w:sz w:val="22"/>
      <w:lang w:eastAsia="en-US"/>
    </w:rPr>
  </w:style>
  <w:style w:type="character" w:customStyle="1" w:styleId="FigureChar">
    <w:name w:val="Figure Char"/>
    <w:basedOn w:val="DefaultParagraphFont"/>
    <w:link w:val="Figure"/>
    <w:rsid w:val="005E1FE0"/>
    <w:rPr>
      <w:rFonts w:eastAsiaTheme="minorHAnsi"/>
      <w:b/>
      <w:color w:val="1F497D" w:themeColor="text2"/>
      <w:lang w:eastAsia="en-US"/>
    </w:rPr>
  </w:style>
  <w:style w:type="paragraph" w:styleId="BodyText">
    <w:name w:val="Body Text"/>
    <w:link w:val="BodyTextChar"/>
    <w:uiPriority w:val="99"/>
    <w:rsid w:val="005E1FE0"/>
    <w:pPr>
      <w:suppressAutoHyphens/>
      <w:spacing w:after="0" w:line="480" w:lineRule="auto"/>
      <w:ind w:firstLine="288"/>
      <w:jc w:val="both"/>
    </w:pPr>
    <w:rPr>
      <w:rFonts w:ascii="Times" w:eastAsia="Times New Roman" w:hAnsi="Times" w:cs="Times New Roman"/>
      <w:noProof/>
      <w:sz w:val="20"/>
      <w:szCs w:val="20"/>
      <w:lang w:val="en-US" w:eastAsia="en-US"/>
    </w:rPr>
  </w:style>
  <w:style w:type="character" w:customStyle="1" w:styleId="BodyTextChar">
    <w:name w:val="Body Text Char"/>
    <w:basedOn w:val="DefaultParagraphFont"/>
    <w:link w:val="BodyText"/>
    <w:uiPriority w:val="99"/>
    <w:rsid w:val="005E1FE0"/>
    <w:rPr>
      <w:rFonts w:ascii="Times" w:eastAsia="Times New Roman" w:hAnsi="Times" w:cs="Times New Roman"/>
      <w:noProof/>
      <w:sz w:val="20"/>
      <w:szCs w:val="20"/>
      <w:lang w:val="en-US" w:eastAsia="en-US"/>
    </w:rPr>
  </w:style>
  <w:style w:type="paragraph" w:customStyle="1" w:styleId="tablefootnotes">
    <w:name w:val="table footnotes"/>
    <w:basedOn w:val="Normal"/>
    <w:rsid w:val="005E1FE0"/>
    <w:pPr>
      <w:keepNext/>
      <w:keepLines/>
      <w:spacing w:after="0" w:line="240" w:lineRule="auto"/>
      <w:ind w:left="2041" w:hanging="907"/>
      <w:jc w:val="left"/>
    </w:pPr>
    <w:rPr>
      <w:rFonts w:ascii="Times New Roman" w:eastAsia="Times" w:hAnsi="Times New Roman" w:cs="Times New Roman"/>
      <w:noProof/>
      <w:sz w:val="16"/>
      <w:szCs w:val="20"/>
      <w:lang w:val="en-US" w:eastAsia="en-US"/>
    </w:rPr>
  </w:style>
  <w:style w:type="paragraph" w:customStyle="1" w:styleId="tabfighead">
    <w:name w:val="tab fig head"/>
    <w:basedOn w:val="Normal"/>
    <w:rsid w:val="005E1FE0"/>
    <w:pPr>
      <w:keepNext/>
      <w:keepLines/>
      <w:spacing w:before="240" w:after="120" w:line="240" w:lineRule="auto"/>
      <w:ind w:left="1418" w:hanging="1418"/>
      <w:jc w:val="left"/>
    </w:pPr>
    <w:rPr>
      <w:rFonts w:ascii="Times New Roman" w:eastAsia="Times" w:hAnsi="Times New Roman" w:cs="Times New Roman"/>
      <w:b/>
      <w:bCs/>
      <w:noProof/>
      <w:color w:val="273C8B"/>
      <w:spacing w:val="10"/>
      <w:sz w:val="24"/>
      <w:szCs w:val="18"/>
      <w:lang w:val="en-US" w:eastAsia="en-US"/>
    </w:rPr>
  </w:style>
  <w:style w:type="paragraph" w:customStyle="1" w:styleId="braytabletext">
    <w:name w:val="bray table text"/>
    <w:basedOn w:val="Normal"/>
    <w:rsid w:val="005E1FE0"/>
    <w:pPr>
      <w:keepNext/>
      <w:keepLines/>
      <w:spacing w:after="60" w:line="240" w:lineRule="auto"/>
      <w:jc w:val="left"/>
    </w:pPr>
    <w:rPr>
      <w:rFonts w:ascii="Times New Roman" w:eastAsia="Times" w:hAnsi="Times New Roman" w:cs="Arial"/>
      <w:noProof/>
      <w:color w:val="000000"/>
      <w:sz w:val="16"/>
      <w:szCs w:val="18"/>
      <w:lang w:val="en-US"/>
    </w:rPr>
  </w:style>
  <w:style w:type="paragraph" w:customStyle="1" w:styleId="listdash">
    <w:name w:val="list dash"/>
    <w:basedOn w:val="ListBullet"/>
    <w:rsid w:val="005E1FE0"/>
    <w:pPr>
      <w:suppressAutoHyphens/>
      <w:spacing w:after="120" w:line="480" w:lineRule="auto"/>
      <w:ind w:left="1080"/>
      <w:contextualSpacing w:val="0"/>
    </w:pPr>
    <w:rPr>
      <w:rFonts w:ascii="Times" w:eastAsia="Times New Roman" w:hAnsi="Times" w:cs="Times New Roman"/>
      <w:noProof/>
      <w:szCs w:val="20"/>
      <w:lang w:val="en-US" w:eastAsia="en-US"/>
    </w:rPr>
  </w:style>
  <w:style w:type="paragraph" w:styleId="ListBullet">
    <w:name w:val="List Bullet"/>
    <w:basedOn w:val="Normal"/>
    <w:uiPriority w:val="99"/>
    <w:semiHidden/>
    <w:unhideWhenUsed/>
    <w:rsid w:val="005E1FE0"/>
    <w:pPr>
      <w:ind w:left="2520" w:hanging="360"/>
      <w:contextualSpacing/>
    </w:pPr>
  </w:style>
  <w:style w:type="numbering" w:customStyle="1" w:styleId="SPRC-NEW">
    <w:name w:val="SPRC-NEW"/>
    <w:uiPriority w:val="99"/>
    <w:rsid w:val="005E1FE0"/>
    <w:pPr>
      <w:numPr>
        <w:numId w:val="7"/>
      </w:numPr>
    </w:pPr>
  </w:style>
  <w:style w:type="paragraph" w:styleId="NoSpacing">
    <w:name w:val="No Spacing"/>
    <w:uiPriority w:val="1"/>
    <w:qFormat/>
    <w:rsid w:val="005E1FE0"/>
    <w:pPr>
      <w:spacing w:after="0" w:line="240" w:lineRule="auto"/>
      <w:jc w:val="both"/>
    </w:pPr>
    <w:rPr>
      <w:rFonts w:ascii="Garamond" w:hAnsi="Garamond"/>
      <w:sz w:val="19"/>
    </w:rPr>
  </w:style>
  <w:style w:type="table" w:customStyle="1" w:styleId="TableGrid5">
    <w:name w:val="Table Grid5"/>
    <w:basedOn w:val="TableNormal"/>
    <w:next w:val="TableGrid"/>
    <w:uiPriority w:val="59"/>
    <w:rsid w:val="005E1FE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E1FE0"/>
    <w:pPr>
      <w:spacing w:after="0" w:line="240" w:lineRule="auto"/>
      <w:jc w:val="left"/>
    </w:pPr>
    <w:rPr>
      <w:rFonts w:ascii="Times New Roman" w:eastAsiaTheme="minorHAnsi" w:hAnsi="Times New Roman" w:cs="Times New Roman"/>
      <w:sz w:val="24"/>
      <w:szCs w:val="24"/>
    </w:rPr>
  </w:style>
  <w:style w:type="paragraph" w:customStyle="1" w:styleId="undot">
    <w:name w:val="undot"/>
    <w:basedOn w:val="dot"/>
    <w:qFormat/>
    <w:rsid w:val="005E1FE0"/>
    <w:pPr>
      <w:numPr>
        <w:numId w:val="0"/>
      </w:numPr>
      <w:spacing w:line="252" w:lineRule="auto"/>
      <w:ind w:left="357"/>
    </w:pPr>
  </w:style>
  <w:style w:type="paragraph" w:customStyle="1" w:styleId="toq">
    <w:name w:val="toq"/>
    <w:basedOn w:val="tabletextleft"/>
    <w:qFormat/>
    <w:rsid w:val="005E1FE0"/>
    <w:pPr>
      <w:spacing w:before="20" w:after="40"/>
      <w:jc w:val="left"/>
    </w:pPr>
    <w:rPr>
      <w:noProof/>
      <w:sz w:val="16"/>
    </w:rPr>
  </w:style>
  <w:style w:type="paragraph" w:customStyle="1" w:styleId="aligntodot">
    <w:name w:val="align to dot"/>
    <w:basedOn w:val="Normal"/>
    <w:qFormat/>
    <w:rsid w:val="005E1FE0"/>
    <w:pPr>
      <w:ind w:left="357"/>
    </w:pPr>
  </w:style>
  <w:style w:type="paragraph" w:styleId="HTMLPreformatted">
    <w:name w:val="HTML Preformatted"/>
    <w:basedOn w:val="Normal"/>
    <w:link w:val="HTMLPreformattedChar"/>
    <w:uiPriority w:val="99"/>
    <w:semiHidden/>
    <w:unhideWhenUsed/>
    <w:rsid w:val="005E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E1FE0"/>
    <w:rPr>
      <w:rFonts w:ascii="Courier New" w:eastAsia="Times New Roman" w:hAnsi="Courier New" w:cs="Courier New"/>
      <w:sz w:val="20"/>
      <w:szCs w:val="20"/>
    </w:rPr>
  </w:style>
  <w:style w:type="paragraph" w:customStyle="1" w:styleId="Indent0">
    <w:name w:val="Indent"/>
    <w:basedOn w:val="Normal"/>
    <w:qFormat/>
    <w:rsid w:val="00535C84"/>
    <w:pPr>
      <w:spacing w:after="0" w:line="276" w:lineRule="auto"/>
      <w:ind w:left="357" w:right="357"/>
      <w:jc w:val="left"/>
    </w:pPr>
    <w:rPr>
      <w:rFonts w:asciiTheme="minorHAnsi" w:eastAsiaTheme="minorHAnsi" w:hAnsiTheme="minorHAnsi" w:cs="Times New Roman"/>
      <w:noProof/>
      <w:szCs w:val="24"/>
    </w:rPr>
  </w:style>
  <w:style w:type="paragraph" w:customStyle="1" w:styleId="Dotpoint">
    <w:name w:val="Dot point"/>
    <w:basedOn w:val="Normal"/>
    <w:qFormat/>
    <w:rsid w:val="00535C84"/>
    <w:pPr>
      <w:numPr>
        <w:numId w:val="8"/>
      </w:numPr>
      <w:spacing w:line="276" w:lineRule="auto"/>
    </w:pPr>
    <w:rPr>
      <w:rFonts w:ascii="Cambria" w:eastAsia="Calibri" w:hAnsi="Cambria" w:cs="Times New Roman"/>
      <w:sz w:val="22"/>
      <w:lang w:eastAsia="en-US"/>
    </w:rPr>
  </w:style>
  <w:style w:type="numbering" w:customStyle="1" w:styleId="dotdash">
    <w:name w:val="dotdash"/>
    <w:uiPriority w:val="99"/>
    <w:rsid w:val="00535C84"/>
    <w:pPr>
      <w:numPr>
        <w:numId w:val="8"/>
      </w:numPr>
    </w:pPr>
  </w:style>
  <w:style w:type="table" w:styleId="MediumList1">
    <w:name w:val="Medium List 1"/>
    <w:basedOn w:val="TableNormal"/>
    <w:uiPriority w:val="65"/>
    <w:rsid w:val="00535C84"/>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535C84"/>
    <w:rPr>
      <w:color w:val="808080"/>
    </w:rPr>
  </w:style>
  <w:style w:type="table" w:customStyle="1" w:styleId="TableGrid1">
    <w:name w:val="Table Grid1"/>
    <w:basedOn w:val="TableNormal"/>
    <w:next w:val="TableGrid"/>
    <w:uiPriority w:val="59"/>
    <w:rsid w:val="0053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B51"/>
  </w:style>
  <w:style w:type="character" w:customStyle="1" w:styleId="ColorfulGrid-Accent1Char">
    <w:name w:val="Colorful Grid - Accent 1 Char"/>
    <w:link w:val="ColorfulGrid-Accent1"/>
    <w:uiPriority w:val="29"/>
    <w:rsid w:val="00417B51"/>
    <w:rPr>
      <w:i/>
      <w:iCs/>
      <w:color w:val="000000"/>
      <w:sz w:val="24"/>
      <w:lang w:val="en-AU" w:eastAsia="ja-JP"/>
    </w:rPr>
  </w:style>
  <w:style w:type="table" w:styleId="ColorfulGrid-Accent1">
    <w:name w:val="Colorful Grid Accent 1"/>
    <w:basedOn w:val="TableNormal"/>
    <w:link w:val="ColorfulGrid-Accent1Char"/>
    <w:uiPriority w:val="29"/>
    <w:rsid w:val="00417B51"/>
    <w:pPr>
      <w:spacing w:after="0" w:line="240" w:lineRule="auto"/>
    </w:pPr>
    <w:rPr>
      <w:i/>
      <w:iCs/>
      <w:color w:val="000000"/>
      <w:sz w:val="24"/>
      <w:lang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rsid w:val="00417B51"/>
    <w:rPr>
      <w:rFonts w:ascii="Times New Roman" w:eastAsiaTheme="minorHAnsi" w:hAnsi="Times New Roman" w:cs="Times New Roman"/>
      <w:sz w:val="24"/>
      <w:szCs w:val="24"/>
    </w:rPr>
  </w:style>
  <w:style w:type="paragraph" w:customStyle="1" w:styleId="Evalheadings">
    <w:name w:val="Eval headings"/>
    <w:basedOn w:val="Normal"/>
    <w:next w:val="Normal"/>
    <w:qFormat/>
    <w:rsid w:val="00417B5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jc w:val="left"/>
    </w:pPr>
    <w:rPr>
      <w:rFonts w:asciiTheme="minorHAnsi" w:hAnsiTheme="minorHAnsi"/>
      <w:sz w:val="22"/>
      <w:szCs w:val="24"/>
    </w:rPr>
  </w:style>
  <w:style w:type="paragraph" w:customStyle="1" w:styleId="unumchpt">
    <w:name w:val="unumchpt"/>
    <w:basedOn w:val="Heading1"/>
    <w:qFormat/>
    <w:rsid w:val="00FB0FB9"/>
    <w:pPr>
      <w:numPr>
        <w:numId w:val="0"/>
      </w:numPr>
    </w:pPr>
  </w:style>
  <w:style w:type="paragraph" w:customStyle="1" w:styleId="Reporttitle">
    <w:name w:val="Report title"/>
    <w:basedOn w:val="Normal"/>
    <w:uiPriority w:val="1"/>
    <w:qFormat/>
    <w:rsid w:val="00C75E55"/>
    <w:pPr>
      <w:autoSpaceDE w:val="0"/>
      <w:autoSpaceDN w:val="0"/>
      <w:adjustRightInd w:val="0"/>
      <w:spacing w:after="0" w:line="240" w:lineRule="auto"/>
      <w:ind w:right="-23"/>
      <w:jc w:val="left"/>
    </w:pPr>
    <w:rPr>
      <w:rFonts w:ascii="Sommet" w:eastAsia="MetaPlusNormal-Roman" w:hAnsi="Sommet" w:cs="MetaPlusNormal-Roman"/>
      <w:color w:val="000000"/>
      <w:sz w:val="48"/>
      <w:szCs w:val="60"/>
      <w:lang w:val="en-US" w:eastAsia="en-US"/>
    </w:rPr>
  </w:style>
  <w:style w:type="paragraph" w:customStyle="1" w:styleId="Reportsubtitle">
    <w:name w:val="Report sub title"/>
    <w:basedOn w:val="Normal"/>
    <w:uiPriority w:val="1"/>
    <w:qFormat/>
    <w:rsid w:val="00FB0FB9"/>
    <w:pPr>
      <w:autoSpaceDE w:val="0"/>
      <w:autoSpaceDN w:val="0"/>
      <w:adjustRightInd w:val="0"/>
      <w:spacing w:after="240" w:line="240" w:lineRule="auto"/>
      <w:ind w:right="-23"/>
      <w:jc w:val="left"/>
    </w:pPr>
    <w:rPr>
      <w:rFonts w:asciiTheme="majorHAnsi" w:eastAsia="MetaPlusNormal-Roman" w:hAnsiTheme="majorHAnsi" w:cs="MetaPlusNormal-Roman"/>
      <w:color w:val="000000"/>
      <w:sz w:val="36"/>
      <w:szCs w:val="24"/>
      <w:lang w:eastAsia="en-US"/>
    </w:rPr>
  </w:style>
  <w:style w:type="paragraph" w:customStyle="1" w:styleId="ReportAuthors">
    <w:name w:val="Report Authors"/>
    <w:basedOn w:val="Normal"/>
    <w:uiPriority w:val="1"/>
    <w:qFormat/>
    <w:rsid w:val="00FB0FB9"/>
    <w:pPr>
      <w:autoSpaceDE w:val="0"/>
      <w:autoSpaceDN w:val="0"/>
      <w:adjustRightInd w:val="0"/>
      <w:spacing w:after="0" w:line="240" w:lineRule="auto"/>
      <w:ind w:right="-23"/>
      <w:jc w:val="left"/>
    </w:pPr>
    <w:rPr>
      <w:rFonts w:ascii="Sommet" w:eastAsia="MetaPlusNormal-Roman" w:hAnsi="Sommet" w:cs="MetaPlusNormal-Roman"/>
      <w:color w:val="000000"/>
      <w:sz w:val="28"/>
      <w:szCs w:val="30"/>
      <w:lang w:val="en-US" w:eastAsia="en-US"/>
    </w:rPr>
  </w:style>
  <w:style w:type="paragraph" w:customStyle="1" w:styleId="ExecutiveSummarySubheading">
    <w:name w:val="Executive Summary Subheading"/>
    <w:basedOn w:val="Normal"/>
    <w:uiPriority w:val="1"/>
    <w:qFormat/>
    <w:rsid w:val="00C13362"/>
    <w:pPr>
      <w:spacing w:line="276" w:lineRule="auto"/>
      <w:jc w:val="left"/>
    </w:pPr>
    <w:rPr>
      <w:rFonts w:ascii="Arial" w:eastAsia="MetaPlusBold-Roman" w:hAnsi="Arial" w:cs="Arial"/>
      <w:bCs/>
      <w:sz w:val="29"/>
      <w:szCs w:val="29"/>
      <w:lang w:eastAsia="en-US"/>
    </w:rPr>
  </w:style>
  <w:style w:type="paragraph" w:customStyle="1" w:styleId="pretitle">
    <w:name w:val="pretitle"/>
    <w:basedOn w:val="Heading4"/>
    <w:uiPriority w:val="1"/>
    <w:qFormat/>
    <w:rsid w:val="00AD3907"/>
    <w:pPr>
      <w:pBdr>
        <w:left w:val="single" w:sz="48" w:space="8" w:color="891919"/>
        <w:bottom w:val="single" w:sz="24" w:space="8" w:color="891919"/>
      </w:pBdr>
      <w:autoSpaceDE w:val="0"/>
      <w:autoSpaceDN w:val="0"/>
      <w:adjustRightInd w:val="0"/>
      <w:spacing w:before="480" w:after="240"/>
      <w:ind w:right="-23"/>
      <w:outlineLvl w:val="0"/>
    </w:pPr>
    <w:rPr>
      <w:rFonts w:ascii="Calibri" w:eastAsia="MetaPlusBold-Roman" w:hAnsi="Calibri" w:cs="Arial"/>
      <w:b/>
      <w:iCs w:val="0"/>
      <w:sz w:val="40"/>
      <w:szCs w:val="40"/>
      <w:lang w:eastAsia="en-US"/>
    </w:rPr>
  </w:style>
  <w:style w:type="paragraph" w:styleId="TOC1">
    <w:name w:val="toc 1"/>
    <w:basedOn w:val="Normal"/>
    <w:next w:val="Normal"/>
    <w:uiPriority w:val="39"/>
    <w:unhideWhenUsed/>
    <w:rsid w:val="00DC1D42"/>
    <w:pPr>
      <w:tabs>
        <w:tab w:val="left" w:pos="720"/>
        <w:tab w:val="left" w:pos="1196"/>
        <w:tab w:val="right" w:leader="dot" w:pos="8324"/>
      </w:tabs>
      <w:spacing w:before="120" w:after="0"/>
      <w:jc w:val="left"/>
    </w:pPr>
    <w:rPr>
      <w:b/>
      <w:bCs/>
      <w:caps/>
      <w:noProof/>
      <w:szCs w:val="24"/>
    </w:rPr>
  </w:style>
  <w:style w:type="paragraph" w:styleId="TOC2">
    <w:name w:val="toc 2"/>
    <w:basedOn w:val="Normal"/>
    <w:next w:val="Normal"/>
    <w:autoRedefine/>
    <w:uiPriority w:val="39"/>
    <w:unhideWhenUsed/>
    <w:rsid w:val="00DC1D42"/>
    <w:pPr>
      <w:tabs>
        <w:tab w:val="left" w:pos="720"/>
        <w:tab w:val="left" w:pos="1196"/>
        <w:tab w:val="right" w:leader="dot" w:pos="8324"/>
      </w:tabs>
      <w:spacing w:before="120" w:after="0"/>
      <w:jc w:val="left"/>
    </w:pPr>
    <w:rPr>
      <w:b/>
      <w:bCs/>
      <w:noProof/>
      <w:szCs w:val="20"/>
    </w:rPr>
  </w:style>
  <w:style w:type="paragraph" w:styleId="TOC3">
    <w:name w:val="toc 3"/>
    <w:basedOn w:val="Normal"/>
    <w:next w:val="Normal"/>
    <w:autoRedefine/>
    <w:uiPriority w:val="39"/>
    <w:unhideWhenUsed/>
    <w:rsid w:val="00CB5352"/>
    <w:pPr>
      <w:tabs>
        <w:tab w:val="left" w:pos="1000"/>
        <w:tab w:val="right" w:leader="dot" w:pos="8324"/>
      </w:tabs>
      <w:spacing w:after="0"/>
      <w:ind w:left="1196" w:hanging="998"/>
      <w:jc w:val="left"/>
    </w:pPr>
    <w:rPr>
      <w:szCs w:val="20"/>
    </w:rPr>
  </w:style>
  <w:style w:type="paragraph" w:styleId="TOC4">
    <w:name w:val="toc 4"/>
    <w:basedOn w:val="Normal"/>
    <w:next w:val="Normal"/>
    <w:autoRedefine/>
    <w:uiPriority w:val="39"/>
    <w:unhideWhenUsed/>
    <w:rsid w:val="00DF6B91"/>
    <w:pP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F6B91"/>
    <w:pP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F6B91"/>
    <w:pP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F6B91"/>
    <w:pP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F6B91"/>
    <w:pP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F6B91"/>
    <w:pPr>
      <w:spacing w:after="0"/>
      <w:ind w:left="1400"/>
      <w:jc w:val="left"/>
    </w:pPr>
    <w:rPr>
      <w:rFonts w:asciiTheme="minorHAnsi" w:hAnsiTheme="minorHAnsi"/>
      <w:szCs w:val="20"/>
    </w:rPr>
  </w:style>
  <w:style w:type="paragraph" w:styleId="TableofFigures">
    <w:name w:val="table of figures"/>
    <w:basedOn w:val="Normal"/>
    <w:next w:val="Normal"/>
    <w:uiPriority w:val="99"/>
    <w:unhideWhenUsed/>
    <w:rsid w:val="00CB5352"/>
    <w:pPr>
      <w:tabs>
        <w:tab w:val="left" w:pos="1134"/>
        <w:tab w:val="left" w:leader="dot" w:pos="8335"/>
      </w:tabs>
      <w:spacing w:after="0"/>
      <w:ind w:left="964" w:hanging="964"/>
    </w:pPr>
  </w:style>
  <w:style w:type="paragraph" w:customStyle="1" w:styleId="Quote2">
    <w:name w:val="Quote2"/>
    <w:basedOn w:val="Normal"/>
    <w:qFormat/>
    <w:rsid w:val="00D37FBC"/>
    <w:pPr>
      <w:spacing w:after="120"/>
      <w:ind w:left="720"/>
    </w:pPr>
  </w:style>
  <w:style w:type="paragraph" w:customStyle="1" w:styleId="spaceforquote">
    <w:name w:val="space for quote"/>
    <w:basedOn w:val="Normal"/>
    <w:qFormat/>
    <w:rsid w:val="007A0337"/>
    <w:pPr>
      <w:spacing w:after="0" w:line="200" w:lineRule="exact"/>
    </w:pPr>
  </w:style>
  <w:style w:type="paragraph" w:customStyle="1" w:styleId="aphead2">
    <w:name w:val="ap head2"/>
    <w:basedOn w:val="aphead1"/>
    <w:qFormat/>
    <w:rsid w:val="0092447D"/>
    <w:pPr>
      <w:numPr>
        <w:ilvl w:val="1"/>
      </w:numPr>
      <w:ind w:left="357" w:hanging="357"/>
    </w:pPr>
    <w:rPr>
      <w:sz w:val="28"/>
    </w:rPr>
  </w:style>
  <w:style w:type="paragraph" w:customStyle="1" w:styleId="attachtext">
    <w:name w:val="attach text"/>
    <w:basedOn w:val="Normal"/>
    <w:rsid w:val="00014403"/>
    <w:pPr>
      <w:autoSpaceDE w:val="0"/>
      <w:autoSpaceDN w:val="0"/>
      <w:adjustRightInd w:val="0"/>
      <w:spacing w:after="120" w:line="240" w:lineRule="auto"/>
      <w:jc w:val="left"/>
    </w:pPr>
    <w:rPr>
      <w:rFonts w:ascii="Times New Roman" w:eastAsia="Times" w:hAnsi="Times New Roman" w:cs="Times New Roman"/>
      <w:bCs/>
      <w:noProof/>
      <w:color w:val="000000"/>
      <w:sz w:val="24"/>
      <w:szCs w:val="24"/>
      <w:lang w:val="en-US" w:eastAsia="en-US"/>
    </w:rPr>
  </w:style>
  <w:style w:type="paragraph" w:customStyle="1" w:styleId="fvt">
    <w:name w:val="fvt"/>
    <w:basedOn w:val="Normal"/>
    <w:qFormat/>
    <w:rsid w:val="00014403"/>
    <w:pPr>
      <w:numPr>
        <w:numId w:val="12"/>
      </w:numPr>
      <w:spacing w:after="60" w:line="240" w:lineRule="auto"/>
      <w:ind w:left="589" w:hanging="425"/>
      <w:jc w:val="left"/>
    </w:pPr>
    <w:rPr>
      <w:rFonts w:eastAsia="Times New Roman"/>
    </w:rPr>
  </w:style>
  <w:style w:type="paragraph" w:customStyle="1" w:styleId="graphicpaste">
    <w:name w:val="graphic paste"/>
    <w:basedOn w:val="Normal"/>
    <w:next w:val="tablenotes"/>
    <w:qFormat/>
    <w:rsid w:val="00F30A93"/>
    <w:pPr>
      <w:keepNext/>
      <w:spacing w:after="0" w:line="240" w:lineRule="auto"/>
      <w:jc w:val="center"/>
    </w:pPr>
    <w:rPr>
      <w:sz w:val="16"/>
    </w:rPr>
  </w:style>
  <w:style w:type="numbering" w:customStyle="1" w:styleId="NoList1">
    <w:name w:val="No List1"/>
    <w:next w:val="NoList"/>
    <w:uiPriority w:val="99"/>
    <w:semiHidden/>
    <w:unhideWhenUsed/>
    <w:rsid w:val="003A3B53"/>
  </w:style>
  <w:style w:type="paragraph" w:customStyle="1" w:styleId="Quote1">
    <w:name w:val="Quote1"/>
    <w:basedOn w:val="Normal"/>
    <w:qFormat/>
    <w:rsid w:val="003A3B53"/>
    <w:pPr>
      <w:spacing w:after="120"/>
      <w:ind w:left="567" w:right="567"/>
      <w:jc w:val="left"/>
    </w:pPr>
    <w:rPr>
      <w:i/>
      <w:szCs w:val="19"/>
    </w:rPr>
  </w:style>
  <w:style w:type="table" w:customStyle="1" w:styleId="TableGrid2">
    <w:name w:val="Table Grid2"/>
    <w:basedOn w:val="TableNormal"/>
    <w:next w:val="TableGrid"/>
    <w:uiPriority w:val="59"/>
    <w:rsid w:val="003A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Char0"/>
    <w:qFormat/>
    <w:rsid w:val="003A3B53"/>
    <w:pPr>
      <w:suppressAutoHyphens w:val="0"/>
      <w:spacing w:after="240" w:line="240" w:lineRule="auto"/>
      <w:ind w:firstLine="0"/>
      <w:jc w:val="left"/>
    </w:pPr>
    <w:rPr>
      <w:rFonts w:ascii="Arial" w:hAnsi="Arial"/>
    </w:rPr>
  </w:style>
  <w:style w:type="character" w:customStyle="1" w:styleId="BodytextChar0">
    <w:name w:val="Body text Char"/>
    <w:basedOn w:val="BodyTextChar"/>
    <w:link w:val="BodyText1"/>
    <w:rsid w:val="003A3B53"/>
    <w:rPr>
      <w:rFonts w:ascii="Arial" w:eastAsia="Times New Roman" w:hAnsi="Arial" w:cs="Times New Roman"/>
      <w:noProof/>
      <w:sz w:val="20"/>
      <w:szCs w:val="20"/>
      <w:lang w:val="en-US" w:eastAsia="en-US"/>
    </w:rPr>
  </w:style>
  <w:style w:type="paragraph" w:styleId="ListNumber">
    <w:name w:val="List Number"/>
    <w:basedOn w:val="Normal"/>
    <w:uiPriority w:val="99"/>
    <w:unhideWhenUsed/>
    <w:rsid w:val="003A3B53"/>
    <w:pPr>
      <w:numPr>
        <w:numId w:val="21"/>
      </w:numPr>
      <w:spacing w:after="0" w:line="360" w:lineRule="auto"/>
      <w:jc w:val="left"/>
    </w:pPr>
    <w:rPr>
      <w:rFonts w:ascii="Arial" w:eastAsiaTheme="minorHAnsi" w:hAnsi="Arial" w:cs="Arial"/>
      <w:sz w:val="28"/>
      <w:szCs w:val="28"/>
      <w:lang w:eastAsia="en-US"/>
    </w:rPr>
  </w:style>
  <w:style w:type="paragraph" w:styleId="Bibliography">
    <w:name w:val="Bibliography"/>
    <w:basedOn w:val="Normal"/>
    <w:next w:val="Normal"/>
    <w:uiPriority w:val="37"/>
    <w:semiHidden/>
    <w:unhideWhenUsed/>
    <w:rsid w:val="00361238"/>
  </w:style>
  <w:style w:type="paragraph" w:styleId="BlockText">
    <w:name w:val="Block Text"/>
    <w:basedOn w:val="Normal"/>
    <w:uiPriority w:val="99"/>
    <w:semiHidden/>
    <w:unhideWhenUsed/>
    <w:rsid w:val="0036123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361238"/>
    <w:pPr>
      <w:spacing w:after="120" w:line="480" w:lineRule="auto"/>
    </w:pPr>
  </w:style>
  <w:style w:type="character" w:customStyle="1" w:styleId="BodyText2Char">
    <w:name w:val="Body Text 2 Char"/>
    <w:basedOn w:val="DefaultParagraphFont"/>
    <w:link w:val="BodyText2"/>
    <w:uiPriority w:val="99"/>
    <w:semiHidden/>
    <w:rsid w:val="00361238"/>
    <w:rPr>
      <w:rFonts w:ascii="Garamond" w:hAnsi="Garamond"/>
      <w:sz w:val="20"/>
    </w:rPr>
  </w:style>
  <w:style w:type="paragraph" w:styleId="BodyText3">
    <w:name w:val="Body Text 3"/>
    <w:basedOn w:val="Normal"/>
    <w:link w:val="BodyText3Char"/>
    <w:uiPriority w:val="99"/>
    <w:semiHidden/>
    <w:unhideWhenUsed/>
    <w:rsid w:val="00361238"/>
    <w:pPr>
      <w:spacing w:after="120"/>
    </w:pPr>
    <w:rPr>
      <w:sz w:val="16"/>
      <w:szCs w:val="16"/>
    </w:rPr>
  </w:style>
  <w:style w:type="character" w:customStyle="1" w:styleId="BodyText3Char">
    <w:name w:val="Body Text 3 Char"/>
    <w:basedOn w:val="DefaultParagraphFont"/>
    <w:link w:val="BodyText3"/>
    <w:uiPriority w:val="99"/>
    <w:semiHidden/>
    <w:rsid w:val="00361238"/>
    <w:rPr>
      <w:rFonts w:ascii="Garamond" w:hAnsi="Garamond"/>
      <w:sz w:val="16"/>
      <w:szCs w:val="16"/>
    </w:rPr>
  </w:style>
  <w:style w:type="paragraph" w:styleId="BodyTextFirstIndent">
    <w:name w:val="Body Text First Indent"/>
    <w:basedOn w:val="BodyText"/>
    <w:link w:val="BodyTextFirstIndentChar"/>
    <w:uiPriority w:val="99"/>
    <w:semiHidden/>
    <w:unhideWhenUsed/>
    <w:rsid w:val="00361238"/>
    <w:pPr>
      <w:suppressAutoHyphens w:val="0"/>
      <w:spacing w:after="200" w:line="264" w:lineRule="auto"/>
      <w:ind w:firstLine="360"/>
    </w:pPr>
    <w:rPr>
      <w:rFonts w:ascii="Garamond" w:eastAsiaTheme="minorEastAsia" w:hAnsi="Garamond" w:cstheme="minorBidi"/>
      <w:noProof w:val="0"/>
      <w:szCs w:val="22"/>
      <w:lang w:val="en-AU" w:eastAsia="en-AU"/>
    </w:rPr>
  </w:style>
  <w:style w:type="character" w:customStyle="1" w:styleId="BodyTextFirstIndentChar">
    <w:name w:val="Body Text First Indent Char"/>
    <w:basedOn w:val="BodyTextChar"/>
    <w:link w:val="BodyTextFirstIndent"/>
    <w:uiPriority w:val="99"/>
    <w:semiHidden/>
    <w:rsid w:val="00361238"/>
    <w:rPr>
      <w:rFonts w:ascii="Garamond" w:eastAsia="Times New Roman" w:hAnsi="Garamond" w:cs="Times New Roman"/>
      <w:noProof/>
      <w:sz w:val="20"/>
      <w:szCs w:val="20"/>
      <w:lang w:val="en-US" w:eastAsia="en-US"/>
    </w:rPr>
  </w:style>
  <w:style w:type="paragraph" w:styleId="BodyTextIndent">
    <w:name w:val="Body Text Indent"/>
    <w:basedOn w:val="Normal"/>
    <w:link w:val="BodyTextIndentChar"/>
    <w:uiPriority w:val="99"/>
    <w:semiHidden/>
    <w:unhideWhenUsed/>
    <w:rsid w:val="00361238"/>
    <w:pPr>
      <w:spacing w:after="120"/>
      <w:ind w:left="283"/>
    </w:pPr>
  </w:style>
  <w:style w:type="character" w:customStyle="1" w:styleId="BodyTextIndentChar">
    <w:name w:val="Body Text Indent Char"/>
    <w:basedOn w:val="DefaultParagraphFont"/>
    <w:link w:val="BodyTextIndent"/>
    <w:uiPriority w:val="99"/>
    <w:semiHidden/>
    <w:rsid w:val="00361238"/>
    <w:rPr>
      <w:rFonts w:ascii="Garamond" w:hAnsi="Garamond"/>
      <w:sz w:val="20"/>
    </w:rPr>
  </w:style>
  <w:style w:type="paragraph" w:styleId="BodyTextFirstIndent2">
    <w:name w:val="Body Text First Indent 2"/>
    <w:basedOn w:val="BodyTextIndent"/>
    <w:link w:val="BodyTextFirstIndent2Char"/>
    <w:uiPriority w:val="99"/>
    <w:semiHidden/>
    <w:unhideWhenUsed/>
    <w:rsid w:val="0036123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61238"/>
    <w:rPr>
      <w:rFonts w:ascii="Garamond" w:hAnsi="Garamond"/>
      <w:sz w:val="20"/>
    </w:rPr>
  </w:style>
  <w:style w:type="paragraph" w:styleId="BodyTextIndent2">
    <w:name w:val="Body Text Indent 2"/>
    <w:basedOn w:val="Normal"/>
    <w:link w:val="BodyTextIndent2Char"/>
    <w:uiPriority w:val="99"/>
    <w:semiHidden/>
    <w:unhideWhenUsed/>
    <w:rsid w:val="00361238"/>
    <w:pPr>
      <w:spacing w:after="120" w:line="480" w:lineRule="auto"/>
      <w:ind w:left="283"/>
    </w:pPr>
  </w:style>
  <w:style w:type="character" w:customStyle="1" w:styleId="BodyTextIndent2Char">
    <w:name w:val="Body Text Indent 2 Char"/>
    <w:basedOn w:val="DefaultParagraphFont"/>
    <w:link w:val="BodyTextIndent2"/>
    <w:uiPriority w:val="99"/>
    <w:semiHidden/>
    <w:rsid w:val="00361238"/>
    <w:rPr>
      <w:rFonts w:ascii="Garamond" w:hAnsi="Garamond"/>
      <w:sz w:val="20"/>
    </w:rPr>
  </w:style>
  <w:style w:type="paragraph" w:styleId="BodyTextIndent3">
    <w:name w:val="Body Text Indent 3"/>
    <w:basedOn w:val="Normal"/>
    <w:link w:val="BodyTextIndent3Char"/>
    <w:uiPriority w:val="99"/>
    <w:semiHidden/>
    <w:unhideWhenUsed/>
    <w:rsid w:val="003612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238"/>
    <w:rPr>
      <w:rFonts w:ascii="Garamond" w:hAnsi="Garamond"/>
      <w:sz w:val="16"/>
      <w:szCs w:val="16"/>
    </w:rPr>
  </w:style>
  <w:style w:type="paragraph" w:styleId="Closing">
    <w:name w:val="Closing"/>
    <w:basedOn w:val="Normal"/>
    <w:link w:val="ClosingChar"/>
    <w:uiPriority w:val="99"/>
    <w:semiHidden/>
    <w:unhideWhenUsed/>
    <w:rsid w:val="00361238"/>
    <w:pPr>
      <w:spacing w:after="0" w:line="240" w:lineRule="auto"/>
      <w:ind w:left="4252"/>
    </w:pPr>
  </w:style>
  <w:style w:type="character" w:customStyle="1" w:styleId="ClosingChar">
    <w:name w:val="Closing Char"/>
    <w:basedOn w:val="DefaultParagraphFont"/>
    <w:link w:val="Closing"/>
    <w:uiPriority w:val="99"/>
    <w:semiHidden/>
    <w:rsid w:val="00361238"/>
    <w:rPr>
      <w:rFonts w:ascii="Garamond" w:hAnsi="Garamond"/>
      <w:sz w:val="20"/>
    </w:rPr>
  </w:style>
  <w:style w:type="paragraph" w:styleId="Date">
    <w:name w:val="Date"/>
    <w:basedOn w:val="Normal"/>
    <w:next w:val="Normal"/>
    <w:link w:val="DateChar"/>
    <w:uiPriority w:val="99"/>
    <w:semiHidden/>
    <w:unhideWhenUsed/>
    <w:rsid w:val="00361238"/>
  </w:style>
  <w:style w:type="character" w:customStyle="1" w:styleId="DateChar">
    <w:name w:val="Date Char"/>
    <w:basedOn w:val="DefaultParagraphFont"/>
    <w:link w:val="Date"/>
    <w:uiPriority w:val="99"/>
    <w:semiHidden/>
    <w:rsid w:val="00361238"/>
    <w:rPr>
      <w:rFonts w:ascii="Garamond" w:hAnsi="Garamond"/>
      <w:sz w:val="20"/>
    </w:rPr>
  </w:style>
  <w:style w:type="paragraph" w:styleId="DocumentMap">
    <w:name w:val="Document Map"/>
    <w:basedOn w:val="Normal"/>
    <w:link w:val="DocumentMapChar"/>
    <w:uiPriority w:val="99"/>
    <w:semiHidden/>
    <w:unhideWhenUsed/>
    <w:rsid w:val="003612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1238"/>
    <w:rPr>
      <w:rFonts w:ascii="Tahoma" w:hAnsi="Tahoma" w:cs="Tahoma"/>
      <w:sz w:val="16"/>
      <w:szCs w:val="16"/>
    </w:rPr>
  </w:style>
  <w:style w:type="paragraph" w:styleId="E-mailSignature">
    <w:name w:val="E-mail Signature"/>
    <w:basedOn w:val="Normal"/>
    <w:link w:val="E-mailSignatureChar"/>
    <w:uiPriority w:val="99"/>
    <w:semiHidden/>
    <w:unhideWhenUsed/>
    <w:rsid w:val="00361238"/>
    <w:pPr>
      <w:spacing w:after="0" w:line="240" w:lineRule="auto"/>
    </w:pPr>
  </w:style>
  <w:style w:type="character" w:customStyle="1" w:styleId="E-mailSignatureChar">
    <w:name w:val="E-mail Signature Char"/>
    <w:basedOn w:val="DefaultParagraphFont"/>
    <w:link w:val="E-mailSignature"/>
    <w:uiPriority w:val="99"/>
    <w:semiHidden/>
    <w:rsid w:val="00361238"/>
    <w:rPr>
      <w:rFonts w:ascii="Garamond" w:hAnsi="Garamond"/>
      <w:sz w:val="20"/>
    </w:rPr>
  </w:style>
  <w:style w:type="paragraph" w:styleId="EnvelopeAddress">
    <w:name w:val="envelope address"/>
    <w:basedOn w:val="Normal"/>
    <w:uiPriority w:val="99"/>
    <w:semiHidden/>
    <w:unhideWhenUsed/>
    <w:rsid w:val="0036123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1238"/>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361238"/>
    <w:pPr>
      <w:spacing w:after="0" w:line="240" w:lineRule="auto"/>
    </w:pPr>
    <w:rPr>
      <w:i/>
      <w:iCs/>
    </w:rPr>
  </w:style>
  <w:style w:type="character" w:customStyle="1" w:styleId="HTMLAddressChar">
    <w:name w:val="HTML Address Char"/>
    <w:basedOn w:val="DefaultParagraphFont"/>
    <w:link w:val="HTMLAddress"/>
    <w:uiPriority w:val="99"/>
    <w:semiHidden/>
    <w:rsid w:val="00361238"/>
    <w:rPr>
      <w:rFonts w:ascii="Garamond" w:hAnsi="Garamond"/>
      <w:i/>
      <w:iCs/>
      <w:sz w:val="20"/>
    </w:rPr>
  </w:style>
  <w:style w:type="paragraph" w:styleId="Index1">
    <w:name w:val="index 1"/>
    <w:basedOn w:val="Normal"/>
    <w:next w:val="Normal"/>
    <w:autoRedefine/>
    <w:uiPriority w:val="99"/>
    <w:semiHidden/>
    <w:unhideWhenUsed/>
    <w:rsid w:val="00361238"/>
    <w:pPr>
      <w:spacing w:after="0" w:line="240" w:lineRule="auto"/>
      <w:ind w:left="200" w:hanging="200"/>
    </w:pPr>
  </w:style>
  <w:style w:type="paragraph" w:styleId="Index2">
    <w:name w:val="index 2"/>
    <w:basedOn w:val="Normal"/>
    <w:next w:val="Normal"/>
    <w:autoRedefine/>
    <w:uiPriority w:val="99"/>
    <w:semiHidden/>
    <w:unhideWhenUsed/>
    <w:rsid w:val="00361238"/>
    <w:pPr>
      <w:spacing w:after="0" w:line="240" w:lineRule="auto"/>
      <w:ind w:left="400" w:hanging="200"/>
    </w:pPr>
  </w:style>
  <w:style w:type="paragraph" w:styleId="Index3">
    <w:name w:val="index 3"/>
    <w:basedOn w:val="Normal"/>
    <w:next w:val="Normal"/>
    <w:autoRedefine/>
    <w:uiPriority w:val="99"/>
    <w:semiHidden/>
    <w:unhideWhenUsed/>
    <w:rsid w:val="00361238"/>
    <w:pPr>
      <w:spacing w:after="0" w:line="240" w:lineRule="auto"/>
      <w:ind w:left="600" w:hanging="200"/>
    </w:pPr>
  </w:style>
  <w:style w:type="paragraph" w:styleId="Index4">
    <w:name w:val="index 4"/>
    <w:basedOn w:val="Normal"/>
    <w:next w:val="Normal"/>
    <w:autoRedefine/>
    <w:uiPriority w:val="99"/>
    <w:semiHidden/>
    <w:unhideWhenUsed/>
    <w:rsid w:val="00361238"/>
    <w:pPr>
      <w:spacing w:after="0" w:line="240" w:lineRule="auto"/>
      <w:ind w:left="800" w:hanging="200"/>
    </w:pPr>
  </w:style>
  <w:style w:type="paragraph" w:styleId="Index5">
    <w:name w:val="index 5"/>
    <w:basedOn w:val="Normal"/>
    <w:next w:val="Normal"/>
    <w:autoRedefine/>
    <w:uiPriority w:val="99"/>
    <w:semiHidden/>
    <w:unhideWhenUsed/>
    <w:rsid w:val="00361238"/>
    <w:pPr>
      <w:spacing w:after="0" w:line="240" w:lineRule="auto"/>
      <w:ind w:left="1000" w:hanging="200"/>
    </w:pPr>
  </w:style>
  <w:style w:type="paragraph" w:styleId="Index6">
    <w:name w:val="index 6"/>
    <w:basedOn w:val="Normal"/>
    <w:next w:val="Normal"/>
    <w:autoRedefine/>
    <w:uiPriority w:val="99"/>
    <w:semiHidden/>
    <w:unhideWhenUsed/>
    <w:rsid w:val="00361238"/>
    <w:pPr>
      <w:spacing w:after="0" w:line="240" w:lineRule="auto"/>
      <w:ind w:left="1200" w:hanging="200"/>
    </w:pPr>
  </w:style>
  <w:style w:type="paragraph" w:styleId="Index7">
    <w:name w:val="index 7"/>
    <w:basedOn w:val="Normal"/>
    <w:next w:val="Normal"/>
    <w:autoRedefine/>
    <w:uiPriority w:val="99"/>
    <w:semiHidden/>
    <w:unhideWhenUsed/>
    <w:rsid w:val="00361238"/>
    <w:pPr>
      <w:spacing w:after="0" w:line="240" w:lineRule="auto"/>
      <w:ind w:left="1400" w:hanging="200"/>
    </w:pPr>
  </w:style>
  <w:style w:type="paragraph" w:styleId="Index8">
    <w:name w:val="index 8"/>
    <w:basedOn w:val="Normal"/>
    <w:next w:val="Normal"/>
    <w:autoRedefine/>
    <w:uiPriority w:val="99"/>
    <w:semiHidden/>
    <w:unhideWhenUsed/>
    <w:rsid w:val="00361238"/>
    <w:pPr>
      <w:spacing w:after="0" w:line="240" w:lineRule="auto"/>
      <w:ind w:left="1600" w:hanging="200"/>
    </w:pPr>
  </w:style>
  <w:style w:type="paragraph" w:styleId="Index9">
    <w:name w:val="index 9"/>
    <w:basedOn w:val="Normal"/>
    <w:next w:val="Normal"/>
    <w:autoRedefine/>
    <w:uiPriority w:val="99"/>
    <w:semiHidden/>
    <w:unhideWhenUsed/>
    <w:rsid w:val="00361238"/>
    <w:pPr>
      <w:spacing w:after="0" w:line="240" w:lineRule="auto"/>
      <w:ind w:left="1800" w:hanging="200"/>
    </w:pPr>
  </w:style>
  <w:style w:type="paragraph" w:styleId="IndexHeading">
    <w:name w:val="index heading"/>
    <w:basedOn w:val="Normal"/>
    <w:next w:val="Index1"/>
    <w:uiPriority w:val="99"/>
    <w:semiHidden/>
    <w:unhideWhenUsed/>
    <w:rsid w:val="0036123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12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61238"/>
    <w:rPr>
      <w:rFonts w:ascii="Garamond" w:hAnsi="Garamond"/>
      <w:b/>
      <w:bCs/>
      <w:i/>
      <w:iCs/>
      <w:color w:val="4F81BD" w:themeColor="accent1"/>
      <w:sz w:val="20"/>
    </w:rPr>
  </w:style>
  <w:style w:type="paragraph" w:styleId="List">
    <w:name w:val="List"/>
    <w:basedOn w:val="Normal"/>
    <w:uiPriority w:val="99"/>
    <w:semiHidden/>
    <w:unhideWhenUsed/>
    <w:rsid w:val="00361238"/>
    <w:pPr>
      <w:ind w:left="283" w:hanging="283"/>
      <w:contextualSpacing/>
    </w:pPr>
  </w:style>
  <w:style w:type="paragraph" w:styleId="List2">
    <w:name w:val="List 2"/>
    <w:basedOn w:val="Normal"/>
    <w:uiPriority w:val="99"/>
    <w:semiHidden/>
    <w:unhideWhenUsed/>
    <w:rsid w:val="00361238"/>
    <w:pPr>
      <w:ind w:left="566" w:hanging="283"/>
      <w:contextualSpacing/>
    </w:pPr>
  </w:style>
  <w:style w:type="paragraph" w:styleId="List3">
    <w:name w:val="List 3"/>
    <w:basedOn w:val="Normal"/>
    <w:uiPriority w:val="99"/>
    <w:semiHidden/>
    <w:unhideWhenUsed/>
    <w:rsid w:val="00361238"/>
    <w:pPr>
      <w:ind w:left="849" w:hanging="283"/>
      <w:contextualSpacing/>
    </w:pPr>
  </w:style>
  <w:style w:type="paragraph" w:styleId="List4">
    <w:name w:val="List 4"/>
    <w:basedOn w:val="Normal"/>
    <w:uiPriority w:val="99"/>
    <w:semiHidden/>
    <w:unhideWhenUsed/>
    <w:rsid w:val="00361238"/>
    <w:pPr>
      <w:ind w:left="1132" w:hanging="283"/>
      <w:contextualSpacing/>
    </w:pPr>
  </w:style>
  <w:style w:type="paragraph" w:styleId="List5">
    <w:name w:val="List 5"/>
    <w:basedOn w:val="Normal"/>
    <w:uiPriority w:val="99"/>
    <w:semiHidden/>
    <w:unhideWhenUsed/>
    <w:rsid w:val="00361238"/>
    <w:pPr>
      <w:ind w:left="1415" w:hanging="283"/>
      <w:contextualSpacing/>
    </w:pPr>
  </w:style>
  <w:style w:type="paragraph" w:styleId="ListBullet2">
    <w:name w:val="List Bullet 2"/>
    <w:basedOn w:val="Normal"/>
    <w:uiPriority w:val="99"/>
    <w:semiHidden/>
    <w:unhideWhenUsed/>
    <w:rsid w:val="00361238"/>
    <w:pPr>
      <w:numPr>
        <w:numId w:val="24"/>
      </w:numPr>
      <w:contextualSpacing/>
    </w:pPr>
  </w:style>
  <w:style w:type="paragraph" w:styleId="ListBullet3">
    <w:name w:val="List Bullet 3"/>
    <w:basedOn w:val="Normal"/>
    <w:uiPriority w:val="99"/>
    <w:semiHidden/>
    <w:unhideWhenUsed/>
    <w:rsid w:val="00361238"/>
    <w:pPr>
      <w:numPr>
        <w:numId w:val="25"/>
      </w:numPr>
      <w:contextualSpacing/>
    </w:pPr>
  </w:style>
  <w:style w:type="paragraph" w:styleId="ListBullet4">
    <w:name w:val="List Bullet 4"/>
    <w:basedOn w:val="Normal"/>
    <w:uiPriority w:val="99"/>
    <w:semiHidden/>
    <w:unhideWhenUsed/>
    <w:rsid w:val="00361238"/>
    <w:pPr>
      <w:numPr>
        <w:numId w:val="26"/>
      </w:numPr>
      <w:contextualSpacing/>
    </w:pPr>
  </w:style>
  <w:style w:type="paragraph" w:styleId="ListBullet5">
    <w:name w:val="List Bullet 5"/>
    <w:basedOn w:val="Normal"/>
    <w:uiPriority w:val="99"/>
    <w:semiHidden/>
    <w:unhideWhenUsed/>
    <w:rsid w:val="00361238"/>
    <w:pPr>
      <w:numPr>
        <w:numId w:val="27"/>
      </w:numPr>
      <w:contextualSpacing/>
    </w:pPr>
  </w:style>
  <w:style w:type="paragraph" w:styleId="ListContinue">
    <w:name w:val="List Continue"/>
    <w:basedOn w:val="Normal"/>
    <w:uiPriority w:val="99"/>
    <w:semiHidden/>
    <w:unhideWhenUsed/>
    <w:rsid w:val="00361238"/>
    <w:pPr>
      <w:spacing w:after="120"/>
      <w:ind w:left="283"/>
      <w:contextualSpacing/>
    </w:pPr>
  </w:style>
  <w:style w:type="paragraph" w:styleId="ListContinue2">
    <w:name w:val="List Continue 2"/>
    <w:basedOn w:val="Normal"/>
    <w:uiPriority w:val="99"/>
    <w:semiHidden/>
    <w:unhideWhenUsed/>
    <w:rsid w:val="00361238"/>
    <w:pPr>
      <w:spacing w:after="120"/>
      <w:ind w:left="566"/>
      <w:contextualSpacing/>
    </w:pPr>
  </w:style>
  <w:style w:type="paragraph" w:styleId="ListContinue3">
    <w:name w:val="List Continue 3"/>
    <w:basedOn w:val="Normal"/>
    <w:uiPriority w:val="99"/>
    <w:semiHidden/>
    <w:unhideWhenUsed/>
    <w:rsid w:val="00361238"/>
    <w:pPr>
      <w:spacing w:after="120"/>
      <w:ind w:left="849"/>
      <w:contextualSpacing/>
    </w:pPr>
  </w:style>
  <w:style w:type="paragraph" w:styleId="ListContinue4">
    <w:name w:val="List Continue 4"/>
    <w:basedOn w:val="Normal"/>
    <w:uiPriority w:val="99"/>
    <w:semiHidden/>
    <w:unhideWhenUsed/>
    <w:rsid w:val="00361238"/>
    <w:pPr>
      <w:spacing w:after="120"/>
      <w:ind w:left="1132"/>
      <w:contextualSpacing/>
    </w:pPr>
  </w:style>
  <w:style w:type="paragraph" w:styleId="ListContinue5">
    <w:name w:val="List Continue 5"/>
    <w:basedOn w:val="Normal"/>
    <w:uiPriority w:val="99"/>
    <w:semiHidden/>
    <w:unhideWhenUsed/>
    <w:rsid w:val="00361238"/>
    <w:pPr>
      <w:spacing w:after="120"/>
      <w:ind w:left="1415"/>
      <w:contextualSpacing/>
    </w:pPr>
  </w:style>
  <w:style w:type="paragraph" w:styleId="ListNumber2">
    <w:name w:val="List Number 2"/>
    <w:basedOn w:val="Normal"/>
    <w:uiPriority w:val="99"/>
    <w:semiHidden/>
    <w:unhideWhenUsed/>
    <w:rsid w:val="00361238"/>
    <w:pPr>
      <w:numPr>
        <w:numId w:val="28"/>
      </w:numPr>
      <w:contextualSpacing/>
    </w:pPr>
  </w:style>
  <w:style w:type="paragraph" w:styleId="ListNumber3">
    <w:name w:val="List Number 3"/>
    <w:basedOn w:val="Normal"/>
    <w:uiPriority w:val="99"/>
    <w:semiHidden/>
    <w:unhideWhenUsed/>
    <w:rsid w:val="00361238"/>
    <w:pPr>
      <w:numPr>
        <w:numId w:val="29"/>
      </w:numPr>
      <w:contextualSpacing/>
    </w:pPr>
  </w:style>
  <w:style w:type="paragraph" w:styleId="ListNumber4">
    <w:name w:val="List Number 4"/>
    <w:basedOn w:val="Normal"/>
    <w:uiPriority w:val="99"/>
    <w:semiHidden/>
    <w:unhideWhenUsed/>
    <w:rsid w:val="00361238"/>
    <w:pPr>
      <w:numPr>
        <w:numId w:val="30"/>
      </w:numPr>
      <w:contextualSpacing/>
    </w:pPr>
  </w:style>
  <w:style w:type="paragraph" w:styleId="ListNumber5">
    <w:name w:val="List Number 5"/>
    <w:basedOn w:val="Normal"/>
    <w:uiPriority w:val="99"/>
    <w:semiHidden/>
    <w:unhideWhenUsed/>
    <w:rsid w:val="00361238"/>
    <w:pPr>
      <w:numPr>
        <w:numId w:val="31"/>
      </w:numPr>
      <w:contextualSpacing/>
    </w:pPr>
  </w:style>
  <w:style w:type="paragraph" w:styleId="MacroText">
    <w:name w:val="macro"/>
    <w:link w:val="MacroTextChar"/>
    <w:uiPriority w:val="99"/>
    <w:semiHidden/>
    <w:unhideWhenUsed/>
    <w:rsid w:val="00361238"/>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361238"/>
    <w:rPr>
      <w:rFonts w:ascii="Consolas" w:hAnsi="Consolas" w:cs="Consolas"/>
      <w:sz w:val="20"/>
      <w:szCs w:val="20"/>
    </w:rPr>
  </w:style>
  <w:style w:type="paragraph" w:styleId="MessageHeader">
    <w:name w:val="Message Header"/>
    <w:basedOn w:val="Normal"/>
    <w:link w:val="MessageHeaderChar"/>
    <w:uiPriority w:val="99"/>
    <w:semiHidden/>
    <w:unhideWhenUsed/>
    <w:rsid w:val="003612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123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61238"/>
    <w:pPr>
      <w:ind w:left="720"/>
    </w:pPr>
  </w:style>
  <w:style w:type="paragraph" w:styleId="NoteHeading">
    <w:name w:val="Note Heading"/>
    <w:basedOn w:val="Normal"/>
    <w:next w:val="Normal"/>
    <w:link w:val="NoteHeadingChar"/>
    <w:uiPriority w:val="99"/>
    <w:semiHidden/>
    <w:unhideWhenUsed/>
    <w:rsid w:val="00361238"/>
    <w:pPr>
      <w:spacing w:after="0" w:line="240" w:lineRule="auto"/>
    </w:pPr>
  </w:style>
  <w:style w:type="character" w:customStyle="1" w:styleId="NoteHeadingChar">
    <w:name w:val="Note Heading Char"/>
    <w:basedOn w:val="DefaultParagraphFont"/>
    <w:link w:val="NoteHeading"/>
    <w:uiPriority w:val="99"/>
    <w:semiHidden/>
    <w:rsid w:val="00361238"/>
    <w:rPr>
      <w:rFonts w:ascii="Garamond" w:hAnsi="Garamond"/>
      <w:sz w:val="20"/>
    </w:rPr>
  </w:style>
  <w:style w:type="paragraph" w:styleId="PlainText">
    <w:name w:val="Plain Text"/>
    <w:basedOn w:val="Normal"/>
    <w:link w:val="PlainTextChar"/>
    <w:uiPriority w:val="99"/>
    <w:semiHidden/>
    <w:unhideWhenUsed/>
    <w:rsid w:val="0036123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61238"/>
    <w:rPr>
      <w:rFonts w:ascii="Consolas" w:hAnsi="Consolas" w:cs="Consolas"/>
      <w:sz w:val="21"/>
      <w:szCs w:val="21"/>
    </w:rPr>
  </w:style>
  <w:style w:type="paragraph" w:styleId="Salutation">
    <w:name w:val="Salutation"/>
    <w:basedOn w:val="Normal"/>
    <w:next w:val="Normal"/>
    <w:link w:val="SalutationChar"/>
    <w:uiPriority w:val="99"/>
    <w:semiHidden/>
    <w:unhideWhenUsed/>
    <w:rsid w:val="00361238"/>
  </w:style>
  <w:style w:type="character" w:customStyle="1" w:styleId="SalutationChar">
    <w:name w:val="Salutation Char"/>
    <w:basedOn w:val="DefaultParagraphFont"/>
    <w:link w:val="Salutation"/>
    <w:uiPriority w:val="99"/>
    <w:semiHidden/>
    <w:rsid w:val="00361238"/>
    <w:rPr>
      <w:rFonts w:ascii="Garamond" w:hAnsi="Garamond"/>
      <w:sz w:val="20"/>
    </w:rPr>
  </w:style>
  <w:style w:type="paragraph" w:styleId="Signature">
    <w:name w:val="Signature"/>
    <w:basedOn w:val="Normal"/>
    <w:link w:val="SignatureChar"/>
    <w:uiPriority w:val="99"/>
    <w:semiHidden/>
    <w:unhideWhenUsed/>
    <w:rsid w:val="00361238"/>
    <w:pPr>
      <w:spacing w:after="0" w:line="240" w:lineRule="auto"/>
      <w:ind w:left="4252"/>
    </w:pPr>
  </w:style>
  <w:style w:type="character" w:customStyle="1" w:styleId="SignatureChar">
    <w:name w:val="Signature Char"/>
    <w:basedOn w:val="DefaultParagraphFont"/>
    <w:link w:val="Signature"/>
    <w:uiPriority w:val="99"/>
    <w:semiHidden/>
    <w:rsid w:val="00361238"/>
    <w:rPr>
      <w:rFonts w:ascii="Garamond" w:hAnsi="Garamond"/>
      <w:sz w:val="20"/>
    </w:rPr>
  </w:style>
  <w:style w:type="paragraph" w:styleId="Subtitle">
    <w:name w:val="Subtitle"/>
    <w:basedOn w:val="Normal"/>
    <w:next w:val="Normal"/>
    <w:link w:val="SubtitleChar"/>
    <w:uiPriority w:val="11"/>
    <w:rsid w:val="003612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123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61238"/>
    <w:pPr>
      <w:spacing w:after="0"/>
      <w:ind w:left="200" w:hanging="200"/>
    </w:pPr>
  </w:style>
  <w:style w:type="paragraph" w:styleId="TOAHeading">
    <w:name w:val="toa heading"/>
    <w:basedOn w:val="Normal"/>
    <w:next w:val="Normal"/>
    <w:uiPriority w:val="99"/>
    <w:semiHidden/>
    <w:unhideWhenUsed/>
    <w:rsid w:val="0036123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61238"/>
    <w:pPr>
      <w:numPr>
        <w:numId w:val="0"/>
      </w:numPr>
      <w:spacing w:before="480"/>
      <w:jc w:val="both"/>
      <w:outlineLvl w:val="9"/>
    </w:pPr>
    <w:rPr>
      <w:rFonts w:asciiTheme="majorHAnsi" w:hAnsiTheme="majorHAnsi"/>
      <w:color w:val="365F91" w:themeColor="accent1" w:themeShade="BF"/>
      <w:sz w:val="28"/>
    </w:rPr>
  </w:style>
  <w:style w:type="character" w:styleId="LineNumber">
    <w:name w:val="line number"/>
    <w:basedOn w:val="DefaultParagraphFont"/>
    <w:uiPriority w:val="99"/>
    <w:semiHidden/>
    <w:unhideWhenUsed/>
    <w:rsid w:val="006654AE"/>
  </w:style>
  <w:style w:type="paragraph" w:customStyle="1" w:styleId="h4l2">
    <w:name w:val="h4l2"/>
    <w:basedOn w:val="Heading2"/>
    <w:qFormat/>
    <w:rsid w:val="00946E00"/>
    <w:pPr>
      <w:numPr>
        <w:ilvl w:val="0"/>
        <w:numId w:val="0"/>
      </w:numPr>
      <w:spacing w:before="120"/>
    </w:pPr>
    <w:rPr>
      <w:sz w:val="24"/>
    </w:rPr>
  </w:style>
  <w:style w:type="paragraph" w:customStyle="1" w:styleId="h4l3">
    <w:name w:val="h4l3"/>
    <w:basedOn w:val="Heading3"/>
    <w:next w:val="Normal"/>
    <w:qFormat/>
    <w:rsid w:val="008525AF"/>
    <w:pPr>
      <w:numPr>
        <w:ilvl w:val="0"/>
        <w:numId w:val="0"/>
      </w:numP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362"/>
    <w:pPr>
      <w:spacing w:line="264" w:lineRule="auto"/>
      <w:jc w:val="both"/>
    </w:pPr>
    <w:rPr>
      <w:rFonts w:ascii="Garamond" w:hAnsi="Garamond"/>
      <w:sz w:val="20"/>
    </w:rPr>
  </w:style>
  <w:style w:type="paragraph" w:styleId="Heading1">
    <w:name w:val="heading 1"/>
    <w:basedOn w:val="Normal"/>
    <w:next w:val="Normal"/>
    <w:link w:val="Heading1Char"/>
    <w:uiPriority w:val="9"/>
    <w:qFormat/>
    <w:rsid w:val="00C07CF6"/>
    <w:pPr>
      <w:keepNext/>
      <w:keepLines/>
      <w:numPr>
        <w:numId w:val="1"/>
      </w:numPr>
      <w:pBdr>
        <w:top w:val="single" w:sz="4" w:space="31" w:color="891919"/>
        <w:left w:val="single" w:sz="4" w:space="31" w:color="891919"/>
        <w:bottom w:val="single" w:sz="4" w:space="31" w:color="891919"/>
        <w:right w:val="single" w:sz="4" w:space="4" w:color="891919"/>
      </w:pBdr>
      <w:shd w:val="clear" w:color="auto" w:fill="891919"/>
      <w:tabs>
        <w:tab w:val="left" w:pos="709"/>
      </w:tabs>
      <w:spacing w:before="360" w:after="0"/>
      <w:ind w:left="301" w:right="-856" w:hanging="573"/>
      <w:jc w:val="left"/>
      <w:outlineLvl w:val="0"/>
    </w:pPr>
    <w:rPr>
      <w:rFonts w:ascii="Arial Narrow" w:eastAsiaTheme="majorEastAsia" w:hAnsi="Arial Narrow" w:cstheme="majorBidi"/>
      <w:b/>
      <w:bCs/>
      <w:color w:val="FFFFFF" w:themeColor="background1"/>
      <w:sz w:val="56"/>
      <w:szCs w:val="28"/>
    </w:rPr>
  </w:style>
  <w:style w:type="paragraph" w:styleId="Heading2">
    <w:name w:val="heading 2"/>
    <w:basedOn w:val="Normal"/>
    <w:next w:val="Normal"/>
    <w:link w:val="Heading2Char"/>
    <w:uiPriority w:val="9"/>
    <w:unhideWhenUsed/>
    <w:qFormat/>
    <w:rsid w:val="00C07CF6"/>
    <w:pPr>
      <w:keepNext/>
      <w:keepLines/>
      <w:numPr>
        <w:ilvl w:val="1"/>
        <w:numId w:val="1"/>
      </w:numPr>
      <w:spacing w:after="120" w:line="240" w:lineRule="auto"/>
      <w:ind w:left="851" w:hanging="851"/>
      <w:jc w:val="left"/>
      <w:outlineLvl w:val="1"/>
    </w:pPr>
    <w:rPr>
      <w:rFonts w:asciiTheme="minorHAnsi" w:eastAsiaTheme="majorEastAsia" w:hAnsiTheme="minorHAnsi" w:cstheme="majorBidi"/>
      <w:bCs/>
      <w:color w:val="891919"/>
      <w:sz w:val="32"/>
      <w:szCs w:val="26"/>
    </w:rPr>
  </w:style>
  <w:style w:type="paragraph" w:styleId="Heading3">
    <w:name w:val="heading 3"/>
    <w:basedOn w:val="Normal"/>
    <w:next w:val="Normal"/>
    <w:link w:val="Heading3Char"/>
    <w:uiPriority w:val="9"/>
    <w:unhideWhenUsed/>
    <w:qFormat/>
    <w:rsid w:val="00780951"/>
    <w:pPr>
      <w:keepNext/>
      <w:keepLines/>
      <w:numPr>
        <w:ilvl w:val="2"/>
        <w:numId w:val="1"/>
      </w:numPr>
      <w:spacing w:before="120" w:after="120" w:line="240" w:lineRule="auto"/>
      <w:ind w:left="851" w:hanging="851"/>
      <w:jc w:val="left"/>
      <w:outlineLvl w:val="2"/>
    </w:pPr>
    <w:rPr>
      <w:rFonts w:asciiTheme="minorHAnsi" w:eastAsiaTheme="majorEastAsia" w:hAnsiTheme="minorHAnsi" w:cstheme="majorBidi"/>
      <w:bCs/>
      <w:color w:val="891919"/>
      <w:sz w:val="28"/>
    </w:rPr>
  </w:style>
  <w:style w:type="paragraph" w:styleId="Heading4">
    <w:name w:val="heading 4"/>
    <w:basedOn w:val="Normal"/>
    <w:next w:val="Normal"/>
    <w:link w:val="Heading4Char"/>
    <w:uiPriority w:val="9"/>
    <w:unhideWhenUsed/>
    <w:qFormat/>
    <w:rsid w:val="00FA3F72"/>
    <w:pPr>
      <w:keepNext/>
      <w:keepLines/>
      <w:spacing w:before="120" w:after="120" w:line="240" w:lineRule="auto"/>
      <w:jc w:val="left"/>
      <w:outlineLvl w:val="3"/>
    </w:pPr>
    <w:rPr>
      <w:rFonts w:asciiTheme="minorHAnsi" w:eastAsiaTheme="majorEastAsia" w:hAnsiTheme="minorHAnsi" w:cstheme="majorBidi"/>
      <w:bCs/>
      <w:iCs/>
      <w:color w:val="891919"/>
      <w:sz w:val="24"/>
    </w:rPr>
  </w:style>
  <w:style w:type="paragraph" w:styleId="Heading5">
    <w:name w:val="heading 5"/>
    <w:basedOn w:val="Normal"/>
    <w:next w:val="Normal"/>
    <w:link w:val="Heading5Char"/>
    <w:uiPriority w:val="9"/>
    <w:unhideWhenUsed/>
    <w:qFormat/>
    <w:rsid w:val="006C510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51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51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510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6C51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F63"/>
  </w:style>
  <w:style w:type="paragraph" w:styleId="Footer">
    <w:name w:val="footer"/>
    <w:basedOn w:val="Normal"/>
    <w:link w:val="FooterChar"/>
    <w:uiPriority w:val="99"/>
    <w:unhideWhenUsed/>
    <w:rsid w:val="00EA5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F63"/>
  </w:style>
  <w:style w:type="paragraph" w:customStyle="1" w:styleId="Footer1">
    <w:name w:val="Footer1"/>
    <w:basedOn w:val="Footer"/>
    <w:qFormat/>
    <w:rsid w:val="00286EF6"/>
    <w:pPr>
      <w:pBdr>
        <w:top w:val="single" w:sz="4" w:space="1" w:color="auto"/>
      </w:pBdr>
    </w:pPr>
    <w:rPr>
      <w:rFonts w:asciiTheme="minorHAnsi" w:hAnsiTheme="minorHAnsi"/>
      <w:sz w:val="16"/>
      <w:szCs w:val="16"/>
    </w:rPr>
  </w:style>
  <w:style w:type="paragraph" w:styleId="Title">
    <w:name w:val="Title"/>
    <w:basedOn w:val="Normal"/>
    <w:next w:val="Normal"/>
    <w:link w:val="TitleChar"/>
    <w:uiPriority w:val="10"/>
    <w:qFormat/>
    <w:rsid w:val="00C02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630"/>
    <w:rPr>
      <w:rFonts w:asciiTheme="majorHAnsi" w:eastAsiaTheme="majorEastAsia" w:hAnsiTheme="majorHAnsi" w:cstheme="majorBidi"/>
      <w:color w:val="17365D" w:themeColor="text2" w:themeShade="BF"/>
      <w:spacing w:val="5"/>
      <w:kern w:val="28"/>
      <w:sz w:val="52"/>
      <w:szCs w:val="52"/>
    </w:rPr>
  </w:style>
  <w:style w:type="paragraph" w:customStyle="1" w:styleId="Chapterhead">
    <w:name w:val="Chapter head"/>
    <w:basedOn w:val="Title"/>
    <w:qFormat/>
    <w:rsid w:val="006C510D"/>
    <w:pPr>
      <w:pBdr>
        <w:bottom w:val="none" w:sz="0" w:space="0" w:color="auto"/>
      </w:pBdr>
    </w:pPr>
    <w:rPr>
      <w:rFonts w:ascii="Arial Narrow" w:hAnsi="Arial Narrow"/>
      <w:color w:val="F2F2F2" w:themeColor="background1" w:themeShade="F2"/>
      <w:sz w:val="56"/>
    </w:rPr>
  </w:style>
  <w:style w:type="character" w:customStyle="1" w:styleId="Heading1Char">
    <w:name w:val="Heading 1 Char"/>
    <w:basedOn w:val="DefaultParagraphFont"/>
    <w:link w:val="Heading1"/>
    <w:uiPriority w:val="9"/>
    <w:rsid w:val="00C07CF6"/>
    <w:rPr>
      <w:rFonts w:ascii="Arial Narrow" w:eastAsiaTheme="majorEastAsia" w:hAnsi="Arial Narrow" w:cstheme="majorBidi"/>
      <w:b/>
      <w:bCs/>
      <w:color w:val="FFFFFF" w:themeColor="background1"/>
      <w:sz w:val="56"/>
      <w:szCs w:val="28"/>
      <w:shd w:val="clear" w:color="auto" w:fill="891919"/>
    </w:rPr>
  </w:style>
  <w:style w:type="character" w:customStyle="1" w:styleId="Heading2Char">
    <w:name w:val="Heading 2 Char"/>
    <w:basedOn w:val="DefaultParagraphFont"/>
    <w:link w:val="Heading2"/>
    <w:uiPriority w:val="9"/>
    <w:rsid w:val="00C07CF6"/>
    <w:rPr>
      <w:rFonts w:eastAsiaTheme="majorEastAsia" w:cstheme="majorBidi"/>
      <w:bCs/>
      <w:color w:val="891919"/>
      <w:sz w:val="32"/>
      <w:szCs w:val="26"/>
    </w:rPr>
  </w:style>
  <w:style w:type="character" w:customStyle="1" w:styleId="Heading3Char">
    <w:name w:val="Heading 3 Char"/>
    <w:basedOn w:val="DefaultParagraphFont"/>
    <w:link w:val="Heading3"/>
    <w:uiPriority w:val="9"/>
    <w:rsid w:val="00780951"/>
    <w:rPr>
      <w:rFonts w:eastAsiaTheme="majorEastAsia" w:cstheme="majorBidi"/>
      <w:bCs/>
      <w:color w:val="891919"/>
      <w:sz w:val="28"/>
    </w:rPr>
  </w:style>
  <w:style w:type="character" w:customStyle="1" w:styleId="Heading4Char">
    <w:name w:val="Heading 4 Char"/>
    <w:basedOn w:val="DefaultParagraphFont"/>
    <w:link w:val="Heading4"/>
    <w:uiPriority w:val="9"/>
    <w:rsid w:val="00FA3F72"/>
    <w:rPr>
      <w:rFonts w:eastAsiaTheme="majorEastAsia" w:cstheme="majorBidi"/>
      <w:bCs/>
      <w:iCs/>
      <w:color w:val="891919"/>
      <w:sz w:val="24"/>
    </w:rPr>
  </w:style>
  <w:style w:type="character" w:customStyle="1" w:styleId="Heading5Char">
    <w:name w:val="Heading 5 Char"/>
    <w:basedOn w:val="DefaultParagraphFont"/>
    <w:link w:val="Heading5"/>
    <w:rsid w:val="006C510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6C510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6C510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6C51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C510D"/>
    <w:rPr>
      <w:rFonts w:asciiTheme="majorHAnsi" w:eastAsiaTheme="majorEastAsia" w:hAnsiTheme="majorHAnsi" w:cstheme="majorBidi"/>
      <w:i/>
      <w:iCs/>
      <w:color w:val="404040" w:themeColor="text1" w:themeTint="BF"/>
      <w:sz w:val="20"/>
      <w:szCs w:val="20"/>
    </w:rPr>
  </w:style>
  <w:style w:type="paragraph" w:customStyle="1" w:styleId="header1">
    <w:name w:val="header 1"/>
    <w:basedOn w:val="Header"/>
    <w:qFormat/>
    <w:rsid w:val="00286EF6"/>
    <w:rPr>
      <w:rFonts w:asciiTheme="minorHAnsi" w:hAnsiTheme="minorHAnsi"/>
      <w:noProof/>
      <w:sz w:val="16"/>
      <w:szCs w:val="16"/>
    </w:rPr>
  </w:style>
  <w:style w:type="paragraph" w:customStyle="1" w:styleId="indent">
    <w:name w:val="indent"/>
    <w:basedOn w:val="Normal"/>
    <w:qFormat/>
    <w:rsid w:val="00F07E9F"/>
    <w:pPr>
      <w:ind w:left="454" w:right="510"/>
    </w:pPr>
    <w:rPr>
      <w:szCs w:val="19"/>
    </w:rPr>
  </w:style>
  <w:style w:type="paragraph" w:styleId="Caption">
    <w:name w:val="caption"/>
    <w:basedOn w:val="Normal"/>
    <w:next w:val="Normal"/>
    <w:uiPriority w:val="35"/>
    <w:unhideWhenUsed/>
    <w:qFormat/>
    <w:rsid w:val="00B235E1"/>
    <w:pPr>
      <w:keepNext/>
      <w:spacing w:line="240" w:lineRule="auto"/>
      <w:ind w:left="1305" w:right="284" w:hanging="1021"/>
      <w:jc w:val="left"/>
    </w:pPr>
    <w:rPr>
      <w:rFonts w:asciiTheme="minorHAnsi" w:hAnsiTheme="minorHAnsi"/>
      <w:b/>
      <w:bCs/>
      <w:color w:val="891919"/>
      <w:szCs w:val="18"/>
    </w:rPr>
  </w:style>
  <w:style w:type="paragraph" w:customStyle="1" w:styleId="Tablehead">
    <w:name w:val="Table head"/>
    <w:basedOn w:val="Caption"/>
    <w:qFormat/>
    <w:rsid w:val="00C0104E"/>
    <w:pPr>
      <w:keepLines/>
    </w:pPr>
    <w:rPr>
      <w:color w:val="auto"/>
    </w:rPr>
  </w:style>
  <w:style w:type="paragraph" w:styleId="FootnoteText">
    <w:name w:val="footnote text"/>
    <w:aliases w:val="single space,ft,Footnote Text Char1 Char"/>
    <w:basedOn w:val="Normal"/>
    <w:link w:val="FootnoteTextChar"/>
    <w:uiPriority w:val="99"/>
    <w:unhideWhenUsed/>
    <w:rsid w:val="00FA3F72"/>
    <w:pPr>
      <w:tabs>
        <w:tab w:val="left" w:pos="170"/>
      </w:tabs>
      <w:spacing w:after="60" w:line="240" w:lineRule="auto"/>
      <w:ind w:left="170" w:hanging="170"/>
    </w:pPr>
    <w:rPr>
      <w:sz w:val="16"/>
      <w:szCs w:val="20"/>
    </w:rPr>
  </w:style>
  <w:style w:type="character" w:customStyle="1" w:styleId="FootnoteTextChar">
    <w:name w:val="Footnote Text Char"/>
    <w:aliases w:val="single space Char,ft Char,Footnote Text Char1 Char Char"/>
    <w:basedOn w:val="DefaultParagraphFont"/>
    <w:link w:val="FootnoteText"/>
    <w:uiPriority w:val="99"/>
    <w:rsid w:val="00FA3F72"/>
    <w:rPr>
      <w:rFonts w:ascii="Garamond" w:hAnsi="Garamond"/>
      <w:sz w:val="16"/>
      <w:szCs w:val="20"/>
    </w:rPr>
  </w:style>
  <w:style w:type="character" w:styleId="FootnoteReference">
    <w:name w:val="footnote reference"/>
    <w:basedOn w:val="DefaultParagraphFont"/>
    <w:uiPriority w:val="99"/>
    <w:unhideWhenUsed/>
    <w:rsid w:val="00AE2910"/>
    <w:rPr>
      <w:vertAlign w:val="superscript"/>
    </w:rPr>
  </w:style>
  <w:style w:type="paragraph" w:customStyle="1" w:styleId="tabletextleft">
    <w:name w:val="table text left"/>
    <w:basedOn w:val="Normal"/>
    <w:qFormat/>
    <w:rsid w:val="00AE2910"/>
    <w:pPr>
      <w:keepNext/>
      <w:keepLines/>
      <w:spacing w:after="0" w:line="240" w:lineRule="auto"/>
    </w:pPr>
    <w:rPr>
      <w:rFonts w:asciiTheme="minorHAnsi" w:hAnsiTheme="minorHAnsi"/>
      <w:sz w:val="18"/>
      <w:szCs w:val="18"/>
    </w:rPr>
  </w:style>
  <w:style w:type="paragraph" w:customStyle="1" w:styleId="tabletextright">
    <w:name w:val="table text right"/>
    <w:basedOn w:val="Normal"/>
    <w:qFormat/>
    <w:rsid w:val="00AE2910"/>
    <w:pPr>
      <w:keepNext/>
      <w:keepLines/>
      <w:spacing w:after="0" w:line="240" w:lineRule="auto"/>
      <w:jc w:val="right"/>
    </w:pPr>
    <w:rPr>
      <w:rFonts w:ascii="Calibri" w:hAnsi="Calibri"/>
      <w:sz w:val="18"/>
    </w:rPr>
  </w:style>
  <w:style w:type="paragraph" w:customStyle="1" w:styleId="tablenotes">
    <w:name w:val="table notes"/>
    <w:basedOn w:val="Normal"/>
    <w:qFormat/>
    <w:rsid w:val="00A77FC9"/>
    <w:pPr>
      <w:keepNext/>
      <w:keepLines/>
      <w:spacing w:after="60" w:line="240" w:lineRule="auto"/>
      <w:ind w:left="567" w:right="567"/>
    </w:pPr>
    <w:rPr>
      <w:sz w:val="16"/>
    </w:rPr>
  </w:style>
  <w:style w:type="paragraph" w:customStyle="1" w:styleId="aphead1">
    <w:name w:val="ap head1"/>
    <w:basedOn w:val="Normal"/>
    <w:next w:val="Normal"/>
    <w:qFormat/>
    <w:rsid w:val="0092447D"/>
    <w:pPr>
      <w:keepNext/>
      <w:keepLines/>
      <w:numPr>
        <w:numId w:val="10"/>
      </w:numPr>
      <w:ind w:left="357" w:hanging="357"/>
    </w:pPr>
    <w:rPr>
      <w:rFonts w:asciiTheme="minorHAnsi" w:hAnsiTheme="minorHAnsi"/>
      <w:color w:val="7F1919"/>
      <w:sz w:val="32"/>
    </w:rPr>
  </w:style>
  <w:style w:type="paragraph" w:customStyle="1" w:styleId="Style1">
    <w:name w:val="Style1"/>
    <w:basedOn w:val="Normal"/>
    <w:qFormat/>
    <w:rsid w:val="005B6B76"/>
    <w:pPr>
      <w:spacing w:after="120"/>
      <w:ind w:left="567" w:right="567"/>
      <w:jc w:val="right"/>
    </w:pPr>
    <w:rPr>
      <w:szCs w:val="19"/>
    </w:rPr>
  </w:style>
  <w:style w:type="paragraph" w:customStyle="1" w:styleId="dot">
    <w:name w:val="dot"/>
    <w:basedOn w:val="Normal"/>
    <w:qFormat/>
    <w:rsid w:val="00A7221D"/>
    <w:pPr>
      <w:numPr>
        <w:numId w:val="2"/>
      </w:numPr>
      <w:ind w:left="357" w:hanging="357"/>
    </w:pPr>
    <w:rPr>
      <w:szCs w:val="19"/>
    </w:rPr>
  </w:style>
  <w:style w:type="paragraph" w:customStyle="1" w:styleId="dash">
    <w:name w:val="dash"/>
    <w:basedOn w:val="Normal"/>
    <w:qFormat/>
    <w:rsid w:val="00353891"/>
    <w:pPr>
      <w:numPr>
        <w:numId w:val="3"/>
      </w:numPr>
    </w:pPr>
    <w:rPr>
      <w:szCs w:val="19"/>
    </w:rPr>
  </w:style>
  <w:style w:type="table" w:styleId="TableGrid">
    <w:name w:val="Table Grid"/>
    <w:basedOn w:val="TableNormal"/>
    <w:uiPriority w:val="59"/>
    <w:rsid w:val="00F96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roposals">
    <w:name w:val="Heading 3 Proposals"/>
    <w:basedOn w:val="Normal"/>
    <w:autoRedefine/>
    <w:qFormat/>
    <w:rsid w:val="008411D0"/>
    <w:pPr>
      <w:spacing w:after="160" w:line="288" w:lineRule="auto"/>
      <w:ind w:left="1803"/>
    </w:pPr>
    <w:rPr>
      <w:rFonts w:ascii="Arial" w:eastAsia="Times New Roman" w:hAnsi="Arial" w:cs="Arial"/>
      <w:b/>
      <w:sz w:val="24"/>
      <w:szCs w:val="24"/>
      <w:lang w:eastAsia="en-US" w:bidi="en-US"/>
    </w:rPr>
  </w:style>
  <w:style w:type="numbering" w:customStyle="1" w:styleId="SPRC-style">
    <w:name w:val="SPRC-style"/>
    <w:uiPriority w:val="99"/>
    <w:rsid w:val="0027478A"/>
    <w:pPr>
      <w:numPr>
        <w:numId w:val="4"/>
      </w:numPr>
    </w:pPr>
  </w:style>
  <w:style w:type="paragraph" w:styleId="ListParagraph">
    <w:name w:val="List Paragraph"/>
    <w:basedOn w:val="Normal"/>
    <w:link w:val="ListParagraphChar"/>
    <w:uiPriority w:val="34"/>
    <w:qFormat/>
    <w:rsid w:val="0027478A"/>
    <w:pPr>
      <w:spacing w:after="0" w:line="240" w:lineRule="auto"/>
      <w:ind w:left="720"/>
      <w:jc w:val="left"/>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27478A"/>
    <w:rPr>
      <w:color w:val="0000FF" w:themeColor="hyperlink"/>
      <w:u w:val="single"/>
    </w:rPr>
  </w:style>
  <w:style w:type="paragraph" w:styleId="Quote">
    <w:name w:val="Quote"/>
    <w:basedOn w:val="Normal"/>
    <w:next w:val="Normal"/>
    <w:link w:val="QuoteChar"/>
    <w:uiPriority w:val="99"/>
    <w:qFormat/>
    <w:rsid w:val="0027478A"/>
    <w:pPr>
      <w:spacing w:after="160" w:line="288" w:lineRule="auto"/>
      <w:ind w:left="1803"/>
    </w:pPr>
    <w:rPr>
      <w:rFonts w:ascii="Arial" w:eastAsia="Times New Roman" w:hAnsi="Arial" w:cs="Times New Roman"/>
      <w:i/>
      <w:iCs/>
      <w:color w:val="000000" w:themeColor="text1"/>
      <w:lang w:eastAsia="en-US" w:bidi="en-US"/>
    </w:rPr>
  </w:style>
  <w:style w:type="character" w:customStyle="1" w:styleId="QuoteChar">
    <w:name w:val="Quote Char"/>
    <w:basedOn w:val="DefaultParagraphFont"/>
    <w:link w:val="Quote"/>
    <w:uiPriority w:val="99"/>
    <w:rsid w:val="0027478A"/>
    <w:rPr>
      <w:rFonts w:ascii="Arial" w:eastAsia="Times New Roman" w:hAnsi="Arial" w:cs="Times New Roman"/>
      <w:i/>
      <w:iCs/>
      <w:color w:val="000000" w:themeColor="text1"/>
      <w:sz w:val="20"/>
      <w:lang w:eastAsia="en-US" w:bidi="en-US"/>
    </w:rPr>
  </w:style>
  <w:style w:type="paragraph" w:styleId="BalloonText">
    <w:name w:val="Balloon Text"/>
    <w:basedOn w:val="Normal"/>
    <w:link w:val="BalloonTextChar"/>
    <w:uiPriority w:val="99"/>
    <w:semiHidden/>
    <w:unhideWhenUsed/>
    <w:rsid w:val="00274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78A"/>
    <w:rPr>
      <w:rFonts w:ascii="Tahoma" w:hAnsi="Tahoma" w:cs="Tahoma"/>
      <w:sz w:val="16"/>
      <w:szCs w:val="16"/>
    </w:rPr>
  </w:style>
  <w:style w:type="character" w:styleId="CommentReference">
    <w:name w:val="annotation reference"/>
    <w:basedOn w:val="DefaultParagraphFont"/>
    <w:uiPriority w:val="99"/>
    <w:semiHidden/>
    <w:unhideWhenUsed/>
    <w:rsid w:val="005B7E72"/>
    <w:rPr>
      <w:sz w:val="16"/>
      <w:szCs w:val="16"/>
    </w:rPr>
  </w:style>
  <w:style w:type="paragraph" w:styleId="CommentText">
    <w:name w:val="annotation text"/>
    <w:basedOn w:val="Normal"/>
    <w:link w:val="CommentTextChar"/>
    <w:uiPriority w:val="99"/>
    <w:unhideWhenUsed/>
    <w:rsid w:val="005B7E72"/>
    <w:pPr>
      <w:spacing w:line="240" w:lineRule="auto"/>
    </w:pPr>
    <w:rPr>
      <w:szCs w:val="20"/>
    </w:rPr>
  </w:style>
  <w:style w:type="character" w:customStyle="1" w:styleId="CommentTextChar">
    <w:name w:val="Comment Text Char"/>
    <w:basedOn w:val="DefaultParagraphFont"/>
    <w:link w:val="CommentText"/>
    <w:uiPriority w:val="99"/>
    <w:rsid w:val="005B7E7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B7E72"/>
    <w:rPr>
      <w:b/>
      <w:bCs/>
    </w:rPr>
  </w:style>
  <w:style w:type="character" w:customStyle="1" w:styleId="CommentSubjectChar">
    <w:name w:val="Comment Subject Char"/>
    <w:basedOn w:val="CommentTextChar"/>
    <w:link w:val="CommentSubject"/>
    <w:uiPriority w:val="99"/>
    <w:semiHidden/>
    <w:rsid w:val="005B7E72"/>
    <w:rPr>
      <w:rFonts w:ascii="Garamond" w:hAnsi="Garamond"/>
      <w:b/>
      <w:bCs/>
      <w:sz w:val="20"/>
      <w:szCs w:val="20"/>
    </w:rPr>
  </w:style>
  <w:style w:type="paragraph" w:styleId="Revision">
    <w:name w:val="Revision"/>
    <w:hidden/>
    <w:uiPriority w:val="99"/>
    <w:semiHidden/>
    <w:rsid w:val="00457712"/>
    <w:pPr>
      <w:spacing w:after="0" w:line="240" w:lineRule="auto"/>
    </w:pPr>
    <w:rPr>
      <w:rFonts w:ascii="Garamond" w:hAnsi="Garamond"/>
      <w:sz w:val="19"/>
    </w:rPr>
  </w:style>
  <w:style w:type="paragraph" w:customStyle="1" w:styleId="TableText">
    <w:name w:val="Table Text"/>
    <w:basedOn w:val="Normal"/>
    <w:rsid w:val="005E1FE0"/>
    <w:pPr>
      <w:keepNext/>
      <w:keepLines/>
      <w:autoSpaceDE w:val="0"/>
      <w:autoSpaceDN w:val="0"/>
      <w:adjustRightInd w:val="0"/>
      <w:spacing w:after="40" w:line="240" w:lineRule="auto"/>
      <w:jc w:val="left"/>
    </w:pPr>
    <w:rPr>
      <w:rFonts w:ascii="Times New Roman" w:eastAsia="Times" w:hAnsi="Times New Roman" w:cs="Times New Roman"/>
      <w:noProof/>
      <w:sz w:val="16"/>
      <w:szCs w:val="24"/>
      <w:lang w:val="en-US" w:eastAsia="en-US"/>
    </w:rPr>
  </w:style>
  <w:style w:type="paragraph" w:customStyle="1" w:styleId="tablefootnoteslastline">
    <w:name w:val="table footnotes last line"/>
    <w:basedOn w:val="Normal"/>
    <w:rsid w:val="005E1FE0"/>
    <w:pPr>
      <w:keepLines/>
      <w:spacing w:after="0" w:line="240" w:lineRule="auto"/>
      <w:ind w:left="2041" w:hanging="907"/>
      <w:jc w:val="left"/>
    </w:pPr>
    <w:rPr>
      <w:rFonts w:ascii="Times New Roman" w:eastAsia="Times" w:hAnsi="Times New Roman" w:cs="Times New Roman"/>
      <w:noProof/>
      <w:sz w:val="16"/>
      <w:szCs w:val="20"/>
      <w:lang w:val="en-US" w:eastAsia="en-US"/>
    </w:rPr>
  </w:style>
  <w:style w:type="character" w:customStyle="1" w:styleId="highlight">
    <w:name w:val="highlight"/>
    <w:basedOn w:val="DefaultParagraphFont"/>
    <w:rsid w:val="005E1FE0"/>
  </w:style>
  <w:style w:type="character" w:styleId="Emphasis">
    <w:name w:val="Emphasis"/>
    <w:basedOn w:val="DefaultParagraphFont"/>
    <w:uiPriority w:val="20"/>
    <w:qFormat/>
    <w:rsid w:val="005E1FE0"/>
    <w:rPr>
      <w:i/>
      <w:iCs/>
    </w:rPr>
  </w:style>
  <w:style w:type="character" w:styleId="FollowedHyperlink">
    <w:name w:val="FollowedHyperlink"/>
    <w:basedOn w:val="DefaultParagraphFont"/>
    <w:uiPriority w:val="99"/>
    <w:semiHidden/>
    <w:unhideWhenUsed/>
    <w:rsid w:val="005E1FE0"/>
    <w:rPr>
      <w:color w:val="800080" w:themeColor="followedHyperlink"/>
      <w:u w:val="single"/>
    </w:rPr>
  </w:style>
  <w:style w:type="paragraph" w:styleId="EndnoteText">
    <w:name w:val="endnote text"/>
    <w:basedOn w:val="Normal"/>
    <w:link w:val="EndnoteTextChar"/>
    <w:uiPriority w:val="99"/>
    <w:semiHidden/>
    <w:unhideWhenUsed/>
    <w:rsid w:val="005E1FE0"/>
    <w:pPr>
      <w:spacing w:after="0" w:line="240" w:lineRule="auto"/>
    </w:pPr>
    <w:rPr>
      <w:szCs w:val="20"/>
    </w:rPr>
  </w:style>
  <w:style w:type="character" w:customStyle="1" w:styleId="EndnoteTextChar">
    <w:name w:val="Endnote Text Char"/>
    <w:basedOn w:val="DefaultParagraphFont"/>
    <w:link w:val="EndnoteText"/>
    <w:uiPriority w:val="99"/>
    <w:semiHidden/>
    <w:rsid w:val="005E1FE0"/>
    <w:rPr>
      <w:rFonts w:ascii="Garamond" w:hAnsi="Garamond"/>
      <w:sz w:val="20"/>
      <w:szCs w:val="20"/>
    </w:rPr>
  </w:style>
  <w:style w:type="character" w:styleId="EndnoteReference">
    <w:name w:val="endnote reference"/>
    <w:basedOn w:val="DefaultParagraphFont"/>
    <w:uiPriority w:val="99"/>
    <w:semiHidden/>
    <w:unhideWhenUsed/>
    <w:rsid w:val="005E1FE0"/>
    <w:rPr>
      <w:vertAlign w:val="superscript"/>
    </w:rPr>
  </w:style>
  <w:style w:type="character" w:styleId="BookTitle">
    <w:name w:val="Book Title"/>
    <w:uiPriority w:val="33"/>
    <w:qFormat/>
    <w:rsid w:val="005E1FE0"/>
    <w:rPr>
      <w:i/>
      <w:iCs/>
      <w:smallCaps/>
      <w:spacing w:val="5"/>
    </w:rPr>
  </w:style>
  <w:style w:type="paragraph" w:customStyle="1" w:styleId="Figure">
    <w:name w:val="Figure"/>
    <w:basedOn w:val="Normal"/>
    <w:link w:val="FigureChar"/>
    <w:qFormat/>
    <w:rsid w:val="005E1FE0"/>
    <w:pPr>
      <w:keepNext/>
      <w:keepLines/>
      <w:numPr>
        <w:numId w:val="6"/>
      </w:numPr>
      <w:spacing w:after="0" w:line="240" w:lineRule="auto"/>
      <w:jc w:val="center"/>
    </w:pPr>
    <w:rPr>
      <w:rFonts w:asciiTheme="minorHAnsi" w:eastAsiaTheme="minorHAnsi" w:hAnsiTheme="minorHAnsi"/>
      <w:b/>
      <w:color w:val="1F497D" w:themeColor="text2"/>
      <w:sz w:val="22"/>
      <w:lang w:eastAsia="en-US"/>
    </w:rPr>
  </w:style>
  <w:style w:type="character" w:customStyle="1" w:styleId="FigureChar">
    <w:name w:val="Figure Char"/>
    <w:basedOn w:val="DefaultParagraphFont"/>
    <w:link w:val="Figure"/>
    <w:rsid w:val="005E1FE0"/>
    <w:rPr>
      <w:rFonts w:eastAsiaTheme="minorHAnsi"/>
      <w:b/>
      <w:color w:val="1F497D" w:themeColor="text2"/>
      <w:lang w:eastAsia="en-US"/>
    </w:rPr>
  </w:style>
  <w:style w:type="paragraph" w:styleId="BodyText">
    <w:name w:val="Body Text"/>
    <w:link w:val="BodyTextChar"/>
    <w:uiPriority w:val="99"/>
    <w:rsid w:val="005E1FE0"/>
    <w:pPr>
      <w:suppressAutoHyphens/>
      <w:spacing w:after="0" w:line="480" w:lineRule="auto"/>
      <w:ind w:firstLine="288"/>
      <w:jc w:val="both"/>
    </w:pPr>
    <w:rPr>
      <w:rFonts w:ascii="Times" w:eastAsia="Times New Roman" w:hAnsi="Times" w:cs="Times New Roman"/>
      <w:noProof/>
      <w:sz w:val="20"/>
      <w:szCs w:val="20"/>
      <w:lang w:val="en-US" w:eastAsia="en-US"/>
    </w:rPr>
  </w:style>
  <w:style w:type="character" w:customStyle="1" w:styleId="BodyTextChar">
    <w:name w:val="Body Text Char"/>
    <w:basedOn w:val="DefaultParagraphFont"/>
    <w:link w:val="BodyText"/>
    <w:uiPriority w:val="99"/>
    <w:rsid w:val="005E1FE0"/>
    <w:rPr>
      <w:rFonts w:ascii="Times" w:eastAsia="Times New Roman" w:hAnsi="Times" w:cs="Times New Roman"/>
      <w:noProof/>
      <w:sz w:val="20"/>
      <w:szCs w:val="20"/>
      <w:lang w:val="en-US" w:eastAsia="en-US"/>
    </w:rPr>
  </w:style>
  <w:style w:type="paragraph" w:customStyle="1" w:styleId="tablefootnotes">
    <w:name w:val="table footnotes"/>
    <w:basedOn w:val="Normal"/>
    <w:rsid w:val="005E1FE0"/>
    <w:pPr>
      <w:keepNext/>
      <w:keepLines/>
      <w:spacing w:after="0" w:line="240" w:lineRule="auto"/>
      <w:ind w:left="2041" w:hanging="907"/>
      <w:jc w:val="left"/>
    </w:pPr>
    <w:rPr>
      <w:rFonts w:ascii="Times New Roman" w:eastAsia="Times" w:hAnsi="Times New Roman" w:cs="Times New Roman"/>
      <w:noProof/>
      <w:sz w:val="16"/>
      <w:szCs w:val="20"/>
      <w:lang w:val="en-US" w:eastAsia="en-US"/>
    </w:rPr>
  </w:style>
  <w:style w:type="paragraph" w:customStyle="1" w:styleId="tabfighead">
    <w:name w:val="tab fig head"/>
    <w:basedOn w:val="Normal"/>
    <w:rsid w:val="005E1FE0"/>
    <w:pPr>
      <w:keepNext/>
      <w:keepLines/>
      <w:spacing w:before="240" w:after="120" w:line="240" w:lineRule="auto"/>
      <w:ind w:left="1418" w:hanging="1418"/>
      <w:jc w:val="left"/>
    </w:pPr>
    <w:rPr>
      <w:rFonts w:ascii="Times New Roman" w:eastAsia="Times" w:hAnsi="Times New Roman" w:cs="Times New Roman"/>
      <w:b/>
      <w:bCs/>
      <w:noProof/>
      <w:color w:val="273C8B"/>
      <w:spacing w:val="10"/>
      <w:sz w:val="24"/>
      <w:szCs w:val="18"/>
      <w:lang w:val="en-US" w:eastAsia="en-US"/>
    </w:rPr>
  </w:style>
  <w:style w:type="paragraph" w:customStyle="1" w:styleId="braytabletext">
    <w:name w:val="bray table text"/>
    <w:basedOn w:val="Normal"/>
    <w:rsid w:val="005E1FE0"/>
    <w:pPr>
      <w:keepNext/>
      <w:keepLines/>
      <w:spacing w:after="60" w:line="240" w:lineRule="auto"/>
      <w:jc w:val="left"/>
    </w:pPr>
    <w:rPr>
      <w:rFonts w:ascii="Times New Roman" w:eastAsia="Times" w:hAnsi="Times New Roman" w:cs="Arial"/>
      <w:noProof/>
      <w:color w:val="000000"/>
      <w:sz w:val="16"/>
      <w:szCs w:val="18"/>
      <w:lang w:val="en-US"/>
    </w:rPr>
  </w:style>
  <w:style w:type="paragraph" w:customStyle="1" w:styleId="listdash">
    <w:name w:val="list dash"/>
    <w:basedOn w:val="ListBullet"/>
    <w:rsid w:val="005E1FE0"/>
    <w:pPr>
      <w:suppressAutoHyphens/>
      <w:spacing w:after="120" w:line="480" w:lineRule="auto"/>
      <w:ind w:left="1080"/>
      <w:contextualSpacing w:val="0"/>
    </w:pPr>
    <w:rPr>
      <w:rFonts w:ascii="Times" w:eastAsia="Times New Roman" w:hAnsi="Times" w:cs="Times New Roman"/>
      <w:noProof/>
      <w:szCs w:val="20"/>
      <w:lang w:val="en-US" w:eastAsia="en-US"/>
    </w:rPr>
  </w:style>
  <w:style w:type="paragraph" w:styleId="ListBullet">
    <w:name w:val="List Bullet"/>
    <w:basedOn w:val="Normal"/>
    <w:uiPriority w:val="99"/>
    <w:semiHidden/>
    <w:unhideWhenUsed/>
    <w:rsid w:val="005E1FE0"/>
    <w:pPr>
      <w:ind w:left="2520" w:hanging="360"/>
      <w:contextualSpacing/>
    </w:pPr>
  </w:style>
  <w:style w:type="numbering" w:customStyle="1" w:styleId="SPRC-NEW">
    <w:name w:val="SPRC-NEW"/>
    <w:uiPriority w:val="99"/>
    <w:rsid w:val="005E1FE0"/>
    <w:pPr>
      <w:numPr>
        <w:numId w:val="7"/>
      </w:numPr>
    </w:pPr>
  </w:style>
  <w:style w:type="paragraph" w:styleId="NoSpacing">
    <w:name w:val="No Spacing"/>
    <w:uiPriority w:val="1"/>
    <w:qFormat/>
    <w:rsid w:val="005E1FE0"/>
    <w:pPr>
      <w:spacing w:after="0" w:line="240" w:lineRule="auto"/>
      <w:jc w:val="both"/>
    </w:pPr>
    <w:rPr>
      <w:rFonts w:ascii="Garamond" w:hAnsi="Garamond"/>
      <w:sz w:val="19"/>
    </w:rPr>
  </w:style>
  <w:style w:type="table" w:customStyle="1" w:styleId="TableGrid5">
    <w:name w:val="Table Grid5"/>
    <w:basedOn w:val="TableNormal"/>
    <w:next w:val="TableGrid"/>
    <w:uiPriority w:val="59"/>
    <w:rsid w:val="005E1FE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E1FE0"/>
    <w:pPr>
      <w:spacing w:after="0" w:line="240" w:lineRule="auto"/>
      <w:jc w:val="left"/>
    </w:pPr>
    <w:rPr>
      <w:rFonts w:ascii="Times New Roman" w:eastAsiaTheme="minorHAnsi" w:hAnsi="Times New Roman" w:cs="Times New Roman"/>
      <w:sz w:val="24"/>
      <w:szCs w:val="24"/>
    </w:rPr>
  </w:style>
  <w:style w:type="paragraph" w:customStyle="1" w:styleId="undot">
    <w:name w:val="undot"/>
    <w:basedOn w:val="dot"/>
    <w:qFormat/>
    <w:rsid w:val="005E1FE0"/>
    <w:pPr>
      <w:numPr>
        <w:numId w:val="0"/>
      </w:numPr>
      <w:spacing w:line="252" w:lineRule="auto"/>
      <w:ind w:left="357"/>
    </w:pPr>
  </w:style>
  <w:style w:type="paragraph" w:customStyle="1" w:styleId="toq">
    <w:name w:val="toq"/>
    <w:basedOn w:val="tabletextleft"/>
    <w:qFormat/>
    <w:rsid w:val="005E1FE0"/>
    <w:pPr>
      <w:spacing w:before="20" w:after="40"/>
      <w:jc w:val="left"/>
    </w:pPr>
    <w:rPr>
      <w:noProof/>
      <w:sz w:val="16"/>
    </w:rPr>
  </w:style>
  <w:style w:type="paragraph" w:customStyle="1" w:styleId="aligntodot">
    <w:name w:val="align to dot"/>
    <w:basedOn w:val="Normal"/>
    <w:qFormat/>
    <w:rsid w:val="005E1FE0"/>
    <w:pPr>
      <w:ind w:left="357"/>
    </w:pPr>
  </w:style>
  <w:style w:type="paragraph" w:styleId="HTMLPreformatted">
    <w:name w:val="HTML Preformatted"/>
    <w:basedOn w:val="Normal"/>
    <w:link w:val="HTMLPreformattedChar"/>
    <w:uiPriority w:val="99"/>
    <w:semiHidden/>
    <w:unhideWhenUsed/>
    <w:rsid w:val="005E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E1FE0"/>
    <w:rPr>
      <w:rFonts w:ascii="Courier New" w:eastAsia="Times New Roman" w:hAnsi="Courier New" w:cs="Courier New"/>
      <w:sz w:val="20"/>
      <w:szCs w:val="20"/>
    </w:rPr>
  </w:style>
  <w:style w:type="paragraph" w:customStyle="1" w:styleId="Indent0">
    <w:name w:val="Indent"/>
    <w:basedOn w:val="Normal"/>
    <w:qFormat/>
    <w:rsid w:val="00535C84"/>
    <w:pPr>
      <w:spacing w:after="0" w:line="276" w:lineRule="auto"/>
      <w:ind w:left="357" w:right="357"/>
      <w:jc w:val="left"/>
    </w:pPr>
    <w:rPr>
      <w:rFonts w:asciiTheme="minorHAnsi" w:eastAsiaTheme="minorHAnsi" w:hAnsiTheme="minorHAnsi" w:cs="Times New Roman"/>
      <w:noProof/>
      <w:szCs w:val="24"/>
    </w:rPr>
  </w:style>
  <w:style w:type="paragraph" w:customStyle="1" w:styleId="Dotpoint">
    <w:name w:val="Dot point"/>
    <w:basedOn w:val="Normal"/>
    <w:qFormat/>
    <w:rsid w:val="00535C84"/>
    <w:pPr>
      <w:numPr>
        <w:numId w:val="8"/>
      </w:numPr>
      <w:spacing w:line="276" w:lineRule="auto"/>
    </w:pPr>
    <w:rPr>
      <w:rFonts w:ascii="Cambria" w:eastAsia="Calibri" w:hAnsi="Cambria" w:cs="Times New Roman"/>
      <w:sz w:val="22"/>
      <w:lang w:eastAsia="en-US"/>
    </w:rPr>
  </w:style>
  <w:style w:type="numbering" w:customStyle="1" w:styleId="dotdash">
    <w:name w:val="dotdash"/>
    <w:uiPriority w:val="99"/>
    <w:rsid w:val="00535C84"/>
    <w:pPr>
      <w:numPr>
        <w:numId w:val="8"/>
      </w:numPr>
    </w:pPr>
  </w:style>
  <w:style w:type="table" w:styleId="MediumList1">
    <w:name w:val="Medium List 1"/>
    <w:basedOn w:val="TableNormal"/>
    <w:uiPriority w:val="65"/>
    <w:rsid w:val="00535C84"/>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535C84"/>
    <w:rPr>
      <w:color w:val="808080"/>
    </w:rPr>
  </w:style>
  <w:style w:type="table" w:customStyle="1" w:styleId="TableGrid1">
    <w:name w:val="Table Grid1"/>
    <w:basedOn w:val="TableNormal"/>
    <w:next w:val="TableGrid"/>
    <w:uiPriority w:val="59"/>
    <w:rsid w:val="0053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B51"/>
  </w:style>
  <w:style w:type="character" w:customStyle="1" w:styleId="ColorfulGrid-Accent1Char">
    <w:name w:val="Colorful Grid - Accent 1 Char"/>
    <w:link w:val="ColorfulGrid-Accent1"/>
    <w:uiPriority w:val="29"/>
    <w:rsid w:val="00417B51"/>
    <w:rPr>
      <w:i/>
      <w:iCs/>
      <w:color w:val="000000"/>
      <w:sz w:val="24"/>
      <w:lang w:val="en-AU" w:eastAsia="ja-JP"/>
    </w:rPr>
  </w:style>
  <w:style w:type="table" w:styleId="ColorfulGrid-Accent1">
    <w:name w:val="Colorful Grid Accent 1"/>
    <w:basedOn w:val="TableNormal"/>
    <w:link w:val="ColorfulGrid-Accent1Char"/>
    <w:uiPriority w:val="29"/>
    <w:rsid w:val="00417B51"/>
    <w:pPr>
      <w:spacing w:after="0" w:line="240" w:lineRule="auto"/>
    </w:pPr>
    <w:rPr>
      <w:i/>
      <w:iCs/>
      <w:color w:val="000000"/>
      <w:sz w:val="24"/>
      <w:lang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rsid w:val="00417B51"/>
    <w:rPr>
      <w:rFonts w:ascii="Times New Roman" w:eastAsiaTheme="minorHAnsi" w:hAnsi="Times New Roman" w:cs="Times New Roman"/>
      <w:sz w:val="24"/>
      <w:szCs w:val="24"/>
    </w:rPr>
  </w:style>
  <w:style w:type="paragraph" w:customStyle="1" w:styleId="Evalheadings">
    <w:name w:val="Eval headings"/>
    <w:basedOn w:val="Normal"/>
    <w:next w:val="Normal"/>
    <w:qFormat/>
    <w:rsid w:val="00417B5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jc w:val="left"/>
    </w:pPr>
    <w:rPr>
      <w:rFonts w:asciiTheme="minorHAnsi" w:hAnsiTheme="minorHAnsi"/>
      <w:sz w:val="22"/>
      <w:szCs w:val="24"/>
    </w:rPr>
  </w:style>
  <w:style w:type="paragraph" w:customStyle="1" w:styleId="unumchpt">
    <w:name w:val="unumchpt"/>
    <w:basedOn w:val="Heading1"/>
    <w:qFormat/>
    <w:rsid w:val="00FB0FB9"/>
    <w:pPr>
      <w:numPr>
        <w:numId w:val="0"/>
      </w:numPr>
    </w:pPr>
  </w:style>
  <w:style w:type="paragraph" w:customStyle="1" w:styleId="Reporttitle">
    <w:name w:val="Report title"/>
    <w:basedOn w:val="Normal"/>
    <w:uiPriority w:val="1"/>
    <w:qFormat/>
    <w:rsid w:val="00C75E55"/>
    <w:pPr>
      <w:autoSpaceDE w:val="0"/>
      <w:autoSpaceDN w:val="0"/>
      <w:adjustRightInd w:val="0"/>
      <w:spacing w:after="0" w:line="240" w:lineRule="auto"/>
      <w:ind w:right="-23"/>
      <w:jc w:val="left"/>
    </w:pPr>
    <w:rPr>
      <w:rFonts w:ascii="Sommet" w:eastAsia="MetaPlusNormal-Roman" w:hAnsi="Sommet" w:cs="MetaPlusNormal-Roman"/>
      <w:color w:val="000000"/>
      <w:sz w:val="48"/>
      <w:szCs w:val="60"/>
      <w:lang w:val="en-US" w:eastAsia="en-US"/>
    </w:rPr>
  </w:style>
  <w:style w:type="paragraph" w:customStyle="1" w:styleId="Reportsubtitle">
    <w:name w:val="Report sub title"/>
    <w:basedOn w:val="Normal"/>
    <w:uiPriority w:val="1"/>
    <w:qFormat/>
    <w:rsid w:val="00FB0FB9"/>
    <w:pPr>
      <w:autoSpaceDE w:val="0"/>
      <w:autoSpaceDN w:val="0"/>
      <w:adjustRightInd w:val="0"/>
      <w:spacing w:after="240" w:line="240" w:lineRule="auto"/>
      <w:ind w:right="-23"/>
      <w:jc w:val="left"/>
    </w:pPr>
    <w:rPr>
      <w:rFonts w:asciiTheme="majorHAnsi" w:eastAsia="MetaPlusNormal-Roman" w:hAnsiTheme="majorHAnsi" w:cs="MetaPlusNormal-Roman"/>
      <w:color w:val="000000"/>
      <w:sz w:val="36"/>
      <w:szCs w:val="24"/>
      <w:lang w:eastAsia="en-US"/>
    </w:rPr>
  </w:style>
  <w:style w:type="paragraph" w:customStyle="1" w:styleId="ReportAuthors">
    <w:name w:val="Report Authors"/>
    <w:basedOn w:val="Normal"/>
    <w:uiPriority w:val="1"/>
    <w:qFormat/>
    <w:rsid w:val="00FB0FB9"/>
    <w:pPr>
      <w:autoSpaceDE w:val="0"/>
      <w:autoSpaceDN w:val="0"/>
      <w:adjustRightInd w:val="0"/>
      <w:spacing w:after="0" w:line="240" w:lineRule="auto"/>
      <w:ind w:right="-23"/>
      <w:jc w:val="left"/>
    </w:pPr>
    <w:rPr>
      <w:rFonts w:ascii="Sommet" w:eastAsia="MetaPlusNormal-Roman" w:hAnsi="Sommet" w:cs="MetaPlusNormal-Roman"/>
      <w:color w:val="000000"/>
      <w:sz w:val="28"/>
      <w:szCs w:val="30"/>
      <w:lang w:val="en-US" w:eastAsia="en-US"/>
    </w:rPr>
  </w:style>
  <w:style w:type="paragraph" w:customStyle="1" w:styleId="ExecutiveSummarySubheading">
    <w:name w:val="Executive Summary Subheading"/>
    <w:basedOn w:val="Normal"/>
    <w:uiPriority w:val="1"/>
    <w:qFormat/>
    <w:rsid w:val="00C13362"/>
    <w:pPr>
      <w:spacing w:line="276" w:lineRule="auto"/>
      <w:jc w:val="left"/>
    </w:pPr>
    <w:rPr>
      <w:rFonts w:ascii="Arial" w:eastAsia="MetaPlusBold-Roman" w:hAnsi="Arial" w:cs="Arial"/>
      <w:bCs/>
      <w:sz w:val="29"/>
      <w:szCs w:val="29"/>
      <w:lang w:eastAsia="en-US"/>
    </w:rPr>
  </w:style>
  <w:style w:type="paragraph" w:customStyle="1" w:styleId="pretitle">
    <w:name w:val="pretitle"/>
    <w:basedOn w:val="Heading4"/>
    <w:uiPriority w:val="1"/>
    <w:qFormat/>
    <w:rsid w:val="00AD3907"/>
    <w:pPr>
      <w:pBdr>
        <w:left w:val="single" w:sz="48" w:space="8" w:color="891919"/>
        <w:bottom w:val="single" w:sz="24" w:space="8" w:color="891919"/>
      </w:pBdr>
      <w:autoSpaceDE w:val="0"/>
      <w:autoSpaceDN w:val="0"/>
      <w:adjustRightInd w:val="0"/>
      <w:spacing w:before="480" w:after="240"/>
      <w:ind w:right="-23"/>
      <w:outlineLvl w:val="0"/>
    </w:pPr>
    <w:rPr>
      <w:rFonts w:ascii="Calibri" w:eastAsia="MetaPlusBold-Roman" w:hAnsi="Calibri" w:cs="Arial"/>
      <w:b/>
      <w:iCs w:val="0"/>
      <w:sz w:val="40"/>
      <w:szCs w:val="40"/>
      <w:lang w:eastAsia="en-US"/>
    </w:rPr>
  </w:style>
  <w:style w:type="paragraph" w:styleId="TOC1">
    <w:name w:val="toc 1"/>
    <w:basedOn w:val="Normal"/>
    <w:next w:val="Normal"/>
    <w:uiPriority w:val="39"/>
    <w:unhideWhenUsed/>
    <w:rsid w:val="00DC1D42"/>
    <w:pPr>
      <w:tabs>
        <w:tab w:val="left" w:pos="720"/>
        <w:tab w:val="left" w:pos="1196"/>
        <w:tab w:val="right" w:leader="dot" w:pos="8324"/>
      </w:tabs>
      <w:spacing w:before="120" w:after="0"/>
      <w:jc w:val="left"/>
    </w:pPr>
    <w:rPr>
      <w:b/>
      <w:bCs/>
      <w:caps/>
      <w:noProof/>
      <w:szCs w:val="24"/>
    </w:rPr>
  </w:style>
  <w:style w:type="paragraph" w:styleId="TOC2">
    <w:name w:val="toc 2"/>
    <w:basedOn w:val="Normal"/>
    <w:next w:val="Normal"/>
    <w:autoRedefine/>
    <w:uiPriority w:val="39"/>
    <w:unhideWhenUsed/>
    <w:rsid w:val="00DC1D42"/>
    <w:pPr>
      <w:tabs>
        <w:tab w:val="left" w:pos="720"/>
        <w:tab w:val="left" w:pos="1196"/>
        <w:tab w:val="right" w:leader="dot" w:pos="8324"/>
      </w:tabs>
      <w:spacing w:before="120" w:after="0"/>
      <w:jc w:val="left"/>
    </w:pPr>
    <w:rPr>
      <w:b/>
      <w:bCs/>
      <w:noProof/>
      <w:szCs w:val="20"/>
    </w:rPr>
  </w:style>
  <w:style w:type="paragraph" w:styleId="TOC3">
    <w:name w:val="toc 3"/>
    <w:basedOn w:val="Normal"/>
    <w:next w:val="Normal"/>
    <w:autoRedefine/>
    <w:uiPriority w:val="39"/>
    <w:unhideWhenUsed/>
    <w:rsid w:val="00CB5352"/>
    <w:pPr>
      <w:tabs>
        <w:tab w:val="left" w:pos="1000"/>
        <w:tab w:val="right" w:leader="dot" w:pos="8324"/>
      </w:tabs>
      <w:spacing w:after="0"/>
      <w:ind w:left="1196" w:hanging="998"/>
      <w:jc w:val="left"/>
    </w:pPr>
    <w:rPr>
      <w:szCs w:val="20"/>
    </w:rPr>
  </w:style>
  <w:style w:type="paragraph" w:styleId="TOC4">
    <w:name w:val="toc 4"/>
    <w:basedOn w:val="Normal"/>
    <w:next w:val="Normal"/>
    <w:autoRedefine/>
    <w:uiPriority w:val="39"/>
    <w:unhideWhenUsed/>
    <w:rsid w:val="00DF6B91"/>
    <w:pP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F6B91"/>
    <w:pP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F6B91"/>
    <w:pP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F6B91"/>
    <w:pP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F6B91"/>
    <w:pP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F6B91"/>
    <w:pPr>
      <w:spacing w:after="0"/>
      <w:ind w:left="1400"/>
      <w:jc w:val="left"/>
    </w:pPr>
    <w:rPr>
      <w:rFonts w:asciiTheme="minorHAnsi" w:hAnsiTheme="minorHAnsi"/>
      <w:szCs w:val="20"/>
    </w:rPr>
  </w:style>
  <w:style w:type="paragraph" w:styleId="TableofFigures">
    <w:name w:val="table of figures"/>
    <w:basedOn w:val="Normal"/>
    <w:next w:val="Normal"/>
    <w:uiPriority w:val="99"/>
    <w:unhideWhenUsed/>
    <w:rsid w:val="00CB5352"/>
    <w:pPr>
      <w:tabs>
        <w:tab w:val="left" w:pos="1134"/>
        <w:tab w:val="left" w:leader="dot" w:pos="8335"/>
      </w:tabs>
      <w:spacing w:after="0"/>
      <w:ind w:left="964" w:hanging="964"/>
    </w:pPr>
  </w:style>
  <w:style w:type="paragraph" w:customStyle="1" w:styleId="Quote2">
    <w:name w:val="Quote2"/>
    <w:basedOn w:val="Normal"/>
    <w:qFormat/>
    <w:rsid w:val="00D37FBC"/>
    <w:pPr>
      <w:spacing w:after="120"/>
      <w:ind w:left="720"/>
    </w:pPr>
  </w:style>
  <w:style w:type="paragraph" w:customStyle="1" w:styleId="spaceforquote">
    <w:name w:val="space for quote"/>
    <w:basedOn w:val="Normal"/>
    <w:qFormat/>
    <w:rsid w:val="007A0337"/>
    <w:pPr>
      <w:spacing w:after="0" w:line="200" w:lineRule="exact"/>
    </w:pPr>
  </w:style>
  <w:style w:type="paragraph" w:customStyle="1" w:styleId="aphead2">
    <w:name w:val="ap head2"/>
    <w:basedOn w:val="aphead1"/>
    <w:qFormat/>
    <w:rsid w:val="0092447D"/>
    <w:pPr>
      <w:numPr>
        <w:ilvl w:val="1"/>
      </w:numPr>
      <w:ind w:left="357" w:hanging="357"/>
    </w:pPr>
    <w:rPr>
      <w:sz w:val="28"/>
    </w:rPr>
  </w:style>
  <w:style w:type="paragraph" w:customStyle="1" w:styleId="attachtext">
    <w:name w:val="attach text"/>
    <w:basedOn w:val="Normal"/>
    <w:rsid w:val="00014403"/>
    <w:pPr>
      <w:autoSpaceDE w:val="0"/>
      <w:autoSpaceDN w:val="0"/>
      <w:adjustRightInd w:val="0"/>
      <w:spacing w:after="120" w:line="240" w:lineRule="auto"/>
      <w:jc w:val="left"/>
    </w:pPr>
    <w:rPr>
      <w:rFonts w:ascii="Times New Roman" w:eastAsia="Times" w:hAnsi="Times New Roman" w:cs="Times New Roman"/>
      <w:bCs/>
      <w:noProof/>
      <w:color w:val="000000"/>
      <w:sz w:val="24"/>
      <w:szCs w:val="24"/>
      <w:lang w:val="en-US" w:eastAsia="en-US"/>
    </w:rPr>
  </w:style>
  <w:style w:type="paragraph" w:customStyle="1" w:styleId="fvt">
    <w:name w:val="fvt"/>
    <w:basedOn w:val="Normal"/>
    <w:qFormat/>
    <w:rsid w:val="00014403"/>
    <w:pPr>
      <w:numPr>
        <w:numId w:val="12"/>
      </w:numPr>
      <w:spacing w:after="60" w:line="240" w:lineRule="auto"/>
      <w:ind w:left="589" w:hanging="425"/>
      <w:jc w:val="left"/>
    </w:pPr>
    <w:rPr>
      <w:rFonts w:eastAsia="Times New Roman"/>
    </w:rPr>
  </w:style>
  <w:style w:type="paragraph" w:customStyle="1" w:styleId="graphicpaste">
    <w:name w:val="graphic paste"/>
    <w:basedOn w:val="Normal"/>
    <w:next w:val="tablenotes"/>
    <w:qFormat/>
    <w:rsid w:val="00F30A93"/>
    <w:pPr>
      <w:keepNext/>
      <w:spacing w:after="0" w:line="240" w:lineRule="auto"/>
      <w:jc w:val="center"/>
    </w:pPr>
    <w:rPr>
      <w:sz w:val="16"/>
    </w:rPr>
  </w:style>
  <w:style w:type="numbering" w:customStyle="1" w:styleId="NoList1">
    <w:name w:val="No List1"/>
    <w:next w:val="NoList"/>
    <w:uiPriority w:val="99"/>
    <w:semiHidden/>
    <w:unhideWhenUsed/>
    <w:rsid w:val="003A3B53"/>
  </w:style>
  <w:style w:type="paragraph" w:customStyle="1" w:styleId="Quote1">
    <w:name w:val="Quote1"/>
    <w:basedOn w:val="Normal"/>
    <w:qFormat/>
    <w:rsid w:val="003A3B53"/>
    <w:pPr>
      <w:spacing w:after="120"/>
      <w:ind w:left="567" w:right="567"/>
      <w:jc w:val="left"/>
    </w:pPr>
    <w:rPr>
      <w:i/>
      <w:szCs w:val="19"/>
    </w:rPr>
  </w:style>
  <w:style w:type="table" w:customStyle="1" w:styleId="TableGrid2">
    <w:name w:val="Table Grid2"/>
    <w:basedOn w:val="TableNormal"/>
    <w:next w:val="TableGrid"/>
    <w:uiPriority w:val="59"/>
    <w:rsid w:val="003A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Char0"/>
    <w:qFormat/>
    <w:rsid w:val="003A3B53"/>
    <w:pPr>
      <w:suppressAutoHyphens w:val="0"/>
      <w:spacing w:after="240" w:line="240" w:lineRule="auto"/>
      <w:ind w:firstLine="0"/>
      <w:jc w:val="left"/>
    </w:pPr>
    <w:rPr>
      <w:rFonts w:ascii="Arial" w:hAnsi="Arial"/>
    </w:rPr>
  </w:style>
  <w:style w:type="character" w:customStyle="1" w:styleId="BodytextChar0">
    <w:name w:val="Body text Char"/>
    <w:basedOn w:val="BodyTextChar"/>
    <w:link w:val="BodyText1"/>
    <w:rsid w:val="003A3B53"/>
    <w:rPr>
      <w:rFonts w:ascii="Arial" w:eastAsia="Times New Roman" w:hAnsi="Arial" w:cs="Times New Roman"/>
      <w:noProof/>
      <w:sz w:val="20"/>
      <w:szCs w:val="20"/>
      <w:lang w:val="en-US" w:eastAsia="en-US"/>
    </w:rPr>
  </w:style>
  <w:style w:type="paragraph" w:styleId="ListNumber">
    <w:name w:val="List Number"/>
    <w:basedOn w:val="Normal"/>
    <w:uiPriority w:val="99"/>
    <w:unhideWhenUsed/>
    <w:rsid w:val="003A3B53"/>
    <w:pPr>
      <w:numPr>
        <w:numId w:val="21"/>
      </w:numPr>
      <w:spacing w:after="0" w:line="360" w:lineRule="auto"/>
      <w:jc w:val="left"/>
    </w:pPr>
    <w:rPr>
      <w:rFonts w:ascii="Arial" w:eastAsiaTheme="minorHAnsi" w:hAnsi="Arial" w:cs="Arial"/>
      <w:sz w:val="28"/>
      <w:szCs w:val="28"/>
      <w:lang w:eastAsia="en-US"/>
    </w:rPr>
  </w:style>
  <w:style w:type="paragraph" w:styleId="Bibliography">
    <w:name w:val="Bibliography"/>
    <w:basedOn w:val="Normal"/>
    <w:next w:val="Normal"/>
    <w:uiPriority w:val="37"/>
    <w:semiHidden/>
    <w:unhideWhenUsed/>
    <w:rsid w:val="00361238"/>
  </w:style>
  <w:style w:type="paragraph" w:styleId="BlockText">
    <w:name w:val="Block Text"/>
    <w:basedOn w:val="Normal"/>
    <w:uiPriority w:val="99"/>
    <w:semiHidden/>
    <w:unhideWhenUsed/>
    <w:rsid w:val="0036123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361238"/>
    <w:pPr>
      <w:spacing w:after="120" w:line="480" w:lineRule="auto"/>
    </w:pPr>
  </w:style>
  <w:style w:type="character" w:customStyle="1" w:styleId="BodyText2Char">
    <w:name w:val="Body Text 2 Char"/>
    <w:basedOn w:val="DefaultParagraphFont"/>
    <w:link w:val="BodyText2"/>
    <w:uiPriority w:val="99"/>
    <w:semiHidden/>
    <w:rsid w:val="00361238"/>
    <w:rPr>
      <w:rFonts w:ascii="Garamond" w:hAnsi="Garamond"/>
      <w:sz w:val="20"/>
    </w:rPr>
  </w:style>
  <w:style w:type="paragraph" w:styleId="BodyText3">
    <w:name w:val="Body Text 3"/>
    <w:basedOn w:val="Normal"/>
    <w:link w:val="BodyText3Char"/>
    <w:uiPriority w:val="99"/>
    <w:semiHidden/>
    <w:unhideWhenUsed/>
    <w:rsid w:val="00361238"/>
    <w:pPr>
      <w:spacing w:after="120"/>
    </w:pPr>
    <w:rPr>
      <w:sz w:val="16"/>
      <w:szCs w:val="16"/>
    </w:rPr>
  </w:style>
  <w:style w:type="character" w:customStyle="1" w:styleId="BodyText3Char">
    <w:name w:val="Body Text 3 Char"/>
    <w:basedOn w:val="DefaultParagraphFont"/>
    <w:link w:val="BodyText3"/>
    <w:uiPriority w:val="99"/>
    <w:semiHidden/>
    <w:rsid w:val="00361238"/>
    <w:rPr>
      <w:rFonts w:ascii="Garamond" w:hAnsi="Garamond"/>
      <w:sz w:val="16"/>
      <w:szCs w:val="16"/>
    </w:rPr>
  </w:style>
  <w:style w:type="paragraph" w:styleId="BodyTextFirstIndent">
    <w:name w:val="Body Text First Indent"/>
    <w:basedOn w:val="BodyText"/>
    <w:link w:val="BodyTextFirstIndentChar"/>
    <w:uiPriority w:val="99"/>
    <w:semiHidden/>
    <w:unhideWhenUsed/>
    <w:rsid w:val="00361238"/>
    <w:pPr>
      <w:suppressAutoHyphens w:val="0"/>
      <w:spacing w:after="200" w:line="264" w:lineRule="auto"/>
      <w:ind w:firstLine="360"/>
    </w:pPr>
    <w:rPr>
      <w:rFonts w:ascii="Garamond" w:eastAsiaTheme="minorEastAsia" w:hAnsi="Garamond" w:cstheme="minorBidi"/>
      <w:noProof w:val="0"/>
      <w:szCs w:val="22"/>
      <w:lang w:val="en-AU" w:eastAsia="en-AU"/>
    </w:rPr>
  </w:style>
  <w:style w:type="character" w:customStyle="1" w:styleId="BodyTextFirstIndentChar">
    <w:name w:val="Body Text First Indent Char"/>
    <w:basedOn w:val="BodyTextChar"/>
    <w:link w:val="BodyTextFirstIndent"/>
    <w:uiPriority w:val="99"/>
    <w:semiHidden/>
    <w:rsid w:val="00361238"/>
    <w:rPr>
      <w:rFonts w:ascii="Garamond" w:eastAsia="Times New Roman" w:hAnsi="Garamond" w:cs="Times New Roman"/>
      <w:noProof/>
      <w:sz w:val="20"/>
      <w:szCs w:val="20"/>
      <w:lang w:val="en-US" w:eastAsia="en-US"/>
    </w:rPr>
  </w:style>
  <w:style w:type="paragraph" w:styleId="BodyTextIndent">
    <w:name w:val="Body Text Indent"/>
    <w:basedOn w:val="Normal"/>
    <w:link w:val="BodyTextIndentChar"/>
    <w:uiPriority w:val="99"/>
    <w:semiHidden/>
    <w:unhideWhenUsed/>
    <w:rsid w:val="00361238"/>
    <w:pPr>
      <w:spacing w:after="120"/>
      <w:ind w:left="283"/>
    </w:pPr>
  </w:style>
  <w:style w:type="character" w:customStyle="1" w:styleId="BodyTextIndentChar">
    <w:name w:val="Body Text Indent Char"/>
    <w:basedOn w:val="DefaultParagraphFont"/>
    <w:link w:val="BodyTextIndent"/>
    <w:uiPriority w:val="99"/>
    <w:semiHidden/>
    <w:rsid w:val="00361238"/>
    <w:rPr>
      <w:rFonts w:ascii="Garamond" w:hAnsi="Garamond"/>
      <w:sz w:val="20"/>
    </w:rPr>
  </w:style>
  <w:style w:type="paragraph" w:styleId="BodyTextFirstIndent2">
    <w:name w:val="Body Text First Indent 2"/>
    <w:basedOn w:val="BodyTextIndent"/>
    <w:link w:val="BodyTextFirstIndent2Char"/>
    <w:uiPriority w:val="99"/>
    <w:semiHidden/>
    <w:unhideWhenUsed/>
    <w:rsid w:val="0036123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61238"/>
    <w:rPr>
      <w:rFonts w:ascii="Garamond" w:hAnsi="Garamond"/>
      <w:sz w:val="20"/>
    </w:rPr>
  </w:style>
  <w:style w:type="paragraph" w:styleId="BodyTextIndent2">
    <w:name w:val="Body Text Indent 2"/>
    <w:basedOn w:val="Normal"/>
    <w:link w:val="BodyTextIndent2Char"/>
    <w:uiPriority w:val="99"/>
    <w:semiHidden/>
    <w:unhideWhenUsed/>
    <w:rsid w:val="00361238"/>
    <w:pPr>
      <w:spacing w:after="120" w:line="480" w:lineRule="auto"/>
      <w:ind w:left="283"/>
    </w:pPr>
  </w:style>
  <w:style w:type="character" w:customStyle="1" w:styleId="BodyTextIndent2Char">
    <w:name w:val="Body Text Indent 2 Char"/>
    <w:basedOn w:val="DefaultParagraphFont"/>
    <w:link w:val="BodyTextIndent2"/>
    <w:uiPriority w:val="99"/>
    <w:semiHidden/>
    <w:rsid w:val="00361238"/>
    <w:rPr>
      <w:rFonts w:ascii="Garamond" w:hAnsi="Garamond"/>
      <w:sz w:val="20"/>
    </w:rPr>
  </w:style>
  <w:style w:type="paragraph" w:styleId="BodyTextIndent3">
    <w:name w:val="Body Text Indent 3"/>
    <w:basedOn w:val="Normal"/>
    <w:link w:val="BodyTextIndent3Char"/>
    <w:uiPriority w:val="99"/>
    <w:semiHidden/>
    <w:unhideWhenUsed/>
    <w:rsid w:val="003612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238"/>
    <w:rPr>
      <w:rFonts w:ascii="Garamond" w:hAnsi="Garamond"/>
      <w:sz w:val="16"/>
      <w:szCs w:val="16"/>
    </w:rPr>
  </w:style>
  <w:style w:type="paragraph" w:styleId="Closing">
    <w:name w:val="Closing"/>
    <w:basedOn w:val="Normal"/>
    <w:link w:val="ClosingChar"/>
    <w:uiPriority w:val="99"/>
    <w:semiHidden/>
    <w:unhideWhenUsed/>
    <w:rsid w:val="00361238"/>
    <w:pPr>
      <w:spacing w:after="0" w:line="240" w:lineRule="auto"/>
      <w:ind w:left="4252"/>
    </w:pPr>
  </w:style>
  <w:style w:type="character" w:customStyle="1" w:styleId="ClosingChar">
    <w:name w:val="Closing Char"/>
    <w:basedOn w:val="DefaultParagraphFont"/>
    <w:link w:val="Closing"/>
    <w:uiPriority w:val="99"/>
    <w:semiHidden/>
    <w:rsid w:val="00361238"/>
    <w:rPr>
      <w:rFonts w:ascii="Garamond" w:hAnsi="Garamond"/>
      <w:sz w:val="20"/>
    </w:rPr>
  </w:style>
  <w:style w:type="paragraph" w:styleId="Date">
    <w:name w:val="Date"/>
    <w:basedOn w:val="Normal"/>
    <w:next w:val="Normal"/>
    <w:link w:val="DateChar"/>
    <w:uiPriority w:val="99"/>
    <w:semiHidden/>
    <w:unhideWhenUsed/>
    <w:rsid w:val="00361238"/>
  </w:style>
  <w:style w:type="character" w:customStyle="1" w:styleId="DateChar">
    <w:name w:val="Date Char"/>
    <w:basedOn w:val="DefaultParagraphFont"/>
    <w:link w:val="Date"/>
    <w:uiPriority w:val="99"/>
    <w:semiHidden/>
    <w:rsid w:val="00361238"/>
    <w:rPr>
      <w:rFonts w:ascii="Garamond" w:hAnsi="Garamond"/>
      <w:sz w:val="20"/>
    </w:rPr>
  </w:style>
  <w:style w:type="paragraph" w:styleId="DocumentMap">
    <w:name w:val="Document Map"/>
    <w:basedOn w:val="Normal"/>
    <w:link w:val="DocumentMapChar"/>
    <w:uiPriority w:val="99"/>
    <w:semiHidden/>
    <w:unhideWhenUsed/>
    <w:rsid w:val="003612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1238"/>
    <w:rPr>
      <w:rFonts w:ascii="Tahoma" w:hAnsi="Tahoma" w:cs="Tahoma"/>
      <w:sz w:val="16"/>
      <w:szCs w:val="16"/>
    </w:rPr>
  </w:style>
  <w:style w:type="paragraph" w:styleId="E-mailSignature">
    <w:name w:val="E-mail Signature"/>
    <w:basedOn w:val="Normal"/>
    <w:link w:val="E-mailSignatureChar"/>
    <w:uiPriority w:val="99"/>
    <w:semiHidden/>
    <w:unhideWhenUsed/>
    <w:rsid w:val="00361238"/>
    <w:pPr>
      <w:spacing w:after="0" w:line="240" w:lineRule="auto"/>
    </w:pPr>
  </w:style>
  <w:style w:type="character" w:customStyle="1" w:styleId="E-mailSignatureChar">
    <w:name w:val="E-mail Signature Char"/>
    <w:basedOn w:val="DefaultParagraphFont"/>
    <w:link w:val="E-mailSignature"/>
    <w:uiPriority w:val="99"/>
    <w:semiHidden/>
    <w:rsid w:val="00361238"/>
    <w:rPr>
      <w:rFonts w:ascii="Garamond" w:hAnsi="Garamond"/>
      <w:sz w:val="20"/>
    </w:rPr>
  </w:style>
  <w:style w:type="paragraph" w:styleId="EnvelopeAddress">
    <w:name w:val="envelope address"/>
    <w:basedOn w:val="Normal"/>
    <w:uiPriority w:val="99"/>
    <w:semiHidden/>
    <w:unhideWhenUsed/>
    <w:rsid w:val="0036123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1238"/>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361238"/>
    <w:pPr>
      <w:spacing w:after="0" w:line="240" w:lineRule="auto"/>
    </w:pPr>
    <w:rPr>
      <w:i/>
      <w:iCs/>
    </w:rPr>
  </w:style>
  <w:style w:type="character" w:customStyle="1" w:styleId="HTMLAddressChar">
    <w:name w:val="HTML Address Char"/>
    <w:basedOn w:val="DefaultParagraphFont"/>
    <w:link w:val="HTMLAddress"/>
    <w:uiPriority w:val="99"/>
    <w:semiHidden/>
    <w:rsid w:val="00361238"/>
    <w:rPr>
      <w:rFonts w:ascii="Garamond" w:hAnsi="Garamond"/>
      <w:i/>
      <w:iCs/>
      <w:sz w:val="20"/>
    </w:rPr>
  </w:style>
  <w:style w:type="paragraph" w:styleId="Index1">
    <w:name w:val="index 1"/>
    <w:basedOn w:val="Normal"/>
    <w:next w:val="Normal"/>
    <w:autoRedefine/>
    <w:uiPriority w:val="99"/>
    <w:semiHidden/>
    <w:unhideWhenUsed/>
    <w:rsid w:val="00361238"/>
    <w:pPr>
      <w:spacing w:after="0" w:line="240" w:lineRule="auto"/>
      <w:ind w:left="200" w:hanging="200"/>
    </w:pPr>
  </w:style>
  <w:style w:type="paragraph" w:styleId="Index2">
    <w:name w:val="index 2"/>
    <w:basedOn w:val="Normal"/>
    <w:next w:val="Normal"/>
    <w:autoRedefine/>
    <w:uiPriority w:val="99"/>
    <w:semiHidden/>
    <w:unhideWhenUsed/>
    <w:rsid w:val="00361238"/>
    <w:pPr>
      <w:spacing w:after="0" w:line="240" w:lineRule="auto"/>
      <w:ind w:left="400" w:hanging="200"/>
    </w:pPr>
  </w:style>
  <w:style w:type="paragraph" w:styleId="Index3">
    <w:name w:val="index 3"/>
    <w:basedOn w:val="Normal"/>
    <w:next w:val="Normal"/>
    <w:autoRedefine/>
    <w:uiPriority w:val="99"/>
    <w:semiHidden/>
    <w:unhideWhenUsed/>
    <w:rsid w:val="00361238"/>
    <w:pPr>
      <w:spacing w:after="0" w:line="240" w:lineRule="auto"/>
      <w:ind w:left="600" w:hanging="200"/>
    </w:pPr>
  </w:style>
  <w:style w:type="paragraph" w:styleId="Index4">
    <w:name w:val="index 4"/>
    <w:basedOn w:val="Normal"/>
    <w:next w:val="Normal"/>
    <w:autoRedefine/>
    <w:uiPriority w:val="99"/>
    <w:semiHidden/>
    <w:unhideWhenUsed/>
    <w:rsid w:val="00361238"/>
    <w:pPr>
      <w:spacing w:after="0" w:line="240" w:lineRule="auto"/>
      <w:ind w:left="800" w:hanging="200"/>
    </w:pPr>
  </w:style>
  <w:style w:type="paragraph" w:styleId="Index5">
    <w:name w:val="index 5"/>
    <w:basedOn w:val="Normal"/>
    <w:next w:val="Normal"/>
    <w:autoRedefine/>
    <w:uiPriority w:val="99"/>
    <w:semiHidden/>
    <w:unhideWhenUsed/>
    <w:rsid w:val="00361238"/>
    <w:pPr>
      <w:spacing w:after="0" w:line="240" w:lineRule="auto"/>
      <w:ind w:left="1000" w:hanging="200"/>
    </w:pPr>
  </w:style>
  <w:style w:type="paragraph" w:styleId="Index6">
    <w:name w:val="index 6"/>
    <w:basedOn w:val="Normal"/>
    <w:next w:val="Normal"/>
    <w:autoRedefine/>
    <w:uiPriority w:val="99"/>
    <w:semiHidden/>
    <w:unhideWhenUsed/>
    <w:rsid w:val="00361238"/>
    <w:pPr>
      <w:spacing w:after="0" w:line="240" w:lineRule="auto"/>
      <w:ind w:left="1200" w:hanging="200"/>
    </w:pPr>
  </w:style>
  <w:style w:type="paragraph" w:styleId="Index7">
    <w:name w:val="index 7"/>
    <w:basedOn w:val="Normal"/>
    <w:next w:val="Normal"/>
    <w:autoRedefine/>
    <w:uiPriority w:val="99"/>
    <w:semiHidden/>
    <w:unhideWhenUsed/>
    <w:rsid w:val="00361238"/>
    <w:pPr>
      <w:spacing w:after="0" w:line="240" w:lineRule="auto"/>
      <w:ind w:left="1400" w:hanging="200"/>
    </w:pPr>
  </w:style>
  <w:style w:type="paragraph" w:styleId="Index8">
    <w:name w:val="index 8"/>
    <w:basedOn w:val="Normal"/>
    <w:next w:val="Normal"/>
    <w:autoRedefine/>
    <w:uiPriority w:val="99"/>
    <w:semiHidden/>
    <w:unhideWhenUsed/>
    <w:rsid w:val="00361238"/>
    <w:pPr>
      <w:spacing w:after="0" w:line="240" w:lineRule="auto"/>
      <w:ind w:left="1600" w:hanging="200"/>
    </w:pPr>
  </w:style>
  <w:style w:type="paragraph" w:styleId="Index9">
    <w:name w:val="index 9"/>
    <w:basedOn w:val="Normal"/>
    <w:next w:val="Normal"/>
    <w:autoRedefine/>
    <w:uiPriority w:val="99"/>
    <w:semiHidden/>
    <w:unhideWhenUsed/>
    <w:rsid w:val="00361238"/>
    <w:pPr>
      <w:spacing w:after="0" w:line="240" w:lineRule="auto"/>
      <w:ind w:left="1800" w:hanging="200"/>
    </w:pPr>
  </w:style>
  <w:style w:type="paragraph" w:styleId="IndexHeading">
    <w:name w:val="index heading"/>
    <w:basedOn w:val="Normal"/>
    <w:next w:val="Index1"/>
    <w:uiPriority w:val="99"/>
    <w:semiHidden/>
    <w:unhideWhenUsed/>
    <w:rsid w:val="0036123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12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61238"/>
    <w:rPr>
      <w:rFonts w:ascii="Garamond" w:hAnsi="Garamond"/>
      <w:b/>
      <w:bCs/>
      <w:i/>
      <w:iCs/>
      <w:color w:val="4F81BD" w:themeColor="accent1"/>
      <w:sz w:val="20"/>
    </w:rPr>
  </w:style>
  <w:style w:type="paragraph" w:styleId="List">
    <w:name w:val="List"/>
    <w:basedOn w:val="Normal"/>
    <w:uiPriority w:val="99"/>
    <w:semiHidden/>
    <w:unhideWhenUsed/>
    <w:rsid w:val="00361238"/>
    <w:pPr>
      <w:ind w:left="283" w:hanging="283"/>
      <w:contextualSpacing/>
    </w:pPr>
  </w:style>
  <w:style w:type="paragraph" w:styleId="List2">
    <w:name w:val="List 2"/>
    <w:basedOn w:val="Normal"/>
    <w:uiPriority w:val="99"/>
    <w:semiHidden/>
    <w:unhideWhenUsed/>
    <w:rsid w:val="00361238"/>
    <w:pPr>
      <w:ind w:left="566" w:hanging="283"/>
      <w:contextualSpacing/>
    </w:pPr>
  </w:style>
  <w:style w:type="paragraph" w:styleId="List3">
    <w:name w:val="List 3"/>
    <w:basedOn w:val="Normal"/>
    <w:uiPriority w:val="99"/>
    <w:semiHidden/>
    <w:unhideWhenUsed/>
    <w:rsid w:val="00361238"/>
    <w:pPr>
      <w:ind w:left="849" w:hanging="283"/>
      <w:contextualSpacing/>
    </w:pPr>
  </w:style>
  <w:style w:type="paragraph" w:styleId="List4">
    <w:name w:val="List 4"/>
    <w:basedOn w:val="Normal"/>
    <w:uiPriority w:val="99"/>
    <w:semiHidden/>
    <w:unhideWhenUsed/>
    <w:rsid w:val="00361238"/>
    <w:pPr>
      <w:ind w:left="1132" w:hanging="283"/>
      <w:contextualSpacing/>
    </w:pPr>
  </w:style>
  <w:style w:type="paragraph" w:styleId="List5">
    <w:name w:val="List 5"/>
    <w:basedOn w:val="Normal"/>
    <w:uiPriority w:val="99"/>
    <w:semiHidden/>
    <w:unhideWhenUsed/>
    <w:rsid w:val="00361238"/>
    <w:pPr>
      <w:ind w:left="1415" w:hanging="283"/>
      <w:contextualSpacing/>
    </w:pPr>
  </w:style>
  <w:style w:type="paragraph" w:styleId="ListBullet2">
    <w:name w:val="List Bullet 2"/>
    <w:basedOn w:val="Normal"/>
    <w:uiPriority w:val="99"/>
    <w:semiHidden/>
    <w:unhideWhenUsed/>
    <w:rsid w:val="00361238"/>
    <w:pPr>
      <w:numPr>
        <w:numId w:val="24"/>
      </w:numPr>
      <w:contextualSpacing/>
    </w:pPr>
  </w:style>
  <w:style w:type="paragraph" w:styleId="ListBullet3">
    <w:name w:val="List Bullet 3"/>
    <w:basedOn w:val="Normal"/>
    <w:uiPriority w:val="99"/>
    <w:semiHidden/>
    <w:unhideWhenUsed/>
    <w:rsid w:val="00361238"/>
    <w:pPr>
      <w:numPr>
        <w:numId w:val="25"/>
      </w:numPr>
      <w:contextualSpacing/>
    </w:pPr>
  </w:style>
  <w:style w:type="paragraph" w:styleId="ListBullet4">
    <w:name w:val="List Bullet 4"/>
    <w:basedOn w:val="Normal"/>
    <w:uiPriority w:val="99"/>
    <w:semiHidden/>
    <w:unhideWhenUsed/>
    <w:rsid w:val="00361238"/>
    <w:pPr>
      <w:numPr>
        <w:numId w:val="26"/>
      </w:numPr>
      <w:contextualSpacing/>
    </w:pPr>
  </w:style>
  <w:style w:type="paragraph" w:styleId="ListBullet5">
    <w:name w:val="List Bullet 5"/>
    <w:basedOn w:val="Normal"/>
    <w:uiPriority w:val="99"/>
    <w:semiHidden/>
    <w:unhideWhenUsed/>
    <w:rsid w:val="00361238"/>
    <w:pPr>
      <w:numPr>
        <w:numId w:val="27"/>
      </w:numPr>
      <w:contextualSpacing/>
    </w:pPr>
  </w:style>
  <w:style w:type="paragraph" w:styleId="ListContinue">
    <w:name w:val="List Continue"/>
    <w:basedOn w:val="Normal"/>
    <w:uiPriority w:val="99"/>
    <w:semiHidden/>
    <w:unhideWhenUsed/>
    <w:rsid w:val="00361238"/>
    <w:pPr>
      <w:spacing w:after="120"/>
      <w:ind w:left="283"/>
      <w:contextualSpacing/>
    </w:pPr>
  </w:style>
  <w:style w:type="paragraph" w:styleId="ListContinue2">
    <w:name w:val="List Continue 2"/>
    <w:basedOn w:val="Normal"/>
    <w:uiPriority w:val="99"/>
    <w:semiHidden/>
    <w:unhideWhenUsed/>
    <w:rsid w:val="00361238"/>
    <w:pPr>
      <w:spacing w:after="120"/>
      <w:ind w:left="566"/>
      <w:contextualSpacing/>
    </w:pPr>
  </w:style>
  <w:style w:type="paragraph" w:styleId="ListContinue3">
    <w:name w:val="List Continue 3"/>
    <w:basedOn w:val="Normal"/>
    <w:uiPriority w:val="99"/>
    <w:semiHidden/>
    <w:unhideWhenUsed/>
    <w:rsid w:val="00361238"/>
    <w:pPr>
      <w:spacing w:after="120"/>
      <w:ind w:left="849"/>
      <w:contextualSpacing/>
    </w:pPr>
  </w:style>
  <w:style w:type="paragraph" w:styleId="ListContinue4">
    <w:name w:val="List Continue 4"/>
    <w:basedOn w:val="Normal"/>
    <w:uiPriority w:val="99"/>
    <w:semiHidden/>
    <w:unhideWhenUsed/>
    <w:rsid w:val="00361238"/>
    <w:pPr>
      <w:spacing w:after="120"/>
      <w:ind w:left="1132"/>
      <w:contextualSpacing/>
    </w:pPr>
  </w:style>
  <w:style w:type="paragraph" w:styleId="ListContinue5">
    <w:name w:val="List Continue 5"/>
    <w:basedOn w:val="Normal"/>
    <w:uiPriority w:val="99"/>
    <w:semiHidden/>
    <w:unhideWhenUsed/>
    <w:rsid w:val="00361238"/>
    <w:pPr>
      <w:spacing w:after="120"/>
      <w:ind w:left="1415"/>
      <w:contextualSpacing/>
    </w:pPr>
  </w:style>
  <w:style w:type="paragraph" w:styleId="ListNumber2">
    <w:name w:val="List Number 2"/>
    <w:basedOn w:val="Normal"/>
    <w:uiPriority w:val="99"/>
    <w:semiHidden/>
    <w:unhideWhenUsed/>
    <w:rsid w:val="00361238"/>
    <w:pPr>
      <w:numPr>
        <w:numId w:val="28"/>
      </w:numPr>
      <w:contextualSpacing/>
    </w:pPr>
  </w:style>
  <w:style w:type="paragraph" w:styleId="ListNumber3">
    <w:name w:val="List Number 3"/>
    <w:basedOn w:val="Normal"/>
    <w:uiPriority w:val="99"/>
    <w:semiHidden/>
    <w:unhideWhenUsed/>
    <w:rsid w:val="00361238"/>
    <w:pPr>
      <w:numPr>
        <w:numId w:val="29"/>
      </w:numPr>
      <w:contextualSpacing/>
    </w:pPr>
  </w:style>
  <w:style w:type="paragraph" w:styleId="ListNumber4">
    <w:name w:val="List Number 4"/>
    <w:basedOn w:val="Normal"/>
    <w:uiPriority w:val="99"/>
    <w:semiHidden/>
    <w:unhideWhenUsed/>
    <w:rsid w:val="00361238"/>
    <w:pPr>
      <w:numPr>
        <w:numId w:val="30"/>
      </w:numPr>
      <w:contextualSpacing/>
    </w:pPr>
  </w:style>
  <w:style w:type="paragraph" w:styleId="ListNumber5">
    <w:name w:val="List Number 5"/>
    <w:basedOn w:val="Normal"/>
    <w:uiPriority w:val="99"/>
    <w:semiHidden/>
    <w:unhideWhenUsed/>
    <w:rsid w:val="00361238"/>
    <w:pPr>
      <w:numPr>
        <w:numId w:val="31"/>
      </w:numPr>
      <w:contextualSpacing/>
    </w:pPr>
  </w:style>
  <w:style w:type="paragraph" w:styleId="MacroText">
    <w:name w:val="macro"/>
    <w:link w:val="MacroTextChar"/>
    <w:uiPriority w:val="99"/>
    <w:semiHidden/>
    <w:unhideWhenUsed/>
    <w:rsid w:val="00361238"/>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361238"/>
    <w:rPr>
      <w:rFonts w:ascii="Consolas" w:hAnsi="Consolas" w:cs="Consolas"/>
      <w:sz w:val="20"/>
      <w:szCs w:val="20"/>
    </w:rPr>
  </w:style>
  <w:style w:type="paragraph" w:styleId="MessageHeader">
    <w:name w:val="Message Header"/>
    <w:basedOn w:val="Normal"/>
    <w:link w:val="MessageHeaderChar"/>
    <w:uiPriority w:val="99"/>
    <w:semiHidden/>
    <w:unhideWhenUsed/>
    <w:rsid w:val="003612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123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61238"/>
    <w:pPr>
      <w:ind w:left="720"/>
    </w:pPr>
  </w:style>
  <w:style w:type="paragraph" w:styleId="NoteHeading">
    <w:name w:val="Note Heading"/>
    <w:basedOn w:val="Normal"/>
    <w:next w:val="Normal"/>
    <w:link w:val="NoteHeadingChar"/>
    <w:uiPriority w:val="99"/>
    <w:semiHidden/>
    <w:unhideWhenUsed/>
    <w:rsid w:val="00361238"/>
    <w:pPr>
      <w:spacing w:after="0" w:line="240" w:lineRule="auto"/>
    </w:pPr>
  </w:style>
  <w:style w:type="character" w:customStyle="1" w:styleId="NoteHeadingChar">
    <w:name w:val="Note Heading Char"/>
    <w:basedOn w:val="DefaultParagraphFont"/>
    <w:link w:val="NoteHeading"/>
    <w:uiPriority w:val="99"/>
    <w:semiHidden/>
    <w:rsid w:val="00361238"/>
    <w:rPr>
      <w:rFonts w:ascii="Garamond" w:hAnsi="Garamond"/>
      <w:sz w:val="20"/>
    </w:rPr>
  </w:style>
  <w:style w:type="paragraph" w:styleId="PlainText">
    <w:name w:val="Plain Text"/>
    <w:basedOn w:val="Normal"/>
    <w:link w:val="PlainTextChar"/>
    <w:uiPriority w:val="99"/>
    <w:semiHidden/>
    <w:unhideWhenUsed/>
    <w:rsid w:val="0036123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61238"/>
    <w:rPr>
      <w:rFonts w:ascii="Consolas" w:hAnsi="Consolas" w:cs="Consolas"/>
      <w:sz w:val="21"/>
      <w:szCs w:val="21"/>
    </w:rPr>
  </w:style>
  <w:style w:type="paragraph" w:styleId="Salutation">
    <w:name w:val="Salutation"/>
    <w:basedOn w:val="Normal"/>
    <w:next w:val="Normal"/>
    <w:link w:val="SalutationChar"/>
    <w:uiPriority w:val="99"/>
    <w:semiHidden/>
    <w:unhideWhenUsed/>
    <w:rsid w:val="00361238"/>
  </w:style>
  <w:style w:type="character" w:customStyle="1" w:styleId="SalutationChar">
    <w:name w:val="Salutation Char"/>
    <w:basedOn w:val="DefaultParagraphFont"/>
    <w:link w:val="Salutation"/>
    <w:uiPriority w:val="99"/>
    <w:semiHidden/>
    <w:rsid w:val="00361238"/>
    <w:rPr>
      <w:rFonts w:ascii="Garamond" w:hAnsi="Garamond"/>
      <w:sz w:val="20"/>
    </w:rPr>
  </w:style>
  <w:style w:type="paragraph" w:styleId="Signature">
    <w:name w:val="Signature"/>
    <w:basedOn w:val="Normal"/>
    <w:link w:val="SignatureChar"/>
    <w:uiPriority w:val="99"/>
    <w:semiHidden/>
    <w:unhideWhenUsed/>
    <w:rsid w:val="00361238"/>
    <w:pPr>
      <w:spacing w:after="0" w:line="240" w:lineRule="auto"/>
      <w:ind w:left="4252"/>
    </w:pPr>
  </w:style>
  <w:style w:type="character" w:customStyle="1" w:styleId="SignatureChar">
    <w:name w:val="Signature Char"/>
    <w:basedOn w:val="DefaultParagraphFont"/>
    <w:link w:val="Signature"/>
    <w:uiPriority w:val="99"/>
    <w:semiHidden/>
    <w:rsid w:val="00361238"/>
    <w:rPr>
      <w:rFonts w:ascii="Garamond" w:hAnsi="Garamond"/>
      <w:sz w:val="20"/>
    </w:rPr>
  </w:style>
  <w:style w:type="paragraph" w:styleId="Subtitle">
    <w:name w:val="Subtitle"/>
    <w:basedOn w:val="Normal"/>
    <w:next w:val="Normal"/>
    <w:link w:val="SubtitleChar"/>
    <w:uiPriority w:val="11"/>
    <w:rsid w:val="003612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123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61238"/>
    <w:pPr>
      <w:spacing w:after="0"/>
      <w:ind w:left="200" w:hanging="200"/>
    </w:pPr>
  </w:style>
  <w:style w:type="paragraph" w:styleId="TOAHeading">
    <w:name w:val="toa heading"/>
    <w:basedOn w:val="Normal"/>
    <w:next w:val="Normal"/>
    <w:uiPriority w:val="99"/>
    <w:semiHidden/>
    <w:unhideWhenUsed/>
    <w:rsid w:val="0036123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61238"/>
    <w:pPr>
      <w:numPr>
        <w:numId w:val="0"/>
      </w:numPr>
      <w:spacing w:before="480"/>
      <w:jc w:val="both"/>
      <w:outlineLvl w:val="9"/>
    </w:pPr>
    <w:rPr>
      <w:rFonts w:asciiTheme="majorHAnsi" w:hAnsiTheme="majorHAnsi"/>
      <w:color w:val="365F91" w:themeColor="accent1" w:themeShade="BF"/>
      <w:sz w:val="28"/>
    </w:rPr>
  </w:style>
  <w:style w:type="character" w:styleId="LineNumber">
    <w:name w:val="line number"/>
    <w:basedOn w:val="DefaultParagraphFont"/>
    <w:uiPriority w:val="99"/>
    <w:semiHidden/>
    <w:unhideWhenUsed/>
    <w:rsid w:val="006654AE"/>
  </w:style>
  <w:style w:type="paragraph" w:customStyle="1" w:styleId="h4l2">
    <w:name w:val="h4l2"/>
    <w:basedOn w:val="Heading2"/>
    <w:qFormat/>
    <w:rsid w:val="00946E00"/>
    <w:pPr>
      <w:numPr>
        <w:ilvl w:val="0"/>
        <w:numId w:val="0"/>
      </w:numPr>
      <w:spacing w:before="120"/>
    </w:pPr>
    <w:rPr>
      <w:sz w:val="24"/>
    </w:rPr>
  </w:style>
  <w:style w:type="paragraph" w:customStyle="1" w:styleId="h4l3">
    <w:name w:val="h4l3"/>
    <w:basedOn w:val="Heading3"/>
    <w:next w:val="Normal"/>
    <w:qFormat/>
    <w:rsid w:val="008525AF"/>
    <w:pPr>
      <w:numPr>
        <w:ilvl w:val="0"/>
        <w:numId w:val="0"/>
      </w:numP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685">
      <w:bodyDiv w:val="1"/>
      <w:marLeft w:val="0"/>
      <w:marRight w:val="0"/>
      <w:marTop w:val="0"/>
      <w:marBottom w:val="0"/>
      <w:divBdr>
        <w:top w:val="none" w:sz="0" w:space="0" w:color="auto"/>
        <w:left w:val="none" w:sz="0" w:space="0" w:color="auto"/>
        <w:bottom w:val="none" w:sz="0" w:space="0" w:color="auto"/>
        <w:right w:val="none" w:sz="0" w:space="0" w:color="auto"/>
      </w:divBdr>
      <w:divsChild>
        <w:div w:id="116998308">
          <w:marLeft w:val="0"/>
          <w:marRight w:val="0"/>
          <w:marTop w:val="0"/>
          <w:marBottom w:val="0"/>
          <w:divBdr>
            <w:top w:val="none" w:sz="0" w:space="0" w:color="auto"/>
            <w:left w:val="none" w:sz="0" w:space="0" w:color="auto"/>
            <w:bottom w:val="none" w:sz="0" w:space="0" w:color="auto"/>
            <w:right w:val="none" w:sz="0" w:space="0" w:color="auto"/>
          </w:divBdr>
        </w:div>
        <w:div w:id="450171883">
          <w:marLeft w:val="0"/>
          <w:marRight w:val="0"/>
          <w:marTop w:val="0"/>
          <w:marBottom w:val="0"/>
          <w:divBdr>
            <w:top w:val="none" w:sz="0" w:space="0" w:color="auto"/>
            <w:left w:val="none" w:sz="0" w:space="0" w:color="auto"/>
            <w:bottom w:val="none" w:sz="0" w:space="0" w:color="auto"/>
            <w:right w:val="none" w:sz="0" w:space="0" w:color="auto"/>
          </w:divBdr>
        </w:div>
        <w:div w:id="664012167">
          <w:marLeft w:val="0"/>
          <w:marRight w:val="0"/>
          <w:marTop w:val="0"/>
          <w:marBottom w:val="0"/>
          <w:divBdr>
            <w:top w:val="none" w:sz="0" w:space="0" w:color="auto"/>
            <w:left w:val="none" w:sz="0" w:space="0" w:color="auto"/>
            <w:bottom w:val="none" w:sz="0" w:space="0" w:color="auto"/>
            <w:right w:val="none" w:sz="0" w:space="0" w:color="auto"/>
          </w:divBdr>
        </w:div>
        <w:div w:id="1284188157">
          <w:marLeft w:val="0"/>
          <w:marRight w:val="0"/>
          <w:marTop w:val="0"/>
          <w:marBottom w:val="0"/>
          <w:divBdr>
            <w:top w:val="none" w:sz="0" w:space="0" w:color="auto"/>
            <w:left w:val="none" w:sz="0" w:space="0" w:color="auto"/>
            <w:bottom w:val="none" w:sz="0" w:space="0" w:color="auto"/>
            <w:right w:val="none" w:sz="0" w:space="0" w:color="auto"/>
          </w:divBdr>
        </w:div>
        <w:div w:id="1301304928">
          <w:marLeft w:val="0"/>
          <w:marRight w:val="0"/>
          <w:marTop w:val="0"/>
          <w:marBottom w:val="0"/>
          <w:divBdr>
            <w:top w:val="none" w:sz="0" w:space="0" w:color="auto"/>
            <w:left w:val="none" w:sz="0" w:space="0" w:color="auto"/>
            <w:bottom w:val="none" w:sz="0" w:space="0" w:color="auto"/>
            <w:right w:val="none" w:sz="0" w:space="0" w:color="auto"/>
          </w:divBdr>
        </w:div>
      </w:divsChild>
    </w:div>
    <w:div w:id="10689735">
      <w:bodyDiv w:val="1"/>
      <w:marLeft w:val="0"/>
      <w:marRight w:val="0"/>
      <w:marTop w:val="0"/>
      <w:marBottom w:val="0"/>
      <w:divBdr>
        <w:top w:val="none" w:sz="0" w:space="0" w:color="auto"/>
        <w:left w:val="none" w:sz="0" w:space="0" w:color="auto"/>
        <w:bottom w:val="none" w:sz="0" w:space="0" w:color="auto"/>
        <w:right w:val="none" w:sz="0" w:space="0" w:color="auto"/>
      </w:divBdr>
    </w:div>
    <w:div w:id="83768934">
      <w:bodyDiv w:val="1"/>
      <w:marLeft w:val="0"/>
      <w:marRight w:val="0"/>
      <w:marTop w:val="0"/>
      <w:marBottom w:val="0"/>
      <w:divBdr>
        <w:top w:val="none" w:sz="0" w:space="0" w:color="auto"/>
        <w:left w:val="none" w:sz="0" w:space="0" w:color="auto"/>
        <w:bottom w:val="none" w:sz="0" w:space="0" w:color="auto"/>
        <w:right w:val="none" w:sz="0" w:space="0" w:color="auto"/>
      </w:divBdr>
    </w:div>
    <w:div w:id="147795747">
      <w:bodyDiv w:val="1"/>
      <w:marLeft w:val="0"/>
      <w:marRight w:val="0"/>
      <w:marTop w:val="0"/>
      <w:marBottom w:val="0"/>
      <w:divBdr>
        <w:top w:val="none" w:sz="0" w:space="0" w:color="auto"/>
        <w:left w:val="none" w:sz="0" w:space="0" w:color="auto"/>
        <w:bottom w:val="none" w:sz="0" w:space="0" w:color="auto"/>
        <w:right w:val="none" w:sz="0" w:space="0" w:color="auto"/>
      </w:divBdr>
      <w:divsChild>
        <w:div w:id="2077316095">
          <w:marLeft w:val="0"/>
          <w:marRight w:val="0"/>
          <w:marTop w:val="0"/>
          <w:marBottom w:val="0"/>
          <w:divBdr>
            <w:top w:val="none" w:sz="0" w:space="0" w:color="auto"/>
            <w:left w:val="none" w:sz="0" w:space="0" w:color="auto"/>
            <w:bottom w:val="none" w:sz="0" w:space="0" w:color="auto"/>
            <w:right w:val="none" w:sz="0" w:space="0" w:color="auto"/>
          </w:divBdr>
          <w:divsChild>
            <w:div w:id="18439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4424">
      <w:bodyDiv w:val="1"/>
      <w:marLeft w:val="0"/>
      <w:marRight w:val="0"/>
      <w:marTop w:val="0"/>
      <w:marBottom w:val="0"/>
      <w:divBdr>
        <w:top w:val="none" w:sz="0" w:space="0" w:color="auto"/>
        <w:left w:val="none" w:sz="0" w:space="0" w:color="auto"/>
        <w:bottom w:val="none" w:sz="0" w:space="0" w:color="auto"/>
        <w:right w:val="none" w:sz="0" w:space="0" w:color="auto"/>
      </w:divBdr>
    </w:div>
    <w:div w:id="308557609">
      <w:bodyDiv w:val="1"/>
      <w:marLeft w:val="0"/>
      <w:marRight w:val="0"/>
      <w:marTop w:val="0"/>
      <w:marBottom w:val="0"/>
      <w:divBdr>
        <w:top w:val="none" w:sz="0" w:space="0" w:color="auto"/>
        <w:left w:val="none" w:sz="0" w:space="0" w:color="auto"/>
        <w:bottom w:val="none" w:sz="0" w:space="0" w:color="auto"/>
        <w:right w:val="none" w:sz="0" w:space="0" w:color="auto"/>
      </w:divBdr>
    </w:div>
    <w:div w:id="316497415">
      <w:bodyDiv w:val="1"/>
      <w:marLeft w:val="0"/>
      <w:marRight w:val="0"/>
      <w:marTop w:val="0"/>
      <w:marBottom w:val="0"/>
      <w:divBdr>
        <w:top w:val="none" w:sz="0" w:space="0" w:color="auto"/>
        <w:left w:val="none" w:sz="0" w:space="0" w:color="auto"/>
        <w:bottom w:val="none" w:sz="0" w:space="0" w:color="auto"/>
        <w:right w:val="none" w:sz="0" w:space="0" w:color="auto"/>
      </w:divBdr>
    </w:div>
    <w:div w:id="376513672">
      <w:bodyDiv w:val="1"/>
      <w:marLeft w:val="0"/>
      <w:marRight w:val="0"/>
      <w:marTop w:val="0"/>
      <w:marBottom w:val="0"/>
      <w:divBdr>
        <w:top w:val="none" w:sz="0" w:space="0" w:color="auto"/>
        <w:left w:val="none" w:sz="0" w:space="0" w:color="auto"/>
        <w:bottom w:val="none" w:sz="0" w:space="0" w:color="auto"/>
        <w:right w:val="none" w:sz="0" w:space="0" w:color="auto"/>
      </w:divBdr>
    </w:div>
    <w:div w:id="388774156">
      <w:bodyDiv w:val="1"/>
      <w:marLeft w:val="0"/>
      <w:marRight w:val="0"/>
      <w:marTop w:val="0"/>
      <w:marBottom w:val="0"/>
      <w:divBdr>
        <w:top w:val="none" w:sz="0" w:space="0" w:color="auto"/>
        <w:left w:val="none" w:sz="0" w:space="0" w:color="auto"/>
        <w:bottom w:val="none" w:sz="0" w:space="0" w:color="auto"/>
        <w:right w:val="none" w:sz="0" w:space="0" w:color="auto"/>
      </w:divBdr>
    </w:div>
    <w:div w:id="394550640">
      <w:bodyDiv w:val="1"/>
      <w:marLeft w:val="0"/>
      <w:marRight w:val="0"/>
      <w:marTop w:val="0"/>
      <w:marBottom w:val="0"/>
      <w:divBdr>
        <w:top w:val="none" w:sz="0" w:space="0" w:color="auto"/>
        <w:left w:val="none" w:sz="0" w:space="0" w:color="auto"/>
        <w:bottom w:val="none" w:sz="0" w:space="0" w:color="auto"/>
        <w:right w:val="none" w:sz="0" w:space="0" w:color="auto"/>
      </w:divBdr>
    </w:div>
    <w:div w:id="407577415">
      <w:bodyDiv w:val="1"/>
      <w:marLeft w:val="0"/>
      <w:marRight w:val="0"/>
      <w:marTop w:val="0"/>
      <w:marBottom w:val="0"/>
      <w:divBdr>
        <w:top w:val="none" w:sz="0" w:space="0" w:color="auto"/>
        <w:left w:val="none" w:sz="0" w:space="0" w:color="auto"/>
        <w:bottom w:val="none" w:sz="0" w:space="0" w:color="auto"/>
        <w:right w:val="none" w:sz="0" w:space="0" w:color="auto"/>
      </w:divBdr>
    </w:div>
    <w:div w:id="409470643">
      <w:bodyDiv w:val="1"/>
      <w:marLeft w:val="0"/>
      <w:marRight w:val="0"/>
      <w:marTop w:val="0"/>
      <w:marBottom w:val="0"/>
      <w:divBdr>
        <w:top w:val="none" w:sz="0" w:space="0" w:color="auto"/>
        <w:left w:val="none" w:sz="0" w:space="0" w:color="auto"/>
        <w:bottom w:val="none" w:sz="0" w:space="0" w:color="auto"/>
        <w:right w:val="none" w:sz="0" w:space="0" w:color="auto"/>
      </w:divBdr>
    </w:div>
    <w:div w:id="433743643">
      <w:bodyDiv w:val="1"/>
      <w:marLeft w:val="0"/>
      <w:marRight w:val="0"/>
      <w:marTop w:val="0"/>
      <w:marBottom w:val="0"/>
      <w:divBdr>
        <w:top w:val="none" w:sz="0" w:space="0" w:color="auto"/>
        <w:left w:val="none" w:sz="0" w:space="0" w:color="auto"/>
        <w:bottom w:val="none" w:sz="0" w:space="0" w:color="auto"/>
        <w:right w:val="none" w:sz="0" w:space="0" w:color="auto"/>
      </w:divBdr>
    </w:div>
    <w:div w:id="497353485">
      <w:bodyDiv w:val="1"/>
      <w:marLeft w:val="0"/>
      <w:marRight w:val="0"/>
      <w:marTop w:val="0"/>
      <w:marBottom w:val="0"/>
      <w:divBdr>
        <w:top w:val="none" w:sz="0" w:space="0" w:color="auto"/>
        <w:left w:val="none" w:sz="0" w:space="0" w:color="auto"/>
        <w:bottom w:val="none" w:sz="0" w:space="0" w:color="auto"/>
        <w:right w:val="none" w:sz="0" w:space="0" w:color="auto"/>
      </w:divBdr>
      <w:divsChild>
        <w:div w:id="251936280">
          <w:marLeft w:val="0"/>
          <w:marRight w:val="0"/>
          <w:marTop w:val="0"/>
          <w:marBottom w:val="0"/>
          <w:divBdr>
            <w:top w:val="none" w:sz="0" w:space="0" w:color="auto"/>
            <w:left w:val="none" w:sz="0" w:space="0" w:color="auto"/>
            <w:bottom w:val="none" w:sz="0" w:space="0" w:color="auto"/>
            <w:right w:val="none" w:sz="0" w:space="0" w:color="auto"/>
          </w:divBdr>
        </w:div>
        <w:div w:id="451365839">
          <w:marLeft w:val="0"/>
          <w:marRight w:val="0"/>
          <w:marTop w:val="0"/>
          <w:marBottom w:val="0"/>
          <w:divBdr>
            <w:top w:val="none" w:sz="0" w:space="0" w:color="auto"/>
            <w:left w:val="none" w:sz="0" w:space="0" w:color="auto"/>
            <w:bottom w:val="none" w:sz="0" w:space="0" w:color="auto"/>
            <w:right w:val="none" w:sz="0" w:space="0" w:color="auto"/>
          </w:divBdr>
        </w:div>
        <w:div w:id="1084036919">
          <w:marLeft w:val="0"/>
          <w:marRight w:val="0"/>
          <w:marTop w:val="0"/>
          <w:marBottom w:val="0"/>
          <w:divBdr>
            <w:top w:val="none" w:sz="0" w:space="0" w:color="auto"/>
            <w:left w:val="none" w:sz="0" w:space="0" w:color="auto"/>
            <w:bottom w:val="none" w:sz="0" w:space="0" w:color="auto"/>
            <w:right w:val="none" w:sz="0" w:space="0" w:color="auto"/>
          </w:divBdr>
        </w:div>
        <w:div w:id="1232084122">
          <w:marLeft w:val="0"/>
          <w:marRight w:val="0"/>
          <w:marTop w:val="0"/>
          <w:marBottom w:val="0"/>
          <w:divBdr>
            <w:top w:val="none" w:sz="0" w:space="0" w:color="auto"/>
            <w:left w:val="none" w:sz="0" w:space="0" w:color="auto"/>
            <w:bottom w:val="none" w:sz="0" w:space="0" w:color="auto"/>
            <w:right w:val="none" w:sz="0" w:space="0" w:color="auto"/>
          </w:divBdr>
        </w:div>
        <w:div w:id="1574316523">
          <w:marLeft w:val="0"/>
          <w:marRight w:val="0"/>
          <w:marTop w:val="0"/>
          <w:marBottom w:val="0"/>
          <w:divBdr>
            <w:top w:val="none" w:sz="0" w:space="0" w:color="auto"/>
            <w:left w:val="none" w:sz="0" w:space="0" w:color="auto"/>
            <w:bottom w:val="none" w:sz="0" w:space="0" w:color="auto"/>
            <w:right w:val="none" w:sz="0" w:space="0" w:color="auto"/>
          </w:divBdr>
        </w:div>
      </w:divsChild>
    </w:div>
    <w:div w:id="634912802">
      <w:bodyDiv w:val="1"/>
      <w:marLeft w:val="0"/>
      <w:marRight w:val="0"/>
      <w:marTop w:val="0"/>
      <w:marBottom w:val="0"/>
      <w:divBdr>
        <w:top w:val="none" w:sz="0" w:space="0" w:color="auto"/>
        <w:left w:val="none" w:sz="0" w:space="0" w:color="auto"/>
        <w:bottom w:val="none" w:sz="0" w:space="0" w:color="auto"/>
        <w:right w:val="none" w:sz="0" w:space="0" w:color="auto"/>
      </w:divBdr>
    </w:div>
    <w:div w:id="707871609">
      <w:bodyDiv w:val="1"/>
      <w:marLeft w:val="0"/>
      <w:marRight w:val="0"/>
      <w:marTop w:val="0"/>
      <w:marBottom w:val="0"/>
      <w:divBdr>
        <w:top w:val="none" w:sz="0" w:space="0" w:color="auto"/>
        <w:left w:val="none" w:sz="0" w:space="0" w:color="auto"/>
        <w:bottom w:val="none" w:sz="0" w:space="0" w:color="auto"/>
        <w:right w:val="none" w:sz="0" w:space="0" w:color="auto"/>
      </w:divBdr>
    </w:div>
    <w:div w:id="714239260">
      <w:bodyDiv w:val="1"/>
      <w:marLeft w:val="0"/>
      <w:marRight w:val="0"/>
      <w:marTop w:val="0"/>
      <w:marBottom w:val="0"/>
      <w:divBdr>
        <w:top w:val="none" w:sz="0" w:space="0" w:color="auto"/>
        <w:left w:val="none" w:sz="0" w:space="0" w:color="auto"/>
        <w:bottom w:val="none" w:sz="0" w:space="0" w:color="auto"/>
        <w:right w:val="none" w:sz="0" w:space="0" w:color="auto"/>
      </w:divBdr>
    </w:div>
    <w:div w:id="837960047">
      <w:bodyDiv w:val="1"/>
      <w:marLeft w:val="0"/>
      <w:marRight w:val="0"/>
      <w:marTop w:val="0"/>
      <w:marBottom w:val="0"/>
      <w:divBdr>
        <w:top w:val="none" w:sz="0" w:space="0" w:color="auto"/>
        <w:left w:val="none" w:sz="0" w:space="0" w:color="auto"/>
        <w:bottom w:val="none" w:sz="0" w:space="0" w:color="auto"/>
        <w:right w:val="none" w:sz="0" w:space="0" w:color="auto"/>
      </w:divBdr>
    </w:div>
    <w:div w:id="850989238">
      <w:bodyDiv w:val="1"/>
      <w:marLeft w:val="0"/>
      <w:marRight w:val="0"/>
      <w:marTop w:val="0"/>
      <w:marBottom w:val="0"/>
      <w:divBdr>
        <w:top w:val="none" w:sz="0" w:space="0" w:color="auto"/>
        <w:left w:val="none" w:sz="0" w:space="0" w:color="auto"/>
        <w:bottom w:val="none" w:sz="0" w:space="0" w:color="auto"/>
        <w:right w:val="none" w:sz="0" w:space="0" w:color="auto"/>
      </w:divBdr>
      <w:divsChild>
        <w:div w:id="433283618">
          <w:marLeft w:val="0"/>
          <w:marRight w:val="0"/>
          <w:marTop w:val="0"/>
          <w:marBottom w:val="0"/>
          <w:divBdr>
            <w:top w:val="none" w:sz="0" w:space="0" w:color="auto"/>
            <w:left w:val="none" w:sz="0" w:space="0" w:color="auto"/>
            <w:bottom w:val="none" w:sz="0" w:space="0" w:color="auto"/>
            <w:right w:val="none" w:sz="0" w:space="0" w:color="auto"/>
          </w:divBdr>
        </w:div>
        <w:div w:id="721946678">
          <w:marLeft w:val="0"/>
          <w:marRight w:val="0"/>
          <w:marTop w:val="0"/>
          <w:marBottom w:val="0"/>
          <w:divBdr>
            <w:top w:val="none" w:sz="0" w:space="0" w:color="auto"/>
            <w:left w:val="none" w:sz="0" w:space="0" w:color="auto"/>
            <w:bottom w:val="none" w:sz="0" w:space="0" w:color="auto"/>
            <w:right w:val="none" w:sz="0" w:space="0" w:color="auto"/>
          </w:divBdr>
        </w:div>
        <w:div w:id="1172255465">
          <w:marLeft w:val="0"/>
          <w:marRight w:val="0"/>
          <w:marTop w:val="0"/>
          <w:marBottom w:val="0"/>
          <w:divBdr>
            <w:top w:val="none" w:sz="0" w:space="0" w:color="auto"/>
            <w:left w:val="none" w:sz="0" w:space="0" w:color="auto"/>
            <w:bottom w:val="none" w:sz="0" w:space="0" w:color="auto"/>
            <w:right w:val="none" w:sz="0" w:space="0" w:color="auto"/>
          </w:divBdr>
        </w:div>
        <w:div w:id="1864247503">
          <w:marLeft w:val="0"/>
          <w:marRight w:val="0"/>
          <w:marTop w:val="0"/>
          <w:marBottom w:val="0"/>
          <w:divBdr>
            <w:top w:val="none" w:sz="0" w:space="0" w:color="auto"/>
            <w:left w:val="none" w:sz="0" w:space="0" w:color="auto"/>
            <w:bottom w:val="none" w:sz="0" w:space="0" w:color="auto"/>
            <w:right w:val="none" w:sz="0" w:space="0" w:color="auto"/>
          </w:divBdr>
        </w:div>
      </w:divsChild>
    </w:div>
    <w:div w:id="977030526">
      <w:bodyDiv w:val="1"/>
      <w:marLeft w:val="0"/>
      <w:marRight w:val="0"/>
      <w:marTop w:val="0"/>
      <w:marBottom w:val="0"/>
      <w:divBdr>
        <w:top w:val="none" w:sz="0" w:space="0" w:color="auto"/>
        <w:left w:val="none" w:sz="0" w:space="0" w:color="auto"/>
        <w:bottom w:val="none" w:sz="0" w:space="0" w:color="auto"/>
        <w:right w:val="none" w:sz="0" w:space="0" w:color="auto"/>
      </w:divBdr>
    </w:div>
    <w:div w:id="1040209862">
      <w:bodyDiv w:val="1"/>
      <w:marLeft w:val="0"/>
      <w:marRight w:val="0"/>
      <w:marTop w:val="0"/>
      <w:marBottom w:val="0"/>
      <w:divBdr>
        <w:top w:val="none" w:sz="0" w:space="0" w:color="auto"/>
        <w:left w:val="none" w:sz="0" w:space="0" w:color="auto"/>
        <w:bottom w:val="none" w:sz="0" w:space="0" w:color="auto"/>
        <w:right w:val="none" w:sz="0" w:space="0" w:color="auto"/>
      </w:divBdr>
    </w:div>
    <w:div w:id="1162695205">
      <w:bodyDiv w:val="1"/>
      <w:marLeft w:val="0"/>
      <w:marRight w:val="0"/>
      <w:marTop w:val="0"/>
      <w:marBottom w:val="0"/>
      <w:divBdr>
        <w:top w:val="none" w:sz="0" w:space="0" w:color="auto"/>
        <w:left w:val="none" w:sz="0" w:space="0" w:color="auto"/>
        <w:bottom w:val="none" w:sz="0" w:space="0" w:color="auto"/>
        <w:right w:val="none" w:sz="0" w:space="0" w:color="auto"/>
      </w:divBdr>
    </w:div>
    <w:div w:id="1326007707">
      <w:bodyDiv w:val="1"/>
      <w:marLeft w:val="0"/>
      <w:marRight w:val="0"/>
      <w:marTop w:val="0"/>
      <w:marBottom w:val="0"/>
      <w:divBdr>
        <w:top w:val="none" w:sz="0" w:space="0" w:color="auto"/>
        <w:left w:val="none" w:sz="0" w:space="0" w:color="auto"/>
        <w:bottom w:val="none" w:sz="0" w:space="0" w:color="auto"/>
        <w:right w:val="none" w:sz="0" w:space="0" w:color="auto"/>
      </w:divBdr>
      <w:divsChild>
        <w:div w:id="364066675">
          <w:marLeft w:val="0"/>
          <w:marRight w:val="0"/>
          <w:marTop w:val="0"/>
          <w:marBottom w:val="0"/>
          <w:divBdr>
            <w:top w:val="none" w:sz="0" w:space="0" w:color="auto"/>
            <w:left w:val="none" w:sz="0" w:space="0" w:color="auto"/>
            <w:bottom w:val="none" w:sz="0" w:space="0" w:color="auto"/>
            <w:right w:val="none" w:sz="0" w:space="0" w:color="auto"/>
          </w:divBdr>
        </w:div>
        <w:div w:id="403912440">
          <w:marLeft w:val="0"/>
          <w:marRight w:val="0"/>
          <w:marTop w:val="0"/>
          <w:marBottom w:val="0"/>
          <w:divBdr>
            <w:top w:val="none" w:sz="0" w:space="0" w:color="auto"/>
            <w:left w:val="none" w:sz="0" w:space="0" w:color="auto"/>
            <w:bottom w:val="none" w:sz="0" w:space="0" w:color="auto"/>
            <w:right w:val="none" w:sz="0" w:space="0" w:color="auto"/>
          </w:divBdr>
        </w:div>
        <w:div w:id="671491679">
          <w:marLeft w:val="0"/>
          <w:marRight w:val="0"/>
          <w:marTop w:val="0"/>
          <w:marBottom w:val="0"/>
          <w:divBdr>
            <w:top w:val="none" w:sz="0" w:space="0" w:color="auto"/>
            <w:left w:val="none" w:sz="0" w:space="0" w:color="auto"/>
            <w:bottom w:val="none" w:sz="0" w:space="0" w:color="auto"/>
            <w:right w:val="none" w:sz="0" w:space="0" w:color="auto"/>
          </w:divBdr>
        </w:div>
        <w:div w:id="694573767">
          <w:marLeft w:val="0"/>
          <w:marRight w:val="0"/>
          <w:marTop w:val="0"/>
          <w:marBottom w:val="0"/>
          <w:divBdr>
            <w:top w:val="none" w:sz="0" w:space="0" w:color="auto"/>
            <w:left w:val="none" w:sz="0" w:space="0" w:color="auto"/>
            <w:bottom w:val="none" w:sz="0" w:space="0" w:color="auto"/>
            <w:right w:val="none" w:sz="0" w:space="0" w:color="auto"/>
          </w:divBdr>
        </w:div>
        <w:div w:id="745490406">
          <w:marLeft w:val="0"/>
          <w:marRight w:val="0"/>
          <w:marTop w:val="0"/>
          <w:marBottom w:val="0"/>
          <w:divBdr>
            <w:top w:val="none" w:sz="0" w:space="0" w:color="auto"/>
            <w:left w:val="none" w:sz="0" w:space="0" w:color="auto"/>
            <w:bottom w:val="none" w:sz="0" w:space="0" w:color="auto"/>
            <w:right w:val="none" w:sz="0" w:space="0" w:color="auto"/>
          </w:divBdr>
        </w:div>
        <w:div w:id="776293483">
          <w:marLeft w:val="0"/>
          <w:marRight w:val="0"/>
          <w:marTop w:val="0"/>
          <w:marBottom w:val="0"/>
          <w:divBdr>
            <w:top w:val="none" w:sz="0" w:space="0" w:color="auto"/>
            <w:left w:val="none" w:sz="0" w:space="0" w:color="auto"/>
            <w:bottom w:val="none" w:sz="0" w:space="0" w:color="auto"/>
            <w:right w:val="none" w:sz="0" w:space="0" w:color="auto"/>
          </w:divBdr>
        </w:div>
        <w:div w:id="1317763958">
          <w:marLeft w:val="0"/>
          <w:marRight w:val="0"/>
          <w:marTop w:val="0"/>
          <w:marBottom w:val="0"/>
          <w:divBdr>
            <w:top w:val="none" w:sz="0" w:space="0" w:color="auto"/>
            <w:left w:val="none" w:sz="0" w:space="0" w:color="auto"/>
            <w:bottom w:val="none" w:sz="0" w:space="0" w:color="auto"/>
            <w:right w:val="none" w:sz="0" w:space="0" w:color="auto"/>
          </w:divBdr>
        </w:div>
        <w:div w:id="1357388573">
          <w:marLeft w:val="0"/>
          <w:marRight w:val="0"/>
          <w:marTop w:val="0"/>
          <w:marBottom w:val="0"/>
          <w:divBdr>
            <w:top w:val="none" w:sz="0" w:space="0" w:color="auto"/>
            <w:left w:val="none" w:sz="0" w:space="0" w:color="auto"/>
            <w:bottom w:val="none" w:sz="0" w:space="0" w:color="auto"/>
            <w:right w:val="none" w:sz="0" w:space="0" w:color="auto"/>
          </w:divBdr>
        </w:div>
        <w:div w:id="1386299638">
          <w:marLeft w:val="0"/>
          <w:marRight w:val="0"/>
          <w:marTop w:val="0"/>
          <w:marBottom w:val="0"/>
          <w:divBdr>
            <w:top w:val="none" w:sz="0" w:space="0" w:color="auto"/>
            <w:left w:val="none" w:sz="0" w:space="0" w:color="auto"/>
            <w:bottom w:val="none" w:sz="0" w:space="0" w:color="auto"/>
            <w:right w:val="none" w:sz="0" w:space="0" w:color="auto"/>
          </w:divBdr>
        </w:div>
        <w:div w:id="1424454345">
          <w:marLeft w:val="0"/>
          <w:marRight w:val="0"/>
          <w:marTop w:val="0"/>
          <w:marBottom w:val="0"/>
          <w:divBdr>
            <w:top w:val="none" w:sz="0" w:space="0" w:color="auto"/>
            <w:left w:val="none" w:sz="0" w:space="0" w:color="auto"/>
            <w:bottom w:val="none" w:sz="0" w:space="0" w:color="auto"/>
            <w:right w:val="none" w:sz="0" w:space="0" w:color="auto"/>
          </w:divBdr>
        </w:div>
        <w:div w:id="1533685770">
          <w:marLeft w:val="0"/>
          <w:marRight w:val="0"/>
          <w:marTop w:val="0"/>
          <w:marBottom w:val="0"/>
          <w:divBdr>
            <w:top w:val="none" w:sz="0" w:space="0" w:color="auto"/>
            <w:left w:val="none" w:sz="0" w:space="0" w:color="auto"/>
            <w:bottom w:val="none" w:sz="0" w:space="0" w:color="auto"/>
            <w:right w:val="none" w:sz="0" w:space="0" w:color="auto"/>
          </w:divBdr>
        </w:div>
        <w:div w:id="1613710997">
          <w:marLeft w:val="0"/>
          <w:marRight w:val="0"/>
          <w:marTop w:val="0"/>
          <w:marBottom w:val="0"/>
          <w:divBdr>
            <w:top w:val="none" w:sz="0" w:space="0" w:color="auto"/>
            <w:left w:val="none" w:sz="0" w:space="0" w:color="auto"/>
            <w:bottom w:val="none" w:sz="0" w:space="0" w:color="auto"/>
            <w:right w:val="none" w:sz="0" w:space="0" w:color="auto"/>
          </w:divBdr>
        </w:div>
        <w:div w:id="1929920769">
          <w:marLeft w:val="0"/>
          <w:marRight w:val="0"/>
          <w:marTop w:val="0"/>
          <w:marBottom w:val="0"/>
          <w:divBdr>
            <w:top w:val="none" w:sz="0" w:space="0" w:color="auto"/>
            <w:left w:val="none" w:sz="0" w:space="0" w:color="auto"/>
            <w:bottom w:val="none" w:sz="0" w:space="0" w:color="auto"/>
            <w:right w:val="none" w:sz="0" w:space="0" w:color="auto"/>
          </w:divBdr>
        </w:div>
        <w:div w:id="2052263082">
          <w:marLeft w:val="0"/>
          <w:marRight w:val="0"/>
          <w:marTop w:val="0"/>
          <w:marBottom w:val="0"/>
          <w:divBdr>
            <w:top w:val="none" w:sz="0" w:space="0" w:color="auto"/>
            <w:left w:val="none" w:sz="0" w:space="0" w:color="auto"/>
            <w:bottom w:val="none" w:sz="0" w:space="0" w:color="auto"/>
            <w:right w:val="none" w:sz="0" w:space="0" w:color="auto"/>
          </w:divBdr>
        </w:div>
        <w:div w:id="2057005650">
          <w:marLeft w:val="0"/>
          <w:marRight w:val="0"/>
          <w:marTop w:val="0"/>
          <w:marBottom w:val="0"/>
          <w:divBdr>
            <w:top w:val="none" w:sz="0" w:space="0" w:color="auto"/>
            <w:left w:val="none" w:sz="0" w:space="0" w:color="auto"/>
            <w:bottom w:val="none" w:sz="0" w:space="0" w:color="auto"/>
            <w:right w:val="none" w:sz="0" w:space="0" w:color="auto"/>
          </w:divBdr>
        </w:div>
        <w:div w:id="2077311892">
          <w:marLeft w:val="0"/>
          <w:marRight w:val="0"/>
          <w:marTop w:val="0"/>
          <w:marBottom w:val="0"/>
          <w:divBdr>
            <w:top w:val="none" w:sz="0" w:space="0" w:color="auto"/>
            <w:left w:val="none" w:sz="0" w:space="0" w:color="auto"/>
            <w:bottom w:val="none" w:sz="0" w:space="0" w:color="auto"/>
            <w:right w:val="none" w:sz="0" w:space="0" w:color="auto"/>
          </w:divBdr>
        </w:div>
      </w:divsChild>
    </w:div>
    <w:div w:id="1371495697">
      <w:bodyDiv w:val="1"/>
      <w:marLeft w:val="0"/>
      <w:marRight w:val="0"/>
      <w:marTop w:val="0"/>
      <w:marBottom w:val="0"/>
      <w:divBdr>
        <w:top w:val="none" w:sz="0" w:space="0" w:color="auto"/>
        <w:left w:val="none" w:sz="0" w:space="0" w:color="auto"/>
        <w:bottom w:val="none" w:sz="0" w:space="0" w:color="auto"/>
        <w:right w:val="none" w:sz="0" w:space="0" w:color="auto"/>
      </w:divBdr>
      <w:divsChild>
        <w:div w:id="1707607576">
          <w:marLeft w:val="0"/>
          <w:marRight w:val="0"/>
          <w:marTop w:val="0"/>
          <w:marBottom w:val="0"/>
          <w:divBdr>
            <w:top w:val="none" w:sz="0" w:space="0" w:color="auto"/>
            <w:left w:val="none" w:sz="0" w:space="0" w:color="auto"/>
            <w:bottom w:val="none" w:sz="0" w:space="0" w:color="auto"/>
            <w:right w:val="none" w:sz="0" w:space="0" w:color="auto"/>
          </w:divBdr>
        </w:div>
      </w:divsChild>
    </w:div>
    <w:div w:id="1430396342">
      <w:bodyDiv w:val="1"/>
      <w:marLeft w:val="0"/>
      <w:marRight w:val="0"/>
      <w:marTop w:val="0"/>
      <w:marBottom w:val="0"/>
      <w:divBdr>
        <w:top w:val="none" w:sz="0" w:space="0" w:color="auto"/>
        <w:left w:val="none" w:sz="0" w:space="0" w:color="auto"/>
        <w:bottom w:val="none" w:sz="0" w:space="0" w:color="auto"/>
        <w:right w:val="none" w:sz="0" w:space="0" w:color="auto"/>
      </w:divBdr>
    </w:div>
    <w:div w:id="1451512274">
      <w:bodyDiv w:val="1"/>
      <w:marLeft w:val="0"/>
      <w:marRight w:val="0"/>
      <w:marTop w:val="0"/>
      <w:marBottom w:val="0"/>
      <w:divBdr>
        <w:top w:val="none" w:sz="0" w:space="0" w:color="auto"/>
        <w:left w:val="none" w:sz="0" w:space="0" w:color="auto"/>
        <w:bottom w:val="none" w:sz="0" w:space="0" w:color="auto"/>
        <w:right w:val="none" w:sz="0" w:space="0" w:color="auto"/>
      </w:divBdr>
    </w:div>
    <w:div w:id="1462921366">
      <w:bodyDiv w:val="1"/>
      <w:marLeft w:val="0"/>
      <w:marRight w:val="0"/>
      <w:marTop w:val="0"/>
      <w:marBottom w:val="0"/>
      <w:divBdr>
        <w:top w:val="none" w:sz="0" w:space="0" w:color="auto"/>
        <w:left w:val="none" w:sz="0" w:space="0" w:color="auto"/>
        <w:bottom w:val="none" w:sz="0" w:space="0" w:color="auto"/>
        <w:right w:val="none" w:sz="0" w:space="0" w:color="auto"/>
      </w:divBdr>
    </w:div>
    <w:div w:id="1495418707">
      <w:bodyDiv w:val="1"/>
      <w:marLeft w:val="0"/>
      <w:marRight w:val="0"/>
      <w:marTop w:val="0"/>
      <w:marBottom w:val="0"/>
      <w:divBdr>
        <w:top w:val="none" w:sz="0" w:space="0" w:color="auto"/>
        <w:left w:val="none" w:sz="0" w:space="0" w:color="auto"/>
        <w:bottom w:val="none" w:sz="0" w:space="0" w:color="auto"/>
        <w:right w:val="none" w:sz="0" w:space="0" w:color="auto"/>
      </w:divBdr>
    </w:div>
    <w:div w:id="1569725952">
      <w:bodyDiv w:val="1"/>
      <w:marLeft w:val="0"/>
      <w:marRight w:val="0"/>
      <w:marTop w:val="0"/>
      <w:marBottom w:val="0"/>
      <w:divBdr>
        <w:top w:val="none" w:sz="0" w:space="0" w:color="auto"/>
        <w:left w:val="none" w:sz="0" w:space="0" w:color="auto"/>
        <w:bottom w:val="none" w:sz="0" w:space="0" w:color="auto"/>
        <w:right w:val="none" w:sz="0" w:space="0" w:color="auto"/>
      </w:divBdr>
      <w:divsChild>
        <w:div w:id="226459415">
          <w:marLeft w:val="0"/>
          <w:marRight w:val="0"/>
          <w:marTop w:val="0"/>
          <w:marBottom w:val="0"/>
          <w:divBdr>
            <w:top w:val="none" w:sz="0" w:space="0" w:color="auto"/>
            <w:left w:val="none" w:sz="0" w:space="0" w:color="auto"/>
            <w:bottom w:val="none" w:sz="0" w:space="0" w:color="auto"/>
            <w:right w:val="none" w:sz="0" w:space="0" w:color="auto"/>
          </w:divBdr>
        </w:div>
        <w:div w:id="420372922">
          <w:marLeft w:val="0"/>
          <w:marRight w:val="0"/>
          <w:marTop w:val="0"/>
          <w:marBottom w:val="0"/>
          <w:divBdr>
            <w:top w:val="none" w:sz="0" w:space="0" w:color="auto"/>
            <w:left w:val="none" w:sz="0" w:space="0" w:color="auto"/>
            <w:bottom w:val="none" w:sz="0" w:space="0" w:color="auto"/>
            <w:right w:val="none" w:sz="0" w:space="0" w:color="auto"/>
          </w:divBdr>
        </w:div>
        <w:div w:id="440993772">
          <w:marLeft w:val="0"/>
          <w:marRight w:val="0"/>
          <w:marTop w:val="0"/>
          <w:marBottom w:val="0"/>
          <w:divBdr>
            <w:top w:val="none" w:sz="0" w:space="0" w:color="auto"/>
            <w:left w:val="none" w:sz="0" w:space="0" w:color="auto"/>
            <w:bottom w:val="none" w:sz="0" w:space="0" w:color="auto"/>
            <w:right w:val="none" w:sz="0" w:space="0" w:color="auto"/>
          </w:divBdr>
        </w:div>
        <w:div w:id="513812288">
          <w:marLeft w:val="0"/>
          <w:marRight w:val="0"/>
          <w:marTop w:val="0"/>
          <w:marBottom w:val="0"/>
          <w:divBdr>
            <w:top w:val="none" w:sz="0" w:space="0" w:color="auto"/>
            <w:left w:val="none" w:sz="0" w:space="0" w:color="auto"/>
            <w:bottom w:val="none" w:sz="0" w:space="0" w:color="auto"/>
            <w:right w:val="none" w:sz="0" w:space="0" w:color="auto"/>
          </w:divBdr>
        </w:div>
        <w:div w:id="680395947">
          <w:marLeft w:val="0"/>
          <w:marRight w:val="0"/>
          <w:marTop w:val="0"/>
          <w:marBottom w:val="0"/>
          <w:divBdr>
            <w:top w:val="none" w:sz="0" w:space="0" w:color="auto"/>
            <w:left w:val="none" w:sz="0" w:space="0" w:color="auto"/>
            <w:bottom w:val="none" w:sz="0" w:space="0" w:color="auto"/>
            <w:right w:val="none" w:sz="0" w:space="0" w:color="auto"/>
          </w:divBdr>
        </w:div>
        <w:div w:id="948702451">
          <w:marLeft w:val="0"/>
          <w:marRight w:val="0"/>
          <w:marTop w:val="0"/>
          <w:marBottom w:val="0"/>
          <w:divBdr>
            <w:top w:val="none" w:sz="0" w:space="0" w:color="auto"/>
            <w:left w:val="none" w:sz="0" w:space="0" w:color="auto"/>
            <w:bottom w:val="none" w:sz="0" w:space="0" w:color="auto"/>
            <w:right w:val="none" w:sz="0" w:space="0" w:color="auto"/>
          </w:divBdr>
        </w:div>
        <w:div w:id="1074859094">
          <w:marLeft w:val="0"/>
          <w:marRight w:val="0"/>
          <w:marTop w:val="0"/>
          <w:marBottom w:val="0"/>
          <w:divBdr>
            <w:top w:val="none" w:sz="0" w:space="0" w:color="auto"/>
            <w:left w:val="none" w:sz="0" w:space="0" w:color="auto"/>
            <w:bottom w:val="none" w:sz="0" w:space="0" w:color="auto"/>
            <w:right w:val="none" w:sz="0" w:space="0" w:color="auto"/>
          </w:divBdr>
        </w:div>
        <w:div w:id="1091009286">
          <w:marLeft w:val="0"/>
          <w:marRight w:val="0"/>
          <w:marTop w:val="0"/>
          <w:marBottom w:val="0"/>
          <w:divBdr>
            <w:top w:val="none" w:sz="0" w:space="0" w:color="auto"/>
            <w:left w:val="none" w:sz="0" w:space="0" w:color="auto"/>
            <w:bottom w:val="none" w:sz="0" w:space="0" w:color="auto"/>
            <w:right w:val="none" w:sz="0" w:space="0" w:color="auto"/>
          </w:divBdr>
        </w:div>
        <w:div w:id="1226448088">
          <w:marLeft w:val="0"/>
          <w:marRight w:val="0"/>
          <w:marTop w:val="0"/>
          <w:marBottom w:val="0"/>
          <w:divBdr>
            <w:top w:val="none" w:sz="0" w:space="0" w:color="auto"/>
            <w:left w:val="none" w:sz="0" w:space="0" w:color="auto"/>
            <w:bottom w:val="none" w:sz="0" w:space="0" w:color="auto"/>
            <w:right w:val="none" w:sz="0" w:space="0" w:color="auto"/>
          </w:divBdr>
        </w:div>
        <w:div w:id="1228566916">
          <w:marLeft w:val="0"/>
          <w:marRight w:val="0"/>
          <w:marTop w:val="0"/>
          <w:marBottom w:val="0"/>
          <w:divBdr>
            <w:top w:val="none" w:sz="0" w:space="0" w:color="auto"/>
            <w:left w:val="none" w:sz="0" w:space="0" w:color="auto"/>
            <w:bottom w:val="none" w:sz="0" w:space="0" w:color="auto"/>
            <w:right w:val="none" w:sz="0" w:space="0" w:color="auto"/>
          </w:divBdr>
        </w:div>
        <w:div w:id="1450003008">
          <w:marLeft w:val="0"/>
          <w:marRight w:val="0"/>
          <w:marTop w:val="0"/>
          <w:marBottom w:val="0"/>
          <w:divBdr>
            <w:top w:val="none" w:sz="0" w:space="0" w:color="auto"/>
            <w:left w:val="none" w:sz="0" w:space="0" w:color="auto"/>
            <w:bottom w:val="none" w:sz="0" w:space="0" w:color="auto"/>
            <w:right w:val="none" w:sz="0" w:space="0" w:color="auto"/>
          </w:divBdr>
        </w:div>
        <w:div w:id="1653215759">
          <w:marLeft w:val="0"/>
          <w:marRight w:val="0"/>
          <w:marTop w:val="0"/>
          <w:marBottom w:val="0"/>
          <w:divBdr>
            <w:top w:val="none" w:sz="0" w:space="0" w:color="auto"/>
            <w:left w:val="none" w:sz="0" w:space="0" w:color="auto"/>
            <w:bottom w:val="none" w:sz="0" w:space="0" w:color="auto"/>
            <w:right w:val="none" w:sz="0" w:space="0" w:color="auto"/>
          </w:divBdr>
        </w:div>
        <w:div w:id="1702783661">
          <w:marLeft w:val="0"/>
          <w:marRight w:val="0"/>
          <w:marTop w:val="0"/>
          <w:marBottom w:val="0"/>
          <w:divBdr>
            <w:top w:val="none" w:sz="0" w:space="0" w:color="auto"/>
            <w:left w:val="none" w:sz="0" w:space="0" w:color="auto"/>
            <w:bottom w:val="none" w:sz="0" w:space="0" w:color="auto"/>
            <w:right w:val="none" w:sz="0" w:space="0" w:color="auto"/>
          </w:divBdr>
        </w:div>
        <w:div w:id="1837109671">
          <w:marLeft w:val="0"/>
          <w:marRight w:val="0"/>
          <w:marTop w:val="0"/>
          <w:marBottom w:val="0"/>
          <w:divBdr>
            <w:top w:val="none" w:sz="0" w:space="0" w:color="auto"/>
            <w:left w:val="none" w:sz="0" w:space="0" w:color="auto"/>
            <w:bottom w:val="none" w:sz="0" w:space="0" w:color="auto"/>
            <w:right w:val="none" w:sz="0" w:space="0" w:color="auto"/>
          </w:divBdr>
        </w:div>
        <w:div w:id="1886595552">
          <w:marLeft w:val="0"/>
          <w:marRight w:val="0"/>
          <w:marTop w:val="0"/>
          <w:marBottom w:val="0"/>
          <w:divBdr>
            <w:top w:val="none" w:sz="0" w:space="0" w:color="auto"/>
            <w:left w:val="none" w:sz="0" w:space="0" w:color="auto"/>
            <w:bottom w:val="none" w:sz="0" w:space="0" w:color="auto"/>
            <w:right w:val="none" w:sz="0" w:space="0" w:color="auto"/>
          </w:divBdr>
        </w:div>
      </w:divsChild>
    </w:div>
    <w:div w:id="1630356997">
      <w:bodyDiv w:val="1"/>
      <w:marLeft w:val="0"/>
      <w:marRight w:val="0"/>
      <w:marTop w:val="0"/>
      <w:marBottom w:val="0"/>
      <w:divBdr>
        <w:top w:val="none" w:sz="0" w:space="0" w:color="auto"/>
        <w:left w:val="none" w:sz="0" w:space="0" w:color="auto"/>
        <w:bottom w:val="none" w:sz="0" w:space="0" w:color="auto"/>
        <w:right w:val="none" w:sz="0" w:space="0" w:color="auto"/>
      </w:divBdr>
    </w:div>
    <w:div w:id="1674532782">
      <w:bodyDiv w:val="1"/>
      <w:marLeft w:val="0"/>
      <w:marRight w:val="0"/>
      <w:marTop w:val="0"/>
      <w:marBottom w:val="0"/>
      <w:divBdr>
        <w:top w:val="none" w:sz="0" w:space="0" w:color="auto"/>
        <w:left w:val="none" w:sz="0" w:space="0" w:color="auto"/>
        <w:bottom w:val="none" w:sz="0" w:space="0" w:color="auto"/>
        <w:right w:val="none" w:sz="0" w:space="0" w:color="auto"/>
      </w:divBdr>
    </w:div>
    <w:div w:id="1693602557">
      <w:bodyDiv w:val="1"/>
      <w:marLeft w:val="0"/>
      <w:marRight w:val="0"/>
      <w:marTop w:val="0"/>
      <w:marBottom w:val="0"/>
      <w:divBdr>
        <w:top w:val="none" w:sz="0" w:space="0" w:color="auto"/>
        <w:left w:val="none" w:sz="0" w:space="0" w:color="auto"/>
        <w:bottom w:val="none" w:sz="0" w:space="0" w:color="auto"/>
        <w:right w:val="none" w:sz="0" w:space="0" w:color="auto"/>
      </w:divBdr>
    </w:div>
    <w:div w:id="1768766547">
      <w:bodyDiv w:val="1"/>
      <w:marLeft w:val="0"/>
      <w:marRight w:val="0"/>
      <w:marTop w:val="0"/>
      <w:marBottom w:val="0"/>
      <w:divBdr>
        <w:top w:val="none" w:sz="0" w:space="0" w:color="auto"/>
        <w:left w:val="none" w:sz="0" w:space="0" w:color="auto"/>
        <w:bottom w:val="none" w:sz="0" w:space="0" w:color="auto"/>
        <w:right w:val="none" w:sz="0" w:space="0" w:color="auto"/>
      </w:divBdr>
    </w:div>
    <w:div w:id="1825511163">
      <w:bodyDiv w:val="1"/>
      <w:marLeft w:val="0"/>
      <w:marRight w:val="0"/>
      <w:marTop w:val="0"/>
      <w:marBottom w:val="0"/>
      <w:divBdr>
        <w:top w:val="none" w:sz="0" w:space="0" w:color="auto"/>
        <w:left w:val="none" w:sz="0" w:space="0" w:color="auto"/>
        <w:bottom w:val="none" w:sz="0" w:space="0" w:color="auto"/>
        <w:right w:val="none" w:sz="0" w:space="0" w:color="auto"/>
      </w:divBdr>
    </w:div>
    <w:div w:id="1900824128">
      <w:bodyDiv w:val="1"/>
      <w:marLeft w:val="0"/>
      <w:marRight w:val="0"/>
      <w:marTop w:val="0"/>
      <w:marBottom w:val="0"/>
      <w:divBdr>
        <w:top w:val="none" w:sz="0" w:space="0" w:color="auto"/>
        <w:left w:val="none" w:sz="0" w:space="0" w:color="auto"/>
        <w:bottom w:val="none" w:sz="0" w:space="0" w:color="auto"/>
        <w:right w:val="none" w:sz="0" w:space="0" w:color="auto"/>
      </w:divBdr>
    </w:div>
    <w:div w:id="1946570825">
      <w:bodyDiv w:val="1"/>
      <w:marLeft w:val="0"/>
      <w:marRight w:val="0"/>
      <w:marTop w:val="0"/>
      <w:marBottom w:val="0"/>
      <w:divBdr>
        <w:top w:val="none" w:sz="0" w:space="0" w:color="auto"/>
        <w:left w:val="none" w:sz="0" w:space="0" w:color="auto"/>
        <w:bottom w:val="none" w:sz="0" w:space="0" w:color="auto"/>
        <w:right w:val="none" w:sz="0" w:space="0" w:color="auto"/>
      </w:divBdr>
    </w:div>
    <w:div w:id="1989363406">
      <w:bodyDiv w:val="1"/>
      <w:marLeft w:val="0"/>
      <w:marRight w:val="0"/>
      <w:marTop w:val="0"/>
      <w:marBottom w:val="0"/>
      <w:divBdr>
        <w:top w:val="none" w:sz="0" w:space="0" w:color="auto"/>
        <w:left w:val="none" w:sz="0" w:space="0" w:color="auto"/>
        <w:bottom w:val="none" w:sz="0" w:space="0" w:color="auto"/>
        <w:right w:val="none" w:sz="0" w:space="0" w:color="auto"/>
      </w:divBdr>
      <w:divsChild>
        <w:div w:id="205147272">
          <w:marLeft w:val="0"/>
          <w:marRight w:val="0"/>
          <w:marTop w:val="0"/>
          <w:marBottom w:val="0"/>
          <w:divBdr>
            <w:top w:val="none" w:sz="0" w:space="0" w:color="auto"/>
            <w:left w:val="none" w:sz="0" w:space="0" w:color="auto"/>
            <w:bottom w:val="none" w:sz="0" w:space="0" w:color="auto"/>
            <w:right w:val="none" w:sz="0" w:space="0" w:color="auto"/>
          </w:divBdr>
        </w:div>
        <w:div w:id="280460367">
          <w:marLeft w:val="0"/>
          <w:marRight w:val="0"/>
          <w:marTop w:val="0"/>
          <w:marBottom w:val="0"/>
          <w:divBdr>
            <w:top w:val="none" w:sz="0" w:space="0" w:color="auto"/>
            <w:left w:val="none" w:sz="0" w:space="0" w:color="auto"/>
            <w:bottom w:val="none" w:sz="0" w:space="0" w:color="auto"/>
            <w:right w:val="none" w:sz="0" w:space="0" w:color="auto"/>
          </w:divBdr>
        </w:div>
        <w:div w:id="287854576">
          <w:marLeft w:val="0"/>
          <w:marRight w:val="0"/>
          <w:marTop w:val="0"/>
          <w:marBottom w:val="0"/>
          <w:divBdr>
            <w:top w:val="none" w:sz="0" w:space="0" w:color="auto"/>
            <w:left w:val="none" w:sz="0" w:space="0" w:color="auto"/>
            <w:bottom w:val="none" w:sz="0" w:space="0" w:color="auto"/>
            <w:right w:val="none" w:sz="0" w:space="0" w:color="auto"/>
          </w:divBdr>
        </w:div>
        <w:div w:id="1047216966">
          <w:marLeft w:val="0"/>
          <w:marRight w:val="0"/>
          <w:marTop w:val="0"/>
          <w:marBottom w:val="0"/>
          <w:divBdr>
            <w:top w:val="none" w:sz="0" w:space="0" w:color="auto"/>
            <w:left w:val="none" w:sz="0" w:space="0" w:color="auto"/>
            <w:bottom w:val="none" w:sz="0" w:space="0" w:color="auto"/>
            <w:right w:val="none" w:sz="0" w:space="0" w:color="auto"/>
          </w:divBdr>
        </w:div>
      </w:divsChild>
    </w:div>
    <w:div w:id="2081249941">
      <w:bodyDiv w:val="1"/>
      <w:marLeft w:val="0"/>
      <w:marRight w:val="0"/>
      <w:marTop w:val="0"/>
      <w:marBottom w:val="0"/>
      <w:divBdr>
        <w:top w:val="none" w:sz="0" w:space="0" w:color="auto"/>
        <w:left w:val="none" w:sz="0" w:space="0" w:color="auto"/>
        <w:bottom w:val="none" w:sz="0" w:space="0" w:color="auto"/>
        <w:right w:val="none" w:sz="0" w:space="0" w:color="auto"/>
      </w:divBdr>
      <w:divsChild>
        <w:div w:id="227233123">
          <w:marLeft w:val="0"/>
          <w:marRight w:val="0"/>
          <w:marTop w:val="0"/>
          <w:marBottom w:val="0"/>
          <w:divBdr>
            <w:top w:val="none" w:sz="0" w:space="0" w:color="auto"/>
            <w:left w:val="none" w:sz="0" w:space="0" w:color="auto"/>
            <w:bottom w:val="none" w:sz="0" w:space="0" w:color="auto"/>
            <w:right w:val="none" w:sz="0" w:space="0" w:color="auto"/>
          </w:divBdr>
        </w:div>
      </w:divsChild>
    </w:div>
    <w:div w:id="2115049923">
      <w:bodyDiv w:val="1"/>
      <w:marLeft w:val="0"/>
      <w:marRight w:val="0"/>
      <w:marTop w:val="0"/>
      <w:marBottom w:val="0"/>
      <w:divBdr>
        <w:top w:val="none" w:sz="0" w:space="0" w:color="auto"/>
        <w:left w:val="none" w:sz="0" w:space="0" w:color="auto"/>
        <w:bottom w:val="none" w:sz="0" w:space="0" w:color="auto"/>
        <w:right w:val="none" w:sz="0" w:space="0" w:color="auto"/>
      </w:divBdr>
    </w:div>
    <w:div w:id="2119447600">
      <w:bodyDiv w:val="1"/>
      <w:marLeft w:val="0"/>
      <w:marRight w:val="0"/>
      <w:marTop w:val="0"/>
      <w:marBottom w:val="0"/>
      <w:divBdr>
        <w:top w:val="none" w:sz="0" w:space="0" w:color="auto"/>
        <w:left w:val="none" w:sz="0" w:space="0" w:color="auto"/>
        <w:bottom w:val="none" w:sz="0" w:space="0" w:color="auto"/>
        <w:right w:val="none" w:sz="0" w:space="0" w:color="auto"/>
      </w:divBdr>
    </w:div>
    <w:div w:id="2121410251">
      <w:bodyDiv w:val="1"/>
      <w:marLeft w:val="0"/>
      <w:marRight w:val="0"/>
      <w:marTop w:val="0"/>
      <w:marBottom w:val="0"/>
      <w:divBdr>
        <w:top w:val="none" w:sz="0" w:space="0" w:color="auto"/>
        <w:left w:val="none" w:sz="0" w:space="0" w:color="auto"/>
        <w:bottom w:val="none" w:sz="0" w:space="0" w:color="auto"/>
        <w:right w:val="none" w:sz="0" w:space="0" w:color="auto"/>
      </w:divBdr>
      <w:divsChild>
        <w:div w:id="68894814">
          <w:marLeft w:val="0"/>
          <w:marRight w:val="0"/>
          <w:marTop w:val="0"/>
          <w:marBottom w:val="0"/>
          <w:divBdr>
            <w:top w:val="none" w:sz="0" w:space="0" w:color="auto"/>
            <w:left w:val="none" w:sz="0" w:space="0" w:color="auto"/>
            <w:bottom w:val="none" w:sz="0" w:space="0" w:color="auto"/>
            <w:right w:val="none" w:sz="0" w:space="0" w:color="auto"/>
          </w:divBdr>
          <w:divsChild>
            <w:div w:id="62221592">
              <w:marLeft w:val="0"/>
              <w:marRight w:val="0"/>
              <w:marTop w:val="0"/>
              <w:marBottom w:val="0"/>
              <w:divBdr>
                <w:top w:val="none" w:sz="0" w:space="0" w:color="auto"/>
                <w:left w:val="none" w:sz="0" w:space="0" w:color="auto"/>
                <w:bottom w:val="none" w:sz="0" w:space="0" w:color="auto"/>
                <w:right w:val="none" w:sz="0" w:space="0" w:color="auto"/>
              </w:divBdr>
            </w:div>
            <w:div w:id="14871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image" Target="media/image22.emf"/><Relationship Id="rId84" Type="http://schemas.openxmlformats.org/officeDocument/2006/relationships/footer" Target="footer17.xml"/><Relationship Id="rId138" Type="http://schemas.openxmlformats.org/officeDocument/2006/relationships/header" Target="header37.xml"/><Relationship Id="rId159" Type="http://schemas.openxmlformats.org/officeDocument/2006/relationships/image" Target="media/image84.emf"/><Relationship Id="rId170" Type="http://schemas.openxmlformats.org/officeDocument/2006/relationships/header" Target="header41.xml"/><Relationship Id="rId191" Type="http://schemas.openxmlformats.org/officeDocument/2006/relationships/image" Target="media/image98.emf"/><Relationship Id="rId205" Type="http://schemas.openxmlformats.org/officeDocument/2006/relationships/footer" Target="footer44.xml"/><Relationship Id="rId226" Type="http://schemas.openxmlformats.org/officeDocument/2006/relationships/image" Target="media/image103.jpg"/><Relationship Id="rId107" Type="http://schemas.openxmlformats.org/officeDocument/2006/relationships/image" Target="media/image54.png"/><Relationship Id="rId11" Type="http://schemas.openxmlformats.org/officeDocument/2006/relationships/footer" Target="footer1.xml"/><Relationship Id="rId32" Type="http://schemas.openxmlformats.org/officeDocument/2006/relationships/footer" Target="footer8.xml"/><Relationship Id="rId53"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image" Target="media/image65.emf"/><Relationship Id="rId149" Type="http://schemas.openxmlformats.org/officeDocument/2006/relationships/image" Target="media/image74.png"/><Relationship Id="rId5" Type="http://schemas.openxmlformats.org/officeDocument/2006/relationships/settings" Target="settings.xml"/><Relationship Id="rId95" Type="http://schemas.openxmlformats.org/officeDocument/2006/relationships/image" Target="media/image48.emf"/><Relationship Id="rId160" Type="http://schemas.openxmlformats.org/officeDocument/2006/relationships/image" Target="media/image85.emf"/><Relationship Id="rId181" Type="http://schemas.openxmlformats.org/officeDocument/2006/relationships/image" Target="media/image94.emf"/><Relationship Id="rId216" Type="http://schemas.openxmlformats.org/officeDocument/2006/relationships/hyperlink" Target="https://www.nhmrc.gov.au/guidelines/publications/n55" TargetMode="External"/><Relationship Id="rId22" Type="http://schemas.openxmlformats.org/officeDocument/2006/relationships/header" Target="header9.xml"/><Relationship Id="rId27" Type="http://schemas.openxmlformats.org/officeDocument/2006/relationships/hyperlink" Target="http://www.dss.gov.au/our-responsibilities/families-and-children/programs-services/income-management" TargetMode="External"/><Relationship Id="rId43" Type="http://schemas.openxmlformats.org/officeDocument/2006/relationships/footer" Target="footer12.xml"/><Relationship Id="rId48" Type="http://schemas.openxmlformats.org/officeDocument/2006/relationships/image" Target="media/image7.emf"/><Relationship Id="rId64" Type="http://schemas.openxmlformats.org/officeDocument/2006/relationships/image" Target="media/image23.emf"/><Relationship Id="rId69" Type="http://schemas.openxmlformats.org/officeDocument/2006/relationships/image" Target="media/image28.emf"/><Relationship Id="rId113" Type="http://schemas.openxmlformats.org/officeDocument/2006/relationships/footer" Target="footer22.xml"/><Relationship Id="rId118" Type="http://schemas.openxmlformats.org/officeDocument/2006/relationships/header" Target="header32.xml"/><Relationship Id="rId134" Type="http://schemas.openxmlformats.org/officeDocument/2006/relationships/footer" Target="footer24.xml"/><Relationship Id="rId139" Type="http://schemas.openxmlformats.org/officeDocument/2006/relationships/header" Target="header38.xml"/><Relationship Id="rId80" Type="http://schemas.openxmlformats.org/officeDocument/2006/relationships/header" Target="header22.xml"/><Relationship Id="rId85" Type="http://schemas.openxmlformats.org/officeDocument/2006/relationships/image" Target="media/image38.emf"/><Relationship Id="rId150" Type="http://schemas.openxmlformats.org/officeDocument/2006/relationships/image" Target="media/image75.png"/><Relationship Id="rId155" Type="http://schemas.openxmlformats.org/officeDocument/2006/relationships/image" Target="media/image80.emf"/><Relationship Id="rId171" Type="http://schemas.openxmlformats.org/officeDocument/2006/relationships/footer" Target="footer30.xml"/><Relationship Id="rId176" Type="http://schemas.openxmlformats.org/officeDocument/2006/relationships/header" Target="header44.xml"/><Relationship Id="rId192" Type="http://schemas.openxmlformats.org/officeDocument/2006/relationships/image" Target="media/image99.emf"/><Relationship Id="rId197" Type="http://schemas.openxmlformats.org/officeDocument/2006/relationships/footer" Target="footer40.xml"/><Relationship Id="rId206" Type="http://schemas.openxmlformats.org/officeDocument/2006/relationships/header" Target="header55.xml"/><Relationship Id="rId227" Type="http://schemas.openxmlformats.org/officeDocument/2006/relationships/image" Target="media/image104.jpg"/><Relationship Id="rId201" Type="http://schemas.openxmlformats.org/officeDocument/2006/relationships/header" Target="header53.xml"/><Relationship Id="rId222" Type="http://schemas.openxmlformats.org/officeDocument/2006/relationships/header" Target="header59.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4.emf"/><Relationship Id="rId38" Type="http://schemas.openxmlformats.org/officeDocument/2006/relationships/footer" Target="footer10.xml"/><Relationship Id="rId59" Type="http://schemas.openxmlformats.org/officeDocument/2006/relationships/image" Target="media/image18.png"/><Relationship Id="rId103" Type="http://schemas.openxmlformats.org/officeDocument/2006/relationships/image" Target="media/image50.jpg"/><Relationship Id="rId108" Type="http://schemas.openxmlformats.org/officeDocument/2006/relationships/image" Target="media/image55.emf"/><Relationship Id="rId124" Type="http://schemas.openxmlformats.org/officeDocument/2006/relationships/image" Target="media/image61.emf"/><Relationship Id="rId129" Type="http://schemas.openxmlformats.org/officeDocument/2006/relationships/image" Target="media/image66.emf"/><Relationship Id="rId54" Type="http://schemas.openxmlformats.org/officeDocument/2006/relationships/image" Target="media/image13.emf"/><Relationship Id="rId70" Type="http://schemas.openxmlformats.org/officeDocument/2006/relationships/image" Target="media/image29.emf"/><Relationship Id="rId75" Type="http://schemas.openxmlformats.org/officeDocument/2006/relationships/image" Target="media/image34.emf"/><Relationship Id="rId91" Type="http://schemas.openxmlformats.org/officeDocument/2006/relationships/image" Target="media/image44.emf"/><Relationship Id="rId96" Type="http://schemas.openxmlformats.org/officeDocument/2006/relationships/header" Target="header24.xml"/><Relationship Id="rId140" Type="http://schemas.openxmlformats.org/officeDocument/2006/relationships/footer" Target="footer27.xml"/><Relationship Id="rId145" Type="http://schemas.openxmlformats.org/officeDocument/2006/relationships/image" Target="media/image70.emf"/><Relationship Id="rId161" Type="http://schemas.openxmlformats.org/officeDocument/2006/relationships/image" Target="media/image86.emf"/><Relationship Id="rId166" Type="http://schemas.openxmlformats.org/officeDocument/2006/relationships/image" Target="media/image91.emf"/><Relationship Id="rId182" Type="http://schemas.openxmlformats.org/officeDocument/2006/relationships/image" Target="media/image95.emf"/><Relationship Id="rId187" Type="http://schemas.openxmlformats.org/officeDocument/2006/relationships/footer" Target="footer37.xml"/><Relationship Id="rId217" Type="http://schemas.openxmlformats.org/officeDocument/2006/relationships/hyperlink" Target="http://www.education.nt.gov.au/students/at-school/enrolment-attendance/enrolment-attendance-statistics/2013-enrolment-and-attendance-statistic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cma.gov.au/Industry/Telco/Numbering/Numbering-Plan/free-means-free-calls-from-mobile-phones-to-18-1800-freephone-numbers" TargetMode="External"/><Relationship Id="rId233" Type="http://schemas.openxmlformats.org/officeDocument/2006/relationships/theme" Target="theme/theme1.xml"/><Relationship Id="rId23" Type="http://schemas.openxmlformats.org/officeDocument/2006/relationships/header" Target="header10.xml"/><Relationship Id="rId28" Type="http://schemas.openxmlformats.org/officeDocument/2006/relationships/header" Target="header12.xml"/><Relationship Id="rId49" Type="http://schemas.openxmlformats.org/officeDocument/2006/relationships/image" Target="media/image8.emf"/><Relationship Id="rId114" Type="http://schemas.openxmlformats.org/officeDocument/2006/relationships/header" Target="header29.xml"/><Relationship Id="rId119" Type="http://schemas.openxmlformats.org/officeDocument/2006/relationships/image" Target="media/image57.emf"/><Relationship Id="rId44" Type="http://schemas.openxmlformats.org/officeDocument/2006/relationships/footer" Target="footer13.xml"/><Relationship Id="rId60" Type="http://schemas.openxmlformats.org/officeDocument/2006/relationships/image" Target="media/image19.emf"/><Relationship Id="rId65" Type="http://schemas.openxmlformats.org/officeDocument/2006/relationships/image" Target="media/image24.emf"/><Relationship Id="rId81" Type="http://schemas.openxmlformats.org/officeDocument/2006/relationships/footer" Target="footer15.xml"/><Relationship Id="rId86" Type="http://schemas.openxmlformats.org/officeDocument/2006/relationships/image" Target="media/image39.emf"/><Relationship Id="rId130" Type="http://schemas.openxmlformats.org/officeDocument/2006/relationships/image" Target="media/image67.emf"/><Relationship Id="rId135" Type="http://schemas.openxmlformats.org/officeDocument/2006/relationships/footer" Target="footer25.xml"/><Relationship Id="rId151" Type="http://schemas.openxmlformats.org/officeDocument/2006/relationships/image" Target="media/image76.png"/><Relationship Id="rId156" Type="http://schemas.openxmlformats.org/officeDocument/2006/relationships/image" Target="media/image81.emf"/><Relationship Id="rId177" Type="http://schemas.openxmlformats.org/officeDocument/2006/relationships/footer" Target="footer33.xml"/><Relationship Id="rId198" Type="http://schemas.openxmlformats.org/officeDocument/2006/relationships/header" Target="header51.xml"/><Relationship Id="rId172" Type="http://schemas.openxmlformats.org/officeDocument/2006/relationships/footer" Target="footer31.xml"/><Relationship Id="rId193" Type="http://schemas.openxmlformats.org/officeDocument/2006/relationships/image" Target="media/image100.emf"/><Relationship Id="rId202" Type="http://schemas.openxmlformats.org/officeDocument/2006/relationships/footer" Target="footer42.xml"/><Relationship Id="rId207" Type="http://schemas.openxmlformats.org/officeDocument/2006/relationships/header" Target="header56.xml"/><Relationship Id="rId223" Type="http://schemas.openxmlformats.org/officeDocument/2006/relationships/header" Target="header60.xml"/><Relationship Id="rId228" Type="http://schemas.openxmlformats.org/officeDocument/2006/relationships/image" Target="media/image105.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7.xml"/><Relationship Id="rId109" Type="http://schemas.openxmlformats.org/officeDocument/2006/relationships/image" Target="media/image56.emf"/><Relationship Id="rId34" Type="http://schemas.openxmlformats.org/officeDocument/2006/relationships/image" Target="media/image5.gif"/><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image" Target="media/image35.emf"/><Relationship Id="rId97" Type="http://schemas.openxmlformats.org/officeDocument/2006/relationships/header" Target="header25.xml"/><Relationship Id="rId104" Type="http://schemas.openxmlformats.org/officeDocument/2006/relationships/image" Target="media/image51.png"/><Relationship Id="rId120" Type="http://schemas.openxmlformats.org/officeDocument/2006/relationships/image" Target="media/image58.emf"/><Relationship Id="rId125" Type="http://schemas.openxmlformats.org/officeDocument/2006/relationships/image" Target="media/image62.emf"/><Relationship Id="rId141" Type="http://schemas.openxmlformats.org/officeDocument/2006/relationships/footer" Target="footer28.xml"/><Relationship Id="rId146" Type="http://schemas.openxmlformats.org/officeDocument/2006/relationships/image" Target="media/image71.png"/><Relationship Id="rId167" Type="http://schemas.openxmlformats.org/officeDocument/2006/relationships/image" Target="media/image92.emf"/><Relationship Id="rId188"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45.emf"/><Relationship Id="rId162" Type="http://schemas.openxmlformats.org/officeDocument/2006/relationships/image" Target="media/image87.emf"/><Relationship Id="rId183" Type="http://schemas.openxmlformats.org/officeDocument/2006/relationships/image" Target="media/image96.emf"/><Relationship Id="rId213" Type="http://schemas.openxmlformats.org/officeDocument/2006/relationships/hyperlink" Target="https://education.gov.au/improving-school-enrolment-and-attendance-through-welfare-reform-measure-seam-0" TargetMode="External"/><Relationship Id="rId218" Type="http://schemas.openxmlformats.org/officeDocument/2006/relationships/hyperlink" Target="http://www.education.nt.gov.au/students/at-school/enrolment-attendance/enrolment-attendance-statistics/2013-enrolment-and-attendance-statistics"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header" Target="header20.xml"/><Relationship Id="rId66" Type="http://schemas.openxmlformats.org/officeDocument/2006/relationships/image" Target="media/image25.emf"/><Relationship Id="rId87" Type="http://schemas.openxmlformats.org/officeDocument/2006/relationships/image" Target="media/image40.emf"/><Relationship Id="rId110" Type="http://schemas.openxmlformats.org/officeDocument/2006/relationships/header" Target="header27.xml"/><Relationship Id="rId115" Type="http://schemas.openxmlformats.org/officeDocument/2006/relationships/footer" Target="footer23.xml"/><Relationship Id="rId131" Type="http://schemas.openxmlformats.org/officeDocument/2006/relationships/image" Target="media/image68.emf"/><Relationship Id="rId136" Type="http://schemas.openxmlformats.org/officeDocument/2006/relationships/header" Target="header36.xml"/><Relationship Id="rId157" Type="http://schemas.openxmlformats.org/officeDocument/2006/relationships/image" Target="media/image82.emf"/><Relationship Id="rId178" Type="http://schemas.openxmlformats.org/officeDocument/2006/relationships/footer" Target="footer34.xml"/><Relationship Id="rId61" Type="http://schemas.openxmlformats.org/officeDocument/2006/relationships/image" Target="media/image20.emf"/><Relationship Id="rId82" Type="http://schemas.openxmlformats.org/officeDocument/2006/relationships/footer" Target="footer16.xml"/><Relationship Id="rId152" Type="http://schemas.openxmlformats.org/officeDocument/2006/relationships/image" Target="media/image77.png"/><Relationship Id="rId173" Type="http://schemas.openxmlformats.org/officeDocument/2006/relationships/header" Target="header42.xml"/><Relationship Id="rId194" Type="http://schemas.openxmlformats.org/officeDocument/2006/relationships/header" Target="header49.xml"/><Relationship Id="rId199" Type="http://schemas.openxmlformats.org/officeDocument/2006/relationships/footer" Target="footer41.xml"/><Relationship Id="rId203" Type="http://schemas.openxmlformats.org/officeDocument/2006/relationships/footer" Target="footer43.xml"/><Relationship Id="rId208" Type="http://schemas.openxmlformats.org/officeDocument/2006/relationships/footer" Target="footer45.xml"/><Relationship Id="rId229" Type="http://schemas.openxmlformats.org/officeDocument/2006/relationships/image" Target="media/image106.jpg"/><Relationship Id="rId19" Type="http://schemas.openxmlformats.org/officeDocument/2006/relationships/header" Target="header6.xml"/><Relationship Id="rId224" Type="http://schemas.openxmlformats.org/officeDocument/2006/relationships/image" Target="media/image101.png"/><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5.xml"/><Relationship Id="rId56"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header" Target="header26.xml"/><Relationship Id="rId105" Type="http://schemas.openxmlformats.org/officeDocument/2006/relationships/image" Target="media/image52.emf"/><Relationship Id="rId126" Type="http://schemas.openxmlformats.org/officeDocument/2006/relationships/image" Target="media/image63.emf"/><Relationship Id="rId147" Type="http://schemas.openxmlformats.org/officeDocument/2006/relationships/image" Target="media/image72.png"/><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image" Target="media/image31.emf"/><Relationship Id="rId93" Type="http://schemas.openxmlformats.org/officeDocument/2006/relationships/image" Target="media/image46.emf"/><Relationship Id="rId98" Type="http://schemas.openxmlformats.org/officeDocument/2006/relationships/footer" Target="footer18.xml"/><Relationship Id="rId121" Type="http://schemas.openxmlformats.org/officeDocument/2006/relationships/header" Target="header33.xml"/><Relationship Id="rId142" Type="http://schemas.openxmlformats.org/officeDocument/2006/relationships/header" Target="header39.xml"/><Relationship Id="rId163" Type="http://schemas.openxmlformats.org/officeDocument/2006/relationships/image" Target="media/image88.emf"/><Relationship Id="rId184" Type="http://schemas.openxmlformats.org/officeDocument/2006/relationships/header" Target="header46.xml"/><Relationship Id="rId189" Type="http://schemas.openxmlformats.org/officeDocument/2006/relationships/footer" Target="footer38.xml"/><Relationship Id="rId219" Type="http://schemas.openxmlformats.org/officeDocument/2006/relationships/hyperlink" Target="http://digitallibrary.health.nt.gov.au/dspace/bitstream/10137/480/1/Factsheet%202010_mortality_21Mar2011_final.pdf" TargetMode="External"/><Relationship Id="rId3" Type="http://schemas.openxmlformats.org/officeDocument/2006/relationships/styles" Target="styles.xml"/><Relationship Id="rId214" Type="http://schemas.openxmlformats.org/officeDocument/2006/relationships/hyperlink" Target="http://www.dss.gov.au/about-the-department/publications-articles/corporate-publications/budget-and-additional-estimates-statements/indigenous-budget-fact-sheets/closing-the-gap-for-indigenous-australians-northern-territory-government-business-managers" TargetMode="External"/><Relationship Id="rId230" Type="http://schemas.openxmlformats.org/officeDocument/2006/relationships/image" Target="media/image107.jpg"/><Relationship Id="rId25" Type="http://schemas.openxmlformats.org/officeDocument/2006/relationships/header" Target="header11.xml"/><Relationship Id="rId46" Type="http://schemas.openxmlformats.org/officeDocument/2006/relationships/footer" Target="footer14.xml"/><Relationship Id="rId67" Type="http://schemas.openxmlformats.org/officeDocument/2006/relationships/image" Target="media/image26.emf"/><Relationship Id="rId116" Type="http://schemas.openxmlformats.org/officeDocument/2006/relationships/header" Target="header30.xml"/><Relationship Id="rId137" Type="http://schemas.openxmlformats.org/officeDocument/2006/relationships/footer" Target="footer26.xml"/><Relationship Id="rId158" Type="http://schemas.openxmlformats.org/officeDocument/2006/relationships/image" Target="media/image83.emf"/><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image" Target="media/image21.emf"/><Relationship Id="rId83" Type="http://schemas.openxmlformats.org/officeDocument/2006/relationships/header" Target="header23.xml"/><Relationship Id="rId88" Type="http://schemas.openxmlformats.org/officeDocument/2006/relationships/image" Target="media/image41.emf"/><Relationship Id="rId111" Type="http://schemas.openxmlformats.org/officeDocument/2006/relationships/header" Target="header28.xml"/><Relationship Id="rId132" Type="http://schemas.openxmlformats.org/officeDocument/2006/relationships/header" Target="header34.xml"/><Relationship Id="rId153" Type="http://schemas.openxmlformats.org/officeDocument/2006/relationships/image" Target="media/image78.png"/><Relationship Id="rId174" Type="http://schemas.openxmlformats.org/officeDocument/2006/relationships/footer" Target="footer32.xml"/><Relationship Id="rId179" Type="http://schemas.openxmlformats.org/officeDocument/2006/relationships/header" Target="header45.xml"/><Relationship Id="rId195" Type="http://schemas.openxmlformats.org/officeDocument/2006/relationships/header" Target="header50.xml"/><Relationship Id="rId209" Type="http://schemas.openxmlformats.org/officeDocument/2006/relationships/footer" Target="footer46.xml"/><Relationship Id="rId190" Type="http://schemas.openxmlformats.org/officeDocument/2006/relationships/image" Target="media/image97.emf"/><Relationship Id="rId204" Type="http://schemas.openxmlformats.org/officeDocument/2006/relationships/header" Target="header54.xml"/><Relationship Id="rId220" Type="http://schemas.openxmlformats.org/officeDocument/2006/relationships/hyperlink" Target="http://www.qsrinternational.com/products.aspx" TargetMode="External"/><Relationship Id="rId225" Type="http://schemas.openxmlformats.org/officeDocument/2006/relationships/image" Target="media/image102.jpg"/><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image" Target="media/image16.emf"/><Relationship Id="rId106" Type="http://schemas.openxmlformats.org/officeDocument/2006/relationships/image" Target="media/image53.emf"/><Relationship Id="rId127" Type="http://schemas.openxmlformats.org/officeDocument/2006/relationships/image" Target="media/image64.emf"/><Relationship Id="rId10" Type="http://schemas.openxmlformats.org/officeDocument/2006/relationships/header" Target="header1.xml"/><Relationship Id="rId31" Type="http://schemas.openxmlformats.org/officeDocument/2006/relationships/header" Target="header14.xml"/><Relationship Id="rId52" Type="http://schemas.openxmlformats.org/officeDocument/2006/relationships/image" Target="media/image11.emf"/><Relationship Id="rId73" Type="http://schemas.openxmlformats.org/officeDocument/2006/relationships/image" Target="media/image32.png"/><Relationship Id="rId78" Type="http://schemas.openxmlformats.org/officeDocument/2006/relationships/image" Target="media/image37.emf"/><Relationship Id="rId94" Type="http://schemas.openxmlformats.org/officeDocument/2006/relationships/image" Target="media/image47.emf"/><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image" Target="media/image59.emf"/><Relationship Id="rId143" Type="http://schemas.openxmlformats.org/officeDocument/2006/relationships/footer" Target="footer29.xml"/><Relationship Id="rId148" Type="http://schemas.openxmlformats.org/officeDocument/2006/relationships/image" Target="media/image73.png"/><Relationship Id="rId164" Type="http://schemas.openxmlformats.org/officeDocument/2006/relationships/image" Target="media/image89.emf"/><Relationship Id="rId169" Type="http://schemas.openxmlformats.org/officeDocument/2006/relationships/header" Target="header40.xml"/><Relationship Id="rId185"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hyperlink" Target="https://www.sprc.unsw.edu.au/research/projects/evaluation-of-new-income-management-in-the-northern-territory/" TargetMode="External"/><Relationship Id="rId180" Type="http://schemas.openxmlformats.org/officeDocument/2006/relationships/footer" Target="footer35.xml"/><Relationship Id="rId210" Type="http://schemas.openxmlformats.org/officeDocument/2006/relationships/header" Target="header57.xml"/><Relationship Id="rId215" Type="http://schemas.openxmlformats.org/officeDocument/2006/relationships/hyperlink" Target="http://www.dss.gov.au/about-the-department/publications-articles/corporate-publications/budget-and-additional-estimates-statements/indigenous-budget-fact-sheets/closing-the-gap-for-indigenous-australians-northern-territory-school-nutrition" TargetMode="External"/><Relationship Id="rId26" Type="http://schemas.openxmlformats.org/officeDocument/2006/relationships/footer" Target="footer6.xml"/><Relationship Id="rId231" Type="http://schemas.openxmlformats.org/officeDocument/2006/relationships/image" Target="media/image108.jpeg"/><Relationship Id="rId47" Type="http://schemas.openxmlformats.org/officeDocument/2006/relationships/image" Target="media/image6.emf"/><Relationship Id="rId68" Type="http://schemas.openxmlformats.org/officeDocument/2006/relationships/image" Target="media/image27.emf"/><Relationship Id="rId89" Type="http://schemas.openxmlformats.org/officeDocument/2006/relationships/image" Target="media/image42.emf"/><Relationship Id="rId112" Type="http://schemas.openxmlformats.org/officeDocument/2006/relationships/footer" Target="footer21.xml"/><Relationship Id="rId133" Type="http://schemas.openxmlformats.org/officeDocument/2006/relationships/header" Target="header35.xml"/><Relationship Id="rId154" Type="http://schemas.openxmlformats.org/officeDocument/2006/relationships/image" Target="media/image79.emf"/><Relationship Id="rId175" Type="http://schemas.openxmlformats.org/officeDocument/2006/relationships/header" Target="header43.xml"/><Relationship Id="rId196" Type="http://schemas.openxmlformats.org/officeDocument/2006/relationships/footer" Target="footer39.xml"/><Relationship Id="rId200" Type="http://schemas.openxmlformats.org/officeDocument/2006/relationships/header" Target="header52.xml"/><Relationship Id="rId16" Type="http://schemas.openxmlformats.org/officeDocument/2006/relationships/footer" Target="footer3.xml"/><Relationship Id="rId221" Type="http://schemas.openxmlformats.org/officeDocument/2006/relationships/header" Target="header58.xml"/><Relationship Id="rId37" Type="http://schemas.openxmlformats.org/officeDocument/2006/relationships/footer" Target="footer9.xml"/><Relationship Id="rId58" Type="http://schemas.openxmlformats.org/officeDocument/2006/relationships/image" Target="media/image17.jpg"/><Relationship Id="rId79" Type="http://schemas.openxmlformats.org/officeDocument/2006/relationships/header" Target="header21.xml"/><Relationship Id="rId102" Type="http://schemas.openxmlformats.org/officeDocument/2006/relationships/image" Target="media/image49.emf"/><Relationship Id="rId123" Type="http://schemas.openxmlformats.org/officeDocument/2006/relationships/image" Target="media/image60.emf"/><Relationship Id="rId144" Type="http://schemas.openxmlformats.org/officeDocument/2006/relationships/image" Target="media/image69.emf"/><Relationship Id="rId90" Type="http://schemas.openxmlformats.org/officeDocument/2006/relationships/image" Target="media/image43.emf"/><Relationship Id="rId165" Type="http://schemas.openxmlformats.org/officeDocument/2006/relationships/image" Target="media/image90.emf"/><Relationship Id="rId186" Type="http://schemas.openxmlformats.org/officeDocument/2006/relationships/footer" Target="footer36.xml"/><Relationship Id="rId211" Type="http://schemas.openxmlformats.org/officeDocument/2006/relationships/footer" Target="footer47.xml"/><Relationship Id="rId23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nterreview.gov.au/docs/report_nter_review/appendix-10.htm" TargetMode="External"/><Relationship Id="rId2" Type="http://schemas.openxmlformats.org/officeDocument/2006/relationships/hyperlink" Target="http://nterreview.gov.au/docs/report_nter_review/appendix-10.htm" TargetMode="External"/><Relationship Id="rId1" Type="http://schemas.openxmlformats.org/officeDocument/2006/relationships/hyperlink" Target="http://www.otl.gov.au/site/5year_leases_aboriginal_land.asp" TargetMode="External"/><Relationship Id="rId4" Type="http://schemas.openxmlformats.org/officeDocument/2006/relationships/hyperlink" Target="http://www.ifss.net.au/about-ifss/what-is-ifs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30253-CF78-41EC-8C07-ED32BB90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405</Pages>
  <Words>174189</Words>
  <Characters>992879</Characters>
  <Application>Microsoft Office Word</Application>
  <DocSecurity>4</DocSecurity>
  <Lines>8273</Lines>
  <Paragraphs>2329</Paragraphs>
  <ScaleCrop>false</ScaleCrop>
  <HeadingPairs>
    <vt:vector size="2" baseType="variant">
      <vt:variant>
        <vt:lpstr>Title</vt:lpstr>
      </vt:variant>
      <vt:variant>
        <vt:i4>1</vt:i4>
      </vt:variant>
    </vt:vector>
  </HeadingPairs>
  <TitlesOfParts>
    <vt:vector size="1" baseType="lpstr">
      <vt:lpstr>Evaluation of New Income Management in the Northern Territory_full report</vt:lpstr>
    </vt:vector>
  </TitlesOfParts>
  <LinksUpToDate>false</LinksUpToDate>
  <CharactersWithSpaces>1164739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New Income Management in the Northern Territory_full report</dc:title>
  <dc:subject>Evaluation of Income Management in the Northern Territory</dc:subject>
  <dc:creator/>
  <cp:lastModifiedBy/>
  <cp:revision>1</cp:revision>
  <dcterms:created xsi:type="dcterms:W3CDTF">2014-12-15T00:31:00Z</dcterms:created>
  <dcterms:modified xsi:type="dcterms:W3CDTF">2014-12-15T00:31:00Z</dcterms:modified>
</cp:coreProperties>
</file>