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F7" w:rsidRDefault="007A4BF7" w:rsidP="004B54CA">
      <w:pPr>
        <w:rPr>
          <w:rStyle w:val="BookTitle"/>
          <w:i w:val="0"/>
          <w:iCs w:val="0"/>
          <w:smallCaps/>
          <w:spacing w:val="0"/>
        </w:rPr>
        <w:sectPr w:rsidR="007A4BF7" w:rsidSect="007A4BF7">
          <w:footerReference w:type="default" r:id="rId9"/>
          <w:pgSz w:w="11906" w:h="16838"/>
          <w:pgMar w:top="720" w:right="720" w:bottom="720" w:left="720" w:header="708" w:footer="708" w:gutter="0"/>
          <w:cols w:space="708"/>
          <w:docGrid w:linePitch="360"/>
        </w:sectPr>
      </w:pPr>
      <w:r>
        <w:rPr>
          <w:noProof/>
          <w:lang w:eastAsia="en-AU"/>
        </w:rPr>
        <w:drawing>
          <wp:anchor distT="0" distB="0" distL="114300" distR="114300" simplePos="0" relativeHeight="251658240" behindDoc="1" locked="0" layoutInCell="1" allowOverlap="1" wp14:anchorId="5083C3AA" wp14:editId="69F640B3">
            <wp:simplePos x="0" y="0"/>
            <wp:positionH relativeFrom="column">
              <wp:posOffset>542925</wp:posOffset>
            </wp:positionH>
            <wp:positionV relativeFrom="paragraph">
              <wp:posOffset>857885</wp:posOffset>
            </wp:positionV>
            <wp:extent cx="5943600" cy="8067675"/>
            <wp:effectExtent l="0" t="0" r="0" b="9525"/>
            <wp:wrapNone/>
            <wp:docPr id="2" name="Picture 2" descr="Cover page for the Australian Government's Department of Families, Housing, Community Services and Indigenous Affairs' Family Support (FSP) 1 July 2011 to 30 June 2012 " title="Cove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06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BF7" w:rsidRPr="007A4BF7" w:rsidRDefault="007A4BF7" w:rsidP="007A4BF7">
      <w:pPr>
        <w:rPr>
          <w:rFonts w:ascii="Calibri" w:eastAsia="Arial Unicode MS" w:hAnsi="Calibri" w:cs="Calibri"/>
          <w:sz w:val="24"/>
          <w:szCs w:val="24"/>
          <w:lang w:eastAsia="en-AU"/>
        </w:rPr>
      </w:pPr>
      <w:r w:rsidRPr="007A4BF7">
        <w:rPr>
          <w:rFonts w:ascii="Calibri" w:eastAsia="Arial Unicode MS" w:hAnsi="Calibri" w:cs="Calibri"/>
          <w:sz w:val="24"/>
          <w:szCs w:val="24"/>
          <w:lang w:eastAsia="en-AU"/>
        </w:rPr>
        <w:lastRenderedPageBreak/>
        <w:t>© Commonwealth of Australia 2012</w:t>
      </w:r>
    </w:p>
    <w:p w:rsidR="007A4BF7" w:rsidRPr="007A4BF7" w:rsidRDefault="007A4BF7" w:rsidP="007A4BF7">
      <w:pPr>
        <w:rPr>
          <w:rFonts w:ascii="Calibri" w:eastAsia="Arial Unicode MS" w:hAnsi="Calibri" w:cs="Calibri"/>
          <w:sz w:val="24"/>
          <w:szCs w:val="24"/>
          <w:lang w:eastAsia="en-AU"/>
        </w:rPr>
      </w:pPr>
      <w:r w:rsidRPr="007A4BF7">
        <w:rPr>
          <w:rFonts w:ascii="Calibri" w:eastAsia="Arial Unicode MS" w:hAnsi="Calibri" w:cs="Calibri"/>
          <w:sz w:val="24"/>
          <w:szCs w:val="24"/>
          <w:lang w:eastAsia="en-AU"/>
        </w:rPr>
        <w:t>With the exception of the Commonwealth Coat of Arms and where otherwise noted all material presented in this document is provided under a Creative Commons Attribution 3.0 Australia licence (</w:t>
      </w:r>
      <w:hyperlink r:id="rId11" w:history="1">
        <w:r w:rsidRPr="007A4BF7">
          <w:rPr>
            <w:rFonts w:ascii="Calibri" w:eastAsia="Arial Unicode MS" w:hAnsi="Calibri" w:cs="Calibri"/>
            <w:color w:val="0000FF"/>
            <w:sz w:val="24"/>
            <w:szCs w:val="24"/>
            <w:u w:val="single"/>
            <w:lang w:eastAsia="en-AU"/>
          </w:rPr>
          <w:t>http://creativecommons.org/licenses/by/3.0/au/</w:t>
        </w:r>
      </w:hyperlink>
      <w:r w:rsidRPr="007A4BF7">
        <w:rPr>
          <w:rFonts w:ascii="Calibri" w:eastAsia="Arial Unicode MS" w:hAnsi="Calibri" w:cs="Calibri"/>
          <w:sz w:val="24"/>
          <w:szCs w:val="24"/>
          <w:lang w:eastAsia="en-AU"/>
        </w:rPr>
        <w:t>).  The details of the relevant licence conditions are available on the Creative Commons website (accessible using the links provided) as is the full legal code for the CC BY 3.0 AU licence (&lt;http://creativecommons.org/licenses/by/3.0/au/legalcode&gt;).</w:t>
      </w:r>
    </w:p>
    <w:p w:rsidR="007A4BF7" w:rsidRPr="007A4BF7" w:rsidRDefault="007A4BF7" w:rsidP="007A4BF7">
      <w:pPr>
        <w:rPr>
          <w:rFonts w:ascii="Segoe UI Light" w:eastAsia="Arial Unicode MS" w:hAnsi="Segoe UI Light" w:cs="Times New Roman"/>
          <w:sz w:val="24"/>
          <w:szCs w:val="24"/>
          <w:lang w:eastAsia="en-AU"/>
        </w:rPr>
      </w:pPr>
      <w:r>
        <w:rPr>
          <w:rFonts w:ascii="Helvetica" w:eastAsia="Times New Roman" w:hAnsi="Helvetica" w:cs="Helvetica"/>
          <w:noProof/>
          <w:color w:val="4374B7"/>
          <w:sz w:val="24"/>
          <w:szCs w:val="24"/>
          <w:lang w:eastAsia="en-AU"/>
        </w:rPr>
        <w:drawing>
          <wp:inline distT="0" distB="0" distL="0" distR="0">
            <wp:extent cx="838200" cy="295275"/>
            <wp:effectExtent l="0" t="0" r="0" b="9525"/>
            <wp:docPr id="3" name="Picture 3" descr="Description: License">
              <a:hlinkClick xmlns:a="http://schemas.openxmlformats.org/drawingml/2006/main" r:id="rId12" tooltip="&quot;Creative Commons Attribution 3.0 Lic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icense">
                      <a:hlinkClick r:id="rId12" tooltip="&quot;Creative Commons Attribution 3.0 Licens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7A4BF7" w:rsidRPr="007A4BF7" w:rsidRDefault="007A4BF7" w:rsidP="007A4BF7">
      <w:pPr>
        <w:rPr>
          <w:rFonts w:ascii="Calibri" w:eastAsia="Arial Unicode MS" w:hAnsi="Calibri" w:cs="Times New Roman"/>
          <w:sz w:val="24"/>
          <w:szCs w:val="24"/>
          <w:lang w:eastAsia="en-AU"/>
        </w:rPr>
      </w:pPr>
      <w:r w:rsidRPr="007A4BF7">
        <w:rPr>
          <w:rFonts w:ascii="Calibri" w:eastAsia="Arial Unicode MS" w:hAnsi="Calibri" w:cs="Times New Roman"/>
          <w:sz w:val="24"/>
          <w:szCs w:val="24"/>
          <w:lang w:eastAsia="en-AU"/>
        </w:rPr>
        <w:t xml:space="preserve">The document must be attributed as the </w:t>
      </w:r>
      <w:r w:rsidR="00CB6F90">
        <w:rPr>
          <w:rFonts w:ascii="Calibri" w:eastAsia="Arial Unicode MS" w:hAnsi="Calibri" w:cs="Times New Roman"/>
          <w:sz w:val="24"/>
          <w:szCs w:val="24"/>
          <w:lang w:eastAsia="en-AU"/>
        </w:rPr>
        <w:t>Department</w:t>
      </w:r>
      <w:r w:rsidRPr="007A4BF7">
        <w:rPr>
          <w:rFonts w:ascii="Calibri" w:eastAsia="Arial Unicode MS" w:hAnsi="Calibri" w:cs="Times New Roman"/>
          <w:sz w:val="24"/>
          <w:szCs w:val="24"/>
          <w:lang w:eastAsia="en-AU"/>
        </w:rPr>
        <w:t xml:space="preserve"> of Families, Housing, Community Services and Indigenous Affairs Family Support Program (FSP) 1 July 2011 to 30 June 2012.</w:t>
      </w:r>
    </w:p>
    <w:p w:rsidR="007A4BF7" w:rsidRPr="007A4BF7" w:rsidRDefault="007A4BF7" w:rsidP="007A4BF7">
      <w:pPr>
        <w:rPr>
          <w:rFonts w:ascii="Calibri" w:eastAsia="Arial Unicode MS" w:hAnsi="Calibri" w:cs="Times New Roman"/>
          <w:sz w:val="24"/>
          <w:szCs w:val="24"/>
          <w:lang w:eastAsia="en-AU"/>
        </w:rPr>
      </w:pPr>
      <w:r w:rsidRPr="007A4BF7">
        <w:rPr>
          <w:rFonts w:ascii="Calibri" w:eastAsia="Arial Unicode MS" w:hAnsi="Calibri" w:cs="Times New Roman"/>
          <w:b/>
          <w:sz w:val="24"/>
          <w:szCs w:val="24"/>
          <w:lang w:eastAsia="en-AU"/>
        </w:rPr>
        <w:t>Phone:</w:t>
      </w:r>
      <w:r w:rsidRPr="007A4BF7">
        <w:rPr>
          <w:rFonts w:ascii="Calibri" w:eastAsia="Arial Unicode MS" w:hAnsi="Calibri" w:cs="Times New Roman"/>
          <w:sz w:val="24"/>
          <w:szCs w:val="24"/>
          <w:lang w:eastAsia="en-AU"/>
        </w:rPr>
        <w:t xml:space="preserve">  1300 653 227</w:t>
      </w:r>
    </w:p>
    <w:p w:rsidR="007A4BF7" w:rsidRPr="007A4BF7" w:rsidRDefault="007A4BF7" w:rsidP="007A4BF7">
      <w:pPr>
        <w:rPr>
          <w:rFonts w:ascii="Calibri" w:eastAsia="Arial Unicode MS" w:hAnsi="Calibri" w:cs="Times New Roman"/>
          <w:sz w:val="24"/>
          <w:szCs w:val="24"/>
          <w:lang w:eastAsia="en-AU"/>
        </w:rPr>
      </w:pPr>
      <w:r w:rsidRPr="007A4BF7">
        <w:rPr>
          <w:rFonts w:ascii="Calibri" w:eastAsia="Arial Unicode MS" w:hAnsi="Calibri" w:cs="Times New Roman"/>
          <w:b/>
          <w:sz w:val="24"/>
          <w:szCs w:val="24"/>
          <w:lang w:eastAsia="en-AU"/>
        </w:rPr>
        <w:t>Email:</w:t>
      </w:r>
      <w:r w:rsidRPr="007A4BF7">
        <w:rPr>
          <w:rFonts w:ascii="Calibri" w:eastAsia="Arial Unicode MS" w:hAnsi="Calibri" w:cs="Times New Roman"/>
          <w:sz w:val="24"/>
          <w:szCs w:val="24"/>
          <w:lang w:eastAsia="en-AU"/>
        </w:rPr>
        <w:t xml:space="preserve">  </w:t>
      </w:r>
      <w:hyperlink r:id="rId14" w:history="1">
        <w:r w:rsidRPr="007A4BF7">
          <w:rPr>
            <w:rFonts w:ascii="Segoe UI Light" w:eastAsia="Arial Unicode MS" w:hAnsi="Segoe UI Light" w:cs="Times New Roman"/>
            <w:color w:val="0000FF"/>
            <w:sz w:val="24"/>
            <w:szCs w:val="24"/>
            <w:u w:val="single"/>
            <w:lang w:eastAsia="en-AU"/>
          </w:rPr>
          <w:t>fahcsiafeedback@fahcsia.gov.au</w:t>
        </w:r>
      </w:hyperlink>
    </w:p>
    <w:p w:rsidR="007A4BF7" w:rsidRPr="007A4BF7" w:rsidRDefault="007A4BF7" w:rsidP="007A4BF7">
      <w:pPr>
        <w:rPr>
          <w:rFonts w:ascii="Calibri" w:eastAsia="Arial Unicode MS" w:hAnsi="Calibri" w:cs="Times New Roman"/>
          <w:sz w:val="24"/>
          <w:szCs w:val="24"/>
          <w:lang w:eastAsia="en-AU"/>
        </w:rPr>
      </w:pPr>
      <w:r w:rsidRPr="007A4BF7">
        <w:rPr>
          <w:rFonts w:ascii="Calibri" w:eastAsia="Arial Unicode MS" w:hAnsi="Calibri" w:cs="Times New Roman"/>
          <w:b/>
          <w:sz w:val="24"/>
          <w:szCs w:val="24"/>
          <w:lang w:eastAsia="en-AU"/>
        </w:rPr>
        <w:t>Post:</w:t>
      </w:r>
      <w:r w:rsidRPr="007A4BF7">
        <w:rPr>
          <w:rFonts w:ascii="Calibri" w:eastAsia="Arial Unicode MS" w:hAnsi="Calibri" w:cs="Times New Roman"/>
          <w:sz w:val="24"/>
          <w:szCs w:val="24"/>
          <w:lang w:eastAsia="en-AU"/>
        </w:rPr>
        <w:t xml:space="preserve">  </w:t>
      </w:r>
      <w:r w:rsidR="00CB6F90">
        <w:rPr>
          <w:rFonts w:ascii="Calibri" w:eastAsia="Arial Unicode MS" w:hAnsi="Calibri" w:cs="Times New Roman"/>
          <w:sz w:val="24"/>
          <w:szCs w:val="24"/>
          <w:lang w:eastAsia="en-AU"/>
        </w:rPr>
        <w:t>Department</w:t>
      </w:r>
      <w:r w:rsidRPr="007A4BF7">
        <w:rPr>
          <w:rFonts w:ascii="Calibri" w:eastAsia="Arial Unicode MS" w:hAnsi="Calibri" w:cs="Times New Roman"/>
          <w:sz w:val="24"/>
          <w:szCs w:val="24"/>
          <w:lang w:eastAsia="en-AU"/>
        </w:rPr>
        <w:t xml:space="preserve"> of Families, Housing, Community Services and Indigenous Affairs</w:t>
      </w:r>
    </w:p>
    <w:p w:rsidR="007A4BF7" w:rsidRPr="007A4BF7" w:rsidRDefault="007A4BF7" w:rsidP="007A4BF7">
      <w:pPr>
        <w:rPr>
          <w:rFonts w:ascii="Calibri" w:eastAsia="Arial Unicode MS" w:hAnsi="Calibri" w:cs="Times New Roman"/>
          <w:sz w:val="24"/>
          <w:szCs w:val="24"/>
          <w:lang w:eastAsia="en-AU"/>
        </w:rPr>
      </w:pPr>
      <w:r w:rsidRPr="007A4BF7">
        <w:rPr>
          <w:rFonts w:ascii="Calibri" w:eastAsia="Arial Unicode MS" w:hAnsi="Calibri" w:cs="Times New Roman"/>
          <w:sz w:val="24"/>
          <w:szCs w:val="24"/>
          <w:lang w:eastAsia="en-AU"/>
        </w:rPr>
        <w:t>Tuggeranong Office Park</w:t>
      </w:r>
    </w:p>
    <w:p w:rsidR="007A4BF7" w:rsidRPr="007A4BF7" w:rsidRDefault="007A4BF7" w:rsidP="007A4BF7">
      <w:pPr>
        <w:rPr>
          <w:rFonts w:ascii="Calibri" w:eastAsia="Arial Unicode MS" w:hAnsi="Calibri" w:cs="Times New Roman"/>
          <w:sz w:val="24"/>
          <w:szCs w:val="24"/>
          <w:lang w:eastAsia="en-AU"/>
        </w:rPr>
      </w:pPr>
      <w:r w:rsidRPr="007A4BF7">
        <w:rPr>
          <w:rFonts w:ascii="Calibri" w:eastAsia="Arial Unicode MS" w:hAnsi="Calibri" w:cs="Times New Roman"/>
          <w:sz w:val="24"/>
          <w:szCs w:val="24"/>
          <w:lang w:eastAsia="en-AU"/>
        </w:rPr>
        <w:t>PO Box 7576</w:t>
      </w:r>
    </w:p>
    <w:p w:rsidR="007A4BF7" w:rsidRPr="007A4BF7" w:rsidRDefault="007A4BF7" w:rsidP="007A4BF7">
      <w:pPr>
        <w:rPr>
          <w:rFonts w:ascii="Calibri" w:eastAsia="Arial Unicode MS" w:hAnsi="Calibri" w:cs="Times New Roman"/>
          <w:sz w:val="24"/>
          <w:szCs w:val="24"/>
          <w:lang w:eastAsia="en-AU"/>
        </w:rPr>
      </w:pPr>
      <w:r w:rsidRPr="007A4BF7">
        <w:rPr>
          <w:rFonts w:ascii="Calibri" w:eastAsia="Arial Unicode MS" w:hAnsi="Calibri" w:cs="Times New Roman"/>
          <w:sz w:val="24"/>
          <w:szCs w:val="24"/>
          <w:lang w:eastAsia="en-AU"/>
        </w:rPr>
        <w:t xml:space="preserve">Canberra Business </w:t>
      </w:r>
      <w:proofErr w:type="gramStart"/>
      <w:r w:rsidRPr="007A4BF7">
        <w:rPr>
          <w:rFonts w:ascii="Calibri" w:eastAsia="Arial Unicode MS" w:hAnsi="Calibri" w:cs="Times New Roman"/>
          <w:sz w:val="24"/>
          <w:szCs w:val="24"/>
          <w:lang w:eastAsia="en-AU"/>
        </w:rPr>
        <w:t>Centre  ACT</w:t>
      </w:r>
      <w:proofErr w:type="gramEnd"/>
      <w:r w:rsidRPr="007A4BF7">
        <w:rPr>
          <w:rFonts w:ascii="Calibri" w:eastAsia="Arial Unicode MS" w:hAnsi="Calibri" w:cs="Times New Roman"/>
          <w:sz w:val="24"/>
          <w:szCs w:val="24"/>
          <w:lang w:eastAsia="en-AU"/>
        </w:rPr>
        <w:t xml:space="preserve">  2610</w:t>
      </w:r>
    </w:p>
    <w:p w:rsidR="007A4BF7" w:rsidRPr="007A4BF7" w:rsidRDefault="007A4BF7" w:rsidP="007A4BF7">
      <w:pPr>
        <w:rPr>
          <w:rFonts w:ascii="Calibri" w:eastAsia="Arial Unicode MS" w:hAnsi="Calibri" w:cs="Times New Roman"/>
          <w:sz w:val="24"/>
          <w:szCs w:val="24"/>
          <w:lang w:eastAsia="en-AU"/>
        </w:rPr>
      </w:pPr>
    </w:p>
    <w:p w:rsidR="007A4BF7" w:rsidRPr="007A4BF7" w:rsidRDefault="007A4BF7" w:rsidP="007A4BF7">
      <w:pPr>
        <w:rPr>
          <w:rFonts w:ascii="Calibri" w:eastAsia="Arial Unicode MS" w:hAnsi="Calibri" w:cs="Times New Roman"/>
          <w:sz w:val="24"/>
          <w:szCs w:val="24"/>
          <w:lang w:eastAsia="en-AU"/>
        </w:rPr>
      </w:pPr>
      <w:r w:rsidRPr="007A4BF7">
        <w:rPr>
          <w:rFonts w:ascii="Calibri" w:eastAsia="Arial Unicode MS" w:hAnsi="Calibri" w:cs="Times New Roman"/>
          <w:sz w:val="24"/>
          <w:szCs w:val="24"/>
          <w:lang w:eastAsia="en-AU"/>
        </w:rPr>
        <w:t>ISBN Number:  978-1-921975-86-8 (PDF)</w:t>
      </w:r>
    </w:p>
    <w:p w:rsidR="007A4BF7" w:rsidRPr="007A4BF7" w:rsidRDefault="007A4BF7" w:rsidP="007A4BF7">
      <w:pPr>
        <w:rPr>
          <w:rFonts w:ascii="Calibri" w:eastAsia="Arial Unicode MS" w:hAnsi="Calibri" w:cs="Times New Roman"/>
          <w:sz w:val="24"/>
          <w:szCs w:val="24"/>
          <w:lang w:eastAsia="en-AU"/>
        </w:rPr>
      </w:pPr>
      <w:r w:rsidRPr="007A4BF7">
        <w:rPr>
          <w:rFonts w:ascii="Calibri" w:eastAsia="Arial Unicode MS" w:hAnsi="Calibri" w:cs="Times New Roman"/>
          <w:sz w:val="24"/>
          <w:szCs w:val="24"/>
          <w:lang w:eastAsia="en-AU"/>
        </w:rPr>
        <w:t>ISBN Number:  978-1-921975-85-1 (RTF)</w:t>
      </w:r>
    </w:p>
    <w:p w:rsidR="007A4BF7" w:rsidRPr="007A4BF7" w:rsidRDefault="007A4BF7" w:rsidP="007A4BF7">
      <w:pPr>
        <w:rPr>
          <w:rFonts w:ascii="Calibri" w:eastAsia="Times New Roman" w:hAnsi="Calibri" w:cs="Times New Roman"/>
          <w:lang w:eastAsia="en-AU"/>
        </w:rPr>
      </w:pPr>
      <w:r w:rsidRPr="007A4BF7">
        <w:rPr>
          <w:rFonts w:ascii="Calibri" w:eastAsia="Arial Unicode MS" w:hAnsi="Calibri" w:cs="Times New Roman"/>
          <w:sz w:val="24"/>
          <w:szCs w:val="24"/>
          <w:lang w:eastAsia="en-AU"/>
        </w:rPr>
        <w:t>FaHCSIA12271.1210</w:t>
      </w:r>
    </w:p>
    <w:p w:rsidR="007A4BF7" w:rsidRPr="007A4BF7" w:rsidRDefault="007A4BF7" w:rsidP="007A4BF7">
      <w:pPr>
        <w:rPr>
          <w:rFonts w:ascii="Calibri" w:eastAsia="Times New Roman" w:hAnsi="Calibri" w:cs="Times New Roman"/>
          <w:lang w:eastAsia="en-AU"/>
        </w:rPr>
      </w:pPr>
    </w:p>
    <w:p w:rsidR="007A4BF7" w:rsidRPr="007A4BF7" w:rsidRDefault="007A4BF7" w:rsidP="007A4BF7">
      <w:pPr>
        <w:rPr>
          <w:rFonts w:ascii="Segoe UI Semibold" w:eastAsia="Arial Unicode MS" w:hAnsi="Segoe UI Semibold" w:cs="Times New Roman"/>
          <w:color w:val="4F6228"/>
          <w:sz w:val="16"/>
          <w:szCs w:val="16"/>
          <w:lang w:eastAsia="en-AU"/>
        </w:rPr>
      </w:pPr>
      <w:r w:rsidRPr="007A4BF7">
        <w:rPr>
          <w:rFonts w:ascii="Segoe UI Semibold" w:eastAsia="Arial Unicode MS" w:hAnsi="Segoe UI Semibold" w:cs="Times New Roman"/>
          <w:color w:val="4F6228"/>
          <w:sz w:val="16"/>
          <w:szCs w:val="16"/>
          <w:lang w:eastAsia="en-AU"/>
        </w:rPr>
        <w:t>Family Support Program (FSP) 1 July 2011 to 30 June 2012</w:t>
      </w:r>
    </w:p>
    <w:p w:rsidR="007A4BF7" w:rsidRDefault="007A4BF7" w:rsidP="004B54CA">
      <w:pPr>
        <w:rPr>
          <w:rStyle w:val="BookTitle"/>
          <w:i w:val="0"/>
          <w:iCs w:val="0"/>
          <w:smallCaps/>
          <w:spacing w:val="0"/>
        </w:rPr>
        <w:sectPr w:rsidR="007A4BF7" w:rsidSect="007A4BF7">
          <w:pgSz w:w="11906" w:h="16838"/>
          <w:pgMar w:top="720" w:right="720" w:bottom="720" w:left="720" w:header="708" w:footer="708" w:gutter="0"/>
          <w:cols w:space="708"/>
          <w:docGrid w:linePitch="360"/>
        </w:sectPr>
      </w:pPr>
    </w:p>
    <w:sdt>
      <w:sdtPr>
        <w:rPr>
          <w:b w:val="0"/>
          <w:bCs w:val="0"/>
          <w:i/>
          <w:iCs/>
          <w:caps w:val="0"/>
          <w:color w:val="auto"/>
          <w:spacing w:val="0"/>
          <w:sz w:val="20"/>
          <w:szCs w:val="20"/>
          <w:lang w:bidi="ar-SA"/>
        </w:rPr>
        <w:id w:val="-2137407332"/>
        <w:docPartObj>
          <w:docPartGallery w:val="Table of Contents"/>
          <w:docPartUnique/>
        </w:docPartObj>
      </w:sdtPr>
      <w:sdtEndPr>
        <w:rPr>
          <w:noProof/>
        </w:rPr>
      </w:sdtEndPr>
      <w:sdtContent>
        <w:p w:rsidR="005B09F5" w:rsidRDefault="005B09F5">
          <w:pPr>
            <w:pStyle w:val="TOCHeading"/>
          </w:pPr>
          <w:r>
            <w:t>Contents</w:t>
          </w:r>
        </w:p>
        <w:p w:rsidR="00210A46" w:rsidRDefault="005B09F5">
          <w:pPr>
            <w:pStyle w:val="TOC1"/>
            <w:tabs>
              <w:tab w:val="right" w:leader="dot" w:pos="10456"/>
            </w:tabs>
            <w:rPr>
              <w:noProof/>
              <w:sz w:val="22"/>
              <w:szCs w:val="22"/>
              <w:lang w:eastAsia="en-AU"/>
            </w:rPr>
          </w:pPr>
          <w:r>
            <w:fldChar w:fldCharType="begin"/>
          </w:r>
          <w:r>
            <w:instrText xml:space="preserve"> TOC \o "1-3" \h \z \u </w:instrText>
          </w:r>
          <w:r>
            <w:fldChar w:fldCharType="separate"/>
          </w:r>
          <w:hyperlink w:anchor="_Toc341705883" w:history="1">
            <w:r w:rsidR="00210A46" w:rsidRPr="00AA4C4F">
              <w:rPr>
                <w:rStyle w:val="Hyperlink"/>
                <w:rFonts w:ascii="Calibri" w:eastAsia="Times New Roman" w:hAnsi="Calibri" w:cs="Times New Roman"/>
                <w:b/>
                <w:bCs/>
                <w:caps/>
                <w:noProof/>
                <w:spacing w:val="15"/>
                <w:lang w:eastAsia="en-AU"/>
              </w:rPr>
              <w:t>Acronyms</w:t>
            </w:r>
            <w:r w:rsidR="00210A46">
              <w:rPr>
                <w:noProof/>
                <w:webHidden/>
              </w:rPr>
              <w:tab/>
            </w:r>
            <w:r w:rsidR="00210A46">
              <w:rPr>
                <w:noProof/>
                <w:webHidden/>
              </w:rPr>
              <w:fldChar w:fldCharType="begin"/>
            </w:r>
            <w:r w:rsidR="00210A46">
              <w:rPr>
                <w:noProof/>
                <w:webHidden/>
              </w:rPr>
              <w:instrText xml:space="preserve"> PAGEREF _Toc341705883 \h </w:instrText>
            </w:r>
            <w:r w:rsidR="00210A46">
              <w:rPr>
                <w:noProof/>
                <w:webHidden/>
              </w:rPr>
            </w:r>
            <w:r w:rsidR="00210A46">
              <w:rPr>
                <w:noProof/>
                <w:webHidden/>
              </w:rPr>
              <w:fldChar w:fldCharType="separate"/>
            </w:r>
            <w:r w:rsidR="00210A46">
              <w:rPr>
                <w:noProof/>
                <w:webHidden/>
              </w:rPr>
              <w:t>5</w:t>
            </w:r>
            <w:r w:rsidR="00210A46">
              <w:rPr>
                <w:noProof/>
                <w:webHidden/>
              </w:rPr>
              <w:fldChar w:fldCharType="end"/>
            </w:r>
          </w:hyperlink>
        </w:p>
        <w:p w:rsidR="00210A46" w:rsidRDefault="00F67123">
          <w:pPr>
            <w:pStyle w:val="TOC1"/>
            <w:tabs>
              <w:tab w:val="right" w:leader="dot" w:pos="10456"/>
            </w:tabs>
            <w:rPr>
              <w:noProof/>
              <w:sz w:val="22"/>
              <w:szCs w:val="22"/>
              <w:lang w:eastAsia="en-AU"/>
            </w:rPr>
          </w:pPr>
          <w:hyperlink w:anchor="_Toc341705884" w:history="1">
            <w:r w:rsidR="00210A46" w:rsidRPr="00AA4C4F">
              <w:rPr>
                <w:rStyle w:val="Hyperlink"/>
                <w:rFonts w:ascii="Calibri" w:eastAsia="Times New Roman" w:hAnsi="Calibri" w:cs="Times New Roman"/>
                <w:b/>
                <w:bCs/>
                <w:caps/>
                <w:noProof/>
                <w:spacing w:val="15"/>
                <w:lang w:eastAsia="en-AU"/>
              </w:rPr>
              <w:t>List of Tables/Charts</w:t>
            </w:r>
            <w:r w:rsidR="00210A46">
              <w:rPr>
                <w:noProof/>
                <w:webHidden/>
              </w:rPr>
              <w:tab/>
            </w:r>
            <w:r w:rsidR="00210A46">
              <w:rPr>
                <w:noProof/>
                <w:webHidden/>
              </w:rPr>
              <w:fldChar w:fldCharType="begin"/>
            </w:r>
            <w:r w:rsidR="00210A46">
              <w:rPr>
                <w:noProof/>
                <w:webHidden/>
              </w:rPr>
              <w:instrText xml:space="preserve"> PAGEREF _Toc341705884 \h </w:instrText>
            </w:r>
            <w:r w:rsidR="00210A46">
              <w:rPr>
                <w:noProof/>
                <w:webHidden/>
              </w:rPr>
            </w:r>
            <w:r w:rsidR="00210A46">
              <w:rPr>
                <w:noProof/>
                <w:webHidden/>
              </w:rPr>
              <w:fldChar w:fldCharType="separate"/>
            </w:r>
            <w:r w:rsidR="00210A46">
              <w:rPr>
                <w:noProof/>
                <w:webHidden/>
              </w:rPr>
              <w:t>7</w:t>
            </w:r>
            <w:r w:rsidR="00210A46">
              <w:rPr>
                <w:noProof/>
                <w:webHidden/>
              </w:rPr>
              <w:fldChar w:fldCharType="end"/>
            </w:r>
          </w:hyperlink>
        </w:p>
        <w:p w:rsidR="00210A46" w:rsidRDefault="00F67123">
          <w:pPr>
            <w:pStyle w:val="TOC1"/>
            <w:tabs>
              <w:tab w:val="right" w:leader="dot" w:pos="10456"/>
            </w:tabs>
            <w:rPr>
              <w:noProof/>
              <w:sz w:val="22"/>
              <w:szCs w:val="22"/>
              <w:lang w:eastAsia="en-AU"/>
            </w:rPr>
          </w:pPr>
          <w:hyperlink w:anchor="_Toc341705885" w:history="1">
            <w:r w:rsidR="00210A46" w:rsidRPr="00AA4C4F">
              <w:rPr>
                <w:rStyle w:val="Hyperlink"/>
                <w:rFonts w:eastAsia="Times New Roman"/>
                <w:noProof/>
                <w:lang w:eastAsia="en-AU"/>
              </w:rPr>
              <w:t>Section one:   Introduction</w:t>
            </w:r>
            <w:r w:rsidR="00210A46">
              <w:rPr>
                <w:noProof/>
                <w:webHidden/>
              </w:rPr>
              <w:tab/>
            </w:r>
            <w:r w:rsidR="00210A46">
              <w:rPr>
                <w:noProof/>
                <w:webHidden/>
              </w:rPr>
              <w:fldChar w:fldCharType="begin"/>
            </w:r>
            <w:r w:rsidR="00210A46">
              <w:rPr>
                <w:noProof/>
                <w:webHidden/>
              </w:rPr>
              <w:instrText xml:space="preserve"> PAGEREF _Toc341705885 \h </w:instrText>
            </w:r>
            <w:r w:rsidR="00210A46">
              <w:rPr>
                <w:noProof/>
                <w:webHidden/>
              </w:rPr>
            </w:r>
            <w:r w:rsidR="00210A46">
              <w:rPr>
                <w:noProof/>
                <w:webHidden/>
              </w:rPr>
              <w:fldChar w:fldCharType="separate"/>
            </w:r>
            <w:r w:rsidR="00210A46">
              <w:rPr>
                <w:noProof/>
                <w:webHidden/>
              </w:rPr>
              <w:t>8</w:t>
            </w:r>
            <w:r w:rsidR="00210A46">
              <w:rPr>
                <w:noProof/>
                <w:webHidden/>
              </w:rPr>
              <w:fldChar w:fldCharType="end"/>
            </w:r>
          </w:hyperlink>
        </w:p>
        <w:p w:rsidR="00210A46" w:rsidRDefault="00F67123">
          <w:pPr>
            <w:pStyle w:val="TOC2"/>
            <w:tabs>
              <w:tab w:val="right" w:leader="dot" w:pos="10456"/>
            </w:tabs>
            <w:rPr>
              <w:noProof/>
              <w:sz w:val="22"/>
              <w:szCs w:val="22"/>
              <w:lang w:eastAsia="en-AU"/>
            </w:rPr>
          </w:pPr>
          <w:hyperlink w:anchor="_Toc341705886" w:history="1">
            <w:r w:rsidR="00210A46" w:rsidRPr="00AA4C4F">
              <w:rPr>
                <w:rStyle w:val="Hyperlink"/>
                <w:rFonts w:eastAsia="Times New Roman"/>
                <w:noProof/>
                <w:lang w:eastAsia="en-AU"/>
              </w:rPr>
              <w:t>Background</w:t>
            </w:r>
            <w:r w:rsidR="00210A46">
              <w:rPr>
                <w:noProof/>
                <w:webHidden/>
              </w:rPr>
              <w:tab/>
            </w:r>
            <w:r w:rsidR="00210A46">
              <w:rPr>
                <w:noProof/>
                <w:webHidden/>
              </w:rPr>
              <w:fldChar w:fldCharType="begin"/>
            </w:r>
            <w:r w:rsidR="00210A46">
              <w:rPr>
                <w:noProof/>
                <w:webHidden/>
              </w:rPr>
              <w:instrText xml:space="preserve"> PAGEREF _Toc341705886 \h </w:instrText>
            </w:r>
            <w:r w:rsidR="00210A46">
              <w:rPr>
                <w:noProof/>
                <w:webHidden/>
              </w:rPr>
            </w:r>
            <w:r w:rsidR="00210A46">
              <w:rPr>
                <w:noProof/>
                <w:webHidden/>
              </w:rPr>
              <w:fldChar w:fldCharType="separate"/>
            </w:r>
            <w:r w:rsidR="00210A46">
              <w:rPr>
                <w:noProof/>
                <w:webHidden/>
              </w:rPr>
              <w:t>8</w:t>
            </w:r>
            <w:r w:rsidR="00210A46">
              <w:rPr>
                <w:noProof/>
                <w:webHidden/>
              </w:rPr>
              <w:fldChar w:fldCharType="end"/>
            </w:r>
          </w:hyperlink>
        </w:p>
        <w:p w:rsidR="00210A46" w:rsidRDefault="00F67123">
          <w:pPr>
            <w:pStyle w:val="TOC2"/>
            <w:tabs>
              <w:tab w:val="right" w:leader="dot" w:pos="10456"/>
            </w:tabs>
            <w:rPr>
              <w:noProof/>
              <w:sz w:val="22"/>
              <w:szCs w:val="22"/>
              <w:lang w:eastAsia="en-AU"/>
            </w:rPr>
          </w:pPr>
          <w:hyperlink w:anchor="_Toc341705887" w:history="1">
            <w:r w:rsidR="00210A46" w:rsidRPr="00AA4C4F">
              <w:rPr>
                <w:rStyle w:val="Hyperlink"/>
                <w:rFonts w:eastAsia="Times New Roman"/>
                <w:noProof/>
                <w:lang w:eastAsia="en-AU"/>
              </w:rPr>
              <w:t>Achievements</w:t>
            </w:r>
            <w:r w:rsidR="00210A46">
              <w:rPr>
                <w:noProof/>
                <w:webHidden/>
              </w:rPr>
              <w:tab/>
            </w:r>
            <w:r w:rsidR="00210A46">
              <w:rPr>
                <w:noProof/>
                <w:webHidden/>
              </w:rPr>
              <w:fldChar w:fldCharType="begin"/>
            </w:r>
            <w:r w:rsidR="00210A46">
              <w:rPr>
                <w:noProof/>
                <w:webHidden/>
              </w:rPr>
              <w:instrText xml:space="preserve"> PAGEREF _Toc341705887 \h </w:instrText>
            </w:r>
            <w:r w:rsidR="00210A46">
              <w:rPr>
                <w:noProof/>
                <w:webHidden/>
              </w:rPr>
            </w:r>
            <w:r w:rsidR="00210A46">
              <w:rPr>
                <w:noProof/>
                <w:webHidden/>
              </w:rPr>
              <w:fldChar w:fldCharType="separate"/>
            </w:r>
            <w:r w:rsidR="00210A46">
              <w:rPr>
                <w:noProof/>
                <w:webHidden/>
              </w:rPr>
              <w:t>9</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888" w:history="1">
            <w:r w:rsidR="00210A46" w:rsidRPr="00AA4C4F">
              <w:rPr>
                <w:rStyle w:val="Hyperlink"/>
                <w:rFonts w:eastAsia="Times New Roman"/>
                <w:noProof/>
                <w:lang w:eastAsia="en-AU"/>
              </w:rPr>
              <w:t>FSP</w:t>
            </w:r>
            <w:r w:rsidR="00210A46">
              <w:rPr>
                <w:noProof/>
                <w:webHidden/>
              </w:rPr>
              <w:tab/>
            </w:r>
            <w:r w:rsidR="00210A46">
              <w:rPr>
                <w:noProof/>
                <w:webHidden/>
              </w:rPr>
              <w:fldChar w:fldCharType="begin"/>
            </w:r>
            <w:r w:rsidR="00210A46">
              <w:rPr>
                <w:noProof/>
                <w:webHidden/>
              </w:rPr>
              <w:instrText xml:space="preserve"> PAGEREF _Toc341705888 \h </w:instrText>
            </w:r>
            <w:r w:rsidR="00210A46">
              <w:rPr>
                <w:noProof/>
                <w:webHidden/>
              </w:rPr>
            </w:r>
            <w:r w:rsidR="00210A46">
              <w:rPr>
                <w:noProof/>
                <w:webHidden/>
              </w:rPr>
              <w:fldChar w:fldCharType="separate"/>
            </w:r>
            <w:r w:rsidR="00210A46">
              <w:rPr>
                <w:noProof/>
                <w:webHidden/>
              </w:rPr>
              <w:t>9</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889" w:history="1">
            <w:r w:rsidR="00210A46" w:rsidRPr="00AA4C4F">
              <w:rPr>
                <w:rStyle w:val="Hyperlink"/>
                <w:rFonts w:eastAsia="Times New Roman"/>
                <w:noProof/>
                <w:lang w:eastAsia="en-AU"/>
              </w:rPr>
              <w:t>Building Australia’s Future Workforce (BAFW)</w:t>
            </w:r>
            <w:r w:rsidR="00210A46">
              <w:rPr>
                <w:noProof/>
                <w:webHidden/>
              </w:rPr>
              <w:tab/>
            </w:r>
            <w:r w:rsidR="00210A46">
              <w:rPr>
                <w:noProof/>
                <w:webHidden/>
              </w:rPr>
              <w:fldChar w:fldCharType="begin"/>
            </w:r>
            <w:r w:rsidR="00210A46">
              <w:rPr>
                <w:noProof/>
                <w:webHidden/>
              </w:rPr>
              <w:instrText xml:space="preserve"> PAGEREF _Toc341705889 \h </w:instrText>
            </w:r>
            <w:r w:rsidR="00210A46">
              <w:rPr>
                <w:noProof/>
                <w:webHidden/>
              </w:rPr>
            </w:r>
            <w:r w:rsidR="00210A46">
              <w:rPr>
                <w:noProof/>
                <w:webHidden/>
              </w:rPr>
              <w:fldChar w:fldCharType="separate"/>
            </w:r>
            <w:r w:rsidR="00210A46">
              <w:rPr>
                <w:noProof/>
                <w:webHidden/>
              </w:rPr>
              <w:t>9</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890" w:history="1">
            <w:r w:rsidR="00210A46" w:rsidRPr="00AA4C4F">
              <w:rPr>
                <w:rStyle w:val="Hyperlink"/>
                <w:noProof/>
                <w:lang w:eastAsia="en-AU"/>
              </w:rPr>
              <w:t>Intensive Family Support Services</w:t>
            </w:r>
            <w:r w:rsidR="00210A46">
              <w:rPr>
                <w:noProof/>
                <w:webHidden/>
              </w:rPr>
              <w:tab/>
            </w:r>
            <w:r w:rsidR="00210A46">
              <w:rPr>
                <w:noProof/>
                <w:webHidden/>
              </w:rPr>
              <w:fldChar w:fldCharType="begin"/>
            </w:r>
            <w:r w:rsidR="00210A46">
              <w:rPr>
                <w:noProof/>
                <w:webHidden/>
              </w:rPr>
              <w:instrText xml:space="preserve"> PAGEREF _Toc341705890 \h </w:instrText>
            </w:r>
            <w:r w:rsidR="00210A46">
              <w:rPr>
                <w:noProof/>
                <w:webHidden/>
              </w:rPr>
            </w:r>
            <w:r w:rsidR="00210A46">
              <w:rPr>
                <w:noProof/>
                <w:webHidden/>
              </w:rPr>
              <w:fldChar w:fldCharType="separate"/>
            </w:r>
            <w:r w:rsidR="00210A46">
              <w:rPr>
                <w:noProof/>
                <w:webHidden/>
              </w:rPr>
              <w:t>9</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891" w:history="1">
            <w:r w:rsidR="00210A46" w:rsidRPr="00AA4C4F">
              <w:rPr>
                <w:rStyle w:val="Hyperlink"/>
                <w:noProof/>
                <w:lang w:eastAsia="en-AU"/>
              </w:rPr>
              <w:t>MyTime for Grandparents</w:t>
            </w:r>
            <w:r w:rsidR="00210A46">
              <w:rPr>
                <w:noProof/>
                <w:webHidden/>
              </w:rPr>
              <w:tab/>
            </w:r>
            <w:r w:rsidR="00210A46">
              <w:rPr>
                <w:noProof/>
                <w:webHidden/>
              </w:rPr>
              <w:fldChar w:fldCharType="begin"/>
            </w:r>
            <w:r w:rsidR="00210A46">
              <w:rPr>
                <w:noProof/>
                <w:webHidden/>
              </w:rPr>
              <w:instrText xml:space="preserve"> PAGEREF _Toc341705891 \h </w:instrText>
            </w:r>
            <w:r w:rsidR="00210A46">
              <w:rPr>
                <w:noProof/>
                <w:webHidden/>
              </w:rPr>
            </w:r>
            <w:r w:rsidR="00210A46">
              <w:rPr>
                <w:noProof/>
                <w:webHidden/>
              </w:rPr>
              <w:fldChar w:fldCharType="separate"/>
            </w:r>
            <w:r w:rsidR="00210A46">
              <w:rPr>
                <w:noProof/>
                <w:webHidden/>
              </w:rPr>
              <w:t>10</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892" w:history="1">
            <w:r w:rsidR="00210A46" w:rsidRPr="00AA4C4F">
              <w:rPr>
                <w:rStyle w:val="Hyperlink"/>
                <w:noProof/>
                <w:lang w:eastAsia="en-AU"/>
              </w:rPr>
              <w:t>Find and Connect</w:t>
            </w:r>
            <w:r w:rsidR="00210A46">
              <w:rPr>
                <w:noProof/>
                <w:webHidden/>
              </w:rPr>
              <w:tab/>
            </w:r>
            <w:r w:rsidR="00210A46">
              <w:rPr>
                <w:noProof/>
                <w:webHidden/>
              </w:rPr>
              <w:fldChar w:fldCharType="begin"/>
            </w:r>
            <w:r w:rsidR="00210A46">
              <w:rPr>
                <w:noProof/>
                <w:webHidden/>
              </w:rPr>
              <w:instrText xml:space="preserve"> PAGEREF _Toc341705892 \h </w:instrText>
            </w:r>
            <w:r w:rsidR="00210A46">
              <w:rPr>
                <w:noProof/>
                <w:webHidden/>
              </w:rPr>
            </w:r>
            <w:r w:rsidR="00210A46">
              <w:rPr>
                <w:noProof/>
                <w:webHidden/>
              </w:rPr>
              <w:fldChar w:fldCharType="separate"/>
            </w:r>
            <w:r w:rsidR="00210A46">
              <w:rPr>
                <w:noProof/>
                <w:webHidden/>
              </w:rPr>
              <w:t>10</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893" w:history="1">
            <w:r w:rsidR="00210A46" w:rsidRPr="00AA4C4F">
              <w:rPr>
                <w:rStyle w:val="Hyperlink"/>
                <w:rFonts w:eastAsia="Times New Roman"/>
                <w:noProof/>
                <w:lang w:eastAsia="en-AU"/>
              </w:rPr>
              <w:t>FSPDS</w:t>
            </w:r>
            <w:r w:rsidR="00210A46">
              <w:rPr>
                <w:noProof/>
                <w:webHidden/>
              </w:rPr>
              <w:tab/>
            </w:r>
            <w:r w:rsidR="00210A46">
              <w:rPr>
                <w:noProof/>
                <w:webHidden/>
              </w:rPr>
              <w:fldChar w:fldCharType="begin"/>
            </w:r>
            <w:r w:rsidR="00210A46">
              <w:rPr>
                <w:noProof/>
                <w:webHidden/>
              </w:rPr>
              <w:instrText xml:space="preserve"> PAGEREF _Toc341705893 \h </w:instrText>
            </w:r>
            <w:r w:rsidR="00210A46">
              <w:rPr>
                <w:noProof/>
                <w:webHidden/>
              </w:rPr>
            </w:r>
            <w:r w:rsidR="00210A46">
              <w:rPr>
                <w:noProof/>
                <w:webHidden/>
              </w:rPr>
              <w:fldChar w:fldCharType="separate"/>
            </w:r>
            <w:r w:rsidR="00210A46">
              <w:rPr>
                <w:noProof/>
                <w:webHidden/>
              </w:rPr>
              <w:t>11</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894" w:history="1">
            <w:r w:rsidR="00210A46" w:rsidRPr="00AA4C4F">
              <w:rPr>
                <w:rStyle w:val="Hyperlink"/>
                <w:rFonts w:eastAsia="Times New Roman"/>
                <w:noProof/>
                <w:lang w:eastAsia="en-AU"/>
              </w:rPr>
              <w:t>Vulnerable and Disadvantaged Client Access Strategy (VADCAS)</w:t>
            </w:r>
            <w:r w:rsidR="00210A46">
              <w:rPr>
                <w:noProof/>
                <w:webHidden/>
              </w:rPr>
              <w:tab/>
            </w:r>
            <w:r w:rsidR="00210A46">
              <w:rPr>
                <w:noProof/>
                <w:webHidden/>
              </w:rPr>
              <w:fldChar w:fldCharType="begin"/>
            </w:r>
            <w:r w:rsidR="00210A46">
              <w:rPr>
                <w:noProof/>
                <w:webHidden/>
              </w:rPr>
              <w:instrText xml:space="preserve"> PAGEREF _Toc341705894 \h </w:instrText>
            </w:r>
            <w:r w:rsidR="00210A46">
              <w:rPr>
                <w:noProof/>
                <w:webHidden/>
              </w:rPr>
            </w:r>
            <w:r w:rsidR="00210A46">
              <w:rPr>
                <w:noProof/>
                <w:webHidden/>
              </w:rPr>
              <w:fldChar w:fldCharType="separate"/>
            </w:r>
            <w:r w:rsidR="00210A46">
              <w:rPr>
                <w:noProof/>
                <w:webHidden/>
              </w:rPr>
              <w:t>11</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895" w:history="1">
            <w:r w:rsidR="00210A46" w:rsidRPr="00AA4C4F">
              <w:rPr>
                <w:rStyle w:val="Hyperlink"/>
                <w:rFonts w:eastAsia="Times New Roman"/>
                <w:noProof/>
                <w:lang w:eastAsia="en-AU"/>
              </w:rPr>
              <w:t>Complaints</w:t>
            </w:r>
            <w:r w:rsidR="00210A46">
              <w:rPr>
                <w:noProof/>
                <w:webHidden/>
              </w:rPr>
              <w:tab/>
            </w:r>
            <w:r w:rsidR="00210A46">
              <w:rPr>
                <w:noProof/>
                <w:webHidden/>
              </w:rPr>
              <w:fldChar w:fldCharType="begin"/>
            </w:r>
            <w:r w:rsidR="00210A46">
              <w:rPr>
                <w:noProof/>
                <w:webHidden/>
              </w:rPr>
              <w:instrText xml:space="preserve"> PAGEREF _Toc341705895 \h </w:instrText>
            </w:r>
            <w:r w:rsidR="00210A46">
              <w:rPr>
                <w:noProof/>
                <w:webHidden/>
              </w:rPr>
            </w:r>
            <w:r w:rsidR="00210A46">
              <w:rPr>
                <w:noProof/>
                <w:webHidden/>
              </w:rPr>
              <w:fldChar w:fldCharType="separate"/>
            </w:r>
            <w:r w:rsidR="00210A46">
              <w:rPr>
                <w:noProof/>
                <w:webHidden/>
              </w:rPr>
              <w:t>12</w:t>
            </w:r>
            <w:r w:rsidR="00210A46">
              <w:rPr>
                <w:noProof/>
                <w:webHidden/>
              </w:rPr>
              <w:fldChar w:fldCharType="end"/>
            </w:r>
          </w:hyperlink>
        </w:p>
        <w:p w:rsidR="00210A46" w:rsidRDefault="00F67123">
          <w:pPr>
            <w:pStyle w:val="TOC1"/>
            <w:tabs>
              <w:tab w:val="right" w:leader="dot" w:pos="10456"/>
            </w:tabs>
            <w:rPr>
              <w:noProof/>
              <w:sz w:val="22"/>
              <w:szCs w:val="22"/>
              <w:lang w:eastAsia="en-AU"/>
            </w:rPr>
          </w:pPr>
          <w:hyperlink w:anchor="_Toc341705896" w:history="1">
            <w:r w:rsidR="00210A46" w:rsidRPr="00AA4C4F">
              <w:rPr>
                <w:rStyle w:val="Hyperlink"/>
                <w:rFonts w:eastAsia="Times New Roman"/>
                <w:noProof/>
                <w:lang w:eastAsia="en-AU"/>
              </w:rPr>
              <w:t>Section Two:   Client Data/Outputs</w:t>
            </w:r>
            <w:r w:rsidR="00210A46">
              <w:rPr>
                <w:noProof/>
                <w:webHidden/>
              </w:rPr>
              <w:tab/>
            </w:r>
            <w:r w:rsidR="00210A46">
              <w:rPr>
                <w:noProof/>
                <w:webHidden/>
              </w:rPr>
              <w:fldChar w:fldCharType="begin"/>
            </w:r>
            <w:r w:rsidR="00210A46">
              <w:rPr>
                <w:noProof/>
                <w:webHidden/>
              </w:rPr>
              <w:instrText xml:space="preserve"> PAGEREF _Toc341705896 \h </w:instrText>
            </w:r>
            <w:r w:rsidR="00210A46">
              <w:rPr>
                <w:noProof/>
                <w:webHidden/>
              </w:rPr>
            </w:r>
            <w:r w:rsidR="00210A46">
              <w:rPr>
                <w:noProof/>
                <w:webHidden/>
              </w:rPr>
              <w:fldChar w:fldCharType="separate"/>
            </w:r>
            <w:r w:rsidR="00210A46">
              <w:rPr>
                <w:noProof/>
                <w:webHidden/>
              </w:rPr>
              <w:t>13</w:t>
            </w:r>
            <w:r w:rsidR="00210A46">
              <w:rPr>
                <w:noProof/>
                <w:webHidden/>
              </w:rPr>
              <w:fldChar w:fldCharType="end"/>
            </w:r>
          </w:hyperlink>
        </w:p>
        <w:p w:rsidR="00210A46" w:rsidRDefault="00F67123">
          <w:pPr>
            <w:pStyle w:val="TOC2"/>
            <w:tabs>
              <w:tab w:val="right" w:leader="dot" w:pos="10456"/>
            </w:tabs>
            <w:rPr>
              <w:noProof/>
              <w:sz w:val="22"/>
              <w:szCs w:val="22"/>
              <w:lang w:eastAsia="en-AU"/>
            </w:rPr>
          </w:pPr>
          <w:hyperlink w:anchor="_Toc341705897" w:history="1">
            <w:r w:rsidR="00210A46" w:rsidRPr="00AA4C4F">
              <w:rPr>
                <w:rStyle w:val="Hyperlink"/>
                <w:rFonts w:eastAsia="Times New Roman"/>
                <w:noProof/>
                <w:lang w:eastAsia="en-AU"/>
              </w:rPr>
              <w:t>Family Support Program (All services combined)</w:t>
            </w:r>
            <w:r w:rsidR="00210A46">
              <w:rPr>
                <w:noProof/>
                <w:webHidden/>
              </w:rPr>
              <w:tab/>
            </w:r>
            <w:r w:rsidR="00210A46">
              <w:rPr>
                <w:noProof/>
                <w:webHidden/>
              </w:rPr>
              <w:fldChar w:fldCharType="begin"/>
            </w:r>
            <w:r w:rsidR="00210A46">
              <w:rPr>
                <w:noProof/>
                <w:webHidden/>
              </w:rPr>
              <w:instrText xml:space="preserve"> PAGEREF _Toc341705897 \h </w:instrText>
            </w:r>
            <w:r w:rsidR="00210A46">
              <w:rPr>
                <w:noProof/>
                <w:webHidden/>
              </w:rPr>
            </w:r>
            <w:r w:rsidR="00210A46">
              <w:rPr>
                <w:noProof/>
                <w:webHidden/>
              </w:rPr>
              <w:fldChar w:fldCharType="separate"/>
            </w:r>
            <w:r w:rsidR="00210A46">
              <w:rPr>
                <w:noProof/>
                <w:webHidden/>
              </w:rPr>
              <w:t>14</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898" w:history="1">
            <w:r w:rsidR="00210A46" w:rsidRPr="00AA4C4F">
              <w:rPr>
                <w:rStyle w:val="Hyperlink"/>
                <w:rFonts w:eastAsia="Times New Roman"/>
                <w:noProof/>
                <w:lang w:eastAsia="en-AU"/>
              </w:rPr>
              <w:t>FSP client numbers</w:t>
            </w:r>
            <w:r w:rsidR="00210A46">
              <w:rPr>
                <w:noProof/>
                <w:webHidden/>
              </w:rPr>
              <w:tab/>
            </w:r>
            <w:r w:rsidR="00210A46">
              <w:rPr>
                <w:noProof/>
                <w:webHidden/>
              </w:rPr>
              <w:fldChar w:fldCharType="begin"/>
            </w:r>
            <w:r w:rsidR="00210A46">
              <w:rPr>
                <w:noProof/>
                <w:webHidden/>
              </w:rPr>
              <w:instrText xml:space="preserve"> PAGEREF _Toc341705898 \h </w:instrText>
            </w:r>
            <w:r w:rsidR="00210A46">
              <w:rPr>
                <w:noProof/>
                <w:webHidden/>
              </w:rPr>
            </w:r>
            <w:r w:rsidR="00210A46">
              <w:rPr>
                <w:noProof/>
                <w:webHidden/>
              </w:rPr>
              <w:fldChar w:fldCharType="separate"/>
            </w:r>
            <w:r w:rsidR="00210A46">
              <w:rPr>
                <w:noProof/>
                <w:webHidden/>
              </w:rPr>
              <w:t>14</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899" w:history="1">
            <w:r w:rsidR="00210A46" w:rsidRPr="00AA4C4F">
              <w:rPr>
                <w:rStyle w:val="Hyperlink"/>
                <w:rFonts w:eastAsia="Times New Roman"/>
                <w:noProof/>
                <w:lang w:eastAsia="en-AU"/>
              </w:rPr>
              <w:t>FSP cients by demographic groups</w:t>
            </w:r>
            <w:r w:rsidR="00210A46">
              <w:rPr>
                <w:noProof/>
                <w:webHidden/>
              </w:rPr>
              <w:tab/>
            </w:r>
            <w:r w:rsidR="00210A46">
              <w:rPr>
                <w:noProof/>
                <w:webHidden/>
              </w:rPr>
              <w:fldChar w:fldCharType="begin"/>
            </w:r>
            <w:r w:rsidR="00210A46">
              <w:rPr>
                <w:noProof/>
                <w:webHidden/>
              </w:rPr>
              <w:instrText xml:space="preserve"> PAGEREF _Toc341705899 \h </w:instrText>
            </w:r>
            <w:r w:rsidR="00210A46">
              <w:rPr>
                <w:noProof/>
                <w:webHidden/>
              </w:rPr>
            </w:r>
            <w:r w:rsidR="00210A46">
              <w:rPr>
                <w:noProof/>
                <w:webHidden/>
              </w:rPr>
              <w:fldChar w:fldCharType="separate"/>
            </w:r>
            <w:r w:rsidR="00210A46">
              <w:rPr>
                <w:noProof/>
                <w:webHidden/>
              </w:rPr>
              <w:t>15</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900" w:history="1">
            <w:r w:rsidR="00210A46" w:rsidRPr="00AA4C4F">
              <w:rPr>
                <w:rStyle w:val="Hyperlink"/>
                <w:rFonts w:eastAsia="Times New Roman"/>
                <w:noProof/>
                <w:lang w:eastAsia="en-AU"/>
              </w:rPr>
              <w:t>FSP clients who identified as Aboriginal and/or Torres Strait Islander</w:t>
            </w:r>
            <w:r w:rsidR="00210A46">
              <w:rPr>
                <w:noProof/>
                <w:webHidden/>
              </w:rPr>
              <w:tab/>
            </w:r>
            <w:r w:rsidR="00210A46">
              <w:rPr>
                <w:noProof/>
                <w:webHidden/>
              </w:rPr>
              <w:fldChar w:fldCharType="begin"/>
            </w:r>
            <w:r w:rsidR="00210A46">
              <w:rPr>
                <w:noProof/>
                <w:webHidden/>
              </w:rPr>
              <w:instrText xml:space="preserve"> PAGEREF _Toc341705900 \h </w:instrText>
            </w:r>
            <w:r w:rsidR="00210A46">
              <w:rPr>
                <w:noProof/>
                <w:webHidden/>
              </w:rPr>
            </w:r>
            <w:r w:rsidR="00210A46">
              <w:rPr>
                <w:noProof/>
                <w:webHidden/>
              </w:rPr>
              <w:fldChar w:fldCharType="separate"/>
            </w:r>
            <w:r w:rsidR="00210A46">
              <w:rPr>
                <w:noProof/>
                <w:webHidden/>
              </w:rPr>
              <w:t>16</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901" w:history="1">
            <w:r w:rsidR="00210A46" w:rsidRPr="00AA4C4F">
              <w:rPr>
                <w:rStyle w:val="Hyperlink"/>
                <w:rFonts w:eastAsia="Times New Roman"/>
                <w:noProof/>
                <w:lang w:eastAsia="en-AU"/>
              </w:rPr>
              <w:t>FSP clients who identified as Culturally and Linguistically Diverse</w:t>
            </w:r>
            <w:r w:rsidR="00210A46">
              <w:rPr>
                <w:noProof/>
                <w:webHidden/>
              </w:rPr>
              <w:tab/>
            </w:r>
            <w:r w:rsidR="00210A46">
              <w:rPr>
                <w:noProof/>
                <w:webHidden/>
              </w:rPr>
              <w:fldChar w:fldCharType="begin"/>
            </w:r>
            <w:r w:rsidR="00210A46">
              <w:rPr>
                <w:noProof/>
                <w:webHidden/>
              </w:rPr>
              <w:instrText xml:space="preserve"> PAGEREF _Toc341705901 \h </w:instrText>
            </w:r>
            <w:r w:rsidR="00210A46">
              <w:rPr>
                <w:noProof/>
                <w:webHidden/>
              </w:rPr>
            </w:r>
            <w:r w:rsidR="00210A46">
              <w:rPr>
                <w:noProof/>
                <w:webHidden/>
              </w:rPr>
              <w:fldChar w:fldCharType="separate"/>
            </w:r>
            <w:r w:rsidR="00210A46">
              <w:rPr>
                <w:noProof/>
                <w:webHidden/>
              </w:rPr>
              <w:t>16</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902" w:history="1">
            <w:r w:rsidR="00210A46" w:rsidRPr="00AA4C4F">
              <w:rPr>
                <w:rStyle w:val="Hyperlink"/>
                <w:rFonts w:eastAsia="Times New Roman"/>
                <w:noProof/>
                <w:lang w:eastAsia="en-AU"/>
              </w:rPr>
              <w:t>FSP clients who identified as having a disability</w:t>
            </w:r>
            <w:r w:rsidR="00210A46">
              <w:rPr>
                <w:noProof/>
                <w:webHidden/>
              </w:rPr>
              <w:tab/>
            </w:r>
            <w:r w:rsidR="00210A46">
              <w:rPr>
                <w:noProof/>
                <w:webHidden/>
              </w:rPr>
              <w:fldChar w:fldCharType="begin"/>
            </w:r>
            <w:r w:rsidR="00210A46">
              <w:rPr>
                <w:noProof/>
                <w:webHidden/>
              </w:rPr>
              <w:instrText xml:space="preserve"> PAGEREF _Toc341705902 \h </w:instrText>
            </w:r>
            <w:r w:rsidR="00210A46">
              <w:rPr>
                <w:noProof/>
                <w:webHidden/>
              </w:rPr>
            </w:r>
            <w:r w:rsidR="00210A46">
              <w:rPr>
                <w:noProof/>
                <w:webHidden/>
              </w:rPr>
              <w:fldChar w:fldCharType="separate"/>
            </w:r>
            <w:r w:rsidR="00210A46">
              <w:rPr>
                <w:noProof/>
                <w:webHidden/>
              </w:rPr>
              <w:t>17</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903" w:history="1">
            <w:r w:rsidR="00210A46" w:rsidRPr="00AA4C4F">
              <w:rPr>
                <w:rStyle w:val="Hyperlink"/>
                <w:rFonts w:eastAsia="Times New Roman"/>
                <w:noProof/>
                <w:lang w:eastAsia="en-AU"/>
              </w:rPr>
              <w:t>Income from service fees</w:t>
            </w:r>
            <w:r w:rsidR="00210A46">
              <w:rPr>
                <w:noProof/>
                <w:webHidden/>
              </w:rPr>
              <w:tab/>
            </w:r>
            <w:r w:rsidR="00210A46">
              <w:rPr>
                <w:noProof/>
                <w:webHidden/>
              </w:rPr>
              <w:fldChar w:fldCharType="begin"/>
            </w:r>
            <w:r w:rsidR="00210A46">
              <w:rPr>
                <w:noProof/>
                <w:webHidden/>
              </w:rPr>
              <w:instrText xml:space="preserve"> PAGEREF _Toc341705903 \h </w:instrText>
            </w:r>
            <w:r w:rsidR="00210A46">
              <w:rPr>
                <w:noProof/>
                <w:webHidden/>
              </w:rPr>
            </w:r>
            <w:r w:rsidR="00210A46">
              <w:rPr>
                <w:noProof/>
                <w:webHidden/>
              </w:rPr>
              <w:fldChar w:fldCharType="separate"/>
            </w:r>
            <w:r w:rsidR="00210A46">
              <w:rPr>
                <w:noProof/>
                <w:webHidden/>
              </w:rPr>
              <w:t>18</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904" w:history="1">
            <w:r w:rsidR="00210A46" w:rsidRPr="00AA4C4F">
              <w:rPr>
                <w:rStyle w:val="Hyperlink"/>
                <w:noProof/>
              </w:rPr>
              <w:t>Referrals to External Services</w:t>
            </w:r>
            <w:r w:rsidR="00210A46">
              <w:rPr>
                <w:noProof/>
                <w:webHidden/>
              </w:rPr>
              <w:tab/>
            </w:r>
            <w:r w:rsidR="00210A46">
              <w:rPr>
                <w:noProof/>
                <w:webHidden/>
              </w:rPr>
              <w:fldChar w:fldCharType="begin"/>
            </w:r>
            <w:r w:rsidR="00210A46">
              <w:rPr>
                <w:noProof/>
                <w:webHidden/>
              </w:rPr>
              <w:instrText xml:space="preserve"> PAGEREF _Toc341705904 \h </w:instrText>
            </w:r>
            <w:r w:rsidR="00210A46">
              <w:rPr>
                <w:noProof/>
                <w:webHidden/>
              </w:rPr>
            </w:r>
            <w:r w:rsidR="00210A46">
              <w:rPr>
                <w:noProof/>
                <w:webHidden/>
              </w:rPr>
              <w:fldChar w:fldCharType="separate"/>
            </w:r>
            <w:r w:rsidR="00210A46">
              <w:rPr>
                <w:noProof/>
                <w:webHidden/>
              </w:rPr>
              <w:t>19</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905" w:history="1">
            <w:r w:rsidR="00210A46" w:rsidRPr="00AA4C4F">
              <w:rPr>
                <w:rStyle w:val="Hyperlink"/>
                <w:rFonts w:eastAsia="Times New Roman"/>
                <w:noProof/>
                <w:lang w:eastAsia="en-AU"/>
              </w:rPr>
              <w:t>Presenting needs</w:t>
            </w:r>
            <w:r w:rsidR="00210A46">
              <w:rPr>
                <w:noProof/>
                <w:webHidden/>
              </w:rPr>
              <w:tab/>
            </w:r>
            <w:r w:rsidR="00210A46">
              <w:rPr>
                <w:noProof/>
                <w:webHidden/>
              </w:rPr>
              <w:fldChar w:fldCharType="begin"/>
            </w:r>
            <w:r w:rsidR="00210A46">
              <w:rPr>
                <w:noProof/>
                <w:webHidden/>
              </w:rPr>
              <w:instrText xml:space="preserve"> PAGEREF _Toc341705905 \h </w:instrText>
            </w:r>
            <w:r w:rsidR="00210A46">
              <w:rPr>
                <w:noProof/>
                <w:webHidden/>
              </w:rPr>
            </w:r>
            <w:r w:rsidR="00210A46">
              <w:rPr>
                <w:noProof/>
                <w:webHidden/>
              </w:rPr>
              <w:fldChar w:fldCharType="separate"/>
            </w:r>
            <w:r w:rsidR="00210A46">
              <w:rPr>
                <w:noProof/>
                <w:webHidden/>
              </w:rPr>
              <w:t>20</w:t>
            </w:r>
            <w:r w:rsidR="00210A46">
              <w:rPr>
                <w:noProof/>
                <w:webHidden/>
              </w:rPr>
              <w:fldChar w:fldCharType="end"/>
            </w:r>
          </w:hyperlink>
        </w:p>
        <w:p w:rsidR="00210A46" w:rsidRDefault="00F67123">
          <w:pPr>
            <w:pStyle w:val="TOC2"/>
            <w:tabs>
              <w:tab w:val="right" w:leader="dot" w:pos="10456"/>
            </w:tabs>
            <w:rPr>
              <w:noProof/>
              <w:sz w:val="22"/>
              <w:szCs w:val="22"/>
              <w:lang w:eastAsia="en-AU"/>
            </w:rPr>
          </w:pPr>
          <w:hyperlink w:anchor="_Toc341705906" w:history="1">
            <w:r w:rsidR="00210A46" w:rsidRPr="00AA4C4F">
              <w:rPr>
                <w:rStyle w:val="Hyperlink"/>
                <w:rFonts w:eastAsia="Times New Roman"/>
                <w:noProof/>
                <w:lang w:eastAsia="en-AU"/>
              </w:rPr>
              <w:t>Building Australia’s Future Workforce (BAFW)</w:t>
            </w:r>
            <w:r w:rsidR="00210A46">
              <w:rPr>
                <w:noProof/>
                <w:webHidden/>
              </w:rPr>
              <w:tab/>
            </w:r>
            <w:r w:rsidR="00210A46">
              <w:rPr>
                <w:noProof/>
                <w:webHidden/>
              </w:rPr>
              <w:fldChar w:fldCharType="begin"/>
            </w:r>
            <w:r w:rsidR="00210A46">
              <w:rPr>
                <w:noProof/>
                <w:webHidden/>
              </w:rPr>
              <w:instrText xml:space="preserve"> PAGEREF _Toc341705906 \h </w:instrText>
            </w:r>
            <w:r w:rsidR="00210A46">
              <w:rPr>
                <w:noProof/>
                <w:webHidden/>
              </w:rPr>
            </w:r>
            <w:r w:rsidR="00210A46">
              <w:rPr>
                <w:noProof/>
                <w:webHidden/>
              </w:rPr>
              <w:fldChar w:fldCharType="separate"/>
            </w:r>
            <w:r w:rsidR="00210A46">
              <w:rPr>
                <w:noProof/>
                <w:webHidden/>
              </w:rPr>
              <w:t>20</w:t>
            </w:r>
            <w:r w:rsidR="00210A46">
              <w:rPr>
                <w:noProof/>
                <w:webHidden/>
              </w:rPr>
              <w:fldChar w:fldCharType="end"/>
            </w:r>
          </w:hyperlink>
        </w:p>
        <w:p w:rsidR="00210A46" w:rsidRDefault="00F67123">
          <w:pPr>
            <w:pStyle w:val="TOC2"/>
            <w:tabs>
              <w:tab w:val="right" w:leader="dot" w:pos="10456"/>
            </w:tabs>
            <w:rPr>
              <w:noProof/>
              <w:sz w:val="22"/>
              <w:szCs w:val="22"/>
              <w:lang w:eastAsia="en-AU"/>
            </w:rPr>
          </w:pPr>
          <w:hyperlink w:anchor="_Toc341705907" w:history="1">
            <w:r w:rsidR="00210A46" w:rsidRPr="00AA4C4F">
              <w:rPr>
                <w:rStyle w:val="Hyperlink"/>
                <w:rFonts w:eastAsia="Times New Roman"/>
                <w:noProof/>
                <w:lang w:eastAsia="en-AU"/>
              </w:rPr>
              <w:t>Family and Relationship Services, Specialist Services and Family Law Services</w:t>
            </w:r>
            <w:r w:rsidR="00210A46">
              <w:rPr>
                <w:noProof/>
                <w:webHidden/>
              </w:rPr>
              <w:tab/>
            </w:r>
            <w:r w:rsidR="00210A46">
              <w:rPr>
                <w:noProof/>
                <w:webHidden/>
              </w:rPr>
              <w:fldChar w:fldCharType="begin"/>
            </w:r>
            <w:r w:rsidR="00210A46">
              <w:rPr>
                <w:noProof/>
                <w:webHidden/>
              </w:rPr>
              <w:instrText xml:space="preserve"> PAGEREF _Toc341705907 \h </w:instrText>
            </w:r>
            <w:r w:rsidR="00210A46">
              <w:rPr>
                <w:noProof/>
                <w:webHidden/>
              </w:rPr>
            </w:r>
            <w:r w:rsidR="00210A46">
              <w:rPr>
                <w:noProof/>
                <w:webHidden/>
              </w:rPr>
              <w:fldChar w:fldCharType="separate"/>
            </w:r>
            <w:r w:rsidR="00210A46">
              <w:rPr>
                <w:noProof/>
                <w:webHidden/>
              </w:rPr>
              <w:t>22</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908" w:history="1">
            <w:r w:rsidR="00210A46" w:rsidRPr="00AA4C4F">
              <w:rPr>
                <w:rStyle w:val="Hyperlink"/>
                <w:rFonts w:eastAsia="Times New Roman"/>
                <w:noProof/>
                <w:lang w:eastAsia="en-AU"/>
              </w:rPr>
              <w:t>FaRS, SS &amp; FLS client numbers</w:t>
            </w:r>
            <w:r w:rsidR="00210A46">
              <w:rPr>
                <w:noProof/>
                <w:webHidden/>
              </w:rPr>
              <w:tab/>
            </w:r>
            <w:r w:rsidR="00210A46">
              <w:rPr>
                <w:noProof/>
                <w:webHidden/>
              </w:rPr>
              <w:fldChar w:fldCharType="begin"/>
            </w:r>
            <w:r w:rsidR="00210A46">
              <w:rPr>
                <w:noProof/>
                <w:webHidden/>
              </w:rPr>
              <w:instrText xml:space="preserve"> PAGEREF _Toc341705908 \h </w:instrText>
            </w:r>
            <w:r w:rsidR="00210A46">
              <w:rPr>
                <w:noProof/>
                <w:webHidden/>
              </w:rPr>
            </w:r>
            <w:r w:rsidR="00210A46">
              <w:rPr>
                <w:noProof/>
                <w:webHidden/>
              </w:rPr>
              <w:fldChar w:fldCharType="separate"/>
            </w:r>
            <w:r w:rsidR="00210A46">
              <w:rPr>
                <w:noProof/>
                <w:webHidden/>
              </w:rPr>
              <w:t>22</w:t>
            </w:r>
            <w:r w:rsidR="00210A46">
              <w:rPr>
                <w:noProof/>
                <w:webHidden/>
              </w:rPr>
              <w:fldChar w:fldCharType="end"/>
            </w:r>
          </w:hyperlink>
        </w:p>
        <w:p w:rsidR="00210A46" w:rsidRDefault="00F67123">
          <w:pPr>
            <w:pStyle w:val="TOC2"/>
            <w:tabs>
              <w:tab w:val="right" w:leader="dot" w:pos="10456"/>
            </w:tabs>
            <w:rPr>
              <w:noProof/>
              <w:sz w:val="22"/>
              <w:szCs w:val="22"/>
              <w:lang w:eastAsia="en-AU"/>
            </w:rPr>
          </w:pPr>
          <w:hyperlink w:anchor="_Toc341705909" w:history="1">
            <w:r w:rsidR="00210A46" w:rsidRPr="00AA4C4F">
              <w:rPr>
                <w:rStyle w:val="Hyperlink"/>
                <w:rFonts w:eastAsia="Times New Roman"/>
                <w:noProof/>
                <w:lang w:eastAsia="en-AU"/>
              </w:rPr>
              <w:t>Communities for Children and Community Playgroups</w:t>
            </w:r>
            <w:r w:rsidR="00210A46">
              <w:rPr>
                <w:noProof/>
                <w:webHidden/>
              </w:rPr>
              <w:tab/>
            </w:r>
            <w:r w:rsidR="00210A46">
              <w:rPr>
                <w:noProof/>
                <w:webHidden/>
              </w:rPr>
              <w:fldChar w:fldCharType="begin"/>
            </w:r>
            <w:r w:rsidR="00210A46">
              <w:rPr>
                <w:noProof/>
                <w:webHidden/>
              </w:rPr>
              <w:instrText xml:space="preserve"> PAGEREF _Toc341705909 \h </w:instrText>
            </w:r>
            <w:r w:rsidR="00210A46">
              <w:rPr>
                <w:noProof/>
                <w:webHidden/>
              </w:rPr>
            </w:r>
            <w:r w:rsidR="00210A46">
              <w:rPr>
                <w:noProof/>
                <w:webHidden/>
              </w:rPr>
              <w:fldChar w:fldCharType="separate"/>
            </w:r>
            <w:r w:rsidR="00210A46">
              <w:rPr>
                <w:noProof/>
                <w:webHidden/>
              </w:rPr>
              <w:t>23</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910" w:history="1">
            <w:r w:rsidR="00210A46" w:rsidRPr="00AA4C4F">
              <w:rPr>
                <w:rStyle w:val="Hyperlink"/>
                <w:rFonts w:eastAsia="Times New Roman"/>
                <w:noProof/>
                <w:lang w:eastAsia="en-AU"/>
              </w:rPr>
              <w:t>CfC and CP client numbers</w:t>
            </w:r>
            <w:r w:rsidR="00210A46">
              <w:rPr>
                <w:noProof/>
                <w:webHidden/>
              </w:rPr>
              <w:tab/>
            </w:r>
            <w:r w:rsidR="00210A46">
              <w:rPr>
                <w:noProof/>
                <w:webHidden/>
              </w:rPr>
              <w:fldChar w:fldCharType="begin"/>
            </w:r>
            <w:r w:rsidR="00210A46">
              <w:rPr>
                <w:noProof/>
                <w:webHidden/>
              </w:rPr>
              <w:instrText xml:space="preserve"> PAGEREF _Toc341705910 \h </w:instrText>
            </w:r>
            <w:r w:rsidR="00210A46">
              <w:rPr>
                <w:noProof/>
                <w:webHidden/>
              </w:rPr>
            </w:r>
            <w:r w:rsidR="00210A46">
              <w:rPr>
                <w:noProof/>
                <w:webHidden/>
              </w:rPr>
              <w:fldChar w:fldCharType="separate"/>
            </w:r>
            <w:r w:rsidR="00210A46">
              <w:rPr>
                <w:noProof/>
                <w:webHidden/>
              </w:rPr>
              <w:t>24</w:t>
            </w:r>
            <w:r w:rsidR="00210A46">
              <w:rPr>
                <w:noProof/>
                <w:webHidden/>
              </w:rPr>
              <w:fldChar w:fldCharType="end"/>
            </w:r>
          </w:hyperlink>
        </w:p>
        <w:p w:rsidR="00210A46" w:rsidRDefault="00F67123">
          <w:pPr>
            <w:pStyle w:val="TOC1"/>
            <w:tabs>
              <w:tab w:val="right" w:leader="dot" w:pos="10456"/>
            </w:tabs>
            <w:rPr>
              <w:noProof/>
              <w:sz w:val="22"/>
              <w:szCs w:val="22"/>
              <w:lang w:eastAsia="en-AU"/>
            </w:rPr>
          </w:pPr>
          <w:hyperlink w:anchor="_Toc341705911" w:history="1">
            <w:r w:rsidR="00210A46" w:rsidRPr="00AA4C4F">
              <w:rPr>
                <w:rStyle w:val="Hyperlink"/>
                <w:rFonts w:eastAsia="Times New Roman"/>
                <w:noProof/>
                <w:lang w:eastAsia="en-AU"/>
              </w:rPr>
              <w:t>Section three:  Activity Information</w:t>
            </w:r>
            <w:r w:rsidR="00210A46">
              <w:rPr>
                <w:noProof/>
                <w:webHidden/>
              </w:rPr>
              <w:tab/>
            </w:r>
            <w:r w:rsidR="00210A46">
              <w:rPr>
                <w:noProof/>
                <w:webHidden/>
              </w:rPr>
              <w:fldChar w:fldCharType="begin"/>
            </w:r>
            <w:r w:rsidR="00210A46">
              <w:rPr>
                <w:noProof/>
                <w:webHidden/>
              </w:rPr>
              <w:instrText xml:space="preserve"> PAGEREF _Toc341705911 \h </w:instrText>
            </w:r>
            <w:r w:rsidR="00210A46">
              <w:rPr>
                <w:noProof/>
                <w:webHidden/>
              </w:rPr>
            </w:r>
            <w:r w:rsidR="00210A46">
              <w:rPr>
                <w:noProof/>
                <w:webHidden/>
              </w:rPr>
              <w:fldChar w:fldCharType="separate"/>
            </w:r>
            <w:r w:rsidR="00210A46">
              <w:rPr>
                <w:noProof/>
                <w:webHidden/>
              </w:rPr>
              <w:t>25</w:t>
            </w:r>
            <w:r w:rsidR="00210A46">
              <w:rPr>
                <w:noProof/>
                <w:webHidden/>
              </w:rPr>
              <w:fldChar w:fldCharType="end"/>
            </w:r>
          </w:hyperlink>
        </w:p>
        <w:p w:rsidR="00210A46" w:rsidRDefault="00F67123">
          <w:pPr>
            <w:pStyle w:val="TOC2"/>
            <w:tabs>
              <w:tab w:val="right" w:leader="dot" w:pos="10456"/>
            </w:tabs>
            <w:rPr>
              <w:noProof/>
              <w:sz w:val="22"/>
              <w:szCs w:val="22"/>
              <w:lang w:eastAsia="en-AU"/>
            </w:rPr>
          </w:pPr>
          <w:hyperlink w:anchor="_Toc341705912" w:history="1">
            <w:r w:rsidR="00210A46" w:rsidRPr="00AA4C4F">
              <w:rPr>
                <w:rStyle w:val="Hyperlink"/>
                <w:rFonts w:eastAsia="Times New Roman"/>
                <w:noProof/>
                <w:lang w:eastAsia="en-AU"/>
              </w:rPr>
              <w:t>Ranking of eligible activities</w:t>
            </w:r>
            <w:r w:rsidR="00210A46">
              <w:rPr>
                <w:noProof/>
                <w:webHidden/>
              </w:rPr>
              <w:tab/>
            </w:r>
            <w:r w:rsidR="00210A46">
              <w:rPr>
                <w:noProof/>
                <w:webHidden/>
              </w:rPr>
              <w:fldChar w:fldCharType="begin"/>
            </w:r>
            <w:r w:rsidR="00210A46">
              <w:rPr>
                <w:noProof/>
                <w:webHidden/>
              </w:rPr>
              <w:instrText xml:space="preserve"> PAGEREF _Toc341705912 \h </w:instrText>
            </w:r>
            <w:r w:rsidR="00210A46">
              <w:rPr>
                <w:noProof/>
                <w:webHidden/>
              </w:rPr>
            </w:r>
            <w:r w:rsidR="00210A46">
              <w:rPr>
                <w:noProof/>
                <w:webHidden/>
              </w:rPr>
              <w:fldChar w:fldCharType="separate"/>
            </w:r>
            <w:r w:rsidR="00210A46">
              <w:rPr>
                <w:noProof/>
                <w:webHidden/>
              </w:rPr>
              <w:t>25</w:t>
            </w:r>
            <w:r w:rsidR="00210A46">
              <w:rPr>
                <w:noProof/>
                <w:webHidden/>
              </w:rPr>
              <w:fldChar w:fldCharType="end"/>
            </w:r>
          </w:hyperlink>
        </w:p>
        <w:p w:rsidR="00210A46" w:rsidRDefault="00F67123">
          <w:pPr>
            <w:pStyle w:val="TOC2"/>
            <w:tabs>
              <w:tab w:val="right" w:leader="dot" w:pos="10456"/>
            </w:tabs>
            <w:rPr>
              <w:noProof/>
              <w:sz w:val="22"/>
              <w:szCs w:val="22"/>
              <w:lang w:eastAsia="en-AU"/>
            </w:rPr>
          </w:pPr>
          <w:hyperlink w:anchor="_Toc341705913" w:history="1">
            <w:r w:rsidR="00210A46" w:rsidRPr="00AA4C4F">
              <w:rPr>
                <w:rStyle w:val="Hyperlink"/>
                <w:rFonts w:eastAsia="Times New Roman"/>
                <w:noProof/>
                <w:lang w:eastAsia="en-AU"/>
              </w:rPr>
              <w:t>Family Relationship Advice Line (the Advice Line) – 1800 050 321</w:t>
            </w:r>
            <w:r w:rsidR="00210A46">
              <w:rPr>
                <w:noProof/>
                <w:webHidden/>
              </w:rPr>
              <w:tab/>
            </w:r>
            <w:r w:rsidR="00210A46">
              <w:rPr>
                <w:noProof/>
                <w:webHidden/>
              </w:rPr>
              <w:fldChar w:fldCharType="begin"/>
            </w:r>
            <w:r w:rsidR="00210A46">
              <w:rPr>
                <w:noProof/>
                <w:webHidden/>
              </w:rPr>
              <w:instrText xml:space="preserve"> PAGEREF _Toc341705913 \h </w:instrText>
            </w:r>
            <w:r w:rsidR="00210A46">
              <w:rPr>
                <w:noProof/>
                <w:webHidden/>
              </w:rPr>
            </w:r>
            <w:r w:rsidR="00210A46">
              <w:rPr>
                <w:noProof/>
                <w:webHidden/>
              </w:rPr>
              <w:fldChar w:fldCharType="separate"/>
            </w:r>
            <w:r w:rsidR="00210A46">
              <w:rPr>
                <w:noProof/>
                <w:webHidden/>
              </w:rPr>
              <w:t>26</w:t>
            </w:r>
            <w:r w:rsidR="00210A46">
              <w:rPr>
                <w:noProof/>
                <w:webHidden/>
              </w:rPr>
              <w:fldChar w:fldCharType="end"/>
            </w:r>
          </w:hyperlink>
        </w:p>
        <w:p w:rsidR="00210A46" w:rsidRDefault="00F67123">
          <w:pPr>
            <w:pStyle w:val="TOC2"/>
            <w:tabs>
              <w:tab w:val="right" w:leader="dot" w:pos="10456"/>
            </w:tabs>
            <w:rPr>
              <w:noProof/>
              <w:sz w:val="22"/>
              <w:szCs w:val="22"/>
              <w:lang w:eastAsia="en-AU"/>
            </w:rPr>
          </w:pPr>
          <w:hyperlink w:anchor="_Toc341705914" w:history="1">
            <w:r w:rsidR="00210A46" w:rsidRPr="00AA4C4F">
              <w:rPr>
                <w:rStyle w:val="Hyperlink"/>
                <w:rFonts w:eastAsia="Times New Roman"/>
                <w:noProof/>
                <w:lang w:eastAsia="en-AU"/>
              </w:rPr>
              <w:t>MensLine Australia - 1300 78 99 78</w:t>
            </w:r>
            <w:r w:rsidR="00210A46">
              <w:rPr>
                <w:noProof/>
                <w:webHidden/>
              </w:rPr>
              <w:tab/>
            </w:r>
            <w:r w:rsidR="00210A46">
              <w:rPr>
                <w:noProof/>
                <w:webHidden/>
              </w:rPr>
              <w:fldChar w:fldCharType="begin"/>
            </w:r>
            <w:r w:rsidR="00210A46">
              <w:rPr>
                <w:noProof/>
                <w:webHidden/>
              </w:rPr>
              <w:instrText xml:space="preserve"> PAGEREF _Toc341705914 \h </w:instrText>
            </w:r>
            <w:r w:rsidR="00210A46">
              <w:rPr>
                <w:noProof/>
                <w:webHidden/>
              </w:rPr>
            </w:r>
            <w:r w:rsidR="00210A46">
              <w:rPr>
                <w:noProof/>
                <w:webHidden/>
              </w:rPr>
              <w:fldChar w:fldCharType="separate"/>
            </w:r>
            <w:r w:rsidR="00210A46">
              <w:rPr>
                <w:noProof/>
                <w:webHidden/>
              </w:rPr>
              <w:t>27</w:t>
            </w:r>
            <w:r w:rsidR="00210A46">
              <w:rPr>
                <w:noProof/>
                <w:webHidden/>
              </w:rPr>
              <w:fldChar w:fldCharType="end"/>
            </w:r>
          </w:hyperlink>
        </w:p>
        <w:p w:rsidR="00210A46" w:rsidRDefault="00F67123">
          <w:pPr>
            <w:pStyle w:val="TOC2"/>
            <w:tabs>
              <w:tab w:val="right" w:leader="dot" w:pos="10456"/>
            </w:tabs>
            <w:rPr>
              <w:noProof/>
              <w:sz w:val="22"/>
              <w:szCs w:val="22"/>
              <w:lang w:eastAsia="en-AU"/>
            </w:rPr>
          </w:pPr>
          <w:hyperlink w:anchor="_Toc341705915" w:history="1">
            <w:r w:rsidR="00210A46" w:rsidRPr="00AA4C4F">
              <w:rPr>
                <w:rStyle w:val="Hyperlink"/>
                <w:rFonts w:eastAsia="Times New Roman"/>
                <w:noProof/>
                <w:lang w:eastAsia="en-AU"/>
              </w:rPr>
              <w:t>Raising Children Network</w:t>
            </w:r>
            <w:r w:rsidR="00210A46">
              <w:rPr>
                <w:noProof/>
                <w:webHidden/>
              </w:rPr>
              <w:tab/>
            </w:r>
            <w:r w:rsidR="00210A46">
              <w:rPr>
                <w:noProof/>
                <w:webHidden/>
              </w:rPr>
              <w:fldChar w:fldCharType="begin"/>
            </w:r>
            <w:r w:rsidR="00210A46">
              <w:rPr>
                <w:noProof/>
                <w:webHidden/>
              </w:rPr>
              <w:instrText xml:space="preserve"> PAGEREF _Toc341705915 \h </w:instrText>
            </w:r>
            <w:r w:rsidR="00210A46">
              <w:rPr>
                <w:noProof/>
                <w:webHidden/>
              </w:rPr>
            </w:r>
            <w:r w:rsidR="00210A46">
              <w:rPr>
                <w:noProof/>
                <w:webHidden/>
              </w:rPr>
              <w:fldChar w:fldCharType="separate"/>
            </w:r>
            <w:r w:rsidR="00210A46">
              <w:rPr>
                <w:noProof/>
                <w:webHidden/>
              </w:rPr>
              <w:t>28</w:t>
            </w:r>
            <w:r w:rsidR="00210A46">
              <w:rPr>
                <w:noProof/>
                <w:webHidden/>
              </w:rPr>
              <w:fldChar w:fldCharType="end"/>
            </w:r>
          </w:hyperlink>
        </w:p>
        <w:p w:rsidR="00210A46" w:rsidRDefault="00F67123">
          <w:pPr>
            <w:pStyle w:val="TOC2"/>
            <w:tabs>
              <w:tab w:val="right" w:leader="dot" w:pos="10456"/>
            </w:tabs>
            <w:rPr>
              <w:noProof/>
              <w:sz w:val="22"/>
              <w:szCs w:val="22"/>
              <w:lang w:eastAsia="en-AU"/>
            </w:rPr>
          </w:pPr>
          <w:hyperlink w:anchor="_Toc341705916" w:history="1">
            <w:r w:rsidR="00210A46" w:rsidRPr="00AA4C4F">
              <w:rPr>
                <w:rStyle w:val="Hyperlink"/>
                <w:rFonts w:eastAsia="Times New Roman"/>
                <w:noProof/>
                <w:lang w:eastAsia="en-AU"/>
              </w:rPr>
              <w:t>Family Relationships Online (FRO)</w:t>
            </w:r>
            <w:r w:rsidR="00210A46">
              <w:rPr>
                <w:noProof/>
                <w:webHidden/>
              </w:rPr>
              <w:tab/>
            </w:r>
            <w:r w:rsidR="00210A46">
              <w:rPr>
                <w:noProof/>
                <w:webHidden/>
              </w:rPr>
              <w:fldChar w:fldCharType="begin"/>
            </w:r>
            <w:r w:rsidR="00210A46">
              <w:rPr>
                <w:noProof/>
                <w:webHidden/>
              </w:rPr>
              <w:instrText xml:space="preserve"> PAGEREF _Toc341705916 \h </w:instrText>
            </w:r>
            <w:r w:rsidR="00210A46">
              <w:rPr>
                <w:noProof/>
                <w:webHidden/>
              </w:rPr>
            </w:r>
            <w:r w:rsidR="00210A46">
              <w:rPr>
                <w:noProof/>
                <w:webHidden/>
              </w:rPr>
              <w:fldChar w:fldCharType="separate"/>
            </w:r>
            <w:r w:rsidR="00210A46">
              <w:rPr>
                <w:noProof/>
                <w:webHidden/>
              </w:rPr>
              <w:t>28</w:t>
            </w:r>
            <w:r w:rsidR="00210A46">
              <w:rPr>
                <w:noProof/>
                <w:webHidden/>
              </w:rPr>
              <w:fldChar w:fldCharType="end"/>
            </w:r>
          </w:hyperlink>
        </w:p>
        <w:p w:rsidR="00210A46" w:rsidRDefault="00F67123">
          <w:pPr>
            <w:pStyle w:val="TOC1"/>
            <w:tabs>
              <w:tab w:val="right" w:leader="dot" w:pos="10456"/>
            </w:tabs>
            <w:rPr>
              <w:noProof/>
              <w:sz w:val="22"/>
              <w:szCs w:val="22"/>
              <w:lang w:eastAsia="en-AU"/>
            </w:rPr>
          </w:pPr>
          <w:hyperlink w:anchor="_Toc341705917" w:history="1">
            <w:r w:rsidR="00210A46" w:rsidRPr="00AA4C4F">
              <w:rPr>
                <w:rStyle w:val="Hyperlink"/>
                <w:rFonts w:eastAsia="Times New Roman"/>
                <w:noProof/>
                <w:lang w:eastAsia="en-AU"/>
              </w:rPr>
              <w:t>Section FOUR:  Performance Data</w:t>
            </w:r>
            <w:r w:rsidR="00210A46">
              <w:rPr>
                <w:noProof/>
                <w:webHidden/>
              </w:rPr>
              <w:tab/>
            </w:r>
            <w:r w:rsidR="00210A46">
              <w:rPr>
                <w:noProof/>
                <w:webHidden/>
              </w:rPr>
              <w:fldChar w:fldCharType="begin"/>
            </w:r>
            <w:r w:rsidR="00210A46">
              <w:rPr>
                <w:noProof/>
                <w:webHidden/>
              </w:rPr>
              <w:instrText xml:space="preserve"> PAGEREF _Toc341705917 \h </w:instrText>
            </w:r>
            <w:r w:rsidR="00210A46">
              <w:rPr>
                <w:noProof/>
                <w:webHidden/>
              </w:rPr>
            </w:r>
            <w:r w:rsidR="00210A46">
              <w:rPr>
                <w:noProof/>
                <w:webHidden/>
              </w:rPr>
              <w:fldChar w:fldCharType="separate"/>
            </w:r>
            <w:r w:rsidR="00210A46">
              <w:rPr>
                <w:noProof/>
                <w:webHidden/>
              </w:rPr>
              <w:t>30</w:t>
            </w:r>
            <w:r w:rsidR="00210A46">
              <w:rPr>
                <w:noProof/>
                <w:webHidden/>
              </w:rPr>
              <w:fldChar w:fldCharType="end"/>
            </w:r>
          </w:hyperlink>
        </w:p>
        <w:p w:rsidR="00210A46" w:rsidRDefault="00F67123">
          <w:pPr>
            <w:pStyle w:val="TOC2"/>
            <w:tabs>
              <w:tab w:val="right" w:leader="dot" w:pos="10456"/>
            </w:tabs>
            <w:rPr>
              <w:noProof/>
              <w:sz w:val="22"/>
              <w:szCs w:val="22"/>
              <w:lang w:eastAsia="en-AU"/>
            </w:rPr>
          </w:pPr>
          <w:hyperlink w:anchor="_Toc341705918" w:history="1">
            <w:r w:rsidR="00210A46" w:rsidRPr="00AA4C4F">
              <w:rPr>
                <w:rStyle w:val="Hyperlink"/>
                <w:rFonts w:eastAsia="Times New Roman"/>
                <w:noProof/>
                <w:lang w:eastAsia="en-AU"/>
              </w:rPr>
              <w:t>FaHCSIA 2011-12 Annual Report Data</w:t>
            </w:r>
            <w:r w:rsidR="00210A46">
              <w:rPr>
                <w:noProof/>
                <w:webHidden/>
              </w:rPr>
              <w:tab/>
            </w:r>
            <w:r w:rsidR="00210A46">
              <w:rPr>
                <w:noProof/>
                <w:webHidden/>
              </w:rPr>
              <w:fldChar w:fldCharType="begin"/>
            </w:r>
            <w:r w:rsidR="00210A46">
              <w:rPr>
                <w:noProof/>
                <w:webHidden/>
              </w:rPr>
              <w:instrText xml:space="preserve"> PAGEREF _Toc341705918 \h </w:instrText>
            </w:r>
            <w:r w:rsidR="00210A46">
              <w:rPr>
                <w:noProof/>
                <w:webHidden/>
              </w:rPr>
            </w:r>
            <w:r w:rsidR="00210A46">
              <w:rPr>
                <w:noProof/>
                <w:webHidden/>
              </w:rPr>
              <w:fldChar w:fldCharType="separate"/>
            </w:r>
            <w:r w:rsidR="00210A46">
              <w:rPr>
                <w:noProof/>
                <w:webHidden/>
              </w:rPr>
              <w:t>30</w:t>
            </w:r>
            <w:r w:rsidR="00210A46">
              <w:rPr>
                <w:noProof/>
                <w:webHidden/>
              </w:rPr>
              <w:fldChar w:fldCharType="end"/>
            </w:r>
          </w:hyperlink>
        </w:p>
        <w:p w:rsidR="00210A46" w:rsidRDefault="00F67123">
          <w:pPr>
            <w:pStyle w:val="TOC2"/>
            <w:tabs>
              <w:tab w:val="right" w:leader="dot" w:pos="10456"/>
            </w:tabs>
            <w:rPr>
              <w:noProof/>
              <w:sz w:val="22"/>
              <w:szCs w:val="22"/>
              <w:lang w:eastAsia="en-AU"/>
            </w:rPr>
          </w:pPr>
          <w:hyperlink w:anchor="_Toc341705919" w:history="1">
            <w:r w:rsidR="00210A46" w:rsidRPr="00AA4C4F">
              <w:rPr>
                <w:rStyle w:val="Hyperlink"/>
                <w:rFonts w:eastAsia="Times New Roman"/>
                <w:noProof/>
                <w:lang w:eastAsia="en-AU"/>
              </w:rPr>
              <w:t>FSP Performance Framework</w:t>
            </w:r>
            <w:r w:rsidR="00210A46">
              <w:rPr>
                <w:noProof/>
                <w:webHidden/>
              </w:rPr>
              <w:tab/>
            </w:r>
            <w:r w:rsidR="00210A46">
              <w:rPr>
                <w:noProof/>
                <w:webHidden/>
              </w:rPr>
              <w:fldChar w:fldCharType="begin"/>
            </w:r>
            <w:r w:rsidR="00210A46">
              <w:rPr>
                <w:noProof/>
                <w:webHidden/>
              </w:rPr>
              <w:instrText xml:space="preserve"> PAGEREF _Toc341705919 \h </w:instrText>
            </w:r>
            <w:r w:rsidR="00210A46">
              <w:rPr>
                <w:noProof/>
                <w:webHidden/>
              </w:rPr>
            </w:r>
            <w:r w:rsidR="00210A46">
              <w:rPr>
                <w:noProof/>
                <w:webHidden/>
              </w:rPr>
              <w:fldChar w:fldCharType="separate"/>
            </w:r>
            <w:r w:rsidR="00210A46">
              <w:rPr>
                <w:noProof/>
                <w:webHidden/>
              </w:rPr>
              <w:t>31</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920" w:history="1">
            <w:r w:rsidR="00210A46" w:rsidRPr="00AA4C4F">
              <w:rPr>
                <w:rStyle w:val="Hyperlink"/>
                <w:rFonts w:eastAsia="Times New Roman"/>
                <w:noProof/>
                <w:lang w:eastAsia="en-AU"/>
              </w:rPr>
              <w:t>Reporting Changes for 2011-12 - FaRS, SS and FLS services</w:t>
            </w:r>
            <w:r w:rsidR="00210A46">
              <w:rPr>
                <w:noProof/>
                <w:webHidden/>
              </w:rPr>
              <w:tab/>
            </w:r>
            <w:r w:rsidR="00210A46">
              <w:rPr>
                <w:noProof/>
                <w:webHidden/>
              </w:rPr>
              <w:fldChar w:fldCharType="begin"/>
            </w:r>
            <w:r w:rsidR="00210A46">
              <w:rPr>
                <w:noProof/>
                <w:webHidden/>
              </w:rPr>
              <w:instrText xml:space="preserve"> PAGEREF _Toc341705920 \h </w:instrText>
            </w:r>
            <w:r w:rsidR="00210A46">
              <w:rPr>
                <w:noProof/>
                <w:webHidden/>
              </w:rPr>
            </w:r>
            <w:r w:rsidR="00210A46">
              <w:rPr>
                <w:noProof/>
                <w:webHidden/>
              </w:rPr>
              <w:fldChar w:fldCharType="separate"/>
            </w:r>
            <w:r w:rsidR="00210A46">
              <w:rPr>
                <w:noProof/>
                <w:webHidden/>
              </w:rPr>
              <w:t>31</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921" w:history="1">
            <w:r w:rsidR="00210A46" w:rsidRPr="00AA4C4F">
              <w:rPr>
                <w:rStyle w:val="Hyperlink"/>
                <w:rFonts w:eastAsia="Times New Roman"/>
                <w:noProof/>
                <w:lang w:eastAsia="en-AU"/>
              </w:rPr>
              <w:t>Reporting changes for 2011-12 – CfC and CP</w:t>
            </w:r>
            <w:r w:rsidR="00210A46">
              <w:rPr>
                <w:noProof/>
                <w:webHidden/>
              </w:rPr>
              <w:tab/>
            </w:r>
            <w:r w:rsidR="00210A46">
              <w:rPr>
                <w:noProof/>
                <w:webHidden/>
              </w:rPr>
              <w:fldChar w:fldCharType="begin"/>
            </w:r>
            <w:r w:rsidR="00210A46">
              <w:rPr>
                <w:noProof/>
                <w:webHidden/>
              </w:rPr>
              <w:instrText xml:space="preserve"> PAGEREF _Toc341705921 \h </w:instrText>
            </w:r>
            <w:r w:rsidR="00210A46">
              <w:rPr>
                <w:noProof/>
                <w:webHidden/>
              </w:rPr>
            </w:r>
            <w:r w:rsidR="00210A46">
              <w:rPr>
                <w:noProof/>
                <w:webHidden/>
              </w:rPr>
              <w:fldChar w:fldCharType="separate"/>
            </w:r>
            <w:r w:rsidR="00210A46">
              <w:rPr>
                <w:noProof/>
                <w:webHidden/>
              </w:rPr>
              <w:t>32</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922" w:history="1">
            <w:r w:rsidR="00210A46" w:rsidRPr="00AA4C4F">
              <w:rPr>
                <w:rStyle w:val="Hyperlink"/>
                <w:rFonts w:eastAsia="Times New Roman"/>
                <w:noProof/>
                <w:lang w:eastAsia="en-AU"/>
              </w:rPr>
              <w:t>FSP data collection methods for client feedback/follow-up</w:t>
            </w:r>
            <w:r w:rsidR="00210A46">
              <w:rPr>
                <w:noProof/>
                <w:webHidden/>
              </w:rPr>
              <w:tab/>
            </w:r>
            <w:r w:rsidR="00210A46">
              <w:rPr>
                <w:noProof/>
                <w:webHidden/>
              </w:rPr>
              <w:fldChar w:fldCharType="begin"/>
            </w:r>
            <w:r w:rsidR="00210A46">
              <w:rPr>
                <w:noProof/>
                <w:webHidden/>
              </w:rPr>
              <w:instrText xml:space="preserve"> PAGEREF _Toc341705922 \h </w:instrText>
            </w:r>
            <w:r w:rsidR="00210A46">
              <w:rPr>
                <w:noProof/>
                <w:webHidden/>
              </w:rPr>
            </w:r>
            <w:r w:rsidR="00210A46">
              <w:rPr>
                <w:noProof/>
                <w:webHidden/>
              </w:rPr>
              <w:fldChar w:fldCharType="separate"/>
            </w:r>
            <w:r w:rsidR="00210A46">
              <w:rPr>
                <w:noProof/>
                <w:webHidden/>
              </w:rPr>
              <w:t>32</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923" w:history="1">
            <w:r w:rsidR="00210A46" w:rsidRPr="00AA4C4F">
              <w:rPr>
                <w:rStyle w:val="Hyperlink"/>
                <w:rFonts w:eastAsia="Times New Roman"/>
                <w:noProof/>
                <w:lang w:eastAsia="en-AU"/>
              </w:rPr>
              <w:t>Immediate outcomes</w:t>
            </w:r>
            <w:r w:rsidR="00210A46">
              <w:rPr>
                <w:noProof/>
                <w:webHidden/>
              </w:rPr>
              <w:tab/>
            </w:r>
            <w:r w:rsidR="00210A46">
              <w:rPr>
                <w:noProof/>
                <w:webHidden/>
              </w:rPr>
              <w:fldChar w:fldCharType="begin"/>
            </w:r>
            <w:r w:rsidR="00210A46">
              <w:rPr>
                <w:noProof/>
                <w:webHidden/>
              </w:rPr>
              <w:instrText xml:space="preserve"> PAGEREF _Toc341705923 \h </w:instrText>
            </w:r>
            <w:r w:rsidR="00210A46">
              <w:rPr>
                <w:noProof/>
                <w:webHidden/>
              </w:rPr>
            </w:r>
            <w:r w:rsidR="00210A46">
              <w:rPr>
                <w:noProof/>
                <w:webHidden/>
              </w:rPr>
              <w:fldChar w:fldCharType="separate"/>
            </w:r>
            <w:r w:rsidR="00210A46">
              <w:rPr>
                <w:noProof/>
                <w:webHidden/>
              </w:rPr>
              <w:t>32</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924" w:history="1">
            <w:r w:rsidR="00210A46" w:rsidRPr="00AA4C4F">
              <w:rPr>
                <w:rStyle w:val="Hyperlink"/>
                <w:rFonts w:eastAsia="Times New Roman"/>
                <w:noProof/>
                <w:lang w:eastAsia="en-AU"/>
              </w:rPr>
              <w:t>Intermediate outcomes</w:t>
            </w:r>
            <w:r w:rsidR="00210A46">
              <w:rPr>
                <w:noProof/>
                <w:webHidden/>
              </w:rPr>
              <w:tab/>
            </w:r>
            <w:r w:rsidR="00210A46">
              <w:rPr>
                <w:noProof/>
                <w:webHidden/>
              </w:rPr>
              <w:fldChar w:fldCharType="begin"/>
            </w:r>
            <w:r w:rsidR="00210A46">
              <w:rPr>
                <w:noProof/>
                <w:webHidden/>
              </w:rPr>
              <w:instrText xml:space="preserve"> PAGEREF _Toc341705924 \h </w:instrText>
            </w:r>
            <w:r w:rsidR="00210A46">
              <w:rPr>
                <w:noProof/>
                <w:webHidden/>
              </w:rPr>
            </w:r>
            <w:r w:rsidR="00210A46">
              <w:rPr>
                <w:noProof/>
                <w:webHidden/>
              </w:rPr>
              <w:fldChar w:fldCharType="separate"/>
            </w:r>
            <w:r w:rsidR="00210A46">
              <w:rPr>
                <w:noProof/>
                <w:webHidden/>
              </w:rPr>
              <w:t>33</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925" w:history="1">
            <w:r w:rsidR="00210A46" w:rsidRPr="00AA4C4F">
              <w:rPr>
                <w:rStyle w:val="Hyperlink"/>
                <w:rFonts w:eastAsia="Times New Roman"/>
                <w:noProof/>
                <w:lang w:eastAsia="en-AU"/>
              </w:rPr>
              <w:t>Service delivery quality</w:t>
            </w:r>
            <w:r w:rsidR="00210A46">
              <w:rPr>
                <w:noProof/>
                <w:webHidden/>
              </w:rPr>
              <w:tab/>
            </w:r>
            <w:r w:rsidR="00210A46">
              <w:rPr>
                <w:noProof/>
                <w:webHidden/>
              </w:rPr>
              <w:fldChar w:fldCharType="begin"/>
            </w:r>
            <w:r w:rsidR="00210A46">
              <w:rPr>
                <w:noProof/>
                <w:webHidden/>
              </w:rPr>
              <w:instrText xml:space="preserve"> PAGEREF _Toc341705925 \h </w:instrText>
            </w:r>
            <w:r w:rsidR="00210A46">
              <w:rPr>
                <w:noProof/>
                <w:webHidden/>
              </w:rPr>
            </w:r>
            <w:r w:rsidR="00210A46">
              <w:rPr>
                <w:noProof/>
                <w:webHidden/>
              </w:rPr>
              <w:fldChar w:fldCharType="separate"/>
            </w:r>
            <w:r w:rsidR="00210A46">
              <w:rPr>
                <w:noProof/>
                <w:webHidden/>
              </w:rPr>
              <w:t>34</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926" w:history="1">
            <w:r w:rsidR="00210A46" w:rsidRPr="00AA4C4F">
              <w:rPr>
                <w:rStyle w:val="Hyperlink"/>
                <w:rFonts w:eastAsia="Times New Roman"/>
                <w:noProof/>
                <w:lang w:eastAsia="en-AU"/>
              </w:rPr>
              <w:t>Service outputs</w:t>
            </w:r>
            <w:r w:rsidR="00210A46">
              <w:rPr>
                <w:noProof/>
                <w:webHidden/>
              </w:rPr>
              <w:tab/>
            </w:r>
            <w:r w:rsidR="00210A46">
              <w:rPr>
                <w:noProof/>
                <w:webHidden/>
              </w:rPr>
              <w:fldChar w:fldCharType="begin"/>
            </w:r>
            <w:r w:rsidR="00210A46">
              <w:rPr>
                <w:noProof/>
                <w:webHidden/>
              </w:rPr>
              <w:instrText xml:space="preserve"> PAGEREF _Toc341705926 \h </w:instrText>
            </w:r>
            <w:r w:rsidR="00210A46">
              <w:rPr>
                <w:noProof/>
                <w:webHidden/>
              </w:rPr>
            </w:r>
            <w:r w:rsidR="00210A46">
              <w:rPr>
                <w:noProof/>
                <w:webHidden/>
              </w:rPr>
              <w:fldChar w:fldCharType="separate"/>
            </w:r>
            <w:r w:rsidR="00210A46">
              <w:rPr>
                <w:noProof/>
                <w:webHidden/>
              </w:rPr>
              <w:t>36</w:t>
            </w:r>
            <w:r w:rsidR="00210A46">
              <w:rPr>
                <w:noProof/>
                <w:webHidden/>
              </w:rPr>
              <w:fldChar w:fldCharType="end"/>
            </w:r>
          </w:hyperlink>
        </w:p>
        <w:p w:rsidR="00210A46" w:rsidRDefault="00F67123">
          <w:pPr>
            <w:pStyle w:val="TOC2"/>
            <w:tabs>
              <w:tab w:val="right" w:leader="dot" w:pos="10456"/>
            </w:tabs>
            <w:rPr>
              <w:noProof/>
              <w:sz w:val="22"/>
              <w:szCs w:val="22"/>
              <w:lang w:eastAsia="en-AU"/>
            </w:rPr>
          </w:pPr>
          <w:hyperlink w:anchor="_Toc341705927" w:history="1">
            <w:r w:rsidR="00210A46" w:rsidRPr="00AA4C4F">
              <w:rPr>
                <w:rStyle w:val="Hyperlink"/>
                <w:rFonts w:eastAsia="Times New Roman"/>
                <w:noProof/>
                <w:lang w:eastAsia="en-AU"/>
              </w:rPr>
              <w:t>Vulnerable and Disadvantaged Client Access Strategy (VADCAS) results</w:t>
            </w:r>
            <w:r w:rsidR="00210A46">
              <w:rPr>
                <w:noProof/>
                <w:webHidden/>
              </w:rPr>
              <w:tab/>
            </w:r>
            <w:r w:rsidR="00210A46">
              <w:rPr>
                <w:noProof/>
                <w:webHidden/>
              </w:rPr>
              <w:fldChar w:fldCharType="begin"/>
            </w:r>
            <w:r w:rsidR="00210A46">
              <w:rPr>
                <w:noProof/>
                <w:webHidden/>
              </w:rPr>
              <w:instrText xml:space="preserve"> PAGEREF _Toc341705927 \h </w:instrText>
            </w:r>
            <w:r w:rsidR="00210A46">
              <w:rPr>
                <w:noProof/>
                <w:webHidden/>
              </w:rPr>
            </w:r>
            <w:r w:rsidR="00210A46">
              <w:rPr>
                <w:noProof/>
                <w:webHidden/>
              </w:rPr>
              <w:fldChar w:fldCharType="separate"/>
            </w:r>
            <w:r w:rsidR="00210A46">
              <w:rPr>
                <w:noProof/>
                <w:webHidden/>
              </w:rPr>
              <w:t>36</w:t>
            </w:r>
            <w:r w:rsidR="00210A46">
              <w:rPr>
                <w:noProof/>
                <w:webHidden/>
              </w:rPr>
              <w:fldChar w:fldCharType="end"/>
            </w:r>
          </w:hyperlink>
        </w:p>
        <w:p w:rsidR="00210A46" w:rsidRDefault="00F67123">
          <w:pPr>
            <w:pStyle w:val="TOC1"/>
            <w:tabs>
              <w:tab w:val="right" w:leader="dot" w:pos="10456"/>
            </w:tabs>
            <w:rPr>
              <w:noProof/>
              <w:sz w:val="22"/>
              <w:szCs w:val="22"/>
              <w:lang w:eastAsia="en-AU"/>
            </w:rPr>
          </w:pPr>
          <w:hyperlink w:anchor="_Toc341705928" w:history="1">
            <w:r w:rsidR="00210A46" w:rsidRPr="00AA4C4F">
              <w:rPr>
                <w:rStyle w:val="Hyperlink"/>
                <w:rFonts w:eastAsia="Times New Roman"/>
                <w:noProof/>
                <w:lang w:eastAsia="en-AU"/>
              </w:rPr>
              <w:t>Section Five:   Future Directions – how to improve performance</w:t>
            </w:r>
            <w:r w:rsidR="00210A46">
              <w:rPr>
                <w:noProof/>
                <w:webHidden/>
              </w:rPr>
              <w:tab/>
            </w:r>
            <w:r w:rsidR="00210A46">
              <w:rPr>
                <w:noProof/>
                <w:webHidden/>
              </w:rPr>
              <w:fldChar w:fldCharType="begin"/>
            </w:r>
            <w:r w:rsidR="00210A46">
              <w:rPr>
                <w:noProof/>
                <w:webHidden/>
              </w:rPr>
              <w:instrText xml:space="preserve"> PAGEREF _Toc341705928 \h </w:instrText>
            </w:r>
            <w:r w:rsidR="00210A46">
              <w:rPr>
                <w:noProof/>
                <w:webHidden/>
              </w:rPr>
            </w:r>
            <w:r w:rsidR="00210A46">
              <w:rPr>
                <w:noProof/>
                <w:webHidden/>
              </w:rPr>
              <w:fldChar w:fldCharType="separate"/>
            </w:r>
            <w:r w:rsidR="00210A46">
              <w:rPr>
                <w:noProof/>
                <w:webHidden/>
              </w:rPr>
              <w:t>37</w:t>
            </w:r>
            <w:r w:rsidR="00210A46">
              <w:rPr>
                <w:noProof/>
                <w:webHidden/>
              </w:rPr>
              <w:fldChar w:fldCharType="end"/>
            </w:r>
          </w:hyperlink>
        </w:p>
        <w:p w:rsidR="00210A46" w:rsidRDefault="00F67123">
          <w:pPr>
            <w:pStyle w:val="TOC2"/>
            <w:tabs>
              <w:tab w:val="right" w:leader="dot" w:pos="10456"/>
            </w:tabs>
            <w:rPr>
              <w:noProof/>
              <w:sz w:val="22"/>
              <w:szCs w:val="22"/>
              <w:lang w:eastAsia="en-AU"/>
            </w:rPr>
          </w:pPr>
          <w:hyperlink w:anchor="_Toc341705929" w:history="1">
            <w:r w:rsidR="00210A46" w:rsidRPr="00AA4C4F">
              <w:rPr>
                <w:rStyle w:val="Hyperlink"/>
                <w:rFonts w:eastAsia="Times New Roman"/>
                <w:noProof/>
                <w:lang w:eastAsia="en-AU"/>
              </w:rPr>
              <w:t>FSP Evaluation</w:t>
            </w:r>
            <w:r w:rsidR="00210A46">
              <w:rPr>
                <w:noProof/>
                <w:webHidden/>
              </w:rPr>
              <w:tab/>
            </w:r>
            <w:r w:rsidR="00210A46">
              <w:rPr>
                <w:noProof/>
                <w:webHidden/>
              </w:rPr>
              <w:fldChar w:fldCharType="begin"/>
            </w:r>
            <w:r w:rsidR="00210A46">
              <w:rPr>
                <w:noProof/>
                <w:webHidden/>
              </w:rPr>
              <w:instrText xml:space="preserve"> PAGEREF _Toc341705929 \h </w:instrText>
            </w:r>
            <w:r w:rsidR="00210A46">
              <w:rPr>
                <w:noProof/>
                <w:webHidden/>
              </w:rPr>
            </w:r>
            <w:r w:rsidR="00210A46">
              <w:rPr>
                <w:noProof/>
                <w:webHidden/>
              </w:rPr>
              <w:fldChar w:fldCharType="separate"/>
            </w:r>
            <w:r w:rsidR="00210A46">
              <w:rPr>
                <w:noProof/>
                <w:webHidden/>
              </w:rPr>
              <w:t>37</w:t>
            </w:r>
            <w:r w:rsidR="00210A46">
              <w:rPr>
                <w:noProof/>
                <w:webHidden/>
              </w:rPr>
              <w:fldChar w:fldCharType="end"/>
            </w:r>
          </w:hyperlink>
        </w:p>
        <w:p w:rsidR="00210A46" w:rsidRDefault="00F67123">
          <w:pPr>
            <w:pStyle w:val="TOC2"/>
            <w:tabs>
              <w:tab w:val="right" w:leader="dot" w:pos="10456"/>
            </w:tabs>
            <w:rPr>
              <w:noProof/>
              <w:sz w:val="22"/>
              <w:szCs w:val="22"/>
              <w:lang w:eastAsia="en-AU"/>
            </w:rPr>
          </w:pPr>
          <w:hyperlink w:anchor="_Toc341705930" w:history="1">
            <w:r w:rsidR="00210A46" w:rsidRPr="00AA4C4F">
              <w:rPr>
                <w:rStyle w:val="Hyperlink"/>
                <w:rFonts w:eastAsia="Times New Roman"/>
                <w:noProof/>
                <w:lang w:eastAsia="en-AU"/>
              </w:rPr>
              <w:t>FSP Data System (FSPDS)</w:t>
            </w:r>
            <w:r w:rsidR="00210A46">
              <w:rPr>
                <w:noProof/>
                <w:webHidden/>
              </w:rPr>
              <w:tab/>
            </w:r>
            <w:r w:rsidR="00210A46">
              <w:rPr>
                <w:noProof/>
                <w:webHidden/>
              </w:rPr>
              <w:fldChar w:fldCharType="begin"/>
            </w:r>
            <w:r w:rsidR="00210A46">
              <w:rPr>
                <w:noProof/>
                <w:webHidden/>
              </w:rPr>
              <w:instrText xml:space="preserve"> PAGEREF _Toc341705930 \h </w:instrText>
            </w:r>
            <w:r w:rsidR="00210A46">
              <w:rPr>
                <w:noProof/>
                <w:webHidden/>
              </w:rPr>
            </w:r>
            <w:r w:rsidR="00210A46">
              <w:rPr>
                <w:noProof/>
                <w:webHidden/>
              </w:rPr>
              <w:fldChar w:fldCharType="separate"/>
            </w:r>
            <w:r w:rsidR="00210A46">
              <w:rPr>
                <w:noProof/>
                <w:webHidden/>
              </w:rPr>
              <w:t>37</w:t>
            </w:r>
            <w:r w:rsidR="00210A46">
              <w:rPr>
                <w:noProof/>
                <w:webHidden/>
              </w:rPr>
              <w:fldChar w:fldCharType="end"/>
            </w:r>
          </w:hyperlink>
        </w:p>
        <w:p w:rsidR="00210A46" w:rsidRDefault="00F67123">
          <w:pPr>
            <w:pStyle w:val="TOC2"/>
            <w:tabs>
              <w:tab w:val="right" w:leader="dot" w:pos="10456"/>
            </w:tabs>
            <w:rPr>
              <w:noProof/>
              <w:sz w:val="22"/>
              <w:szCs w:val="22"/>
              <w:lang w:eastAsia="en-AU"/>
            </w:rPr>
          </w:pPr>
          <w:hyperlink w:anchor="_Toc341705931" w:history="1">
            <w:r w:rsidR="00210A46" w:rsidRPr="00AA4C4F">
              <w:rPr>
                <w:rStyle w:val="Hyperlink"/>
                <w:rFonts w:eastAsia="Times New Roman"/>
                <w:noProof/>
                <w:lang w:eastAsia="en-AU"/>
              </w:rPr>
              <w:t>Communities for Children reporting</w:t>
            </w:r>
            <w:r w:rsidR="00210A46">
              <w:rPr>
                <w:noProof/>
                <w:webHidden/>
              </w:rPr>
              <w:tab/>
            </w:r>
            <w:r w:rsidR="00210A46">
              <w:rPr>
                <w:noProof/>
                <w:webHidden/>
              </w:rPr>
              <w:fldChar w:fldCharType="begin"/>
            </w:r>
            <w:r w:rsidR="00210A46">
              <w:rPr>
                <w:noProof/>
                <w:webHidden/>
              </w:rPr>
              <w:instrText xml:space="preserve"> PAGEREF _Toc341705931 \h </w:instrText>
            </w:r>
            <w:r w:rsidR="00210A46">
              <w:rPr>
                <w:noProof/>
                <w:webHidden/>
              </w:rPr>
            </w:r>
            <w:r w:rsidR="00210A46">
              <w:rPr>
                <w:noProof/>
                <w:webHidden/>
              </w:rPr>
              <w:fldChar w:fldCharType="separate"/>
            </w:r>
            <w:r w:rsidR="00210A46">
              <w:rPr>
                <w:noProof/>
                <w:webHidden/>
              </w:rPr>
              <w:t>38</w:t>
            </w:r>
            <w:r w:rsidR="00210A46">
              <w:rPr>
                <w:noProof/>
                <w:webHidden/>
              </w:rPr>
              <w:fldChar w:fldCharType="end"/>
            </w:r>
          </w:hyperlink>
        </w:p>
        <w:p w:rsidR="00210A46" w:rsidRDefault="00F67123">
          <w:pPr>
            <w:pStyle w:val="TOC2"/>
            <w:tabs>
              <w:tab w:val="right" w:leader="dot" w:pos="10456"/>
            </w:tabs>
            <w:rPr>
              <w:noProof/>
              <w:sz w:val="22"/>
              <w:szCs w:val="22"/>
              <w:lang w:eastAsia="en-AU"/>
            </w:rPr>
          </w:pPr>
          <w:hyperlink w:anchor="_Toc341705932" w:history="1">
            <w:r w:rsidR="00210A46" w:rsidRPr="00AA4C4F">
              <w:rPr>
                <w:rStyle w:val="Hyperlink"/>
                <w:rFonts w:eastAsia="Times New Roman"/>
                <w:noProof/>
                <w:lang w:eastAsia="en-AU"/>
              </w:rPr>
              <w:t>FSP Future Directions</w:t>
            </w:r>
            <w:r w:rsidR="00210A46">
              <w:rPr>
                <w:noProof/>
                <w:webHidden/>
              </w:rPr>
              <w:tab/>
            </w:r>
            <w:r w:rsidR="00210A46">
              <w:rPr>
                <w:noProof/>
                <w:webHidden/>
              </w:rPr>
              <w:fldChar w:fldCharType="begin"/>
            </w:r>
            <w:r w:rsidR="00210A46">
              <w:rPr>
                <w:noProof/>
                <w:webHidden/>
              </w:rPr>
              <w:instrText xml:space="preserve"> PAGEREF _Toc341705932 \h </w:instrText>
            </w:r>
            <w:r w:rsidR="00210A46">
              <w:rPr>
                <w:noProof/>
                <w:webHidden/>
              </w:rPr>
            </w:r>
            <w:r w:rsidR="00210A46">
              <w:rPr>
                <w:noProof/>
                <w:webHidden/>
              </w:rPr>
              <w:fldChar w:fldCharType="separate"/>
            </w:r>
            <w:r w:rsidR="00210A46">
              <w:rPr>
                <w:noProof/>
                <w:webHidden/>
              </w:rPr>
              <w:t>38</w:t>
            </w:r>
            <w:r w:rsidR="00210A46">
              <w:rPr>
                <w:noProof/>
                <w:webHidden/>
              </w:rPr>
              <w:fldChar w:fldCharType="end"/>
            </w:r>
          </w:hyperlink>
        </w:p>
        <w:p w:rsidR="00210A46" w:rsidRDefault="00F67123">
          <w:pPr>
            <w:pStyle w:val="TOC2"/>
            <w:tabs>
              <w:tab w:val="right" w:leader="dot" w:pos="10456"/>
            </w:tabs>
            <w:rPr>
              <w:noProof/>
              <w:sz w:val="22"/>
              <w:szCs w:val="22"/>
              <w:lang w:eastAsia="en-AU"/>
            </w:rPr>
          </w:pPr>
          <w:hyperlink w:anchor="_Toc341705933" w:history="1">
            <w:r w:rsidR="00210A46" w:rsidRPr="00AA4C4F">
              <w:rPr>
                <w:rStyle w:val="Hyperlink"/>
                <w:rFonts w:eastAsia="Times New Roman"/>
                <w:noProof/>
                <w:lang w:eastAsia="en-AU"/>
              </w:rPr>
              <w:t>What we know we could have done better</w:t>
            </w:r>
            <w:r w:rsidR="00210A46">
              <w:rPr>
                <w:noProof/>
                <w:webHidden/>
              </w:rPr>
              <w:tab/>
            </w:r>
            <w:r w:rsidR="00210A46">
              <w:rPr>
                <w:noProof/>
                <w:webHidden/>
              </w:rPr>
              <w:fldChar w:fldCharType="begin"/>
            </w:r>
            <w:r w:rsidR="00210A46">
              <w:rPr>
                <w:noProof/>
                <w:webHidden/>
              </w:rPr>
              <w:instrText xml:space="preserve"> PAGEREF _Toc341705933 \h </w:instrText>
            </w:r>
            <w:r w:rsidR="00210A46">
              <w:rPr>
                <w:noProof/>
                <w:webHidden/>
              </w:rPr>
            </w:r>
            <w:r w:rsidR="00210A46">
              <w:rPr>
                <w:noProof/>
                <w:webHidden/>
              </w:rPr>
              <w:fldChar w:fldCharType="separate"/>
            </w:r>
            <w:r w:rsidR="00210A46">
              <w:rPr>
                <w:noProof/>
                <w:webHidden/>
              </w:rPr>
              <w:t>38</w:t>
            </w:r>
            <w:r w:rsidR="00210A46">
              <w:rPr>
                <w:noProof/>
                <w:webHidden/>
              </w:rPr>
              <w:fldChar w:fldCharType="end"/>
            </w:r>
          </w:hyperlink>
        </w:p>
        <w:p w:rsidR="00210A46" w:rsidRDefault="00F67123">
          <w:pPr>
            <w:pStyle w:val="TOC1"/>
            <w:tabs>
              <w:tab w:val="right" w:leader="dot" w:pos="10456"/>
            </w:tabs>
            <w:rPr>
              <w:noProof/>
              <w:sz w:val="22"/>
              <w:szCs w:val="22"/>
              <w:lang w:eastAsia="en-AU"/>
            </w:rPr>
          </w:pPr>
          <w:hyperlink w:anchor="_Toc341705934" w:history="1">
            <w:r w:rsidR="00210A46" w:rsidRPr="00AA4C4F">
              <w:rPr>
                <w:rStyle w:val="Hyperlink"/>
                <w:rFonts w:eastAsia="Times New Roman"/>
                <w:noProof/>
              </w:rPr>
              <w:t>APPENDIX</w:t>
            </w:r>
            <w:r w:rsidR="00210A46">
              <w:rPr>
                <w:noProof/>
                <w:webHidden/>
              </w:rPr>
              <w:tab/>
            </w:r>
            <w:r w:rsidR="00210A46">
              <w:rPr>
                <w:noProof/>
                <w:webHidden/>
              </w:rPr>
              <w:fldChar w:fldCharType="begin"/>
            </w:r>
            <w:r w:rsidR="00210A46">
              <w:rPr>
                <w:noProof/>
                <w:webHidden/>
              </w:rPr>
              <w:instrText xml:space="preserve"> PAGEREF _Toc341705934 \h </w:instrText>
            </w:r>
            <w:r w:rsidR="00210A46">
              <w:rPr>
                <w:noProof/>
                <w:webHidden/>
              </w:rPr>
            </w:r>
            <w:r w:rsidR="00210A46">
              <w:rPr>
                <w:noProof/>
                <w:webHidden/>
              </w:rPr>
              <w:fldChar w:fldCharType="separate"/>
            </w:r>
            <w:r w:rsidR="00210A46">
              <w:rPr>
                <w:noProof/>
                <w:webHidden/>
              </w:rPr>
              <w:t>40</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935" w:history="1">
            <w:r w:rsidR="00210A46" w:rsidRPr="00AA4C4F">
              <w:rPr>
                <w:rStyle w:val="Hyperlink"/>
                <w:rFonts w:eastAsia="Times New Roman"/>
                <w:noProof/>
                <w:lang w:eastAsia="en-AU"/>
              </w:rPr>
              <w:t>FSP data</w:t>
            </w:r>
            <w:r w:rsidR="00210A46">
              <w:rPr>
                <w:noProof/>
                <w:webHidden/>
              </w:rPr>
              <w:tab/>
            </w:r>
            <w:r w:rsidR="00210A46">
              <w:rPr>
                <w:noProof/>
                <w:webHidden/>
              </w:rPr>
              <w:fldChar w:fldCharType="begin"/>
            </w:r>
            <w:r w:rsidR="00210A46">
              <w:rPr>
                <w:noProof/>
                <w:webHidden/>
              </w:rPr>
              <w:instrText xml:space="preserve"> PAGEREF _Toc341705935 \h </w:instrText>
            </w:r>
            <w:r w:rsidR="00210A46">
              <w:rPr>
                <w:noProof/>
                <w:webHidden/>
              </w:rPr>
            </w:r>
            <w:r w:rsidR="00210A46">
              <w:rPr>
                <w:noProof/>
                <w:webHidden/>
              </w:rPr>
              <w:fldChar w:fldCharType="separate"/>
            </w:r>
            <w:r w:rsidR="00210A46">
              <w:rPr>
                <w:noProof/>
                <w:webHidden/>
              </w:rPr>
              <w:t>40</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936" w:history="1">
            <w:r w:rsidR="00210A46" w:rsidRPr="00AA4C4F">
              <w:rPr>
                <w:rStyle w:val="Hyperlink"/>
                <w:rFonts w:eastAsia="Times New Roman"/>
                <w:noProof/>
                <w:lang w:eastAsia="en-AU"/>
              </w:rPr>
              <w:t>FaRS, SS and FLS data</w:t>
            </w:r>
            <w:r w:rsidR="00210A46">
              <w:rPr>
                <w:noProof/>
                <w:webHidden/>
              </w:rPr>
              <w:tab/>
            </w:r>
            <w:r w:rsidR="00210A46">
              <w:rPr>
                <w:noProof/>
                <w:webHidden/>
              </w:rPr>
              <w:fldChar w:fldCharType="begin"/>
            </w:r>
            <w:r w:rsidR="00210A46">
              <w:rPr>
                <w:noProof/>
                <w:webHidden/>
              </w:rPr>
              <w:instrText xml:space="preserve"> PAGEREF _Toc341705936 \h </w:instrText>
            </w:r>
            <w:r w:rsidR="00210A46">
              <w:rPr>
                <w:noProof/>
                <w:webHidden/>
              </w:rPr>
            </w:r>
            <w:r w:rsidR="00210A46">
              <w:rPr>
                <w:noProof/>
                <w:webHidden/>
              </w:rPr>
              <w:fldChar w:fldCharType="separate"/>
            </w:r>
            <w:r w:rsidR="00210A46">
              <w:rPr>
                <w:noProof/>
                <w:webHidden/>
              </w:rPr>
              <w:t>45</w:t>
            </w:r>
            <w:r w:rsidR="00210A46">
              <w:rPr>
                <w:noProof/>
                <w:webHidden/>
              </w:rPr>
              <w:fldChar w:fldCharType="end"/>
            </w:r>
          </w:hyperlink>
        </w:p>
        <w:p w:rsidR="00210A46" w:rsidRDefault="00F67123">
          <w:pPr>
            <w:pStyle w:val="TOC3"/>
            <w:tabs>
              <w:tab w:val="right" w:leader="dot" w:pos="10456"/>
            </w:tabs>
            <w:rPr>
              <w:noProof/>
              <w:sz w:val="22"/>
              <w:szCs w:val="22"/>
              <w:lang w:eastAsia="en-AU"/>
            </w:rPr>
          </w:pPr>
          <w:hyperlink w:anchor="_Toc341705937" w:history="1">
            <w:r w:rsidR="00210A46" w:rsidRPr="00AA4C4F">
              <w:rPr>
                <w:rStyle w:val="Hyperlink"/>
                <w:rFonts w:eastAsia="Times New Roman"/>
                <w:noProof/>
                <w:lang w:eastAsia="en-AU"/>
              </w:rPr>
              <w:t>CfC and CP Data</w:t>
            </w:r>
            <w:r w:rsidR="00210A46">
              <w:rPr>
                <w:noProof/>
                <w:webHidden/>
              </w:rPr>
              <w:tab/>
            </w:r>
            <w:r w:rsidR="00210A46">
              <w:rPr>
                <w:noProof/>
                <w:webHidden/>
              </w:rPr>
              <w:fldChar w:fldCharType="begin"/>
            </w:r>
            <w:r w:rsidR="00210A46">
              <w:rPr>
                <w:noProof/>
                <w:webHidden/>
              </w:rPr>
              <w:instrText xml:space="preserve"> PAGEREF _Toc341705937 \h </w:instrText>
            </w:r>
            <w:r w:rsidR="00210A46">
              <w:rPr>
                <w:noProof/>
                <w:webHidden/>
              </w:rPr>
            </w:r>
            <w:r w:rsidR="00210A46">
              <w:rPr>
                <w:noProof/>
                <w:webHidden/>
              </w:rPr>
              <w:fldChar w:fldCharType="separate"/>
            </w:r>
            <w:r w:rsidR="00210A46">
              <w:rPr>
                <w:noProof/>
                <w:webHidden/>
              </w:rPr>
              <w:t>48</w:t>
            </w:r>
            <w:r w:rsidR="00210A46">
              <w:rPr>
                <w:noProof/>
                <w:webHidden/>
              </w:rPr>
              <w:fldChar w:fldCharType="end"/>
            </w:r>
          </w:hyperlink>
        </w:p>
        <w:p w:rsidR="005B09F5" w:rsidRDefault="005B09F5">
          <w:r>
            <w:rPr>
              <w:b/>
              <w:bCs/>
              <w:noProof/>
            </w:rPr>
            <w:fldChar w:fldCharType="end"/>
          </w:r>
        </w:p>
      </w:sdtContent>
    </w:sdt>
    <w:p w:rsidR="007A4BF7" w:rsidRDefault="007A4BF7" w:rsidP="004B54CA">
      <w:pPr>
        <w:rPr>
          <w:rStyle w:val="BookTitle"/>
          <w:i w:val="0"/>
          <w:iCs w:val="0"/>
          <w:smallCaps/>
          <w:spacing w:val="0"/>
        </w:rPr>
        <w:sectPr w:rsidR="007A4BF7" w:rsidSect="007A4BF7">
          <w:pgSz w:w="11906" w:h="16838"/>
          <w:pgMar w:top="720" w:right="720" w:bottom="720" w:left="720" w:header="708" w:footer="708" w:gutter="0"/>
          <w:cols w:space="708"/>
          <w:docGrid w:linePitch="360"/>
        </w:sectPr>
      </w:pPr>
    </w:p>
    <w:p w:rsidR="007A4BF7" w:rsidRPr="007A4BF7" w:rsidRDefault="007A4BF7" w:rsidP="007A4BF7">
      <w:pPr>
        <w:pBdr>
          <w:top w:val="single" w:sz="24" w:space="0" w:color="76923C"/>
          <w:left w:val="single" w:sz="24" w:space="0" w:color="76923C"/>
          <w:bottom w:val="single" w:sz="24" w:space="0" w:color="76923C"/>
          <w:right w:val="single" w:sz="24" w:space="0" w:color="76923C"/>
        </w:pBdr>
        <w:shd w:val="clear" w:color="auto" w:fill="76923C"/>
        <w:spacing w:after="0" w:line="240" w:lineRule="auto"/>
        <w:outlineLvl w:val="0"/>
        <w:rPr>
          <w:rFonts w:ascii="Calibri" w:eastAsia="Times New Roman" w:hAnsi="Calibri" w:cs="Times New Roman"/>
          <w:bCs/>
          <w:caps/>
          <w:color w:val="FFFFFF"/>
          <w:spacing w:val="15"/>
          <w:lang w:eastAsia="en-AU"/>
        </w:rPr>
      </w:pPr>
      <w:bookmarkStart w:id="0" w:name="_Toc338944743"/>
      <w:bookmarkStart w:id="1" w:name="_Toc338944744"/>
      <w:bookmarkStart w:id="2" w:name="_Toc338945035"/>
      <w:bookmarkStart w:id="3" w:name="_Toc338945362"/>
      <w:bookmarkStart w:id="4" w:name="_Toc338945615"/>
      <w:bookmarkStart w:id="5" w:name="_Toc341705883"/>
      <w:r w:rsidRPr="007A4BF7">
        <w:rPr>
          <w:rFonts w:ascii="Calibri" w:eastAsia="Times New Roman" w:hAnsi="Calibri" w:cs="Times New Roman"/>
          <w:b/>
          <w:bCs/>
          <w:caps/>
          <w:color w:val="FFFFFF"/>
          <w:spacing w:val="15"/>
          <w:lang w:eastAsia="en-AU"/>
        </w:rPr>
        <w:lastRenderedPageBreak/>
        <w:t>Acronyms</w:t>
      </w:r>
      <w:bookmarkEnd w:id="0"/>
      <w:bookmarkEnd w:id="1"/>
      <w:bookmarkEnd w:id="2"/>
      <w:bookmarkEnd w:id="3"/>
      <w:bookmarkEnd w:id="4"/>
      <w:bookmarkEnd w:id="5"/>
    </w:p>
    <w:tbl>
      <w:tblPr>
        <w:tblW w:w="9036" w:type="dxa"/>
        <w:tblInd w:w="93" w:type="dxa"/>
        <w:tblLook w:val="04A0" w:firstRow="1" w:lastRow="0" w:firstColumn="1" w:lastColumn="0" w:noHBand="0" w:noVBand="1"/>
      </w:tblPr>
      <w:tblGrid>
        <w:gridCol w:w="1145"/>
        <w:gridCol w:w="960"/>
        <w:gridCol w:w="6931"/>
      </w:tblGrid>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ATSI</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Aboriginal and Torres Strait Islander</w:t>
            </w:r>
          </w:p>
        </w:tc>
      </w:tr>
      <w:tr w:rsidR="007A4BF7" w:rsidRPr="007A4BF7" w:rsidTr="000630B7">
        <w:trPr>
          <w:trHeight w:val="300"/>
        </w:trPr>
        <w:tc>
          <w:tcPr>
            <w:tcW w:w="1145" w:type="dxa"/>
            <w:tcBorders>
              <w:top w:val="nil"/>
              <w:left w:val="nil"/>
              <w:bottom w:val="nil"/>
              <w:right w:val="nil"/>
            </w:tcBorders>
            <w:shd w:val="clear" w:color="auto" w:fill="auto"/>
            <w:noWrap/>
            <w:vAlign w:val="center"/>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BAFW</w:t>
            </w:r>
          </w:p>
        </w:tc>
        <w:tc>
          <w:tcPr>
            <w:tcW w:w="960" w:type="dxa"/>
            <w:tcBorders>
              <w:top w:val="nil"/>
              <w:left w:val="nil"/>
              <w:bottom w:val="nil"/>
              <w:right w:val="nil"/>
            </w:tcBorders>
            <w:shd w:val="clear" w:color="auto" w:fill="auto"/>
            <w:noWrap/>
            <w:vAlign w:val="bottom"/>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Building Australia’s Future Workforce</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proofErr w:type="spellStart"/>
            <w:r w:rsidRPr="007A4BF7">
              <w:rPr>
                <w:rFonts w:eastAsia="Times New Roman" w:cs="Arial"/>
                <w:b/>
                <w:bCs/>
                <w:color w:val="000000"/>
                <w:lang w:eastAsia="en-AU"/>
              </w:rPr>
              <w:t>CaLD</w:t>
            </w:r>
            <w:proofErr w:type="spellEnd"/>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Culturally and Linguistically Diverse</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CCS</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Children’s Contact Service</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CfC</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Communities for Children</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CfC D</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Communities for Children Direct Services</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CfC FP</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Communities for Children Facilitating Partner Services</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CfC IPS</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Communities for Children Indigenous Parenting Services</w:t>
            </w:r>
          </w:p>
        </w:tc>
      </w:tr>
      <w:tr w:rsidR="007A4BF7" w:rsidRPr="007A4BF7" w:rsidTr="000630B7">
        <w:trPr>
          <w:trHeight w:val="300"/>
        </w:trPr>
        <w:tc>
          <w:tcPr>
            <w:tcW w:w="1145" w:type="dxa"/>
            <w:tcBorders>
              <w:top w:val="nil"/>
              <w:left w:val="nil"/>
              <w:bottom w:val="nil"/>
              <w:right w:val="nil"/>
            </w:tcBorders>
            <w:shd w:val="clear" w:color="auto" w:fill="auto"/>
            <w:noWrap/>
            <w:vAlign w:val="center"/>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CGNT</w:t>
            </w:r>
          </w:p>
        </w:tc>
        <w:tc>
          <w:tcPr>
            <w:tcW w:w="960" w:type="dxa"/>
            <w:tcBorders>
              <w:top w:val="nil"/>
              <w:left w:val="nil"/>
              <w:bottom w:val="nil"/>
              <w:right w:val="nil"/>
            </w:tcBorders>
            <w:shd w:val="clear" w:color="auto" w:fill="auto"/>
            <w:noWrap/>
            <w:vAlign w:val="bottom"/>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Closing the Gap in the Northern Territory</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CP</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Community Playgroups</w:t>
            </w:r>
          </w:p>
        </w:tc>
      </w:tr>
      <w:tr w:rsidR="007A4BF7" w:rsidRPr="007A4BF7" w:rsidTr="000630B7">
        <w:trPr>
          <w:trHeight w:val="300"/>
        </w:trPr>
        <w:tc>
          <w:tcPr>
            <w:tcW w:w="2105" w:type="dxa"/>
            <w:gridSpan w:val="2"/>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FaHCSIA</w:t>
            </w:r>
          </w:p>
        </w:tc>
        <w:tc>
          <w:tcPr>
            <w:tcW w:w="6931" w:type="dxa"/>
            <w:tcBorders>
              <w:top w:val="nil"/>
              <w:left w:val="nil"/>
              <w:bottom w:val="nil"/>
              <w:right w:val="nil"/>
            </w:tcBorders>
            <w:shd w:val="clear" w:color="auto" w:fill="auto"/>
            <w:noWrap/>
            <w:vAlign w:val="bottom"/>
            <w:hideMark/>
          </w:tcPr>
          <w:p w:rsidR="007A4BF7" w:rsidRPr="007A4BF7" w:rsidRDefault="00CB6F90" w:rsidP="007A4BF7">
            <w:pPr>
              <w:spacing w:after="0" w:line="360" w:lineRule="auto"/>
              <w:rPr>
                <w:rFonts w:ascii="Calibri" w:eastAsia="Times New Roman" w:hAnsi="Calibri" w:cs="Calibri"/>
                <w:color w:val="000000"/>
                <w:lang w:eastAsia="en-AU"/>
              </w:rPr>
            </w:pPr>
            <w:r>
              <w:rPr>
                <w:rFonts w:ascii="Calibri" w:eastAsia="Times New Roman" w:hAnsi="Calibri" w:cs="Calibri"/>
                <w:color w:val="000000"/>
                <w:lang w:eastAsia="en-AU"/>
              </w:rPr>
              <w:t>Department</w:t>
            </w:r>
            <w:r w:rsidR="007A4BF7" w:rsidRPr="007A4BF7">
              <w:rPr>
                <w:rFonts w:ascii="Calibri" w:eastAsia="Times New Roman" w:hAnsi="Calibri" w:cs="Calibri"/>
                <w:color w:val="000000"/>
                <w:lang w:eastAsia="en-AU"/>
              </w:rPr>
              <w:t xml:space="preserve"> of Families, Housing, Community Services and Indigenous Affairs</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FaRS</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Family and Relationship Services</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FDR</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Family Dispute Resolution</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FLS</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Family Law Services</w:t>
            </w:r>
          </w:p>
        </w:tc>
      </w:tr>
      <w:tr w:rsidR="007A4BF7" w:rsidRPr="007A4BF7" w:rsidTr="000630B7">
        <w:trPr>
          <w:trHeight w:val="300"/>
        </w:trPr>
        <w:tc>
          <w:tcPr>
            <w:tcW w:w="1145"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FRAL</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Family Relationship Advice Line</w:t>
            </w:r>
          </w:p>
        </w:tc>
      </w:tr>
      <w:tr w:rsidR="007A4BF7" w:rsidRPr="007A4BF7" w:rsidTr="000630B7">
        <w:trPr>
          <w:trHeight w:val="300"/>
        </w:trPr>
        <w:tc>
          <w:tcPr>
            <w:tcW w:w="1145" w:type="dxa"/>
            <w:tcBorders>
              <w:top w:val="nil"/>
              <w:left w:val="nil"/>
              <w:bottom w:val="nil"/>
              <w:right w:val="nil"/>
            </w:tcBorders>
            <w:shd w:val="clear" w:color="auto" w:fill="auto"/>
            <w:noWrap/>
            <w:vAlign w:val="bottom"/>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FRC</w:t>
            </w:r>
          </w:p>
        </w:tc>
        <w:tc>
          <w:tcPr>
            <w:tcW w:w="960" w:type="dxa"/>
            <w:tcBorders>
              <w:top w:val="nil"/>
              <w:left w:val="nil"/>
              <w:bottom w:val="nil"/>
              <w:right w:val="nil"/>
            </w:tcBorders>
            <w:shd w:val="clear" w:color="auto" w:fill="auto"/>
            <w:noWrap/>
            <w:vAlign w:val="bottom"/>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Family Relationship Centre</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FRO</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Family Relationships Online</w:t>
            </w:r>
          </w:p>
        </w:tc>
      </w:tr>
      <w:tr w:rsidR="007A4BF7" w:rsidRPr="007A4BF7" w:rsidTr="000630B7">
        <w:trPr>
          <w:trHeight w:val="300"/>
        </w:trPr>
        <w:tc>
          <w:tcPr>
            <w:tcW w:w="1145" w:type="dxa"/>
            <w:tcBorders>
              <w:top w:val="nil"/>
              <w:left w:val="nil"/>
              <w:bottom w:val="nil"/>
              <w:right w:val="nil"/>
            </w:tcBorders>
            <w:shd w:val="clear" w:color="auto" w:fill="auto"/>
            <w:noWrap/>
            <w:vAlign w:val="center"/>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FRS</w:t>
            </w:r>
          </w:p>
        </w:tc>
        <w:tc>
          <w:tcPr>
            <w:tcW w:w="960" w:type="dxa"/>
            <w:tcBorders>
              <w:top w:val="nil"/>
              <w:left w:val="nil"/>
              <w:bottom w:val="nil"/>
              <w:right w:val="nil"/>
            </w:tcBorders>
            <w:shd w:val="clear" w:color="auto" w:fill="auto"/>
            <w:noWrap/>
            <w:vAlign w:val="bottom"/>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Family Relationship Services</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FRSA</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Family Relationship Services Australia</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FRSHE</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Family Relationship Services for Humanitarian Entrants</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FSP</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Family Support Program</w:t>
            </w:r>
          </w:p>
        </w:tc>
      </w:tr>
      <w:tr w:rsidR="007A4BF7" w:rsidRPr="007A4BF7" w:rsidTr="000630B7">
        <w:trPr>
          <w:trHeight w:val="300"/>
        </w:trPr>
        <w:tc>
          <w:tcPr>
            <w:tcW w:w="1145" w:type="dxa"/>
            <w:tcBorders>
              <w:top w:val="nil"/>
              <w:left w:val="nil"/>
              <w:bottom w:val="nil"/>
              <w:right w:val="nil"/>
            </w:tcBorders>
            <w:shd w:val="clear" w:color="auto" w:fill="auto"/>
            <w:noWrap/>
            <w:vAlign w:val="center"/>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FSDRT</w:t>
            </w:r>
          </w:p>
        </w:tc>
        <w:tc>
          <w:tcPr>
            <w:tcW w:w="960" w:type="dxa"/>
            <w:tcBorders>
              <w:top w:val="nil"/>
              <w:left w:val="nil"/>
              <w:bottom w:val="nil"/>
              <w:right w:val="nil"/>
            </w:tcBorders>
            <w:shd w:val="clear" w:color="auto" w:fill="auto"/>
            <w:noWrap/>
            <w:vAlign w:val="bottom"/>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Family Services Drought Response Teams</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FSPDS</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Family Support Program Data System</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proofErr w:type="spellStart"/>
            <w:r w:rsidRPr="007A4BF7">
              <w:rPr>
                <w:rFonts w:eastAsia="Times New Roman" w:cs="Arial"/>
                <w:b/>
                <w:bCs/>
                <w:color w:val="000000"/>
                <w:lang w:eastAsia="en-AU"/>
              </w:rPr>
              <w:t>KiF</w:t>
            </w:r>
            <w:proofErr w:type="spellEnd"/>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Kids in Focus</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lastRenderedPageBreak/>
              <w:t>KPIs</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Key performance indicators</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PI</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Performance indicators</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POP</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Parenting Orders Program</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PSCP</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Post Separation Co-operative Parenting</w:t>
            </w:r>
          </w:p>
        </w:tc>
      </w:tr>
      <w:tr w:rsidR="007A4BF7" w:rsidRPr="007A4BF7" w:rsidTr="000630B7">
        <w:trPr>
          <w:trHeight w:val="300"/>
        </w:trPr>
        <w:tc>
          <w:tcPr>
            <w:tcW w:w="1145" w:type="dxa"/>
            <w:tcBorders>
              <w:top w:val="nil"/>
              <w:left w:val="nil"/>
              <w:bottom w:val="nil"/>
              <w:right w:val="nil"/>
            </w:tcBorders>
            <w:shd w:val="clear" w:color="auto" w:fill="auto"/>
            <w:noWrap/>
            <w:vAlign w:val="center"/>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RFDR</w:t>
            </w:r>
          </w:p>
        </w:tc>
        <w:tc>
          <w:tcPr>
            <w:tcW w:w="960" w:type="dxa"/>
            <w:tcBorders>
              <w:top w:val="nil"/>
              <w:left w:val="nil"/>
              <w:bottom w:val="nil"/>
              <w:right w:val="nil"/>
            </w:tcBorders>
            <w:shd w:val="clear" w:color="auto" w:fill="auto"/>
            <w:noWrap/>
            <w:vAlign w:val="bottom"/>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Regional Family Dispute Resolution</w:t>
            </w:r>
          </w:p>
        </w:tc>
      </w:tr>
      <w:tr w:rsidR="007A4BF7" w:rsidRPr="007A4BF7" w:rsidTr="000630B7">
        <w:trPr>
          <w:trHeight w:val="300"/>
        </w:trPr>
        <w:tc>
          <w:tcPr>
            <w:tcW w:w="1145" w:type="dxa"/>
            <w:tcBorders>
              <w:top w:val="nil"/>
              <w:left w:val="nil"/>
              <w:bottom w:val="nil"/>
              <w:right w:val="nil"/>
            </w:tcBorders>
            <w:shd w:val="clear" w:color="auto" w:fill="auto"/>
            <w:noWrap/>
            <w:vAlign w:val="center"/>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RRFSS</w:t>
            </w:r>
          </w:p>
        </w:tc>
        <w:tc>
          <w:tcPr>
            <w:tcW w:w="960" w:type="dxa"/>
            <w:tcBorders>
              <w:top w:val="nil"/>
              <w:left w:val="nil"/>
              <w:bottom w:val="nil"/>
              <w:right w:val="nil"/>
            </w:tcBorders>
            <w:shd w:val="clear" w:color="auto" w:fill="auto"/>
            <w:noWrap/>
            <w:vAlign w:val="bottom"/>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Rural and Regional Family Support Services</w:t>
            </w:r>
          </w:p>
        </w:tc>
      </w:tr>
      <w:tr w:rsidR="007A4BF7" w:rsidRPr="007A4BF7" w:rsidTr="000630B7">
        <w:trPr>
          <w:trHeight w:val="300"/>
        </w:trPr>
        <w:tc>
          <w:tcPr>
            <w:tcW w:w="1145" w:type="dxa"/>
            <w:tcBorders>
              <w:top w:val="nil"/>
              <w:left w:val="nil"/>
              <w:bottom w:val="nil"/>
              <w:right w:val="nil"/>
            </w:tcBorders>
            <w:shd w:val="clear" w:color="auto" w:fill="auto"/>
            <w:noWrap/>
            <w:vAlign w:val="center"/>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SCASP</w:t>
            </w:r>
          </w:p>
        </w:tc>
        <w:tc>
          <w:tcPr>
            <w:tcW w:w="960" w:type="dxa"/>
            <w:tcBorders>
              <w:top w:val="nil"/>
              <w:left w:val="nil"/>
              <w:bottom w:val="nil"/>
              <w:right w:val="nil"/>
            </w:tcBorders>
            <w:shd w:val="clear" w:color="auto" w:fill="auto"/>
            <w:noWrap/>
            <w:vAlign w:val="bottom"/>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Supporting Children After Separation Program</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SFVS</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Specialised Family Violence Services</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SS</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Specialist Services</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TDRS</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Telephone Dispute Resolution Service</w:t>
            </w:r>
          </w:p>
        </w:tc>
      </w:tr>
      <w:tr w:rsidR="007A4BF7" w:rsidRPr="007A4BF7" w:rsidTr="000630B7">
        <w:trPr>
          <w:trHeight w:val="300"/>
        </w:trPr>
        <w:tc>
          <w:tcPr>
            <w:tcW w:w="1145" w:type="dxa"/>
            <w:tcBorders>
              <w:top w:val="nil"/>
              <w:left w:val="nil"/>
              <w:bottom w:val="nil"/>
              <w:right w:val="nil"/>
            </w:tcBorders>
            <w:shd w:val="clear" w:color="auto" w:fill="auto"/>
            <w:noWrap/>
            <w:vAlign w:val="center"/>
            <w:hideMark/>
          </w:tcPr>
          <w:p w:rsidR="007A4BF7" w:rsidRPr="007A4BF7" w:rsidRDefault="007A4BF7" w:rsidP="007A4BF7">
            <w:pPr>
              <w:spacing w:after="0" w:line="360" w:lineRule="auto"/>
              <w:rPr>
                <w:rFonts w:eastAsia="Times New Roman" w:cs="Arial"/>
                <w:b/>
                <w:bCs/>
                <w:color w:val="000000"/>
                <w:lang w:eastAsia="en-AU"/>
              </w:rPr>
            </w:pPr>
            <w:r w:rsidRPr="007A4BF7">
              <w:rPr>
                <w:rFonts w:eastAsia="Times New Roman" w:cs="Arial"/>
                <w:b/>
                <w:bCs/>
                <w:color w:val="000000"/>
                <w:lang w:eastAsia="en-AU"/>
              </w:rPr>
              <w:t>VADCAS</w:t>
            </w:r>
          </w:p>
        </w:tc>
        <w:tc>
          <w:tcPr>
            <w:tcW w:w="960"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p>
        </w:tc>
        <w:tc>
          <w:tcPr>
            <w:tcW w:w="6931" w:type="dxa"/>
            <w:tcBorders>
              <w:top w:val="nil"/>
              <w:left w:val="nil"/>
              <w:bottom w:val="nil"/>
              <w:right w:val="nil"/>
            </w:tcBorders>
            <w:shd w:val="clear" w:color="auto" w:fill="auto"/>
            <w:noWrap/>
            <w:vAlign w:val="bottom"/>
            <w:hideMark/>
          </w:tcPr>
          <w:p w:rsidR="007A4BF7" w:rsidRPr="007A4BF7" w:rsidRDefault="007A4BF7" w:rsidP="007A4BF7">
            <w:pPr>
              <w:spacing w:after="0" w:line="360" w:lineRule="auto"/>
              <w:rPr>
                <w:rFonts w:ascii="Calibri" w:eastAsia="Times New Roman" w:hAnsi="Calibri" w:cs="Calibri"/>
                <w:color w:val="000000"/>
                <w:lang w:eastAsia="en-AU"/>
              </w:rPr>
            </w:pPr>
            <w:r w:rsidRPr="007A4BF7">
              <w:rPr>
                <w:rFonts w:ascii="Calibri" w:eastAsia="Times New Roman" w:hAnsi="Calibri" w:cs="Calibri"/>
                <w:color w:val="000000"/>
                <w:lang w:eastAsia="en-AU"/>
              </w:rPr>
              <w:t>Vulnerable and Disadvantaged Client Access Strategy</w:t>
            </w:r>
          </w:p>
        </w:tc>
      </w:tr>
    </w:tbl>
    <w:p w:rsidR="007A4BF7" w:rsidRDefault="007A4BF7" w:rsidP="004B54CA">
      <w:pPr>
        <w:rPr>
          <w:rStyle w:val="BookTitle"/>
          <w:i w:val="0"/>
          <w:iCs w:val="0"/>
          <w:smallCaps/>
          <w:spacing w:val="0"/>
        </w:rPr>
        <w:sectPr w:rsidR="007A4BF7" w:rsidSect="007A4BF7">
          <w:pgSz w:w="11906" w:h="16838"/>
          <w:pgMar w:top="720" w:right="720" w:bottom="720" w:left="720" w:header="708" w:footer="708" w:gutter="0"/>
          <w:cols w:space="708"/>
          <w:docGrid w:linePitch="360"/>
        </w:sectPr>
      </w:pPr>
    </w:p>
    <w:p w:rsidR="007A4BF7" w:rsidRPr="007A4BF7" w:rsidRDefault="007A4BF7" w:rsidP="007A4BF7">
      <w:pPr>
        <w:pBdr>
          <w:top w:val="single" w:sz="24" w:space="0" w:color="76923C"/>
          <w:left w:val="single" w:sz="24" w:space="0" w:color="76923C"/>
          <w:bottom w:val="single" w:sz="24" w:space="0" w:color="76923C"/>
          <w:right w:val="single" w:sz="24" w:space="0" w:color="76923C"/>
        </w:pBdr>
        <w:shd w:val="clear" w:color="auto" w:fill="76923C"/>
        <w:spacing w:after="0"/>
        <w:outlineLvl w:val="0"/>
        <w:rPr>
          <w:rFonts w:ascii="Calibri" w:eastAsia="Times New Roman" w:hAnsi="Calibri" w:cs="Times New Roman"/>
          <w:b/>
          <w:bCs/>
          <w:caps/>
          <w:color w:val="FFFFFF"/>
          <w:spacing w:val="15"/>
          <w:lang w:eastAsia="en-AU"/>
        </w:rPr>
      </w:pPr>
      <w:bookmarkStart w:id="6" w:name="_Toc338944745"/>
      <w:bookmarkStart w:id="7" w:name="_Toc338945036"/>
      <w:bookmarkStart w:id="8" w:name="_Toc338945363"/>
      <w:bookmarkStart w:id="9" w:name="_Toc338945616"/>
      <w:bookmarkStart w:id="10" w:name="_Toc341705884"/>
      <w:r w:rsidRPr="007A4BF7">
        <w:rPr>
          <w:rFonts w:ascii="Calibri" w:eastAsia="Times New Roman" w:hAnsi="Calibri" w:cs="Times New Roman"/>
          <w:b/>
          <w:bCs/>
          <w:caps/>
          <w:color w:val="FFFFFF"/>
          <w:spacing w:val="15"/>
          <w:lang w:eastAsia="en-AU"/>
        </w:rPr>
        <w:lastRenderedPageBreak/>
        <w:t>List of Tables/Charts</w:t>
      </w:r>
      <w:bookmarkEnd w:id="6"/>
      <w:bookmarkEnd w:id="7"/>
      <w:bookmarkEnd w:id="8"/>
      <w:bookmarkEnd w:id="9"/>
      <w:bookmarkEnd w:id="10"/>
    </w:p>
    <w:p w:rsidR="007A4BF7" w:rsidRPr="007A4BF7" w:rsidRDefault="00F67123" w:rsidP="007A4BF7">
      <w:pPr>
        <w:rPr>
          <w:rFonts w:ascii="Calibri" w:eastAsia="Times New Roman" w:hAnsi="Calibri" w:cs="Times New Roman"/>
          <w:b/>
          <w:color w:val="4F6228"/>
          <w:u w:val="single"/>
          <w:lang w:eastAsia="en-AU"/>
        </w:rPr>
      </w:pPr>
      <w:hyperlink w:anchor="_Section_Two:_" w:history="1">
        <w:r w:rsidR="007A4BF7" w:rsidRPr="007A4BF7">
          <w:rPr>
            <w:rFonts w:ascii="Calibri" w:eastAsia="Times New Roman" w:hAnsi="Calibri" w:cs="Times New Roman"/>
            <w:b/>
            <w:color w:val="4F6228"/>
            <w:u w:val="single"/>
            <w:lang w:eastAsia="en-AU"/>
          </w:rPr>
          <w:t>Section 2 – CLIENT DATA/OUTPUTS</w:t>
        </w:r>
      </w:hyperlink>
    </w:p>
    <w:p w:rsidR="007A4BF7" w:rsidRPr="00417F06" w:rsidRDefault="00F67123" w:rsidP="007A4BF7">
      <w:pPr>
        <w:rPr>
          <w:rStyle w:val="Hyperlink"/>
        </w:rPr>
      </w:pPr>
      <w:hyperlink w:anchor="_2.1:__Chart" w:history="1">
        <w:r w:rsidR="007A4BF7" w:rsidRPr="00417F06">
          <w:rPr>
            <w:rStyle w:val="Hyperlink"/>
          </w:rPr>
          <w:t>2.1:  Chart – Number of FSP clients by service type 2011-12</w:t>
        </w:r>
      </w:hyperlink>
    </w:p>
    <w:p w:rsidR="009C0A94" w:rsidRDefault="00F67123" w:rsidP="007A4BF7">
      <w:pPr>
        <w:rPr>
          <w:rFonts w:ascii="Calibri" w:eastAsia="Times New Roman" w:hAnsi="Calibri" w:cs="Times New Roman"/>
          <w:color w:val="4F6228"/>
          <w:u w:val="single"/>
          <w:lang w:eastAsia="en-AU"/>
        </w:rPr>
      </w:pPr>
      <w:hyperlink w:anchor="_2.2:__CHART" w:history="1">
        <w:proofErr w:type="gramStart"/>
        <w:r w:rsidR="009C0A94" w:rsidRPr="0075310F">
          <w:rPr>
            <w:rStyle w:val="Hyperlink"/>
            <w:rFonts w:ascii="Calibri" w:eastAsia="Times New Roman" w:hAnsi="Calibri" w:cs="Times New Roman"/>
            <w:lang w:eastAsia="en-AU"/>
          </w:rPr>
          <w:t>2.2  Chart</w:t>
        </w:r>
        <w:proofErr w:type="gramEnd"/>
        <w:r w:rsidR="009C0A94" w:rsidRPr="0075310F">
          <w:rPr>
            <w:rStyle w:val="Hyperlink"/>
            <w:rFonts w:ascii="Calibri" w:eastAsia="Times New Roman" w:hAnsi="Calibri" w:cs="Times New Roman"/>
            <w:lang w:eastAsia="en-AU"/>
          </w:rPr>
          <w:t xml:space="preserve"> – Percentage of FSP clients by service ty</w:t>
        </w:r>
        <w:r w:rsidR="00417F06">
          <w:rPr>
            <w:rStyle w:val="Hyperlink"/>
            <w:rFonts w:ascii="Calibri" w:eastAsia="Times New Roman" w:hAnsi="Calibri" w:cs="Times New Roman"/>
            <w:lang w:eastAsia="en-AU"/>
          </w:rPr>
          <w:t>p</w:t>
        </w:r>
        <w:r w:rsidR="009C0A94" w:rsidRPr="0075310F">
          <w:rPr>
            <w:rStyle w:val="Hyperlink"/>
            <w:rFonts w:ascii="Calibri" w:eastAsia="Times New Roman" w:hAnsi="Calibri" w:cs="Times New Roman"/>
            <w:lang w:eastAsia="en-AU"/>
          </w:rPr>
          <w:t>e 2011-12</w:t>
        </w:r>
      </w:hyperlink>
    </w:p>
    <w:p w:rsidR="009C0A94" w:rsidRDefault="00F67123" w:rsidP="007A4BF7">
      <w:pPr>
        <w:rPr>
          <w:rFonts w:ascii="Calibri" w:eastAsia="Times New Roman" w:hAnsi="Calibri" w:cs="Times New Roman"/>
          <w:color w:val="4F6228"/>
          <w:u w:val="single"/>
          <w:lang w:eastAsia="en-AU"/>
        </w:rPr>
      </w:pPr>
      <w:hyperlink w:anchor="_2.3:__Chart" w:history="1">
        <w:proofErr w:type="gramStart"/>
        <w:r w:rsidR="009C0A94" w:rsidRPr="0075310F">
          <w:rPr>
            <w:rStyle w:val="Hyperlink"/>
            <w:rFonts w:ascii="Calibri" w:eastAsia="Times New Roman" w:hAnsi="Calibri" w:cs="Times New Roman"/>
            <w:lang w:eastAsia="en-AU"/>
          </w:rPr>
          <w:t>2.3  Chart</w:t>
        </w:r>
        <w:proofErr w:type="gramEnd"/>
        <w:r w:rsidR="009C0A94" w:rsidRPr="0075310F">
          <w:rPr>
            <w:rStyle w:val="Hyperlink"/>
            <w:rFonts w:ascii="Calibri" w:eastAsia="Times New Roman" w:hAnsi="Calibri" w:cs="Times New Roman"/>
            <w:lang w:eastAsia="en-AU"/>
          </w:rPr>
          <w:t xml:space="preserve"> – Percentage of FSP clients from demographic groups 2011-12</w:t>
        </w:r>
      </w:hyperlink>
    </w:p>
    <w:p w:rsidR="009C0A94" w:rsidRDefault="00F67123" w:rsidP="007A4BF7">
      <w:pPr>
        <w:rPr>
          <w:rFonts w:ascii="Calibri" w:eastAsia="Times New Roman" w:hAnsi="Calibri" w:cs="Times New Roman"/>
          <w:color w:val="4F6228"/>
          <w:u w:val="single"/>
          <w:lang w:eastAsia="en-AU"/>
        </w:rPr>
      </w:pPr>
      <w:hyperlink w:anchor="_2.4:__Chart" w:history="1">
        <w:proofErr w:type="gramStart"/>
        <w:r w:rsidR="0075310F" w:rsidRPr="0075310F">
          <w:rPr>
            <w:rStyle w:val="Hyperlink"/>
            <w:rFonts w:ascii="Calibri" w:eastAsia="Times New Roman" w:hAnsi="Calibri" w:cs="Times New Roman"/>
            <w:lang w:eastAsia="en-AU"/>
          </w:rPr>
          <w:t>2.4  Chart</w:t>
        </w:r>
        <w:proofErr w:type="gramEnd"/>
        <w:r w:rsidR="0075310F" w:rsidRPr="0075310F">
          <w:rPr>
            <w:rStyle w:val="Hyperlink"/>
            <w:rFonts w:ascii="Calibri" w:eastAsia="Times New Roman" w:hAnsi="Calibri" w:cs="Times New Roman"/>
            <w:lang w:eastAsia="en-AU"/>
          </w:rPr>
          <w:t xml:space="preserve"> – Percentage of FSP clients identifying as  Aboriginal and/or Torres Strait Islander by service type 2011-12</w:t>
        </w:r>
      </w:hyperlink>
    </w:p>
    <w:p w:rsidR="0075310F" w:rsidRDefault="00F67123" w:rsidP="007A4BF7">
      <w:pPr>
        <w:rPr>
          <w:rFonts w:ascii="Calibri" w:eastAsia="Times New Roman" w:hAnsi="Calibri" w:cs="Times New Roman"/>
          <w:color w:val="4F6228"/>
          <w:u w:val="single"/>
          <w:lang w:eastAsia="en-AU"/>
        </w:rPr>
      </w:pPr>
      <w:hyperlink w:anchor="_2.5:_chart_-" w:history="1">
        <w:proofErr w:type="gramStart"/>
        <w:r w:rsidR="0075310F" w:rsidRPr="0075310F">
          <w:rPr>
            <w:rStyle w:val="Hyperlink"/>
            <w:rFonts w:ascii="Calibri" w:eastAsia="Times New Roman" w:hAnsi="Calibri" w:cs="Times New Roman"/>
            <w:lang w:eastAsia="en-AU"/>
          </w:rPr>
          <w:t>2.5  Chart</w:t>
        </w:r>
        <w:proofErr w:type="gramEnd"/>
        <w:r w:rsidR="0075310F" w:rsidRPr="0075310F">
          <w:rPr>
            <w:rStyle w:val="Hyperlink"/>
            <w:rFonts w:ascii="Calibri" w:eastAsia="Times New Roman" w:hAnsi="Calibri" w:cs="Times New Roman"/>
            <w:lang w:eastAsia="en-AU"/>
          </w:rPr>
          <w:t xml:space="preserve"> – Percentage of FSP clients identifying as Culturally and Linguistically Diverse by service type 2011-12</w:t>
        </w:r>
      </w:hyperlink>
    </w:p>
    <w:p w:rsidR="00A570F5" w:rsidRDefault="00F67123" w:rsidP="007A4BF7">
      <w:pPr>
        <w:rPr>
          <w:rFonts w:ascii="Calibri" w:eastAsia="Times New Roman" w:hAnsi="Calibri" w:cs="Times New Roman"/>
          <w:color w:val="4F6228"/>
          <w:u w:val="single"/>
          <w:lang w:eastAsia="en-AU"/>
        </w:rPr>
      </w:pPr>
      <w:hyperlink w:anchor="_2.6:_Chart_-" w:history="1">
        <w:proofErr w:type="gramStart"/>
        <w:r w:rsidR="00A570F5" w:rsidRPr="00A570F5">
          <w:rPr>
            <w:rStyle w:val="Hyperlink"/>
            <w:rFonts w:ascii="Calibri" w:eastAsia="Times New Roman" w:hAnsi="Calibri" w:cs="Times New Roman"/>
            <w:lang w:eastAsia="en-AU"/>
          </w:rPr>
          <w:t>2.6  Chart</w:t>
        </w:r>
        <w:proofErr w:type="gramEnd"/>
        <w:r w:rsidR="00A570F5" w:rsidRPr="00A570F5">
          <w:rPr>
            <w:rStyle w:val="Hyperlink"/>
            <w:rFonts w:ascii="Calibri" w:eastAsia="Times New Roman" w:hAnsi="Calibri" w:cs="Times New Roman"/>
            <w:lang w:eastAsia="en-AU"/>
          </w:rPr>
          <w:t xml:space="preserve"> - </w:t>
        </w:r>
        <w:r w:rsidR="00A570F5" w:rsidRPr="00A570F5">
          <w:rPr>
            <w:rStyle w:val="Hyperlink"/>
            <w:rFonts w:eastAsia="Times New Roman"/>
            <w:lang w:eastAsia="en-AU"/>
          </w:rPr>
          <w:t>Percentage of CfC and CP clients identifying as people with a disability by service type 2011-12</w:t>
        </w:r>
      </w:hyperlink>
    </w:p>
    <w:p w:rsidR="0075310F" w:rsidRDefault="00F67123" w:rsidP="007A4BF7">
      <w:pPr>
        <w:rPr>
          <w:rStyle w:val="Hyperlink"/>
          <w:rFonts w:ascii="Calibri" w:eastAsia="Times New Roman" w:hAnsi="Calibri" w:cs="Times New Roman"/>
          <w:lang w:eastAsia="en-AU"/>
        </w:rPr>
      </w:pPr>
      <w:hyperlink w:anchor="_2.6:__Chart" w:history="1">
        <w:proofErr w:type="gramStart"/>
        <w:r w:rsidR="00A570F5">
          <w:rPr>
            <w:rStyle w:val="Hyperlink"/>
            <w:rFonts w:ascii="Calibri" w:eastAsia="Times New Roman" w:hAnsi="Calibri" w:cs="Times New Roman"/>
            <w:lang w:eastAsia="en-AU"/>
          </w:rPr>
          <w:t>2.7</w:t>
        </w:r>
        <w:r w:rsidR="0075310F" w:rsidRPr="00FA2720">
          <w:rPr>
            <w:rStyle w:val="Hyperlink"/>
            <w:rFonts w:ascii="Calibri" w:eastAsia="Times New Roman" w:hAnsi="Calibri" w:cs="Times New Roman"/>
            <w:lang w:eastAsia="en-AU"/>
          </w:rPr>
          <w:t xml:space="preserve">  Chart</w:t>
        </w:r>
        <w:proofErr w:type="gramEnd"/>
        <w:r w:rsidR="0075310F" w:rsidRPr="00FA2720">
          <w:rPr>
            <w:rStyle w:val="Hyperlink"/>
            <w:rFonts w:ascii="Calibri" w:eastAsia="Times New Roman" w:hAnsi="Calibri" w:cs="Times New Roman"/>
            <w:lang w:eastAsia="en-AU"/>
          </w:rPr>
          <w:t xml:space="preserve"> – Percentage of sessions with fees charged – FaRS, SS-SFV and FLS 2009-12</w:t>
        </w:r>
      </w:hyperlink>
    </w:p>
    <w:p w:rsidR="00DA2404" w:rsidRPr="0040180C" w:rsidRDefault="00F67123" w:rsidP="00FE3033">
      <w:pPr>
        <w:rPr>
          <w:rFonts w:eastAsia="Times New Roman"/>
          <w:lang w:eastAsia="en-AU"/>
        </w:rPr>
      </w:pPr>
      <w:hyperlink w:anchor="_2.8:_Table_–" w:history="1">
        <w:proofErr w:type="gramStart"/>
        <w:r w:rsidR="00DA2404" w:rsidRPr="00DA2404">
          <w:rPr>
            <w:rStyle w:val="Hyperlink"/>
            <w:rFonts w:ascii="Calibri" w:eastAsia="Times New Roman" w:hAnsi="Calibri" w:cs="Times New Roman"/>
            <w:lang w:eastAsia="en-AU"/>
          </w:rPr>
          <w:t>2.8  Table</w:t>
        </w:r>
        <w:proofErr w:type="gramEnd"/>
        <w:r w:rsidR="00DA2404" w:rsidRPr="00DA2404">
          <w:rPr>
            <w:rStyle w:val="Hyperlink"/>
            <w:rFonts w:ascii="Calibri" w:eastAsia="Times New Roman" w:hAnsi="Calibri" w:cs="Times New Roman"/>
            <w:lang w:eastAsia="en-AU"/>
          </w:rPr>
          <w:t xml:space="preserve"> - </w:t>
        </w:r>
        <w:r w:rsidR="00DA2404" w:rsidRPr="00DA2404">
          <w:rPr>
            <w:rStyle w:val="Hyperlink"/>
            <w:rFonts w:eastAsia="Times New Roman"/>
            <w:lang w:eastAsia="en-AU"/>
          </w:rPr>
          <w:t>Total fees charged FaRS, SS-SFV and FLS 2009-2012</w:t>
        </w:r>
      </w:hyperlink>
    </w:p>
    <w:p w:rsidR="0075310F" w:rsidRDefault="00F67123" w:rsidP="007A4BF7">
      <w:pPr>
        <w:rPr>
          <w:rFonts w:ascii="Calibri" w:eastAsia="Times New Roman" w:hAnsi="Calibri" w:cs="Times New Roman"/>
          <w:color w:val="4F6228"/>
          <w:u w:val="single"/>
          <w:lang w:eastAsia="en-AU"/>
        </w:rPr>
      </w:pPr>
      <w:hyperlink w:anchor="_2.7:_Table_-" w:history="1">
        <w:proofErr w:type="gramStart"/>
        <w:r w:rsidR="00A570F5">
          <w:rPr>
            <w:rStyle w:val="Hyperlink"/>
            <w:rFonts w:ascii="Calibri" w:eastAsia="Times New Roman" w:hAnsi="Calibri" w:cs="Times New Roman"/>
            <w:lang w:eastAsia="en-AU"/>
          </w:rPr>
          <w:t>2.</w:t>
        </w:r>
        <w:r w:rsidR="00DA2404">
          <w:rPr>
            <w:rStyle w:val="Hyperlink"/>
            <w:rFonts w:ascii="Calibri" w:eastAsia="Times New Roman" w:hAnsi="Calibri" w:cs="Times New Roman"/>
            <w:lang w:eastAsia="en-AU"/>
          </w:rPr>
          <w:t>9</w:t>
        </w:r>
        <w:r w:rsidR="0075310F" w:rsidRPr="00FA2720">
          <w:rPr>
            <w:rStyle w:val="Hyperlink"/>
            <w:rFonts w:ascii="Calibri" w:eastAsia="Times New Roman" w:hAnsi="Calibri" w:cs="Times New Roman"/>
            <w:lang w:eastAsia="en-AU"/>
          </w:rPr>
          <w:t xml:space="preserve">  Table</w:t>
        </w:r>
        <w:proofErr w:type="gramEnd"/>
        <w:r w:rsidR="0075310F" w:rsidRPr="00FA2720">
          <w:rPr>
            <w:rStyle w:val="Hyperlink"/>
            <w:rFonts w:ascii="Calibri" w:eastAsia="Times New Roman" w:hAnsi="Calibri" w:cs="Times New Roman"/>
            <w:lang w:eastAsia="en-AU"/>
          </w:rPr>
          <w:t xml:space="preserve"> – Service type to which clients were most often referred in 2011-12</w:t>
        </w:r>
      </w:hyperlink>
    </w:p>
    <w:p w:rsidR="0075310F" w:rsidRDefault="00F67123" w:rsidP="007A4BF7">
      <w:pPr>
        <w:rPr>
          <w:rFonts w:ascii="Calibri" w:eastAsia="Times New Roman" w:hAnsi="Calibri" w:cs="Times New Roman"/>
          <w:color w:val="4F6228"/>
          <w:u w:val="single"/>
          <w:lang w:eastAsia="en-AU"/>
        </w:rPr>
      </w:pPr>
      <w:hyperlink w:anchor="_2.8:__Table" w:history="1">
        <w:proofErr w:type="gramStart"/>
        <w:r w:rsidR="0075310F" w:rsidRPr="00FA2720">
          <w:rPr>
            <w:rStyle w:val="Hyperlink"/>
            <w:rFonts w:ascii="Calibri" w:eastAsia="Times New Roman" w:hAnsi="Calibri" w:cs="Times New Roman"/>
            <w:lang w:eastAsia="en-AU"/>
          </w:rPr>
          <w:t>2.</w:t>
        </w:r>
        <w:r w:rsidR="00DA2404">
          <w:rPr>
            <w:rStyle w:val="Hyperlink"/>
            <w:rFonts w:ascii="Calibri" w:eastAsia="Times New Roman" w:hAnsi="Calibri" w:cs="Times New Roman"/>
            <w:lang w:eastAsia="en-AU"/>
          </w:rPr>
          <w:t>10</w:t>
        </w:r>
        <w:r w:rsidR="0075310F" w:rsidRPr="00FA2720">
          <w:rPr>
            <w:rStyle w:val="Hyperlink"/>
            <w:rFonts w:ascii="Calibri" w:eastAsia="Times New Roman" w:hAnsi="Calibri" w:cs="Times New Roman"/>
            <w:lang w:eastAsia="en-AU"/>
          </w:rPr>
          <w:t xml:space="preserve">  Table</w:t>
        </w:r>
        <w:proofErr w:type="gramEnd"/>
        <w:r w:rsidR="0075310F" w:rsidRPr="00FA2720">
          <w:rPr>
            <w:rStyle w:val="Hyperlink"/>
            <w:rFonts w:ascii="Calibri" w:eastAsia="Times New Roman" w:hAnsi="Calibri" w:cs="Times New Roman"/>
            <w:lang w:eastAsia="en-AU"/>
          </w:rPr>
          <w:t xml:space="preserve"> – Top 10 presenting needs identified by FSP FaRS, SS and FLS registered clients in 2008-09, 2009-10, 2010-11 and 2011-12</w:t>
        </w:r>
      </w:hyperlink>
    </w:p>
    <w:p w:rsidR="0075310F" w:rsidRDefault="00F67123" w:rsidP="007A4BF7">
      <w:pPr>
        <w:rPr>
          <w:rFonts w:ascii="Calibri" w:eastAsia="Times New Roman" w:hAnsi="Calibri" w:cs="Times New Roman"/>
          <w:color w:val="4F6228"/>
          <w:u w:val="single"/>
          <w:lang w:eastAsia="en-AU"/>
        </w:rPr>
      </w:pPr>
      <w:hyperlink w:anchor="_2.9:_Table_-" w:history="1">
        <w:proofErr w:type="gramStart"/>
        <w:r w:rsidR="00A570F5">
          <w:rPr>
            <w:rStyle w:val="Hyperlink"/>
            <w:rFonts w:ascii="Calibri" w:eastAsia="Times New Roman" w:hAnsi="Calibri" w:cs="Times New Roman"/>
            <w:lang w:eastAsia="en-AU"/>
          </w:rPr>
          <w:t>2.1</w:t>
        </w:r>
        <w:r w:rsidR="00DA2404">
          <w:rPr>
            <w:rStyle w:val="Hyperlink"/>
            <w:rFonts w:ascii="Calibri" w:eastAsia="Times New Roman" w:hAnsi="Calibri" w:cs="Times New Roman"/>
            <w:lang w:eastAsia="en-AU"/>
          </w:rPr>
          <w:t>1</w:t>
        </w:r>
        <w:r w:rsidR="0075310F" w:rsidRPr="00FA2720">
          <w:rPr>
            <w:rStyle w:val="Hyperlink"/>
            <w:rFonts w:ascii="Calibri" w:eastAsia="Times New Roman" w:hAnsi="Calibri" w:cs="Times New Roman"/>
            <w:lang w:eastAsia="en-AU"/>
          </w:rPr>
          <w:t xml:space="preserve">  Table</w:t>
        </w:r>
        <w:proofErr w:type="gramEnd"/>
        <w:r w:rsidR="0075310F" w:rsidRPr="00FA2720">
          <w:rPr>
            <w:rStyle w:val="Hyperlink"/>
            <w:rFonts w:ascii="Calibri" w:eastAsia="Times New Roman" w:hAnsi="Calibri" w:cs="Times New Roman"/>
            <w:lang w:eastAsia="en-AU"/>
          </w:rPr>
          <w:t xml:space="preserve"> – BAFW CfC FP referral numbers for Helping Young Parents Measure</w:t>
        </w:r>
      </w:hyperlink>
    </w:p>
    <w:p w:rsidR="0075310F" w:rsidRDefault="00F67123" w:rsidP="007A4BF7">
      <w:pPr>
        <w:rPr>
          <w:rFonts w:ascii="Calibri" w:eastAsia="Times New Roman" w:hAnsi="Calibri" w:cs="Times New Roman"/>
          <w:color w:val="4F6228"/>
          <w:u w:val="single"/>
          <w:lang w:eastAsia="en-AU"/>
        </w:rPr>
      </w:pPr>
      <w:hyperlink w:anchor="_2.10:__Chart" w:history="1">
        <w:proofErr w:type="gramStart"/>
        <w:r w:rsidR="00A570F5">
          <w:rPr>
            <w:rStyle w:val="Hyperlink"/>
            <w:rFonts w:ascii="Calibri" w:eastAsia="Times New Roman" w:hAnsi="Calibri" w:cs="Times New Roman"/>
            <w:lang w:eastAsia="en-AU"/>
          </w:rPr>
          <w:t>2.1</w:t>
        </w:r>
        <w:r w:rsidR="00DA2404">
          <w:rPr>
            <w:rStyle w:val="Hyperlink"/>
            <w:rFonts w:ascii="Calibri" w:eastAsia="Times New Roman" w:hAnsi="Calibri" w:cs="Times New Roman"/>
            <w:lang w:eastAsia="en-AU"/>
          </w:rPr>
          <w:t>2</w:t>
        </w:r>
        <w:r w:rsidR="0075310F" w:rsidRPr="00FA2720">
          <w:rPr>
            <w:rStyle w:val="Hyperlink"/>
            <w:rFonts w:ascii="Calibri" w:eastAsia="Times New Roman" w:hAnsi="Calibri" w:cs="Times New Roman"/>
            <w:lang w:eastAsia="en-AU"/>
          </w:rPr>
          <w:t xml:space="preserve">  Chart</w:t>
        </w:r>
        <w:proofErr w:type="gramEnd"/>
        <w:r w:rsidR="0075310F" w:rsidRPr="00FA2720">
          <w:rPr>
            <w:rStyle w:val="Hyperlink"/>
            <w:rFonts w:ascii="Calibri" w:eastAsia="Times New Roman" w:hAnsi="Calibri" w:cs="Times New Roman"/>
            <w:lang w:eastAsia="en-AU"/>
          </w:rPr>
          <w:t xml:space="preserve"> – Number of FaRS, SS and FLS clients by service type 2011-12</w:t>
        </w:r>
      </w:hyperlink>
    </w:p>
    <w:p w:rsidR="0075310F" w:rsidRDefault="00F67123" w:rsidP="007A4BF7">
      <w:pPr>
        <w:rPr>
          <w:rFonts w:ascii="Calibri" w:eastAsia="Times New Roman" w:hAnsi="Calibri" w:cs="Times New Roman"/>
          <w:color w:val="4F6228"/>
          <w:u w:val="single"/>
          <w:lang w:eastAsia="en-AU"/>
        </w:rPr>
      </w:pPr>
      <w:hyperlink w:anchor="_2.11:__Chart" w:history="1">
        <w:proofErr w:type="gramStart"/>
        <w:r w:rsidR="00A570F5">
          <w:rPr>
            <w:rStyle w:val="Hyperlink"/>
            <w:rFonts w:ascii="Calibri" w:eastAsia="Times New Roman" w:hAnsi="Calibri" w:cs="Times New Roman"/>
            <w:lang w:eastAsia="en-AU"/>
          </w:rPr>
          <w:t>2.1</w:t>
        </w:r>
        <w:r w:rsidR="00DA2404">
          <w:rPr>
            <w:rStyle w:val="Hyperlink"/>
            <w:rFonts w:ascii="Calibri" w:eastAsia="Times New Roman" w:hAnsi="Calibri" w:cs="Times New Roman"/>
            <w:lang w:eastAsia="en-AU"/>
          </w:rPr>
          <w:t>3</w:t>
        </w:r>
        <w:r w:rsidR="0075310F" w:rsidRPr="00FA2720">
          <w:rPr>
            <w:rStyle w:val="Hyperlink"/>
            <w:rFonts w:ascii="Calibri" w:eastAsia="Times New Roman" w:hAnsi="Calibri" w:cs="Times New Roman"/>
            <w:lang w:eastAsia="en-AU"/>
          </w:rPr>
          <w:t xml:space="preserve">  Chart</w:t>
        </w:r>
        <w:proofErr w:type="gramEnd"/>
        <w:r w:rsidR="0075310F" w:rsidRPr="00FA2720">
          <w:rPr>
            <w:rStyle w:val="Hyperlink"/>
            <w:rFonts w:ascii="Calibri" w:eastAsia="Times New Roman" w:hAnsi="Calibri" w:cs="Times New Roman"/>
            <w:lang w:eastAsia="en-AU"/>
          </w:rPr>
          <w:t xml:space="preserve"> – Number of registered and unregistered clients by FaRS, SS and FLS service type from 2009-12</w:t>
        </w:r>
      </w:hyperlink>
    </w:p>
    <w:p w:rsidR="0075310F" w:rsidRDefault="00F67123" w:rsidP="007A4BF7">
      <w:pPr>
        <w:rPr>
          <w:rFonts w:ascii="Calibri" w:eastAsia="Times New Roman" w:hAnsi="Calibri" w:cs="Times New Roman"/>
          <w:color w:val="4F6228"/>
          <w:u w:val="single"/>
          <w:lang w:eastAsia="en-AU"/>
        </w:rPr>
      </w:pPr>
      <w:hyperlink w:anchor="_2.12:__Chart" w:history="1">
        <w:proofErr w:type="gramStart"/>
        <w:r w:rsidR="00A570F5">
          <w:rPr>
            <w:rStyle w:val="Hyperlink"/>
            <w:rFonts w:ascii="Calibri" w:eastAsia="Times New Roman" w:hAnsi="Calibri" w:cs="Times New Roman"/>
            <w:lang w:eastAsia="en-AU"/>
          </w:rPr>
          <w:t>2.1</w:t>
        </w:r>
        <w:r w:rsidR="00DA2404">
          <w:rPr>
            <w:rStyle w:val="Hyperlink"/>
            <w:rFonts w:ascii="Calibri" w:eastAsia="Times New Roman" w:hAnsi="Calibri" w:cs="Times New Roman"/>
            <w:lang w:eastAsia="en-AU"/>
          </w:rPr>
          <w:t>4</w:t>
        </w:r>
        <w:r w:rsidR="0075310F" w:rsidRPr="00FA2720">
          <w:rPr>
            <w:rStyle w:val="Hyperlink"/>
            <w:rFonts w:ascii="Calibri" w:eastAsia="Times New Roman" w:hAnsi="Calibri" w:cs="Times New Roman"/>
            <w:lang w:eastAsia="en-AU"/>
          </w:rPr>
          <w:t xml:space="preserve">  Chart</w:t>
        </w:r>
        <w:proofErr w:type="gramEnd"/>
        <w:r w:rsidR="0075310F" w:rsidRPr="00FA2720">
          <w:rPr>
            <w:rStyle w:val="Hyperlink"/>
            <w:rFonts w:ascii="Calibri" w:eastAsia="Times New Roman" w:hAnsi="Calibri" w:cs="Times New Roman"/>
            <w:lang w:eastAsia="en-AU"/>
          </w:rPr>
          <w:t xml:space="preserve"> – Number of CfC and CP clients by service type 2011-12</w:t>
        </w:r>
      </w:hyperlink>
    </w:p>
    <w:p w:rsidR="0075310F" w:rsidRDefault="00F67123" w:rsidP="007A4BF7">
      <w:pPr>
        <w:rPr>
          <w:rFonts w:ascii="Calibri" w:eastAsia="Times New Roman" w:hAnsi="Calibri" w:cs="Times New Roman"/>
          <w:color w:val="4F6228"/>
          <w:u w:val="single"/>
          <w:lang w:eastAsia="en-AU"/>
        </w:rPr>
      </w:pPr>
      <w:hyperlink w:anchor="_2.13:__Table" w:history="1">
        <w:r w:rsidR="00A570F5">
          <w:rPr>
            <w:rStyle w:val="Hyperlink"/>
            <w:rFonts w:ascii="Calibri" w:eastAsia="Times New Roman" w:hAnsi="Calibri" w:cs="Times New Roman"/>
            <w:lang w:eastAsia="en-AU"/>
          </w:rPr>
          <w:t>2.1</w:t>
        </w:r>
        <w:r w:rsidR="00DA2404">
          <w:rPr>
            <w:rStyle w:val="Hyperlink"/>
            <w:rFonts w:ascii="Calibri" w:eastAsia="Times New Roman" w:hAnsi="Calibri" w:cs="Times New Roman"/>
            <w:lang w:eastAsia="en-AU"/>
          </w:rPr>
          <w:t>5</w:t>
        </w:r>
        <w:r w:rsidR="0075310F" w:rsidRPr="00FA2720">
          <w:rPr>
            <w:rStyle w:val="Hyperlink"/>
            <w:rFonts w:ascii="Calibri" w:eastAsia="Times New Roman" w:hAnsi="Calibri" w:cs="Times New Roman"/>
            <w:lang w:eastAsia="en-AU"/>
          </w:rPr>
          <w:t xml:space="preserve"> Table – Calls to the Family Relationship Advice Line 2011-12</w:t>
        </w:r>
      </w:hyperlink>
    </w:p>
    <w:p w:rsidR="0075310F" w:rsidRDefault="00F67123" w:rsidP="007A4BF7">
      <w:pPr>
        <w:rPr>
          <w:rFonts w:ascii="Calibri" w:eastAsia="Times New Roman" w:hAnsi="Calibri" w:cs="Times New Roman"/>
          <w:color w:val="4F6228"/>
          <w:u w:val="single"/>
          <w:lang w:eastAsia="en-AU"/>
        </w:rPr>
      </w:pPr>
      <w:hyperlink w:anchor="_2.14:__Table" w:history="1">
        <w:proofErr w:type="gramStart"/>
        <w:r w:rsidR="00A570F5">
          <w:rPr>
            <w:rStyle w:val="Hyperlink"/>
            <w:rFonts w:ascii="Calibri" w:eastAsia="Times New Roman" w:hAnsi="Calibri" w:cs="Times New Roman"/>
            <w:lang w:eastAsia="en-AU"/>
          </w:rPr>
          <w:t>2.1</w:t>
        </w:r>
        <w:r w:rsidR="00DA2404">
          <w:rPr>
            <w:rStyle w:val="Hyperlink"/>
            <w:rFonts w:ascii="Calibri" w:eastAsia="Times New Roman" w:hAnsi="Calibri" w:cs="Times New Roman"/>
            <w:lang w:eastAsia="en-AU"/>
          </w:rPr>
          <w:t>6</w:t>
        </w:r>
        <w:r w:rsidR="0075310F" w:rsidRPr="00FA2720">
          <w:rPr>
            <w:rStyle w:val="Hyperlink"/>
            <w:rFonts w:ascii="Calibri" w:eastAsia="Times New Roman" w:hAnsi="Calibri" w:cs="Times New Roman"/>
            <w:lang w:eastAsia="en-AU"/>
          </w:rPr>
          <w:t xml:space="preserve">  Table</w:t>
        </w:r>
        <w:proofErr w:type="gramEnd"/>
        <w:r w:rsidR="0075310F" w:rsidRPr="00FA2720">
          <w:rPr>
            <w:rStyle w:val="Hyperlink"/>
            <w:rFonts w:ascii="Calibri" w:eastAsia="Times New Roman" w:hAnsi="Calibri" w:cs="Times New Roman"/>
            <w:lang w:eastAsia="en-AU"/>
          </w:rPr>
          <w:t xml:space="preserve"> – FRAL type of assistance provided 2011-12</w:t>
        </w:r>
      </w:hyperlink>
    </w:p>
    <w:p w:rsidR="0075310F" w:rsidRDefault="00F67123" w:rsidP="007A4BF7">
      <w:pPr>
        <w:rPr>
          <w:rFonts w:ascii="Calibri" w:eastAsia="Times New Roman" w:hAnsi="Calibri" w:cs="Times New Roman"/>
          <w:color w:val="4F6228"/>
          <w:u w:val="single"/>
          <w:lang w:eastAsia="en-AU"/>
        </w:rPr>
      </w:pPr>
      <w:hyperlink w:anchor="_2.15:__Table" w:history="1">
        <w:proofErr w:type="gramStart"/>
        <w:r w:rsidR="0075310F" w:rsidRPr="00FA2720">
          <w:rPr>
            <w:rStyle w:val="Hyperlink"/>
            <w:rFonts w:ascii="Calibri" w:eastAsia="Times New Roman" w:hAnsi="Calibri" w:cs="Times New Roman"/>
            <w:lang w:eastAsia="en-AU"/>
          </w:rPr>
          <w:t>2.1</w:t>
        </w:r>
        <w:r w:rsidR="00DA2404">
          <w:rPr>
            <w:rStyle w:val="Hyperlink"/>
            <w:rFonts w:ascii="Calibri" w:eastAsia="Times New Roman" w:hAnsi="Calibri" w:cs="Times New Roman"/>
            <w:lang w:eastAsia="en-AU"/>
          </w:rPr>
          <w:t>7</w:t>
        </w:r>
        <w:r w:rsidR="0075310F" w:rsidRPr="00FA2720">
          <w:rPr>
            <w:rStyle w:val="Hyperlink"/>
            <w:rFonts w:ascii="Calibri" w:eastAsia="Times New Roman" w:hAnsi="Calibri" w:cs="Times New Roman"/>
            <w:lang w:eastAsia="en-AU"/>
          </w:rPr>
          <w:t xml:space="preserve">  Table</w:t>
        </w:r>
        <w:proofErr w:type="gramEnd"/>
        <w:r w:rsidR="0075310F" w:rsidRPr="00FA2720">
          <w:rPr>
            <w:rStyle w:val="Hyperlink"/>
            <w:rFonts w:ascii="Calibri" w:eastAsia="Times New Roman" w:hAnsi="Calibri" w:cs="Times New Roman"/>
            <w:lang w:eastAsia="en-AU"/>
          </w:rPr>
          <w:t xml:space="preserve"> – Mensline service statistics in 2011-12</w:t>
        </w:r>
      </w:hyperlink>
    </w:p>
    <w:p w:rsidR="0075310F" w:rsidRDefault="00F67123" w:rsidP="007A4BF7">
      <w:pPr>
        <w:rPr>
          <w:rFonts w:ascii="Calibri" w:eastAsia="Times New Roman" w:hAnsi="Calibri" w:cs="Times New Roman"/>
          <w:color w:val="4F6228"/>
          <w:u w:val="single"/>
          <w:lang w:eastAsia="en-AU"/>
        </w:rPr>
      </w:pPr>
      <w:hyperlink w:anchor="_2.16:__Table" w:history="1">
        <w:proofErr w:type="gramStart"/>
        <w:r w:rsidR="0075310F" w:rsidRPr="00FA2720">
          <w:rPr>
            <w:rStyle w:val="Hyperlink"/>
            <w:rFonts w:ascii="Calibri" w:eastAsia="Times New Roman" w:hAnsi="Calibri" w:cs="Times New Roman"/>
            <w:lang w:eastAsia="en-AU"/>
          </w:rPr>
          <w:t>2.1</w:t>
        </w:r>
        <w:r w:rsidR="00DA2404">
          <w:rPr>
            <w:rStyle w:val="Hyperlink"/>
            <w:rFonts w:ascii="Calibri" w:eastAsia="Times New Roman" w:hAnsi="Calibri" w:cs="Times New Roman"/>
            <w:lang w:eastAsia="en-AU"/>
          </w:rPr>
          <w:t>8</w:t>
        </w:r>
        <w:r w:rsidR="0075310F" w:rsidRPr="00FA2720">
          <w:rPr>
            <w:rStyle w:val="Hyperlink"/>
            <w:rFonts w:ascii="Calibri" w:eastAsia="Times New Roman" w:hAnsi="Calibri" w:cs="Times New Roman"/>
            <w:lang w:eastAsia="en-AU"/>
          </w:rPr>
          <w:t xml:space="preserve">  Table</w:t>
        </w:r>
        <w:proofErr w:type="gramEnd"/>
        <w:r w:rsidR="0075310F" w:rsidRPr="00FA2720">
          <w:rPr>
            <w:rStyle w:val="Hyperlink"/>
            <w:rFonts w:ascii="Calibri" w:eastAsia="Times New Roman" w:hAnsi="Calibri" w:cs="Times New Roman"/>
            <w:lang w:eastAsia="en-AU"/>
          </w:rPr>
          <w:t xml:space="preserve"> – Types of assistance provided for Mensline telephone service in 2011-12</w:t>
        </w:r>
      </w:hyperlink>
    </w:p>
    <w:p w:rsidR="0075310F" w:rsidRDefault="00F67123" w:rsidP="007A4BF7">
      <w:pPr>
        <w:rPr>
          <w:rFonts w:ascii="Calibri" w:eastAsia="Times New Roman" w:hAnsi="Calibri" w:cs="Times New Roman"/>
          <w:color w:val="4F6228"/>
          <w:u w:val="single"/>
          <w:lang w:eastAsia="en-AU"/>
        </w:rPr>
      </w:pPr>
      <w:hyperlink w:anchor="_2.17:__Table" w:history="1">
        <w:proofErr w:type="gramStart"/>
        <w:r w:rsidR="0075310F" w:rsidRPr="00FA2720">
          <w:rPr>
            <w:rStyle w:val="Hyperlink"/>
            <w:rFonts w:ascii="Calibri" w:eastAsia="Times New Roman" w:hAnsi="Calibri" w:cs="Times New Roman"/>
            <w:lang w:eastAsia="en-AU"/>
          </w:rPr>
          <w:t>2.1</w:t>
        </w:r>
        <w:r w:rsidR="00DA2404">
          <w:rPr>
            <w:rStyle w:val="Hyperlink"/>
            <w:rFonts w:ascii="Calibri" w:eastAsia="Times New Roman" w:hAnsi="Calibri" w:cs="Times New Roman"/>
            <w:lang w:eastAsia="en-AU"/>
          </w:rPr>
          <w:t>9</w:t>
        </w:r>
        <w:r w:rsidR="0075310F" w:rsidRPr="00FA2720">
          <w:rPr>
            <w:rStyle w:val="Hyperlink"/>
            <w:rFonts w:ascii="Calibri" w:eastAsia="Times New Roman" w:hAnsi="Calibri" w:cs="Times New Roman"/>
            <w:lang w:eastAsia="en-AU"/>
          </w:rPr>
          <w:t xml:space="preserve">  Table</w:t>
        </w:r>
        <w:proofErr w:type="gramEnd"/>
        <w:r w:rsidR="0075310F" w:rsidRPr="00FA2720">
          <w:rPr>
            <w:rStyle w:val="Hyperlink"/>
            <w:rFonts w:ascii="Calibri" w:eastAsia="Times New Roman" w:hAnsi="Calibri" w:cs="Times New Roman"/>
            <w:lang w:eastAsia="en-AU"/>
          </w:rPr>
          <w:t xml:space="preserve"> – Raising Children Network statistics in 2011-12</w:t>
        </w:r>
      </w:hyperlink>
    </w:p>
    <w:p w:rsidR="0075310F" w:rsidRDefault="00F67123" w:rsidP="007A4BF7">
      <w:pPr>
        <w:rPr>
          <w:rFonts w:ascii="Calibri" w:eastAsia="Times New Roman" w:hAnsi="Calibri" w:cs="Times New Roman"/>
          <w:color w:val="4F6228"/>
          <w:u w:val="single"/>
          <w:lang w:eastAsia="en-AU"/>
        </w:rPr>
      </w:pPr>
      <w:hyperlink w:anchor="_2.18:__Table" w:history="1">
        <w:proofErr w:type="gramStart"/>
        <w:r w:rsidR="0075310F" w:rsidRPr="00FA2720">
          <w:rPr>
            <w:rStyle w:val="Hyperlink"/>
            <w:rFonts w:ascii="Calibri" w:eastAsia="Times New Roman" w:hAnsi="Calibri" w:cs="Times New Roman"/>
            <w:lang w:eastAsia="en-AU"/>
          </w:rPr>
          <w:t>2.</w:t>
        </w:r>
        <w:r w:rsidR="00DA2404">
          <w:rPr>
            <w:rStyle w:val="Hyperlink"/>
            <w:rFonts w:ascii="Calibri" w:eastAsia="Times New Roman" w:hAnsi="Calibri" w:cs="Times New Roman"/>
            <w:lang w:eastAsia="en-AU"/>
          </w:rPr>
          <w:t>20</w:t>
        </w:r>
        <w:r w:rsidR="0075310F" w:rsidRPr="00FA2720">
          <w:rPr>
            <w:rStyle w:val="Hyperlink"/>
            <w:rFonts w:ascii="Calibri" w:eastAsia="Times New Roman" w:hAnsi="Calibri" w:cs="Times New Roman"/>
            <w:lang w:eastAsia="en-AU"/>
          </w:rPr>
          <w:t xml:space="preserve">  Table</w:t>
        </w:r>
        <w:proofErr w:type="gramEnd"/>
        <w:r w:rsidR="0075310F" w:rsidRPr="00FA2720">
          <w:rPr>
            <w:rStyle w:val="Hyperlink"/>
            <w:rFonts w:ascii="Calibri" w:eastAsia="Times New Roman" w:hAnsi="Calibri" w:cs="Times New Roman"/>
            <w:lang w:eastAsia="en-AU"/>
          </w:rPr>
          <w:t xml:space="preserve"> – Family Relationships Online statistics for 2011-12</w:t>
        </w:r>
      </w:hyperlink>
    </w:p>
    <w:p w:rsidR="0075310F" w:rsidRDefault="00F67123" w:rsidP="007A4BF7">
      <w:pPr>
        <w:rPr>
          <w:rFonts w:ascii="Calibri" w:eastAsia="Times New Roman" w:hAnsi="Calibri" w:cs="Times New Roman"/>
          <w:color w:val="4F6228"/>
          <w:u w:val="single"/>
          <w:lang w:eastAsia="en-AU"/>
        </w:rPr>
      </w:pPr>
      <w:hyperlink w:anchor="_2.19:__Table" w:history="1">
        <w:proofErr w:type="gramStart"/>
        <w:r w:rsidR="00A570F5">
          <w:rPr>
            <w:rStyle w:val="Hyperlink"/>
            <w:rFonts w:ascii="Calibri" w:eastAsia="Times New Roman" w:hAnsi="Calibri" w:cs="Times New Roman"/>
            <w:lang w:eastAsia="en-AU"/>
          </w:rPr>
          <w:t>2.2</w:t>
        </w:r>
        <w:r w:rsidR="00DA2404">
          <w:rPr>
            <w:rStyle w:val="Hyperlink"/>
            <w:rFonts w:ascii="Calibri" w:eastAsia="Times New Roman" w:hAnsi="Calibri" w:cs="Times New Roman"/>
            <w:lang w:eastAsia="en-AU"/>
          </w:rPr>
          <w:t>1</w:t>
        </w:r>
        <w:r w:rsidR="0075310F" w:rsidRPr="00FA2720">
          <w:rPr>
            <w:rStyle w:val="Hyperlink"/>
            <w:rFonts w:ascii="Calibri" w:eastAsia="Times New Roman" w:hAnsi="Calibri" w:cs="Times New Roman"/>
            <w:lang w:eastAsia="en-AU"/>
          </w:rPr>
          <w:t xml:space="preserve">  Table</w:t>
        </w:r>
        <w:proofErr w:type="gramEnd"/>
        <w:r w:rsidR="0075310F" w:rsidRPr="00FA2720">
          <w:rPr>
            <w:rStyle w:val="Hyperlink"/>
            <w:rFonts w:ascii="Calibri" w:eastAsia="Times New Roman" w:hAnsi="Calibri" w:cs="Times New Roman"/>
            <w:lang w:eastAsia="en-AU"/>
          </w:rPr>
          <w:t xml:space="preserve"> – Services which collect information against each performance indicator</w:t>
        </w:r>
      </w:hyperlink>
    </w:p>
    <w:p w:rsidR="0075310F" w:rsidRPr="007A4BF7" w:rsidRDefault="0075310F" w:rsidP="007A4BF7">
      <w:pPr>
        <w:rPr>
          <w:rFonts w:ascii="Calibri" w:eastAsia="Times New Roman" w:hAnsi="Calibri" w:cs="Times New Roman"/>
          <w:color w:val="4F6228"/>
          <w:lang w:eastAsia="en-AU"/>
        </w:rPr>
      </w:pPr>
    </w:p>
    <w:p w:rsidR="007A4BF7" w:rsidRDefault="007A4BF7" w:rsidP="004B54CA">
      <w:pPr>
        <w:rPr>
          <w:rStyle w:val="BookTitle"/>
          <w:i w:val="0"/>
          <w:iCs w:val="0"/>
          <w:smallCaps/>
          <w:spacing w:val="0"/>
        </w:rPr>
        <w:sectPr w:rsidR="007A4BF7" w:rsidSect="007A4BF7">
          <w:pgSz w:w="11906" w:h="16838"/>
          <w:pgMar w:top="720" w:right="720" w:bottom="720" w:left="720" w:header="708" w:footer="708" w:gutter="0"/>
          <w:cols w:space="708"/>
          <w:docGrid w:linePitch="360"/>
        </w:sectPr>
      </w:pPr>
    </w:p>
    <w:p w:rsidR="00D96A19" w:rsidRPr="00D96A19" w:rsidRDefault="00D96A19" w:rsidP="00FC446C">
      <w:pPr>
        <w:pStyle w:val="Heading1"/>
        <w:rPr>
          <w:rFonts w:eastAsia="Times New Roman"/>
          <w:lang w:eastAsia="en-AU"/>
        </w:rPr>
      </w:pPr>
      <w:bookmarkStart w:id="11" w:name="_Toc338944746"/>
      <w:bookmarkStart w:id="12" w:name="_Toc338945037"/>
      <w:bookmarkStart w:id="13" w:name="_Toc338945364"/>
      <w:bookmarkStart w:id="14" w:name="_Toc338945617"/>
      <w:bookmarkStart w:id="15" w:name="_Toc341705885"/>
      <w:r w:rsidRPr="00D96A19">
        <w:rPr>
          <w:rFonts w:eastAsia="Times New Roman"/>
          <w:lang w:eastAsia="en-AU"/>
        </w:rPr>
        <w:lastRenderedPageBreak/>
        <w:t>Section one:   Introduction</w:t>
      </w:r>
      <w:bookmarkEnd w:id="11"/>
      <w:bookmarkEnd w:id="12"/>
      <w:bookmarkEnd w:id="13"/>
      <w:bookmarkEnd w:id="14"/>
      <w:bookmarkEnd w:id="15"/>
    </w:p>
    <w:p w:rsidR="00D96A19" w:rsidRPr="004A0BCB" w:rsidRDefault="00D96A19" w:rsidP="00FC446C">
      <w:pPr>
        <w:rPr>
          <w:rFonts w:eastAsia="Times New Roman"/>
          <w:sz w:val="24"/>
          <w:szCs w:val="24"/>
          <w:lang w:val="en"/>
        </w:rPr>
      </w:pPr>
      <w:r w:rsidRPr="004A0BCB">
        <w:rPr>
          <w:rFonts w:eastAsia="Times New Roman"/>
          <w:sz w:val="24"/>
          <w:szCs w:val="24"/>
          <w:lang w:val="en"/>
        </w:rPr>
        <w:t>The Family Support Program (FSP) funds non-government organisations to deliver services that strengthen family well-being and community cohesion, protect the best interests of children, close the gap in Indigenous disadvantage, and build parents</w:t>
      </w:r>
      <w:r w:rsidR="000F4F3B">
        <w:rPr>
          <w:rFonts w:eastAsia="Times New Roman"/>
          <w:sz w:val="24"/>
          <w:szCs w:val="24"/>
          <w:lang w:val="en"/>
        </w:rPr>
        <w:t>’</w:t>
      </w:r>
      <w:r w:rsidRPr="004A0BCB">
        <w:rPr>
          <w:rFonts w:eastAsia="Times New Roman"/>
          <w:sz w:val="24"/>
          <w:szCs w:val="24"/>
          <w:lang w:val="en"/>
        </w:rPr>
        <w:t xml:space="preserve"> capacity to participate in work.  More than $1 billion (2011</w:t>
      </w:r>
      <w:r w:rsidR="00417F06">
        <w:rPr>
          <w:rFonts w:eastAsia="Times New Roman"/>
          <w:sz w:val="24"/>
          <w:szCs w:val="24"/>
          <w:lang w:val="en"/>
        </w:rPr>
        <w:noBreakHyphen/>
        <w:t>14)</w:t>
      </w:r>
      <w:r w:rsidRPr="004A0BCB">
        <w:rPr>
          <w:rFonts w:eastAsia="Times New Roman"/>
          <w:sz w:val="24"/>
          <w:szCs w:val="24"/>
          <w:lang w:val="en"/>
        </w:rPr>
        <w:t xml:space="preserve"> is invested in over 350 organisations to deliver FSP across Australia.</w:t>
      </w:r>
    </w:p>
    <w:p w:rsidR="00D96A19" w:rsidRPr="004A0BCB" w:rsidRDefault="00D96A19" w:rsidP="00442A2E">
      <w:pPr>
        <w:spacing w:line="240" w:lineRule="auto"/>
        <w:rPr>
          <w:rFonts w:eastAsia="Times New Roman" w:cs="Arial"/>
          <w:sz w:val="24"/>
          <w:szCs w:val="24"/>
          <w:lang w:val="en"/>
        </w:rPr>
      </w:pPr>
      <w:r w:rsidRPr="004A0BCB">
        <w:rPr>
          <w:rFonts w:eastAsia="Times New Roman" w:cs="Arial"/>
          <w:sz w:val="24"/>
          <w:szCs w:val="24"/>
          <w:lang w:val="en"/>
        </w:rPr>
        <w:t>This document is a summary of Program activity and performance over the period 1 July 2011 to 30 June 2012.  It has been compiled to provide a national shapshot of data for service providers</w:t>
      </w:r>
      <w:r w:rsidR="00013805" w:rsidRPr="004A0BCB">
        <w:rPr>
          <w:rFonts w:eastAsia="Times New Roman" w:cs="Arial"/>
          <w:sz w:val="24"/>
          <w:szCs w:val="24"/>
          <w:lang w:val="en"/>
        </w:rPr>
        <w:t xml:space="preserve">, </w:t>
      </w:r>
      <w:r w:rsidRPr="004A0BCB">
        <w:rPr>
          <w:rFonts w:eastAsia="Times New Roman" w:cs="Arial"/>
          <w:sz w:val="24"/>
          <w:szCs w:val="24"/>
          <w:lang w:val="en"/>
        </w:rPr>
        <w:t xml:space="preserve">give the </w:t>
      </w:r>
      <w:r w:rsidR="00CB6F90" w:rsidRPr="004A0BCB">
        <w:rPr>
          <w:rFonts w:eastAsia="Times New Roman" w:cs="Arial"/>
          <w:sz w:val="24"/>
          <w:szCs w:val="24"/>
          <w:lang w:val="en"/>
        </w:rPr>
        <w:t>Department</w:t>
      </w:r>
      <w:r w:rsidRPr="004A0BCB">
        <w:rPr>
          <w:rFonts w:eastAsia="Times New Roman" w:cs="Arial"/>
          <w:sz w:val="24"/>
          <w:szCs w:val="24"/>
          <w:lang w:val="en"/>
        </w:rPr>
        <w:t xml:space="preserve"> visibility of the performance of the services it funds, and to help inform future policy and program design decisions.  The Report is based on information drawn from data </w:t>
      </w:r>
      <w:r w:rsidR="00C47E81">
        <w:rPr>
          <w:rFonts w:eastAsia="Times New Roman" w:cs="Arial"/>
          <w:sz w:val="24"/>
          <w:szCs w:val="24"/>
          <w:lang w:val="en"/>
        </w:rPr>
        <w:t xml:space="preserve">and performance information </w:t>
      </w:r>
      <w:r w:rsidRPr="004A0BCB">
        <w:rPr>
          <w:rFonts w:eastAsia="Times New Roman" w:cs="Arial"/>
          <w:sz w:val="24"/>
          <w:szCs w:val="24"/>
          <w:lang w:val="en"/>
        </w:rPr>
        <w:t xml:space="preserve">submitted to the </w:t>
      </w:r>
      <w:r w:rsidR="00CB6F90" w:rsidRPr="004A0BCB">
        <w:rPr>
          <w:rFonts w:eastAsia="Times New Roman" w:cs="Arial"/>
          <w:sz w:val="24"/>
          <w:szCs w:val="24"/>
          <w:lang w:val="en"/>
        </w:rPr>
        <w:t>Department</w:t>
      </w:r>
      <w:r w:rsidRPr="004A0BCB">
        <w:rPr>
          <w:rFonts w:eastAsia="Times New Roman" w:cs="Arial"/>
          <w:sz w:val="24"/>
          <w:szCs w:val="24"/>
          <w:lang w:val="en"/>
        </w:rPr>
        <w:t xml:space="preserve"> by service providers</w:t>
      </w:r>
      <w:r w:rsidR="000D00AD" w:rsidRPr="004A0BCB">
        <w:rPr>
          <w:rFonts w:eastAsia="Times New Roman" w:cs="Arial"/>
          <w:sz w:val="24"/>
          <w:szCs w:val="24"/>
          <w:lang w:val="en"/>
        </w:rPr>
        <w:t>.</w:t>
      </w:r>
    </w:p>
    <w:p w:rsidR="00D96A19" w:rsidRPr="004A0BCB" w:rsidRDefault="00D96A19" w:rsidP="00D96A19">
      <w:pPr>
        <w:spacing w:after="120" w:line="240" w:lineRule="auto"/>
        <w:rPr>
          <w:rFonts w:eastAsia="Times New Roman" w:cs="Arial"/>
          <w:sz w:val="24"/>
          <w:szCs w:val="24"/>
          <w:lang w:val="en"/>
        </w:rPr>
      </w:pPr>
      <w:r w:rsidRPr="004A0BCB">
        <w:rPr>
          <w:rFonts w:eastAsia="Times New Roman" w:cs="Arial"/>
          <w:sz w:val="24"/>
          <w:szCs w:val="24"/>
          <w:lang w:val="en"/>
        </w:rPr>
        <w:t xml:space="preserve">It should be noted that the FSP client data and performance information for 2011-2012 reflects the new Program structure from 1 July 2011 and </w:t>
      </w:r>
      <w:r w:rsidR="00CB6F90" w:rsidRPr="004A0BCB">
        <w:rPr>
          <w:rFonts w:eastAsia="Times New Roman" w:cs="Arial"/>
          <w:sz w:val="24"/>
          <w:szCs w:val="24"/>
          <w:lang w:val="en"/>
        </w:rPr>
        <w:t xml:space="preserve">in most cases </w:t>
      </w:r>
      <w:r w:rsidRPr="004A0BCB">
        <w:rPr>
          <w:rFonts w:eastAsia="Times New Roman" w:cs="Arial"/>
          <w:sz w:val="24"/>
          <w:szCs w:val="24"/>
          <w:lang w:val="en"/>
        </w:rPr>
        <w:t>is not easily comparable to p</w:t>
      </w:r>
      <w:r w:rsidR="00CB6F90" w:rsidRPr="004A0BCB">
        <w:rPr>
          <w:rFonts w:eastAsia="Times New Roman" w:cs="Arial"/>
          <w:sz w:val="24"/>
          <w:szCs w:val="24"/>
          <w:lang w:val="en"/>
        </w:rPr>
        <w:t>revious years’ data</w:t>
      </w:r>
      <w:r w:rsidRPr="004A0BCB">
        <w:rPr>
          <w:rFonts w:eastAsia="Times New Roman" w:cs="Arial"/>
          <w:sz w:val="24"/>
          <w:szCs w:val="24"/>
          <w:lang w:val="en"/>
        </w:rPr>
        <w:t>.  This report contains caveats and notes against data items with comparative limitations.</w:t>
      </w:r>
    </w:p>
    <w:p w:rsidR="00D96A19" w:rsidRPr="00D96A19" w:rsidRDefault="00D96A19" w:rsidP="00FC446C">
      <w:pPr>
        <w:pStyle w:val="Heading2"/>
        <w:rPr>
          <w:rFonts w:eastAsia="Times New Roman"/>
          <w:lang w:eastAsia="en-AU"/>
        </w:rPr>
      </w:pPr>
      <w:bookmarkStart w:id="16" w:name="_Toc338944747"/>
      <w:bookmarkStart w:id="17" w:name="_Toc338945038"/>
      <w:bookmarkStart w:id="18" w:name="_Toc338945365"/>
      <w:bookmarkStart w:id="19" w:name="_Toc338945618"/>
      <w:bookmarkStart w:id="20" w:name="_Toc341705886"/>
      <w:r w:rsidRPr="00D96A19">
        <w:rPr>
          <w:rFonts w:eastAsia="Times New Roman"/>
          <w:lang w:eastAsia="en-AU"/>
        </w:rPr>
        <w:t>Background</w:t>
      </w:r>
      <w:bookmarkEnd w:id="16"/>
      <w:bookmarkEnd w:id="17"/>
      <w:bookmarkEnd w:id="18"/>
      <w:bookmarkEnd w:id="19"/>
      <w:bookmarkEnd w:id="20"/>
    </w:p>
    <w:p w:rsidR="00D96A19" w:rsidRPr="004A0BCB" w:rsidRDefault="00D96A19" w:rsidP="00D96A19">
      <w:pPr>
        <w:spacing w:before="120" w:after="120" w:line="240" w:lineRule="auto"/>
        <w:rPr>
          <w:rFonts w:eastAsia="Times New Roman" w:cs="Arial"/>
          <w:color w:val="000000"/>
          <w:sz w:val="24"/>
          <w:szCs w:val="24"/>
          <w:lang w:eastAsia="en-AU"/>
        </w:rPr>
      </w:pPr>
      <w:r w:rsidRPr="004A0BCB">
        <w:rPr>
          <w:rFonts w:eastAsia="Times New Roman" w:cs="Arial"/>
          <w:color w:val="000000"/>
          <w:sz w:val="24"/>
          <w:szCs w:val="24"/>
          <w:lang w:eastAsia="en-AU"/>
        </w:rPr>
        <w:t>FSP represents a significant investment by the Australian Government in improving the safety and well</w:t>
      </w:r>
      <w:r w:rsidR="00C47E81">
        <w:rPr>
          <w:rFonts w:eastAsia="Times New Roman" w:cs="Arial"/>
          <w:color w:val="000000"/>
          <w:sz w:val="24"/>
          <w:szCs w:val="24"/>
          <w:lang w:eastAsia="en-AU"/>
        </w:rPr>
        <w:noBreakHyphen/>
      </w:r>
      <w:r w:rsidRPr="004A0BCB">
        <w:rPr>
          <w:rFonts w:eastAsia="Times New Roman" w:cs="Arial"/>
          <w:color w:val="000000"/>
          <w:sz w:val="24"/>
          <w:szCs w:val="24"/>
          <w:lang w:eastAsia="en-AU"/>
        </w:rPr>
        <w:t xml:space="preserve">being of children and families, including </w:t>
      </w:r>
      <w:r w:rsidR="00C47E81">
        <w:rPr>
          <w:rFonts w:eastAsia="Times New Roman" w:cs="Arial"/>
          <w:color w:val="000000"/>
          <w:sz w:val="24"/>
          <w:szCs w:val="24"/>
          <w:lang w:eastAsia="en-AU"/>
        </w:rPr>
        <w:t xml:space="preserve">during </w:t>
      </w:r>
      <w:r w:rsidRPr="004A0BCB">
        <w:rPr>
          <w:rFonts w:eastAsia="Times New Roman" w:cs="Arial"/>
          <w:color w:val="000000"/>
          <w:sz w:val="24"/>
          <w:szCs w:val="24"/>
          <w:lang w:eastAsia="en-AU"/>
        </w:rPr>
        <w:t>difficult periods in the</w:t>
      </w:r>
      <w:r w:rsidR="00EF2BB5" w:rsidRPr="004A0BCB">
        <w:rPr>
          <w:rFonts w:eastAsia="Times New Roman" w:cs="Arial"/>
          <w:color w:val="000000"/>
          <w:sz w:val="24"/>
          <w:szCs w:val="24"/>
          <w:lang w:eastAsia="en-AU"/>
        </w:rPr>
        <w:t xml:space="preserve">ir lives such as separation.  </w:t>
      </w:r>
      <w:r w:rsidRPr="004A0BCB">
        <w:rPr>
          <w:rFonts w:eastAsia="Times New Roman" w:cs="Arial"/>
          <w:color w:val="000000"/>
          <w:sz w:val="24"/>
          <w:szCs w:val="24"/>
          <w:lang w:eastAsia="en-AU"/>
        </w:rPr>
        <w:t>The ‘best interests of children’ is the fundamental principle that underpins all FSP services and reflects the Government’s commitment and responsibilities as a signatory to the United Nations Convention on the Rights of the Child.  FSP services:</w:t>
      </w:r>
    </w:p>
    <w:p w:rsidR="00D96A19" w:rsidRPr="004A0BCB" w:rsidRDefault="00C47E81" w:rsidP="00417F06">
      <w:pPr>
        <w:pStyle w:val="ListParagraph"/>
        <w:numPr>
          <w:ilvl w:val="0"/>
          <w:numId w:val="4"/>
        </w:numPr>
        <w:spacing w:before="120" w:after="120" w:line="240" w:lineRule="auto"/>
        <w:ind w:left="360"/>
        <w:rPr>
          <w:rFonts w:eastAsia="Times New Roman" w:cs="Arial"/>
          <w:color w:val="000000"/>
          <w:sz w:val="24"/>
          <w:szCs w:val="24"/>
          <w:lang w:eastAsia="en-AU"/>
        </w:rPr>
      </w:pPr>
      <w:r>
        <w:rPr>
          <w:rFonts w:eastAsia="Times New Roman" w:cs="Arial"/>
          <w:color w:val="000000"/>
          <w:sz w:val="24"/>
          <w:szCs w:val="24"/>
          <w:lang w:eastAsia="en-AU"/>
        </w:rPr>
        <w:t>t</w:t>
      </w:r>
      <w:r w:rsidR="00D96A19" w:rsidRPr="004A0BCB">
        <w:rPr>
          <w:rFonts w:eastAsia="Times New Roman" w:cs="Arial"/>
          <w:color w:val="000000"/>
          <w:sz w:val="24"/>
          <w:szCs w:val="24"/>
          <w:lang w:eastAsia="en-AU"/>
        </w:rPr>
        <w:t>arget vulnerable and disadva</w:t>
      </w:r>
      <w:r w:rsidR="00CB6F90" w:rsidRPr="004A0BCB">
        <w:rPr>
          <w:rFonts w:eastAsia="Times New Roman" w:cs="Arial"/>
          <w:color w:val="000000"/>
          <w:sz w:val="24"/>
          <w:szCs w:val="24"/>
          <w:lang w:eastAsia="en-AU"/>
        </w:rPr>
        <w:t xml:space="preserve">ntaged families, through a </w:t>
      </w:r>
      <w:r w:rsidR="00D96A19" w:rsidRPr="004A0BCB">
        <w:rPr>
          <w:rFonts w:eastAsia="Times New Roman" w:cs="Arial"/>
          <w:color w:val="000000"/>
          <w:sz w:val="24"/>
          <w:szCs w:val="24"/>
          <w:lang w:eastAsia="en-AU"/>
        </w:rPr>
        <w:t>holistic understanding of the nature of disadvantage and its impacts</w:t>
      </w:r>
    </w:p>
    <w:p w:rsidR="00D96A19" w:rsidRPr="004A0BCB" w:rsidRDefault="00C47E81" w:rsidP="00417F06">
      <w:pPr>
        <w:numPr>
          <w:ilvl w:val="0"/>
          <w:numId w:val="2"/>
        </w:numPr>
        <w:spacing w:before="120" w:after="120" w:line="240" w:lineRule="auto"/>
        <w:ind w:left="360"/>
        <w:rPr>
          <w:rFonts w:eastAsia="Times New Roman" w:cs="Arial"/>
          <w:color w:val="000000"/>
          <w:sz w:val="24"/>
          <w:szCs w:val="24"/>
          <w:lang w:eastAsia="en-AU"/>
        </w:rPr>
      </w:pPr>
      <w:r>
        <w:rPr>
          <w:rFonts w:eastAsia="Times New Roman" w:cs="Arial"/>
          <w:color w:val="000000"/>
          <w:sz w:val="24"/>
          <w:szCs w:val="24"/>
          <w:lang w:eastAsia="en-AU"/>
        </w:rPr>
        <w:t>s</w:t>
      </w:r>
      <w:r w:rsidR="00D96A19" w:rsidRPr="004A0BCB">
        <w:rPr>
          <w:rFonts w:eastAsia="Times New Roman" w:cs="Arial"/>
          <w:color w:val="000000"/>
          <w:sz w:val="24"/>
          <w:szCs w:val="24"/>
          <w:lang w:eastAsia="en-AU"/>
        </w:rPr>
        <w:t>upport children’s social, emotional and cognitive development, as a pathway to lifelong learning and well-being</w:t>
      </w:r>
    </w:p>
    <w:p w:rsidR="00D96A19" w:rsidRPr="004A0BCB" w:rsidRDefault="00C47E81" w:rsidP="00417F06">
      <w:pPr>
        <w:numPr>
          <w:ilvl w:val="0"/>
          <w:numId w:val="2"/>
        </w:numPr>
        <w:spacing w:before="120" w:after="120" w:line="240" w:lineRule="auto"/>
        <w:ind w:left="360"/>
        <w:rPr>
          <w:rFonts w:eastAsia="Times New Roman" w:cs="Arial"/>
          <w:color w:val="000000"/>
          <w:sz w:val="24"/>
          <w:szCs w:val="24"/>
          <w:lang w:eastAsia="en-AU"/>
        </w:rPr>
      </w:pPr>
      <w:r>
        <w:rPr>
          <w:rFonts w:eastAsia="Times New Roman" w:cs="Arial"/>
          <w:color w:val="000000"/>
          <w:sz w:val="24"/>
          <w:szCs w:val="24"/>
          <w:lang w:eastAsia="en-AU"/>
        </w:rPr>
        <w:t>d</w:t>
      </w:r>
      <w:r w:rsidR="00D96A19" w:rsidRPr="004A0BCB">
        <w:rPr>
          <w:rFonts w:eastAsia="Times New Roman" w:cs="Arial"/>
          <w:color w:val="000000"/>
          <w:sz w:val="24"/>
          <w:szCs w:val="24"/>
          <w:lang w:eastAsia="en-AU"/>
        </w:rPr>
        <w:t>eliver prevention, early intervention and secondary services, to support the safety and well-being of children</w:t>
      </w:r>
    </w:p>
    <w:p w:rsidR="00D96A19" w:rsidRPr="004A0BCB" w:rsidRDefault="00C47E81" w:rsidP="00417F06">
      <w:pPr>
        <w:numPr>
          <w:ilvl w:val="0"/>
          <w:numId w:val="2"/>
        </w:numPr>
        <w:spacing w:before="120" w:after="120" w:line="240" w:lineRule="auto"/>
        <w:ind w:left="360"/>
        <w:rPr>
          <w:rFonts w:eastAsia="Times New Roman" w:cs="Arial"/>
          <w:color w:val="000000"/>
          <w:sz w:val="24"/>
          <w:szCs w:val="24"/>
          <w:lang w:eastAsia="en-AU"/>
        </w:rPr>
      </w:pPr>
      <w:r>
        <w:rPr>
          <w:rFonts w:eastAsia="Times New Roman" w:cs="Arial"/>
          <w:color w:val="000000"/>
          <w:sz w:val="24"/>
          <w:szCs w:val="24"/>
          <w:lang w:eastAsia="en-AU"/>
        </w:rPr>
        <w:t>p</w:t>
      </w:r>
      <w:r w:rsidR="00D96A19" w:rsidRPr="004A0BCB">
        <w:rPr>
          <w:rFonts w:eastAsia="Times New Roman" w:cs="Arial"/>
          <w:color w:val="000000"/>
          <w:sz w:val="24"/>
          <w:szCs w:val="24"/>
          <w:lang w:eastAsia="en-AU"/>
        </w:rPr>
        <w:t>rovide support to parents, through counselling and parenting skills training</w:t>
      </w:r>
    </w:p>
    <w:p w:rsidR="00D96A19" w:rsidRPr="004A0BCB" w:rsidRDefault="00C47E81" w:rsidP="00417F06">
      <w:pPr>
        <w:numPr>
          <w:ilvl w:val="0"/>
          <w:numId w:val="2"/>
        </w:numPr>
        <w:spacing w:before="120" w:after="120" w:line="240" w:lineRule="auto"/>
        <w:ind w:left="360"/>
        <w:rPr>
          <w:rFonts w:eastAsia="Times New Roman" w:cs="Arial"/>
          <w:color w:val="000000"/>
          <w:sz w:val="24"/>
          <w:szCs w:val="24"/>
          <w:lang w:eastAsia="en-AU"/>
        </w:rPr>
      </w:pPr>
      <w:r>
        <w:rPr>
          <w:rFonts w:eastAsia="Times New Roman" w:cs="Arial"/>
          <w:color w:val="000000"/>
          <w:sz w:val="24"/>
          <w:szCs w:val="24"/>
          <w:lang w:eastAsia="en-AU"/>
        </w:rPr>
        <w:t>p</w:t>
      </w:r>
      <w:r w:rsidR="00D96A19" w:rsidRPr="004A0BCB">
        <w:rPr>
          <w:rFonts w:eastAsia="Times New Roman" w:cs="Arial"/>
          <w:color w:val="000000"/>
          <w:sz w:val="24"/>
          <w:szCs w:val="24"/>
          <w:lang w:eastAsia="en-AU"/>
        </w:rPr>
        <w:t>romote the job readiness of families, stabilising the home environment and improving their engagement with school, training and work</w:t>
      </w:r>
    </w:p>
    <w:p w:rsidR="00D96A19" w:rsidRDefault="00C47E81" w:rsidP="00417F06">
      <w:pPr>
        <w:numPr>
          <w:ilvl w:val="0"/>
          <w:numId w:val="2"/>
        </w:numPr>
        <w:spacing w:before="120" w:after="120" w:line="240" w:lineRule="auto"/>
        <w:ind w:left="360"/>
        <w:rPr>
          <w:rFonts w:eastAsia="Times New Roman" w:cs="Arial"/>
          <w:color w:val="000000"/>
          <w:sz w:val="24"/>
          <w:szCs w:val="24"/>
          <w:lang w:eastAsia="en-AU"/>
        </w:rPr>
      </w:pPr>
      <w:r>
        <w:rPr>
          <w:rFonts w:eastAsia="Times New Roman" w:cs="Arial"/>
          <w:color w:val="000000"/>
          <w:sz w:val="24"/>
          <w:szCs w:val="24"/>
          <w:lang w:eastAsia="en-AU"/>
        </w:rPr>
        <w:t>d</w:t>
      </w:r>
      <w:r w:rsidR="00D96A19" w:rsidRPr="004A0BCB">
        <w:rPr>
          <w:rFonts w:eastAsia="Times New Roman" w:cs="Arial"/>
          <w:color w:val="000000"/>
          <w:sz w:val="24"/>
          <w:szCs w:val="24"/>
          <w:lang w:eastAsia="en-AU"/>
        </w:rPr>
        <w:t>eliver family dispute resolution and other specialist services for separated families and/or families experiencing high conflict, to achieve the co-operative care of children</w:t>
      </w:r>
    </w:p>
    <w:p w:rsidR="00C47E81" w:rsidRPr="004A0BCB" w:rsidRDefault="00C47E81" w:rsidP="00C47E81">
      <w:pPr>
        <w:spacing w:before="120" w:after="120" w:line="240" w:lineRule="auto"/>
        <w:jc w:val="both"/>
        <w:rPr>
          <w:rFonts w:eastAsia="Times New Roman" w:cs="Arial"/>
          <w:sz w:val="24"/>
          <w:szCs w:val="24"/>
          <w:lang w:eastAsia="en-AU"/>
        </w:rPr>
      </w:pPr>
      <w:r w:rsidRPr="004A0BCB">
        <w:rPr>
          <w:rFonts w:eastAsia="Times New Roman" w:cs="Arial"/>
          <w:sz w:val="24"/>
          <w:szCs w:val="24"/>
          <w:lang w:eastAsia="en-AU"/>
        </w:rPr>
        <w:t>A number of additional initiatives were funded as part of the new FSP from 1 July 2011.</w:t>
      </w:r>
      <w:r w:rsidR="005D35F2">
        <w:rPr>
          <w:rFonts w:eastAsia="Times New Roman" w:cs="Arial"/>
          <w:sz w:val="24"/>
          <w:szCs w:val="24"/>
          <w:lang w:eastAsia="en-AU"/>
        </w:rPr>
        <w:t xml:space="preserve">  </w:t>
      </w:r>
      <w:r w:rsidRPr="004A0BCB">
        <w:rPr>
          <w:rFonts w:eastAsia="Times New Roman" w:cs="Arial"/>
          <w:sz w:val="24"/>
          <w:szCs w:val="24"/>
          <w:lang w:eastAsia="en-AU"/>
        </w:rPr>
        <w:t>These initiatives included:</w:t>
      </w:r>
    </w:p>
    <w:p w:rsidR="00C47E81" w:rsidRPr="00442A2E" w:rsidRDefault="006470DE" w:rsidP="00417F06">
      <w:pPr>
        <w:numPr>
          <w:ilvl w:val="0"/>
          <w:numId w:val="2"/>
        </w:numPr>
        <w:spacing w:before="120" w:after="120" w:line="240" w:lineRule="auto"/>
        <w:ind w:left="360"/>
        <w:rPr>
          <w:rFonts w:eastAsia="Times New Roman" w:cs="Arial"/>
          <w:color w:val="000000"/>
          <w:sz w:val="24"/>
          <w:szCs w:val="24"/>
          <w:lang w:eastAsia="en-AU"/>
        </w:rPr>
      </w:pPr>
      <w:r>
        <w:rPr>
          <w:rFonts w:eastAsia="Times New Roman" w:cs="Arial"/>
          <w:color w:val="000000"/>
          <w:sz w:val="24"/>
          <w:szCs w:val="24"/>
          <w:lang w:eastAsia="en-AU"/>
        </w:rPr>
        <w:t>e</w:t>
      </w:r>
      <w:r w:rsidR="00C47E81" w:rsidRPr="00442A2E">
        <w:rPr>
          <w:rFonts w:eastAsia="Times New Roman" w:cs="Arial"/>
          <w:color w:val="000000"/>
          <w:sz w:val="24"/>
          <w:szCs w:val="24"/>
          <w:lang w:eastAsia="en-AU"/>
        </w:rPr>
        <w:t xml:space="preserve">xpanding Communities for Children-Facilitating Partner (CfC FP), CfC-Direct and </w:t>
      </w:r>
      <w:r w:rsidR="00C47E81" w:rsidRPr="00442A2E">
        <w:rPr>
          <w:rFonts w:eastAsia="Times New Roman" w:cs="Arial"/>
          <w:color w:val="000000"/>
          <w:sz w:val="24"/>
          <w:szCs w:val="24"/>
          <w:lang w:eastAsia="en-AU"/>
        </w:rPr>
        <w:br/>
        <w:t>CfC-Indigenous Parenting services</w:t>
      </w:r>
    </w:p>
    <w:p w:rsidR="00C47E81" w:rsidRPr="00442A2E" w:rsidRDefault="006470DE" w:rsidP="00417F06">
      <w:pPr>
        <w:numPr>
          <w:ilvl w:val="0"/>
          <w:numId w:val="2"/>
        </w:numPr>
        <w:spacing w:before="120" w:after="120" w:line="240" w:lineRule="auto"/>
        <w:ind w:left="360"/>
        <w:rPr>
          <w:rFonts w:eastAsia="Times New Roman" w:cs="Arial"/>
          <w:color w:val="000000"/>
          <w:sz w:val="24"/>
          <w:szCs w:val="24"/>
          <w:lang w:eastAsia="en-AU"/>
        </w:rPr>
      </w:pPr>
      <w:r>
        <w:rPr>
          <w:rFonts w:eastAsia="Times New Roman" w:cs="Arial"/>
          <w:color w:val="000000"/>
          <w:sz w:val="24"/>
          <w:szCs w:val="24"/>
          <w:lang w:eastAsia="en-AU"/>
        </w:rPr>
        <w:t>i</w:t>
      </w:r>
      <w:r w:rsidR="00C47E81" w:rsidRPr="00442A2E">
        <w:rPr>
          <w:rFonts w:eastAsia="Times New Roman" w:cs="Arial"/>
          <w:color w:val="000000"/>
          <w:sz w:val="24"/>
          <w:szCs w:val="24"/>
          <w:lang w:eastAsia="en-AU"/>
        </w:rPr>
        <w:t>nvesting in Intensive Family Support Services (IFSS) in the Northern Territory and APY Lands</w:t>
      </w:r>
    </w:p>
    <w:p w:rsidR="00C47E81" w:rsidRPr="00442A2E" w:rsidRDefault="006470DE" w:rsidP="00417F06">
      <w:pPr>
        <w:numPr>
          <w:ilvl w:val="0"/>
          <w:numId w:val="2"/>
        </w:numPr>
        <w:spacing w:before="120" w:after="120" w:line="240" w:lineRule="auto"/>
        <w:ind w:left="360"/>
        <w:rPr>
          <w:rFonts w:eastAsia="Times New Roman" w:cs="Arial"/>
          <w:color w:val="000000"/>
          <w:sz w:val="24"/>
          <w:szCs w:val="24"/>
          <w:lang w:eastAsia="en-AU"/>
        </w:rPr>
      </w:pPr>
      <w:r>
        <w:rPr>
          <w:rFonts w:eastAsia="Times New Roman" w:cs="Arial"/>
          <w:color w:val="000000"/>
          <w:sz w:val="24"/>
          <w:szCs w:val="24"/>
          <w:lang w:eastAsia="en-AU"/>
        </w:rPr>
        <w:t>e</w:t>
      </w:r>
      <w:r w:rsidR="00C47E81" w:rsidRPr="00442A2E">
        <w:rPr>
          <w:rFonts w:eastAsia="Times New Roman" w:cs="Arial"/>
          <w:color w:val="000000"/>
          <w:sz w:val="24"/>
          <w:szCs w:val="24"/>
          <w:lang w:eastAsia="en-AU"/>
        </w:rPr>
        <w:t>stablishing Find and Connect Support Services nationally for Forgotten Australians and Former Child Migrants</w:t>
      </w:r>
    </w:p>
    <w:p w:rsidR="00C47E81" w:rsidRPr="00442A2E" w:rsidRDefault="006470DE" w:rsidP="00417F06">
      <w:pPr>
        <w:numPr>
          <w:ilvl w:val="0"/>
          <w:numId w:val="2"/>
        </w:numPr>
        <w:spacing w:before="120" w:after="120" w:line="240" w:lineRule="auto"/>
        <w:ind w:left="360"/>
        <w:rPr>
          <w:rFonts w:eastAsia="Times New Roman" w:cs="Arial"/>
          <w:color w:val="000000"/>
          <w:sz w:val="24"/>
          <w:szCs w:val="24"/>
          <w:lang w:eastAsia="en-AU"/>
        </w:rPr>
      </w:pPr>
      <w:r>
        <w:rPr>
          <w:rFonts w:eastAsia="Times New Roman" w:cs="Arial"/>
          <w:color w:val="000000"/>
          <w:sz w:val="24"/>
          <w:szCs w:val="24"/>
          <w:lang w:eastAsia="en-AU"/>
        </w:rPr>
        <w:t>i</w:t>
      </w:r>
      <w:r w:rsidR="00C47E81" w:rsidRPr="00442A2E">
        <w:rPr>
          <w:rFonts w:eastAsia="Times New Roman" w:cs="Arial"/>
          <w:color w:val="000000"/>
          <w:sz w:val="24"/>
          <w:szCs w:val="24"/>
          <w:lang w:eastAsia="en-AU"/>
        </w:rPr>
        <w:t>ncreased funding in seven existing CfC FP sites and establishing three new CfC FP sites to support the Government’s Building Australia’s Future Workforce (BAFW) trials</w:t>
      </w:r>
    </w:p>
    <w:p w:rsidR="00C47E81" w:rsidRPr="00442A2E" w:rsidRDefault="006470DE" w:rsidP="00417F06">
      <w:pPr>
        <w:numPr>
          <w:ilvl w:val="0"/>
          <w:numId w:val="2"/>
        </w:numPr>
        <w:spacing w:before="120" w:after="120" w:line="240" w:lineRule="auto"/>
        <w:ind w:left="360"/>
        <w:rPr>
          <w:rFonts w:eastAsia="Times New Roman" w:cs="Arial"/>
          <w:color w:val="000000"/>
          <w:sz w:val="24"/>
          <w:szCs w:val="24"/>
          <w:lang w:eastAsia="en-AU"/>
        </w:rPr>
      </w:pPr>
      <w:r>
        <w:rPr>
          <w:rFonts w:eastAsia="Times New Roman" w:cs="Arial"/>
          <w:color w:val="000000"/>
          <w:sz w:val="24"/>
          <w:szCs w:val="24"/>
          <w:lang w:eastAsia="en-AU"/>
        </w:rPr>
        <w:lastRenderedPageBreak/>
        <w:t>a</w:t>
      </w:r>
      <w:r w:rsidR="00C47E81" w:rsidRPr="00442A2E">
        <w:rPr>
          <w:rFonts w:eastAsia="Times New Roman" w:cs="Arial"/>
          <w:color w:val="000000"/>
          <w:sz w:val="24"/>
          <w:szCs w:val="24"/>
          <w:lang w:eastAsia="en-AU"/>
        </w:rPr>
        <w:t xml:space="preserve"> ten year commitment through the Child, Youth, Family and Community Wellbeing package under Stronger Futures in the Northern Territory, with the planned establishment of 15 new </w:t>
      </w:r>
      <w:proofErr w:type="spellStart"/>
      <w:r w:rsidR="00C47E81" w:rsidRPr="00442A2E">
        <w:rPr>
          <w:rFonts w:eastAsia="Times New Roman" w:cs="Arial"/>
          <w:color w:val="000000"/>
          <w:sz w:val="24"/>
          <w:szCs w:val="24"/>
          <w:lang w:eastAsia="en-AU"/>
        </w:rPr>
        <w:t>CfCs</w:t>
      </w:r>
      <w:proofErr w:type="spellEnd"/>
      <w:r w:rsidR="00C47E81" w:rsidRPr="00442A2E">
        <w:rPr>
          <w:rFonts w:eastAsia="Times New Roman" w:cs="Arial"/>
          <w:color w:val="000000"/>
          <w:sz w:val="24"/>
          <w:szCs w:val="24"/>
          <w:lang w:eastAsia="en-AU"/>
        </w:rPr>
        <w:t>, with a particular focus on remote communities</w:t>
      </w:r>
    </w:p>
    <w:p w:rsidR="00C47E81" w:rsidRPr="004A0BCB" w:rsidRDefault="00C47E81" w:rsidP="00442A2E">
      <w:pPr>
        <w:spacing w:before="120" w:after="120" w:line="240" w:lineRule="auto"/>
        <w:jc w:val="both"/>
        <w:rPr>
          <w:rFonts w:eastAsia="Times New Roman" w:cs="Arial"/>
          <w:color w:val="000000"/>
          <w:sz w:val="24"/>
          <w:szCs w:val="24"/>
          <w:lang w:eastAsia="en-AU"/>
        </w:rPr>
      </w:pPr>
      <w:r w:rsidRPr="004A0BCB">
        <w:rPr>
          <w:rFonts w:eastAsia="Times New Roman" w:cs="Arial"/>
          <w:sz w:val="24"/>
          <w:szCs w:val="24"/>
          <w:lang w:eastAsia="en-AU"/>
        </w:rPr>
        <w:t>The Government also announced approximately $3 billion of supplementation funding for organisations, including the FSP organisations, to support the transition to the new modern award for social and community services workers.</w:t>
      </w:r>
    </w:p>
    <w:p w:rsidR="00D96A19" w:rsidRPr="004A0BCB" w:rsidRDefault="000D00AD" w:rsidP="00D96A19">
      <w:pPr>
        <w:spacing w:before="120" w:after="120" w:line="240" w:lineRule="auto"/>
        <w:rPr>
          <w:rFonts w:eastAsia="Times New Roman" w:cs="Arial"/>
          <w:color w:val="000000"/>
          <w:sz w:val="24"/>
          <w:szCs w:val="24"/>
          <w:lang w:eastAsia="en-AU"/>
        </w:rPr>
      </w:pPr>
      <w:r w:rsidRPr="004A0BCB">
        <w:rPr>
          <w:rFonts w:eastAsia="Times New Roman" w:cs="Arial"/>
          <w:color w:val="000000"/>
          <w:sz w:val="24"/>
          <w:szCs w:val="24"/>
          <w:lang w:eastAsia="en-AU"/>
        </w:rPr>
        <w:t xml:space="preserve">FSP services are funded through </w:t>
      </w:r>
      <w:r w:rsidR="00D96A19" w:rsidRPr="004A0BCB">
        <w:rPr>
          <w:rFonts w:eastAsia="Times New Roman" w:cs="Arial"/>
          <w:color w:val="000000"/>
          <w:sz w:val="24"/>
          <w:szCs w:val="24"/>
          <w:lang w:eastAsia="en-AU"/>
        </w:rPr>
        <w:t xml:space="preserve">Budget appropriations to FaHCSIA and the Attorney-General’s </w:t>
      </w:r>
      <w:r w:rsidR="00CB6F90" w:rsidRPr="004A0BCB">
        <w:rPr>
          <w:rFonts w:eastAsia="Times New Roman" w:cs="Arial"/>
          <w:color w:val="000000"/>
          <w:sz w:val="24"/>
          <w:szCs w:val="24"/>
          <w:lang w:eastAsia="en-AU"/>
        </w:rPr>
        <w:t>Department</w:t>
      </w:r>
      <w:r w:rsidR="00D96A19" w:rsidRPr="004A0BCB">
        <w:rPr>
          <w:rFonts w:eastAsia="Times New Roman" w:cs="Arial"/>
          <w:color w:val="000000"/>
          <w:sz w:val="24"/>
          <w:szCs w:val="24"/>
          <w:lang w:eastAsia="en-AU"/>
        </w:rPr>
        <w:t xml:space="preserve"> (AGD).</w:t>
      </w:r>
    </w:p>
    <w:p w:rsidR="00D96A19" w:rsidRPr="00D96A19" w:rsidRDefault="00D96A19" w:rsidP="00FC446C">
      <w:pPr>
        <w:pStyle w:val="Heading2"/>
        <w:rPr>
          <w:rFonts w:eastAsia="Times New Roman"/>
          <w:lang w:eastAsia="en-AU"/>
        </w:rPr>
      </w:pPr>
      <w:bookmarkStart w:id="21" w:name="_Toc338944748"/>
      <w:bookmarkStart w:id="22" w:name="_Toc338945039"/>
      <w:bookmarkStart w:id="23" w:name="_Toc338945366"/>
      <w:bookmarkStart w:id="24" w:name="_Toc338945619"/>
      <w:bookmarkStart w:id="25" w:name="_Toc341705887"/>
      <w:r w:rsidRPr="00D96A19">
        <w:rPr>
          <w:rFonts w:eastAsia="Times New Roman"/>
          <w:lang w:eastAsia="en-AU"/>
        </w:rPr>
        <w:t>Achievements</w:t>
      </w:r>
      <w:bookmarkEnd w:id="21"/>
      <w:bookmarkEnd w:id="22"/>
      <w:bookmarkEnd w:id="23"/>
      <w:bookmarkEnd w:id="24"/>
      <w:bookmarkEnd w:id="25"/>
    </w:p>
    <w:p w:rsidR="00D96A19" w:rsidRPr="00FC446C" w:rsidRDefault="00D96A19" w:rsidP="00FC446C">
      <w:pPr>
        <w:pStyle w:val="Heading3"/>
      </w:pPr>
      <w:bookmarkStart w:id="26" w:name="_Toc338944749"/>
      <w:bookmarkStart w:id="27" w:name="_Toc338945040"/>
      <w:bookmarkStart w:id="28" w:name="_Toc338945367"/>
      <w:bookmarkStart w:id="29" w:name="_Toc338945620"/>
      <w:bookmarkStart w:id="30" w:name="_Toc341705888"/>
      <w:r w:rsidRPr="00D96A19">
        <w:rPr>
          <w:rFonts w:eastAsia="Times New Roman"/>
          <w:lang w:eastAsia="en-AU"/>
        </w:rPr>
        <w:t>FSP</w:t>
      </w:r>
      <w:bookmarkEnd w:id="26"/>
      <w:bookmarkEnd w:id="27"/>
      <w:bookmarkEnd w:id="28"/>
      <w:bookmarkEnd w:id="29"/>
      <w:bookmarkEnd w:id="30"/>
    </w:p>
    <w:p w:rsidR="00D96A19" w:rsidRPr="004A0BCB" w:rsidRDefault="00D96A19" w:rsidP="00D96A19">
      <w:pPr>
        <w:spacing w:before="120" w:after="120" w:line="240" w:lineRule="auto"/>
        <w:rPr>
          <w:rFonts w:eastAsia="Times New Roman" w:cs="Arial"/>
          <w:sz w:val="24"/>
          <w:szCs w:val="24"/>
          <w:lang w:eastAsia="en-AU"/>
        </w:rPr>
      </w:pPr>
      <w:r w:rsidRPr="004A0BCB">
        <w:rPr>
          <w:rFonts w:eastAsia="Times New Roman" w:cs="Arial"/>
          <w:sz w:val="24"/>
          <w:szCs w:val="24"/>
          <w:lang w:eastAsia="en-AU"/>
        </w:rPr>
        <w:t>FSP service providers are meeting the needs of</w:t>
      </w:r>
      <w:r w:rsidR="00C005B5">
        <w:rPr>
          <w:rFonts w:eastAsia="Times New Roman" w:cs="Arial"/>
          <w:sz w:val="24"/>
          <w:szCs w:val="24"/>
          <w:lang w:eastAsia="en-AU"/>
        </w:rPr>
        <w:t xml:space="preserve"> many</w:t>
      </w:r>
      <w:r w:rsidRPr="004A0BCB">
        <w:rPr>
          <w:rFonts w:eastAsia="Times New Roman" w:cs="Arial"/>
          <w:sz w:val="24"/>
          <w:szCs w:val="24"/>
          <w:lang w:eastAsia="en-AU"/>
        </w:rPr>
        <w:t xml:space="preserve"> vulnerable and disadvantaged families with </w:t>
      </w:r>
      <w:r w:rsidR="00C005B5">
        <w:rPr>
          <w:rFonts w:eastAsia="Times New Roman" w:cs="Arial"/>
          <w:sz w:val="24"/>
          <w:szCs w:val="24"/>
          <w:lang w:eastAsia="en-AU"/>
        </w:rPr>
        <w:t>most</w:t>
      </w:r>
      <w:r w:rsidRPr="004A0BCB">
        <w:rPr>
          <w:rFonts w:eastAsia="Times New Roman" w:cs="Arial"/>
          <w:sz w:val="24"/>
          <w:szCs w:val="24"/>
          <w:lang w:eastAsia="en-AU"/>
        </w:rPr>
        <w:t xml:space="preserve"> providers reporting </w:t>
      </w:r>
      <w:r w:rsidR="0042029F">
        <w:rPr>
          <w:rFonts w:eastAsia="Times New Roman" w:cs="Arial"/>
          <w:sz w:val="24"/>
          <w:szCs w:val="24"/>
          <w:lang w:eastAsia="en-AU"/>
        </w:rPr>
        <w:t xml:space="preserve">positive outcomes for </w:t>
      </w:r>
      <w:r w:rsidRPr="004A0BCB">
        <w:rPr>
          <w:rFonts w:eastAsia="Times New Roman" w:cs="Arial"/>
          <w:sz w:val="24"/>
          <w:szCs w:val="24"/>
          <w:lang w:eastAsia="en-AU"/>
        </w:rPr>
        <w:t>their clients.</w:t>
      </w:r>
    </w:p>
    <w:p w:rsidR="00D96A19" w:rsidRPr="004A0BCB" w:rsidRDefault="00D96A19" w:rsidP="00D96A19">
      <w:pPr>
        <w:spacing w:before="120" w:after="120" w:line="240" w:lineRule="auto"/>
        <w:rPr>
          <w:rFonts w:eastAsia="Times New Roman" w:cs="Arial"/>
          <w:sz w:val="24"/>
          <w:szCs w:val="24"/>
          <w:lang w:eastAsia="en-AU"/>
        </w:rPr>
      </w:pPr>
      <w:r w:rsidRPr="004A0BCB">
        <w:rPr>
          <w:rFonts w:eastAsia="Times New Roman" w:cs="Arial"/>
          <w:sz w:val="24"/>
          <w:szCs w:val="24"/>
          <w:lang w:eastAsia="en-AU"/>
        </w:rPr>
        <w:t xml:space="preserve">Overall, the FSP met its performance expectations during 2011-2012.  All targets in the Portfolio Budget Statements and FaHCSIA’s Annual Report were met except for “Percentage of service sites in the most disadvantaged or targeted communities” which had a target of 75%.  </w:t>
      </w:r>
      <w:r w:rsidR="0042029F" w:rsidRPr="004A0BCB">
        <w:rPr>
          <w:rFonts w:eastAsia="Times New Roman" w:cs="Arial"/>
          <w:sz w:val="24"/>
          <w:szCs w:val="24"/>
          <w:lang w:eastAsia="en-AU"/>
        </w:rPr>
        <w:t xml:space="preserve">It should be noted, however, that the published 75% target should have read as 25%. </w:t>
      </w:r>
      <w:r w:rsidR="0042029F">
        <w:rPr>
          <w:rFonts w:eastAsia="Times New Roman" w:cs="Arial"/>
          <w:sz w:val="24"/>
          <w:szCs w:val="24"/>
          <w:lang w:eastAsia="en-AU"/>
        </w:rPr>
        <w:t xml:space="preserve"> </w:t>
      </w:r>
      <w:r w:rsidRPr="004A0BCB">
        <w:rPr>
          <w:rFonts w:eastAsia="Times New Roman" w:cs="Arial"/>
          <w:sz w:val="24"/>
          <w:szCs w:val="24"/>
          <w:lang w:eastAsia="en-AU"/>
        </w:rPr>
        <w:t>For 2011-2012, 40.2% of service sites were located in the most disadvantaged or targeted communities.  The correct figure will be used in the 2012-2013 FaHCSIA Annual Report.</w:t>
      </w:r>
    </w:p>
    <w:p w:rsidR="007A1F84" w:rsidRPr="007A1F84" w:rsidRDefault="00D96A19" w:rsidP="007A1F84">
      <w:pPr>
        <w:rPr>
          <w:rFonts w:eastAsia="Times New Roman" w:cs="Arial"/>
          <w:sz w:val="24"/>
          <w:szCs w:val="24"/>
          <w:lang w:eastAsia="en-AU"/>
        </w:rPr>
      </w:pPr>
      <w:r w:rsidRPr="007A1F84">
        <w:rPr>
          <w:sz w:val="24"/>
          <w:szCs w:val="24"/>
        </w:rPr>
        <w:t>The total number of clients assisted for 2011-2012 was 873,597</w:t>
      </w:r>
      <w:r w:rsidRPr="007A1F84">
        <w:rPr>
          <w:sz w:val="24"/>
          <w:szCs w:val="24"/>
        </w:rPr>
        <w:footnoteReference w:id="1"/>
      </w:r>
      <w:r w:rsidRPr="007A1F84">
        <w:rPr>
          <w:sz w:val="24"/>
          <w:szCs w:val="24"/>
        </w:rPr>
        <w:t>, which exceeded the target of 750,000 clients set in the FaHCSIA Portfolio Budget Statement 2011-2012.  This represents an increase of 4.2% from the total number of</w:t>
      </w:r>
      <w:r w:rsidR="004A0BCB" w:rsidRPr="007A1F84">
        <w:rPr>
          <w:sz w:val="24"/>
          <w:szCs w:val="24"/>
        </w:rPr>
        <w:t xml:space="preserve"> clients assisted for 2010-11 (</w:t>
      </w:r>
      <w:r w:rsidRPr="007A1F84">
        <w:rPr>
          <w:sz w:val="24"/>
          <w:szCs w:val="24"/>
        </w:rPr>
        <w:t>838,071).</w:t>
      </w:r>
      <w:r w:rsidRPr="007A1F84">
        <w:rPr>
          <w:sz w:val="24"/>
          <w:szCs w:val="24"/>
        </w:rPr>
        <w:footnoteReference w:id="2"/>
      </w:r>
      <w:r w:rsidRPr="007A1F84">
        <w:rPr>
          <w:rFonts w:eastAsia="Times New Roman" w:cs="Arial"/>
          <w:sz w:val="24"/>
          <w:szCs w:val="24"/>
          <w:lang w:eastAsia="en-AU"/>
        </w:rPr>
        <w:t xml:space="preserve">  </w:t>
      </w:r>
      <w:bookmarkStart w:id="31" w:name="_Toc338944750"/>
      <w:bookmarkStart w:id="32" w:name="_Toc338945041"/>
      <w:bookmarkStart w:id="33" w:name="_Toc338945368"/>
      <w:bookmarkStart w:id="34" w:name="_Toc338945621"/>
    </w:p>
    <w:p w:rsidR="00D96A19" w:rsidRPr="00D96A19" w:rsidRDefault="00D96A19" w:rsidP="00FC446C">
      <w:pPr>
        <w:pStyle w:val="Heading3"/>
        <w:rPr>
          <w:rFonts w:eastAsia="Times New Roman"/>
          <w:lang w:eastAsia="en-AU"/>
        </w:rPr>
      </w:pPr>
      <w:bookmarkStart w:id="35" w:name="_Toc341705889"/>
      <w:r w:rsidRPr="00D96A19">
        <w:rPr>
          <w:rFonts w:eastAsia="Times New Roman"/>
          <w:lang w:eastAsia="en-AU"/>
        </w:rPr>
        <w:t>Building Australia’s Future Workforce (BAFW)</w:t>
      </w:r>
      <w:bookmarkEnd w:id="31"/>
      <w:bookmarkEnd w:id="32"/>
      <w:bookmarkEnd w:id="33"/>
      <w:bookmarkEnd w:id="34"/>
      <w:bookmarkEnd w:id="35"/>
    </w:p>
    <w:p w:rsidR="00D96A19" w:rsidRDefault="00D96A19" w:rsidP="00D96A19">
      <w:pPr>
        <w:spacing w:after="120"/>
        <w:rPr>
          <w:rFonts w:eastAsia="Times New Roman" w:cs="Arial"/>
          <w:sz w:val="24"/>
          <w:szCs w:val="24"/>
          <w:lang w:eastAsia="en-AU"/>
        </w:rPr>
      </w:pPr>
      <w:r w:rsidRPr="004A0BCB">
        <w:rPr>
          <w:rFonts w:eastAsia="Times New Roman" w:cs="Arial"/>
          <w:sz w:val="24"/>
          <w:szCs w:val="24"/>
          <w:lang w:eastAsia="en-AU"/>
        </w:rPr>
        <w:t xml:space="preserve">As part of the BAFW package, </w:t>
      </w:r>
      <w:r w:rsidR="006470DE">
        <w:rPr>
          <w:rFonts w:eastAsia="Times New Roman" w:cs="Arial"/>
          <w:sz w:val="24"/>
          <w:szCs w:val="24"/>
          <w:lang w:eastAsia="en-AU"/>
        </w:rPr>
        <w:t>the Government</w:t>
      </w:r>
      <w:r w:rsidRPr="004A0BCB">
        <w:rPr>
          <w:rFonts w:eastAsia="Times New Roman" w:cs="Arial"/>
          <w:sz w:val="24"/>
          <w:szCs w:val="24"/>
          <w:lang w:eastAsia="en-AU"/>
        </w:rPr>
        <w:t xml:space="preserve"> provided additional funding over four years to enhance and expand CfC FP services in ten trial locations around Australia.  This funding is to </w:t>
      </w:r>
      <w:r w:rsidR="006470DE">
        <w:rPr>
          <w:rFonts w:eastAsia="Times New Roman" w:cs="Arial"/>
          <w:sz w:val="24"/>
          <w:szCs w:val="24"/>
          <w:lang w:eastAsia="en-AU"/>
        </w:rPr>
        <w:t xml:space="preserve">be invested in new or enhanced services to </w:t>
      </w:r>
      <w:r w:rsidRPr="004A0BCB">
        <w:rPr>
          <w:rFonts w:eastAsia="Times New Roman" w:cs="Arial"/>
          <w:sz w:val="24"/>
          <w:szCs w:val="24"/>
          <w:lang w:eastAsia="en-AU"/>
        </w:rPr>
        <w:t>support people participating in the Helping Young Parents trial, implemented from 1 January 2012, and the Supporting Jobless Families trial, implemented from 1 July 2012.  All 52 CfC FP sites were also provided with additional funding to support families affected by eligibility changes to the Parenting Payment (to come into effect from 1 January 2013)</w:t>
      </w:r>
    </w:p>
    <w:p w:rsidR="00221C4A" w:rsidRDefault="00221C4A" w:rsidP="00442A2E">
      <w:pPr>
        <w:pStyle w:val="Heading3"/>
        <w:rPr>
          <w:lang w:eastAsia="en-AU"/>
        </w:rPr>
      </w:pPr>
      <w:bookmarkStart w:id="36" w:name="_Toc341705890"/>
      <w:r>
        <w:rPr>
          <w:lang w:eastAsia="en-AU"/>
        </w:rPr>
        <w:t>Intensive Family Support Services</w:t>
      </w:r>
      <w:bookmarkEnd w:id="36"/>
    </w:p>
    <w:p w:rsidR="00BA7FE9" w:rsidRPr="00442A2E" w:rsidRDefault="00BA7FE9" w:rsidP="00442A2E">
      <w:pPr>
        <w:rPr>
          <w:sz w:val="24"/>
          <w:szCs w:val="24"/>
          <w:lang w:eastAsia="en-AU"/>
        </w:rPr>
      </w:pPr>
      <w:r w:rsidRPr="00442A2E">
        <w:rPr>
          <w:sz w:val="24"/>
          <w:szCs w:val="24"/>
          <w:lang w:eastAsia="en-AU"/>
        </w:rPr>
        <w:t xml:space="preserve">Intensive Family Support Services provide home-based intensive, long-term support to families and are delivered under FSP Communities for Children - Indigenous Parenting Support.  They engage families with </w:t>
      </w:r>
      <w:r w:rsidRPr="00442A2E">
        <w:rPr>
          <w:sz w:val="24"/>
          <w:szCs w:val="24"/>
          <w:lang w:eastAsia="en-AU"/>
        </w:rPr>
        <w:lastRenderedPageBreak/>
        <w:t>children identified by the statutory child protection authority as experiencing or being at high risk of neglect.</w:t>
      </w:r>
    </w:p>
    <w:p w:rsidR="00221C4A" w:rsidRPr="00442A2E" w:rsidRDefault="00221C4A" w:rsidP="00442A2E">
      <w:pPr>
        <w:rPr>
          <w:sz w:val="24"/>
          <w:szCs w:val="24"/>
          <w:lang w:eastAsia="en-AU"/>
        </w:rPr>
      </w:pPr>
      <w:r w:rsidRPr="00442A2E">
        <w:rPr>
          <w:sz w:val="24"/>
          <w:szCs w:val="24"/>
          <w:lang w:eastAsia="en-AU"/>
        </w:rPr>
        <w:t>Intensive Family Support Services were delivered by 14 family support workers and community liaison workers and five team leaders across nine locations in the Northern Territory during 2011-12.</w:t>
      </w:r>
      <w:r w:rsidR="00BA7FE9" w:rsidRPr="00442A2E">
        <w:rPr>
          <w:sz w:val="24"/>
          <w:szCs w:val="24"/>
          <w:lang w:eastAsia="en-AU"/>
        </w:rPr>
        <w:t xml:space="preserve">  Forty-two per cent of these workers were Indigenous.</w:t>
      </w:r>
    </w:p>
    <w:p w:rsidR="00BA7FE9" w:rsidRDefault="00BA7FE9" w:rsidP="00442A2E">
      <w:pPr>
        <w:pStyle w:val="Heading3"/>
        <w:rPr>
          <w:lang w:eastAsia="en-AU"/>
        </w:rPr>
      </w:pPr>
      <w:bookmarkStart w:id="37" w:name="_Toc341705891"/>
      <w:r>
        <w:rPr>
          <w:lang w:eastAsia="en-AU"/>
        </w:rPr>
        <w:t>MyTime for Grandparents</w:t>
      </w:r>
      <w:bookmarkEnd w:id="37"/>
    </w:p>
    <w:p w:rsidR="00BA7FE9" w:rsidRDefault="00BA7FE9" w:rsidP="00442A2E">
      <w:pPr>
        <w:rPr>
          <w:sz w:val="24"/>
          <w:szCs w:val="24"/>
          <w:lang w:eastAsia="en-AU"/>
        </w:rPr>
      </w:pPr>
      <w:r w:rsidRPr="00442A2E">
        <w:rPr>
          <w:sz w:val="24"/>
          <w:szCs w:val="24"/>
          <w:lang w:eastAsia="en-AU"/>
        </w:rPr>
        <w:t xml:space="preserve">In 2011-12 23 </w:t>
      </w:r>
      <w:proofErr w:type="spellStart"/>
      <w:r w:rsidRPr="00442A2E">
        <w:rPr>
          <w:sz w:val="24"/>
          <w:szCs w:val="24"/>
          <w:lang w:eastAsia="en-AU"/>
        </w:rPr>
        <w:t>MyTime</w:t>
      </w:r>
      <w:proofErr w:type="spellEnd"/>
      <w:r w:rsidRPr="00442A2E">
        <w:rPr>
          <w:sz w:val="24"/>
          <w:szCs w:val="24"/>
          <w:lang w:eastAsia="en-AU"/>
        </w:rPr>
        <w:t xml:space="preserve"> for Grandparents peer support groups were delivered under FSP Communities for Children Direct, providing grandparents much-needed support in their role as full-time carers of their grandchildren.  The responsibility of caring for their grandchildren is often as a result of tragedy or dysfunction in the child’s immediate famil</w:t>
      </w:r>
      <w:r w:rsidR="00BE186B" w:rsidRPr="00442A2E">
        <w:rPr>
          <w:sz w:val="24"/>
          <w:szCs w:val="24"/>
          <w:lang w:eastAsia="en-AU"/>
        </w:rPr>
        <w:t>y and g</w:t>
      </w:r>
      <w:r w:rsidRPr="00442A2E">
        <w:rPr>
          <w:sz w:val="24"/>
          <w:szCs w:val="24"/>
          <w:lang w:eastAsia="en-AU"/>
        </w:rPr>
        <w:t xml:space="preserve">randparents in these circumstances </w:t>
      </w:r>
      <w:r w:rsidR="00BE186B" w:rsidRPr="00442A2E">
        <w:rPr>
          <w:sz w:val="24"/>
          <w:szCs w:val="24"/>
          <w:lang w:eastAsia="en-AU"/>
        </w:rPr>
        <w:t>frequently</w:t>
      </w:r>
      <w:r w:rsidRPr="00442A2E">
        <w:rPr>
          <w:sz w:val="24"/>
          <w:szCs w:val="24"/>
          <w:lang w:eastAsia="en-AU"/>
        </w:rPr>
        <w:t xml:space="preserve"> experience financial and health impacts and can become socially isolated.</w:t>
      </w:r>
    </w:p>
    <w:p w:rsidR="00BE186B" w:rsidRDefault="00BE186B" w:rsidP="00442A2E">
      <w:pPr>
        <w:pStyle w:val="Heading3"/>
        <w:rPr>
          <w:lang w:eastAsia="en-AU"/>
        </w:rPr>
      </w:pPr>
      <w:bookmarkStart w:id="38" w:name="_Toc341705892"/>
      <w:r>
        <w:rPr>
          <w:lang w:eastAsia="en-AU"/>
        </w:rPr>
        <w:t>Find and Connect</w:t>
      </w:r>
      <w:bookmarkEnd w:id="38"/>
    </w:p>
    <w:p w:rsidR="00BE186B" w:rsidRDefault="00BE186B" w:rsidP="00442A2E">
      <w:pPr>
        <w:rPr>
          <w:sz w:val="24"/>
          <w:szCs w:val="24"/>
          <w:lang w:eastAsia="en-AU"/>
        </w:rPr>
      </w:pPr>
      <w:r w:rsidRPr="00442A2E">
        <w:rPr>
          <w:sz w:val="24"/>
          <w:szCs w:val="24"/>
          <w:lang w:eastAsia="en-AU"/>
        </w:rPr>
        <w:t xml:space="preserve">As part of the National Apology to Forgotten Australians and Former Child Migrants on 16 November 2009, the Australian Government announced </w:t>
      </w:r>
      <w:r>
        <w:rPr>
          <w:sz w:val="24"/>
          <w:szCs w:val="24"/>
          <w:lang w:eastAsia="en-AU"/>
        </w:rPr>
        <w:t>funding of</w:t>
      </w:r>
      <w:r w:rsidRPr="00442A2E">
        <w:rPr>
          <w:sz w:val="24"/>
          <w:szCs w:val="24"/>
          <w:lang w:eastAsia="en-AU"/>
        </w:rPr>
        <w:t xml:space="preserve"> $26.5 million over four years to help Forgotten Australians and Former Child Migrants trace their records and identi</w:t>
      </w:r>
      <w:r w:rsidR="004C2516">
        <w:rPr>
          <w:sz w:val="24"/>
          <w:szCs w:val="24"/>
          <w:lang w:eastAsia="en-AU"/>
        </w:rPr>
        <w:t>t</w:t>
      </w:r>
      <w:r w:rsidRPr="00442A2E">
        <w:rPr>
          <w:sz w:val="24"/>
          <w:szCs w:val="24"/>
          <w:lang w:eastAsia="en-AU"/>
        </w:rPr>
        <w:t>ies, search for family, access professional counselling services and peer and social support programs, and connect with other services that may improve their lives.</w:t>
      </w:r>
    </w:p>
    <w:p w:rsidR="00155BB9" w:rsidRDefault="00BE186B" w:rsidP="00442A2E">
      <w:pPr>
        <w:rPr>
          <w:sz w:val="24"/>
          <w:szCs w:val="24"/>
          <w:lang w:eastAsia="en-AU"/>
        </w:rPr>
      </w:pPr>
      <w:r>
        <w:rPr>
          <w:sz w:val="24"/>
          <w:szCs w:val="24"/>
          <w:lang w:eastAsia="en-AU"/>
        </w:rPr>
        <w:t>During 2011-12 the National Find and Connect Consultative Forum was established to provide the Australian Government with advice on implementation and evaluation.</w:t>
      </w:r>
      <w:r w:rsidR="00101669">
        <w:rPr>
          <w:sz w:val="24"/>
          <w:szCs w:val="24"/>
          <w:lang w:eastAsia="en-AU"/>
        </w:rPr>
        <w:t xml:space="preserve">  The Find and Connect Records Access Documentation Project provided grants of up to $15,000 to 29 not-for-profit organisations to document, index and release records relating to children in ‘care’ during 1920-1989.</w:t>
      </w:r>
      <w:r>
        <w:rPr>
          <w:sz w:val="24"/>
          <w:szCs w:val="24"/>
          <w:lang w:eastAsia="en-AU"/>
        </w:rPr>
        <w:t xml:space="preserve"> </w:t>
      </w:r>
      <w:r w:rsidR="00155BB9">
        <w:rPr>
          <w:sz w:val="24"/>
          <w:szCs w:val="24"/>
          <w:lang w:eastAsia="en-AU"/>
        </w:rPr>
        <w:t xml:space="preserve"> The Australian Government also entered into:</w:t>
      </w:r>
    </w:p>
    <w:p w:rsidR="00155BB9" w:rsidRDefault="00BE186B" w:rsidP="00442A2E">
      <w:pPr>
        <w:pStyle w:val="ListParagraph"/>
        <w:numPr>
          <w:ilvl w:val="0"/>
          <w:numId w:val="47"/>
        </w:numPr>
        <w:rPr>
          <w:sz w:val="24"/>
          <w:szCs w:val="24"/>
          <w:lang w:eastAsia="en-AU"/>
        </w:rPr>
      </w:pPr>
      <w:r w:rsidRPr="00442A2E">
        <w:rPr>
          <w:sz w:val="24"/>
          <w:szCs w:val="24"/>
          <w:lang w:eastAsia="en-AU"/>
        </w:rPr>
        <w:t>high-level Memoranda of Understanding with each state and territory government to ensure parties work collaboratively to enhance existing service offers and build services nationally</w:t>
      </w:r>
    </w:p>
    <w:p w:rsidR="00155BB9" w:rsidRDefault="00155BB9" w:rsidP="00442A2E">
      <w:pPr>
        <w:pStyle w:val="ListParagraph"/>
        <w:numPr>
          <w:ilvl w:val="0"/>
          <w:numId w:val="47"/>
        </w:numPr>
        <w:rPr>
          <w:sz w:val="24"/>
          <w:szCs w:val="24"/>
          <w:lang w:eastAsia="en-AU"/>
        </w:rPr>
      </w:pPr>
      <w:r>
        <w:rPr>
          <w:sz w:val="24"/>
          <w:szCs w:val="24"/>
          <w:lang w:eastAsia="en-AU"/>
        </w:rPr>
        <w:t>funding agreements with state and territory service providers (with a service provider in WA still to be finalised)</w:t>
      </w:r>
      <w:r w:rsidR="00101669">
        <w:rPr>
          <w:sz w:val="24"/>
          <w:szCs w:val="24"/>
          <w:lang w:eastAsia="en-AU"/>
        </w:rPr>
        <w:t xml:space="preserve"> to provide the following services:</w:t>
      </w:r>
    </w:p>
    <w:p w:rsidR="00101669" w:rsidRDefault="00101669" w:rsidP="00442A2E">
      <w:pPr>
        <w:pStyle w:val="ListParagraph"/>
        <w:numPr>
          <w:ilvl w:val="1"/>
          <w:numId w:val="47"/>
        </w:numPr>
        <w:rPr>
          <w:sz w:val="24"/>
          <w:szCs w:val="24"/>
          <w:lang w:eastAsia="en-AU"/>
        </w:rPr>
      </w:pPr>
      <w:r>
        <w:rPr>
          <w:sz w:val="24"/>
          <w:szCs w:val="24"/>
          <w:lang w:eastAsia="en-AU"/>
        </w:rPr>
        <w:t>records tracing and family restoration, specialist counselling and information and referral to mainstream services such as aged care, health, housing and dental services</w:t>
      </w:r>
    </w:p>
    <w:p w:rsidR="00101669" w:rsidRDefault="00101669" w:rsidP="00101669">
      <w:pPr>
        <w:pStyle w:val="ListParagraph"/>
        <w:numPr>
          <w:ilvl w:val="0"/>
          <w:numId w:val="47"/>
        </w:numPr>
        <w:rPr>
          <w:sz w:val="24"/>
          <w:szCs w:val="24"/>
          <w:lang w:eastAsia="en-AU"/>
        </w:rPr>
      </w:pPr>
      <w:r>
        <w:rPr>
          <w:sz w:val="24"/>
          <w:szCs w:val="24"/>
          <w:lang w:eastAsia="en-AU"/>
        </w:rPr>
        <w:t>f</w:t>
      </w:r>
      <w:r w:rsidRPr="009C36ED">
        <w:rPr>
          <w:sz w:val="24"/>
          <w:szCs w:val="24"/>
          <w:lang w:eastAsia="en-AU"/>
        </w:rPr>
        <w:t xml:space="preserve">unding </w:t>
      </w:r>
      <w:r>
        <w:rPr>
          <w:sz w:val="24"/>
          <w:szCs w:val="24"/>
          <w:lang w:eastAsia="en-AU"/>
        </w:rPr>
        <w:t>a</w:t>
      </w:r>
      <w:r w:rsidRPr="009C36ED">
        <w:rPr>
          <w:sz w:val="24"/>
          <w:szCs w:val="24"/>
          <w:lang w:eastAsia="en-AU"/>
        </w:rPr>
        <w:t>greements with four advocacy organisations to strengthen the voice of Forgotten Australians and Former Child Migrants through advocacy, education, awareness-raising and mutual support</w:t>
      </w:r>
    </w:p>
    <w:p w:rsidR="00101669" w:rsidRDefault="00101669" w:rsidP="00442A2E">
      <w:pPr>
        <w:pStyle w:val="ListParagraph"/>
        <w:numPr>
          <w:ilvl w:val="0"/>
          <w:numId w:val="47"/>
        </w:numPr>
        <w:rPr>
          <w:sz w:val="24"/>
          <w:szCs w:val="24"/>
          <w:lang w:eastAsia="en-AU"/>
        </w:rPr>
      </w:pPr>
      <w:r>
        <w:rPr>
          <w:sz w:val="24"/>
          <w:szCs w:val="24"/>
          <w:lang w:eastAsia="en-AU"/>
        </w:rPr>
        <w:t>a funding agreement with the University of Melbourne to develop a national Find and Connect web resource</w:t>
      </w:r>
    </w:p>
    <w:p w:rsidR="0087013E" w:rsidRDefault="00101669" w:rsidP="00442A2E">
      <w:pPr>
        <w:rPr>
          <w:sz w:val="24"/>
          <w:szCs w:val="24"/>
          <w:lang w:eastAsia="en-AU"/>
        </w:rPr>
      </w:pPr>
      <w:r w:rsidRPr="00101669">
        <w:rPr>
          <w:sz w:val="24"/>
          <w:szCs w:val="24"/>
          <w:lang w:eastAsia="en-AU"/>
        </w:rPr>
        <w:t xml:space="preserve">An oral history project was recommended in two Senate Community Affairs References Committee reports </w:t>
      </w:r>
      <w:r w:rsidRPr="00442A2E">
        <w:rPr>
          <w:i/>
          <w:sz w:val="24"/>
          <w:szCs w:val="24"/>
          <w:lang w:eastAsia="en-AU"/>
        </w:rPr>
        <w:t>Lost Innocents: Righting the Record - Report on Child Migration (August 2001)</w:t>
      </w:r>
      <w:r w:rsidRPr="00101669">
        <w:rPr>
          <w:sz w:val="24"/>
          <w:szCs w:val="24"/>
          <w:lang w:eastAsia="en-AU"/>
        </w:rPr>
        <w:t xml:space="preserve"> and </w:t>
      </w:r>
      <w:r w:rsidRPr="00442A2E">
        <w:rPr>
          <w:i/>
          <w:sz w:val="24"/>
          <w:szCs w:val="24"/>
          <w:lang w:eastAsia="en-AU"/>
        </w:rPr>
        <w:t>Forgotten Australians - A report on Australians who experienced institutional or out-of-home care as children (August 2004).</w:t>
      </w:r>
      <w:r w:rsidR="00D96088">
        <w:rPr>
          <w:sz w:val="24"/>
          <w:szCs w:val="24"/>
          <w:lang w:eastAsia="en-AU"/>
        </w:rPr>
        <w:t xml:space="preserve"> </w:t>
      </w:r>
      <w:r w:rsidR="004C2516">
        <w:rPr>
          <w:sz w:val="24"/>
          <w:szCs w:val="24"/>
          <w:lang w:eastAsia="en-AU"/>
        </w:rPr>
        <w:t xml:space="preserve"> </w:t>
      </w:r>
      <w:r>
        <w:rPr>
          <w:sz w:val="24"/>
          <w:szCs w:val="24"/>
          <w:lang w:eastAsia="en-AU"/>
        </w:rPr>
        <w:t>The National Library of Australia received fu</w:t>
      </w:r>
      <w:r w:rsidR="0087013E">
        <w:rPr>
          <w:sz w:val="24"/>
          <w:szCs w:val="24"/>
          <w:lang w:eastAsia="en-AU"/>
        </w:rPr>
        <w:t xml:space="preserve">nding to record the personal stories from more than 200 Forgotten </w:t>
      </w:r>
      <w:r w:rsidR="0087013E">
        <w:rPr>
          <w:sz w:val="24"/>
          <w:szCs w:val="24"/>
          <w:lang w:eastAsia="en-AU"/>
        </w:rPr>
        <w:lastRenderedPageBreak/>
        <w:t xml:space="preserve">Australians and Former Child Migrants.  </w:t>
      </w:r>
      <w:r w:rsidR="0087013E" w:rsidRPr="0087013E">
        <w:rPr>
          <w:sz w:val="24"/>
          <w:szCs w:val="24"/>
          <w:lang w:eastAsia="en-AU"/>
        </w:rPr>
        <w:t xml:space="preserve">The stories will be preserved in the </w:t>
      </w:r>
      <w:r w:rsidR="004C2516">
        <w:rPr>
          <w:sz w:val="24"/>
          <w:szCs w:val="24"/>
          <w:lang w:eastAsia="en-AU"/>
        </w:rPr>
        <w:t>L</w:t>
      </w:r>
      <w:r w:rsidR="0087013E" w:rsidRPr="0087013E">
        <w:rPr>
          <w:sz w:val="24"/>
          <w:szCs w:val="24"/>
          <w:lang w:eastAsia="en-AU"/>
        </w:rPr>
        <w:t>ibrary and publicly available, together with the commemorative booklet</w:t>
      </w:r>
      <w:r w:rsidR="0087013E">
        <w:rPr>
          <w:sz w:val="24"/>
          <w:szCs w:val="24"/>
          <w:lang w:eastAsia="en-AU"/>
        </w:rPr>
        <w:t xml:space="preserve"> by November 2012 and more than 100 of these interviews can be accessed at </w:t>
      </w:r>
      <w:hyperlink r:id="rId15" w:history="1">
        <w:r w:rsidR="00277DAF">
          <w:rPr>
            <w:rStyle w:val="Hyperlink"/>
            <w:sz w:val="24"/>
            <w:szCs w:val="24"/>
          </w:rPr>
          <w:t>"You Can't Forget Things Like That" booklet and interviews</w:t>
        </w:r>
      </w:hyperlink>
      <w:r w:rsidR="00277DAF">
        <w:rPr>
          <w:sz w:val="24"/>
          <w:szCs w:val="24"/>
        </w:rPr>
        <w:t>.</w:t>
      </w:r>
    </w:p>
    <w:p w:rsidR="0087013E" w:rsidRPr="00442A2E" w:rsidRDefault="0087013E" w:rsidP="00442A2E">
      <w:pPr>
        <w:rPr>
          <w:sz w:val="24"/>
          <w:szCs w:val="24"/>
          <w:lang w:eastAsia="en-AU"/>
        </w:rPr>
      </w:pPr>
      <w:r>
        <w:rPr>
          <w:sz w:val="24"/>
          <w:szCs w:val="24"/>
          <w:lang w:eastAsia="en-AU"/>
        </w:rPr>
        <w:t xml:space="preserve">During 2011-12 the </w:t>
      </w:r>
      <w:r w:rsidRPr="00442A2E">
        <w:rPr>
          <w:sz w:val="24"/>
          <w:szCs w:val="24"/>
          <w:lang w:eastAsia="en-AU"/>
        </w:rPr>
        <w:t xml:space="preserve">National Museum of Australia hosted an exhibition </w:t>
      </w:r>
      <w:r w:rsidR="004C2516" w:rsidRPr="00442A2E">
        <w:rPr>
          <w:sz w:val="24"/>
          <w:szCs w:val="24"/>
          <w:lang w:eastAsia="en-AU"/>
        </w:rPr>
        <w:t>called</w:t>
      </w:r>
      <w:r w:rsidRPr="00442A2E">
        <w:rPr>
          <w:i/>
          <w:sz w:val="24"/>
          <w:szCs w:val="24"/>
          <w:lang w:eastAsia="en-AU"/>
        </w:rPr>
        <w:t xml:space="preserve"> Inside: Life in Children’s Homes and Institutions</w:t>
      </w:r>
      <w:r w:rsidRPr="00442A2E">
        <w:rPr>
          <w:sz w:val="24"/>
          <w:szCs w:val="24"/>
          <w:lang w:eastAsia="en-AU"/>
        </w:rPr>
        <w:t>.  The exhibition featured the words, voices and objects of the Forgotten Australians and Former Child Migrants who experienced institutional ‘care’ as children.  A touring exhibition program is being developed by the Museum in conjunction with cultural institutions in states and territories.</w:t>
      </w:r>
    </w:p>
    <w:p w:rsidR="00FC446C" w:rsidRPr="00FC446C" w:rsidRDefault="00FC446C" w:rsidP="00FC446C">
      <w:pPr>
        <w:pStyle w:val="Heading3"/>
        <w:rPr>
          <w:rFonts w:eastAsia="Times New Roman"/>
          <w:lang w:eastAsia="en-AU"/>
        </w:rPr>
      </w:pPr>
      <w:bookmarkStart w:id="39" w:name="_Toc338944751"/>
      <w:bookmarkStart w:id="40" w:name="_Toc338945042"/>
      <w:bookmarkStart w:id="41" w:name="_Toc338945369"/>
      <w:bookmarkStart w:id="42" w:name="_Toc338945622"/>
      <w:bookmarkStart w:id="43" w:name="_Toc341705893"/>
      <w:r w:rsidRPr="00FC446C">
        <w:rPr>
          <w:rFonts w:eastAsia="Times New Roman"/>
          <w:lang w:eastAsia="en-AU"/>
        </w:rPr>
        <w:t>FSPDS</w:t>
      </w:r>
      <w:bookmarkEnd w:id="39"/>
      <w:bookmarkEnd w:id="40"/>
      <w:bookmarkEnd w:id="41"/>
      <w:bookmarkEnd w:id="42"/>
      <w:bookmarkEnd w:id="43"/>
    </w:p>
    <w:p w:rsidR="00FC446C" w:rsidRPr="004A0BCB" w:rsidRDefault="00FC446C" w:rsidP="00FC446C">
      <w:pPr>
        <w:rPr>
          <w:rFonts w:eastAsia="Times New Roman"/>
          <w:sz w:val="24"/>
          <w:szCs w:val="24"/>
          <w:lang w:eastAsia="en-AU"/>
        </w:rPr>
      </w:pPr>
      <w:r w:rsidRPr="004A0BCB">
        <w:rPr>
          <w:rFonts w:eastAsia="Times New Roman"/>
          <w:sz w:val="24"/>
          <w:szCs w:val="24"/>
          <w:lang w:eastAsia="en-AU"/>
        </w:rPr>
        <w:t xml:space="preserve">On 1 July 2012, enhancements were implemented into FRSP Online, including changing the system’s name to the </w:t>
      </w:r>
      <w:r w:rsidRPr="004A0BCB">
        <w:rPr>
          <w:rFonts w:eastAsia="Times New Roman"/>
          <w:i/>
          <w:sz w:val="24"/>
          <w:szCs w:val="24"/>
          <w:lang w:eastAsia="en-AU"/>
        </w:rPr>
        <w:t>Family Support Program Data System</w:t>
      </w:r>
      <w:r w:rsidRPr="004A0BCB">
        <w:rPr>
          <w:rFonts w:eastAsia="Times New Roman"/>
          <w:sz w:val="24"/>
          <w:szCs w:val="24"/>
          <w:lang w:eastAsia="en-AU"/>
        </w:rPr>
        <w:t xml:space="preserve"> (FSPDS).  The changes focused on better reflecting the current Program environment, strength</w:t>
      </w:r>
      <w:r w:rsidR="00CB6F90" w:rsidRPr="004A0BCB">
        <w:rPr>
          <w:rFonts w:eastAsia="Times New Roman"/>
          <w:sz w:val="24"/>
          <w:szCs w:val="24"/>
          <w:lang w:eastAsia="en-AU"/>
        </w:rPr>
        <w:t xml:space="preserve">ening data integrity, removing </w:t>
      </w:r>
      <w:r w:rsidR="000D00AD" w:rsidRPr="004A0BCB">
        <w:rPr>
          <w:rFonts w:eastAsia="Times New Roman"/>
          <w:sz w:val="24"/>
          <w:szCs w:val="24"/>
          <w:lang w:eastAsia="en-AU"/>
        </w:rPr>
        <w:t xml:space="preserve">out-dated </w:t>
      </w:r>
      <w:r w:rsidRPr="004A0BCB">
        <w:rPr>
          <w:rFonts w:eastAsia="Times New Roman"/>
          <w:sz w:val="24"/>
          <w:szCs w:val="24"/>
          <w:lang w:eastAsia="en-AU"/>
        </w:rPr>
        <w:t>functions and improving how the application operates.  Many of the changes were based on sector feedback.</w:t>
      </w:r>
    </w:p>
    <w:p w:rsidR="00FC446C" w:rsidRPr="004A0BCB" w:rsidRDefault="00FC446C" w:rsidP="00FC446C">
      <w:pPr>
        <w:rPr>
          <w:rFonts w:eastAsia="Times New Roman"/>
          <w:sz w:val="24"/>
          <w:szCs w:val="24"/>
          <w:lang w:eastAsia="en-AU"/>
        </w:rPr>
      </w:pPr>
      <w:r w:rsidRPr="004A0BCB">
        <w:rPr>
          <w:rFonts w:eastAsia="Times New Roman"/>
          <w:sz w:val="24"/>
          <w:szCs w:val="24"/>
          <w:lang w:eastAsia="en-AU"/>
        </w:rPr>
        <w:t>The changes that were introduced into the system can be summarised as:</w:t>
      </w:r>
    </w:p>
    <w:p w:rsidR="00FC446C" w:rsidRPr="004A0BCB" w:rsidRDefault="00417F06" w:rsidP="008E31EC">
      <w:pPr>
        <w:pStyle w:val="ListParagraph"/>
        <w:numPr>
          <w:ilvl w:val="0"/>
          <w:numId w:val="5"/>
        </w:numPr>
        <w:rPr>
          <w:rFonts w:eastAsia="Times New Roman"/>
          <w:sz w:val="24"/>
          <w:szCs w:val="24"/>
        </w:rPr>
      </w:pPr>
      <w:r>
        <w:rPr>
          <w:rFonts w:eastAsia="Times New Roman"/>
          <w:sz w:val="24"/>
          <w:szCs w:val="24"/>
        </w:rPr>
        <w:t>f</w:t>
      </w:r>
      <w:r w:rsidR="00FC446C" w:rsidRPr="004A0BCB">
        <w:rPr>
          <w:rFonts w:eastAsia="Times New Roman"/>
          <w:sz w:val="24"/>
          <w:szCs w:val="24"/>
        </w:rPr>
        <w:t>ormat changes – In o</w:t>
      </w:r>
      <w:r w:rsidR="004A0BCB">
        <w:rPr>
          <w:rFonts w:eastAsia="Times New Roman"/>
          <w:sz w:val="24"/>
          <w:szCs w:val="24"/>
        </w:rPr>
        <w:t xml:space="preserve">rder to reflect the FSP reform </w:t>
      </w:r>
      <w:r w:rsidR="00FC446C" w:rsidRPr="004A0BCB">
        <w:rPr>
          <w:rFonts w:eastAsia="Times New Roman"/>
          <w:sz w:val="24"/>
          <w:szCs w:val="24"/>
        </w:rPr>
        <w:t xml:space="preserve">FRSP Online was </w:t>
      </w:r>
      <w:r w:rsidR="004A0BCB">
        <w:rPr>
          <w:rFonts w:eastAsia="Times New Roman"/>
          <w:sz w:val="24"/>
          <w:szCs w:val="24"/>
        </w:rPr>
        <w:t xml:space="preserve">also </w:t>
      </w:r>
      <w:r w:rsidR="00FC446C" w:rsidRPr="004A0BCB">
        <w:rPr>
          <w:rFonts w:eastAsia="Times New Roman"/>
          <w:sz w:val="24"/>
          <w:szCs w:val="24"/>
        </w:rPr>
        <w:t>renamed the FSP Data System (FSPDS)</w:t>
      </w:r>
    </w:p>
    <w:p w:rsidR="00FC446C" w:rsidRPr="004A0BCB" w:rsidRDefault="00417F06" w:rsidP="008E31EC">
      <w:pPr>
        <w:pStyle w:val="ListParagraph"/>
        <w:numPr>
          <w:ilvl w:val="0"/>
          <w:numId w:val="5"/>
        </w:numPr>
        <w:rPr>
          <w:rFonts w:eastAsia="Times New Roman"/>
          <w:sz w:val="24"/>
          <w:szCs w:val="24"/>
        </w:rPr>
      </w:pPr>
      <w:proofErr w:type="gramStart"/>
      <w:r>
        <w:rPr>
          <w:rFonts w:eastAsia="Times New Roman"/>
          <w:sz w:val="24"/>
          <w:szCs w:val="24"/>
        </w:rPr>
        <w:t>c</w:t>
      </w:r>
      <w:r w:rsidR="00FC446C" w:rsidRPr="004A0BCB">
        <w:rPr>
          <w:rFonts w:eastAsia="Times New Roman"/>
          <w:sz w:val="24"/>
          <w:szCs w:val="24"/>
        </w:rPr>
        <w:t>hanges</w:t>
      </w:r>
      <w:proofErr w:type="gramEnd"/>
      <w:r w:rsidR="00FC446C" w:rsidRPr="004A0BCB">
        <w:rPr>
          <w:rFonts w:eastAsia="Times New Roman"/>
          <w:sz w:val="24"/>
          <w:szCs w:val="24"/>
        </w:rPr>
        <w:t xml:space="preserve"> to data submission rules – as a condition of funding agreements, service providers must collect and record client data in FSPDS within 28 days of client service.  The system now includes functionality that aligns with the funding agreements</w:t>
      </w:r>
    </w:p>
    <w:p w:rsidR="00FC446C" w:rsidRPr="004A0BCB" w:rsidRDefault="00417F06" w:rsidP="008E31EC">
      <w:pPr>
        <w:pStyle w:val="ListParagraph"/>
        <w:numPr>
          <w:ilvl w:val="0"/>
          <w:numId w:val="5"/>
        </w:numPr>
        <w:rPr>
          <w:rFonts w:eastAsia="Times New Roman"/>
          <w:sz w:val="24"/>
          <w:szCs w:val="24"/>
        </w:rPr>
      </w:pPr>
      <w:r>
        <w:rPr>
          <w:rFonts w:eastAsia="Times New Roman"/>
          <w:sz w:val="24"/>
          <w:szCs w:val="24"/>
        </w:rPr>
        <w:t>q</w:t>
      </w:r>
      <w:r w:rsidR="00FC446C" w:rsidRPr="004A0BCB">
        <w:rPr>
          <w:rFonts w:eastAsia="Times New Roman"/>
          <w:sz w:val="24"/>
          <w:szCs w:val="24"/>
        </w:rPr>
        <w:t>uestion changes – To improve the clarity of data and to improve system usability, three obsolete fields have been removed and two additional questions have been introduced</w:t>
      </w:r>
    </w:p>
    <w:p w:rsidR="00FC446C" w:rsidRDefault="00FC446C" w:rsidP="00FC446C">
      <w:pPr>
        <w:rPr>
          <w:rFonts w:eastAsia="Times New Roman"/>
          <w:sz w:val="24"/>
          <w:szCs w:val="24"/>
          <w:lang w:eastAsia="en-AU"/>
        </w:rPr>
      </w:pPr>
      <w:r w:rsidRPr="004A0BCB">
        <w:rPr>
          <w:rFonts w:eastAsia="Times New Roman"/>
          <w:sz w:val="24"/>
          <w:szCs w:val="24"/>
          <w:lang w:eastAsia="en-AU"/>
        </w:rPr>
        <w:t xml:space="preserve">In May 2012, the </w:t>
      </w:r>
      <w:r w:rsidR="00CB6F90" w:rsidRPr="004A0BCB">
        <w:rPr>
          <w:rFonts w:eastAsia="Times New Roman"/>
          <w:sz w:val="24"/>
          <w:szCs w:val="24"/>
          <w:lang w:eastAsia="en-AU"/>
        </w:rPr>
        <w:t>Department</w:t>
      </w:r>
      <w:r w:rsidRPr="004A0BCB">
        <w:rPr>
          <w:rFonts w:eastAsia="Times New Roman"/>
          <w:sz w:val="24"/>
          <w:szCs w:val="24"/>
          <w:lang w:eastAsia="en-AU"/>
        </w:rPr>
        <w:t xml:space="preserve"> initiated an FSP data working group, which consists of FSPDS users, a representative from F</w:t>
      </w:r>
      <w:r w:rsidR="004A0BCB">
        <w:rPr>
          <w:rFonts w:eastAsia="Times New Roman"/>
          <w:sz w:val="24"/>
          <w:szCs w:val="24"/>
          <w:lang w:eastAsia="en-AU"/>
        </w:rPr>
        <w:t xml:space="preserve">amily </w:t>
      </w:r>
      <w:r w:rsidRPr="004A0BCB">
        <w:rPr>
          <w:rFonts w:eastAsia="Times New Roman"/>
          <w:sz w:val="24"/>
          <w:szCs w:val="24"/>
          <w:lang w:eastAsia="en-AU"/>
        </w:rPr>
        <w:t>R</w:t>
      </w:r>
      <w:r w:rsidR="004A0BCB">
        <w:rPr>
          <w:rFonts w:eastAsia="Times New Roman"/>
          <w:sz w:val="24"/>
          <w:szCs w:val="24"/>
          <w:lang w:eastAsia="en-AU"/>
        </w:rPr>
        <w:t xml:space="preserve">elationship </w:t>
      </w:r>
      <w:r w:rsidRPr="004A0BCB">
        <w:rPr>
          <w:rFonts w:eastAsia="Times New Roman"/>
          <w:sz w:val="24"/>
          <w:szCs w:val="24"/>
          <w:lang w:eastAsia="en-AU"/>
        </w:rPr>
        <w:t>S</w:t>
      </w:r>
      <w:r w:rsidR="004A0BCB">
        <w:rPr>
          <w:rFonts w:eastAsia="Times New Roman"/>
          <w:sz w:val="24"/>
          <w:szCs w:val="24"/>
          <w:lang w:eastAsia="en-AU"/>
        </w:rPr>
        <w:t xml:space="preserve">ervices </w:t>
      </w:r>
      <w:r w:rsidRPr="004A0BCB">
        <w:rPr>
          <w:rFonts w:eastAsia="Times New Roman"/>
          <w:sz w:val="24"/>
          <w:szCs w:val="24"/>
          <w:lang w:eastAsia="en-AU"/>
        </w:rPr>
        <w:t>A</w:t>
      </w:r>
      <w:r w:rsidR="004A0BCB">
        <w:rPr>
          <w:rFonts w:eastAsia="Times New Roman"/>
          <w:sz w:val="24"/>
          <w:szCs w:val="24"/>
          <w:lang w:eastAsia="en-AU"/>
        </w:rPr>
        <w:t>ustralia (FRSA)</w:t>
      </w:r>
      <w:r w:rsidRPr="004A0BCB">
        <w:rPr>
          <w:rFonts w:eastAsia="Times New Roman"/>
          <w:sz w:val="24"/>
          <w:szCs w:val="24"/>
          <w:lang w:eastAsia="en-AU"/>
        </w:rPr>
        <w:t xml:space="preserve"> and </w:t>
      </w:r>
      <w:r w:rsidR="00CB6F90" w:rsidRPr="004A0BCB">
        <w:rPr>
          <w:rFonts w:eastAsia="Times New Roman"/>
          <w:sz w:val="24"/>
          <w:szCs w:val="24"/>
          <w:lang w:eastAsia="en-AU"/>
        </w:rPr>
        <w:t>department</w:t>
      </w:r>
      <w:r w:rsidRPr="004A0BCB">
        <w:rPr>
          <w:rFonts w:eastAsia="Times New Roman"/>
          <w:sz w:val="24"/>
          <w:szCs w:val="24"/>
          <w:lang w:eastAsia="en-AU"/>
        </w:rPr>
        <w:t>al staff.  The working group supports the FSPDS system changes made to date, and is working towards further streamlining/improvin</w:t>
      </w:r>
      <w:r w:rsidR="004A0BCB">
        <w:rPr>
          <w:rFonts w:eastAsia="Times New Roman"/>
          <w:sz w:val="24"/>
          <w:szCs w:val="24"/>
          <w:lang w:eastAsia="en-AU"/>
        </w:rPr>
        <w:t>g FSPDS between now and 30 June </w:t>
      </w:r>
      <w:r w:rsidRPr="004A0BCB">
        <w:rPr>
          <w:rFonts w:eastAsia="Times New Roman"/>
          <w:sz w:val="24"/>
          <w:szCs w:val="24"/>
          <w:lang w:eastAsia="en-AU"/>
        </w:rPr>
        <w:t>2014.</w:t>
      </w:r>
    </w:p>
    <w:p w:rsidR="0087013E" w:rsidRDefault="0087013E" w:rsidP="00442A2E">
      <w:pPr>
        <w:pStyle w:val="Heading3"/>
        <w:rPr>
          <w:rFonts w:eastAsia="Times New Roman"/>
          <w:lang w:eastAsia="en-AU"/>
        </w:rPr>
      </w:pPr>
      <w:bookmarkStart w:id="44" w:name="_Toc341705894"/>
      <w:r>
        <w:rPr>
          <w:rFonts w:eastAsia="Times New Roman"/>
          <w:lang w:eastAsia="en-AU"/>
        </w:rPr>
        <w:t xml:space="preserve">Vulnerable and Disadvantaged </w:t>
      </w:r>
      <w:r w:rsidR="00195D8C">
        <w:rPr>
          <w:rFonts w:eastAsia="Times New Roman"/>
          <w:lang w:eastAsia="en-AU"/>
        </w:rPr>
        <w:t>Client Access Strategy (</w:t>
      </w:r>
      <w:r>
        <w:rPr>
          <w:rFonts w:eastAsia="Times New Roman"/>
          <w:lang w:eastAsia="en-AU"/>
        </w:rPr>
        <w:t>VADCAS</w:t>
      </w:r>
      <w:r w:rsidR="00195D8C">
        <w:rPr>
          <w:rFonts w:eastAsia="Times New Roman"/>
          <w:lang w:eastAsia="en-AU"/>
        </w:rPr>
        <w:t>)</w:t>
      </w:r>
      <w:bookmarkEnd w:id="44"/>
    </w:p>
    <w:p w:rsidR="00195D8C" w:rsidRPr="00A823DA" w:rsidRDefault="00195D8C" w:rsidP="00195D8C">
      <w:pPr>
        <w:rPr>
          <w:rFonts w:eastAsia="Times New Roman"/>
          <w:sz w:val="24"/>
          <w:szCs w:val="24"/>
        </w:rPr>
      </w:pPr>
      <w:r w:rsidRPr="00A823DA">
        <w:rPr>
          <w:rFonts w:eastAsia="Times New Roman"/>
          <w:sz w:val="24"/>
          <w:szCs w:val="24"/>
        </w:rPr>
        <w:t>The Vulnerable and Disadvantaged Client Access Strategy (VADCAS) was introduced as part of the FSP reforms which took effect in July 2011.</w:t>
      </w:r>
    </w:p>
    <w:p w:rsidR="00195D8C" w:rsidRDefault="00195D8C" w:rsidP="00195D8C">
      <w:pPr>
        <w:rPr>
          <w:rFonts w:eastAsia="Times New Roman"/>
          <w:sz w:val="24"/>
          <w:szCs w:val="24"/>
        </w:rPr>
      </w:pPr>
      <w:r w:rsidRPr="00A823DA">
        <w:rPr>
          <w:rFonts w:eastAsia="Times New Roman"/>
          <w:sz w:val="24"/>
          <w:szCs w:val="24"/>
        </w:rPr>
        <w:t xml:space="preserve">An analysis of the VADCAS plans by the Australian Institute of Family Studies (AIFS) shows there has been </w:t>
      </w:r>
      <w:r>
        <w:rPr>
          <w:rFonts w:eastAsia="Times New Roman"/>
          <w:sz w:val="24"/>
          <w:szCs w:val="24"/>
        </w:rPr>
        <w:t xml:space="preserve">strong </w:t>
      </w:r>
      <w:r w:rsidRPr="00A823DA">
        <w:rPr>
          <w:rFonts w:eastAsia="Times New Roman"/>
          <w:sz w:val="24"/>
          <w:szCs w:val="24"/>
        </w:rPr>
        <w:t xml:space="preserve">and innovative practice </w:t>
      </w:r>
      <w:r>
        <w:rPr>
          <w:rFonts w:eastAsia="Times New Roman"/>
          <w:sz w:val="24"/>
          <w:szCs w:val="24"/>
        </w:rPr>
        <w:t>by FSP providers to improve their servicing to vulnerable and disadvantaged families.</w:t>
      </w:r>
      <w:r w:rsidRPr="00A823DA">
        <w:rPr>
          <w:rFonts w:eastAsia="Times New Roman"/>
          <w:sz w:val="24"/>
          <w:szCs w:val="24"/>
        </w:rPr>
        <w:t xml:space="preserve">  </w:t>
      </w:r>
      <w:proofErr w:type="gramStart"/>
      <w:r w:rsidRPr="00A823DA">
        <w:rPr>
          <w:rFonts w:eastAsia="Times New Roman"/>
          <w:sz w:val="24"/>
          <w:szCs w:val="24"/>
        </w:rPr>
        <w:t xml:space="preserve">The </w:t>
      </w:r>
      <w:r>
        <w:rPr>
          <w:rFonts w:eastAsia="Times New Roman"/>
          <w:sz w:val="24"/>
          <w:szCs w:val="24"/>
        </w:rPr>
        <w:t xml:space="preserve">AIFS </w:t>
      </w:r>
      <w:r w:rsidRPr="00A823DA">
        <w:rPr>
          <w:rFonts w:eastAsia="Times New Roman"/>
          <w:sz w:val="24"/>
          <w:szCs w:val="24"/>
        </w:rPr>
        <w:t>report</w:t>
      </w:r>
      <w:r>
        <w:rPr>
          <w:rFonts w:eastAsia="Times New Roman"/>
          <w:sz w:val="24"/>
          <w:szCs w:val="24"/>
        </w:rPr>
        <w:t xml:space="preserve"> “</w:t>
      </w:r>
      <w:r w:rsidRPr="00442A2E">
        <w:rPr>
          <w:rFonts w:eastAsia="Times New Roman"/>
          <w:i/>
          <w:sz w:val="24"/>
          <w:szCs w:val="24"/>
        </w:rPr>
        <w:t>Good and innovative practice in service delivery to vulnerable and disadvantaged families and children</w:t>
      </w:r>
      <w:r>
        <w:rPr>
          <w:rFonts w:eastAsia="Times New Roman"/>
          <w:sz w:val="24"/>
          <w:szCs w:val="24"/>
        </w:rPr>
        <w:t>”</w:t>
      </w:r>
      <w:r w:rsidRPr="00A823DA">
        <w:rPr>
          <w:rFonts w:eastAsia="Times New Roman"/>
          <w:sz w:val="24"/>
          <w:szCs w:val="24"/>
        </w:rPr>
        <w:t xml:space="preserve"> was made available on the AIFS Communities Families Clearinghouse Australia (CFCA) </w:t>
      </w:r>
      <w:r>
        <w:rPr>
          <w:rFonts w:eastAsia="Times New Roman"/>
          <w:sz w:val="24"/>
          <w:szCs w:val="24"/>
        </w:rPr>
        <w:t xml:space="preserve">website </w:t>
      </w:r>
      <w:hyperlink r:id="rId16" w:history="1">
        <w:r w:rsidR="00277DAF">
          <w:rPr>
            <w:rStyle w:val="Hyperlink"/>
            <w:rFonts w:eastAsia="Times New Roman"/>
            <w:sz w:val="24"/>
            <w:szCs w:val="24"/>
          </w:rPr>
          <w:t>"Good and innovative practice in service delivery to vulnerable and disadvantaged families and children"</w:t>
        </w:r>
      </w:hyperlink>
      <w:r>
        <w:rPr>
          <w:rFonts w:eastAsia="Times New Roman"/>
          <w:sz w:val="24"/>
          <w:szCs w:val="24"/>
        </w:rPr>
        <w:t>.</w:t>
      </w:r>
      <w:proofErr w:type="gramEnd"/>
    </w:p>
    <w:p w:rsidR="00195D8C" w:rsidRPr="00A823DA" w:rsidRDefault="00195D8C" w:rsidP="00195D8C">
      <w:pPr>
        <w:rPr>
          <w:rFonts w:eastAsia="Times New Roman"/>
          <w:sz w:val="24"/>
          <w:szCs w:val="24"/>
        </w:rPr>
      </w:pPr>
    </w:p>
    <w:p w:rsidR="00195D8C" w:rsidRPr="00442A2E" w:rsidRDefault="00195D8C" w:rsidP="00EF4A49">
      <w:pPr>
        <w:rPr>
          <w:lang w:eastAsia="en-AU"/>
        </w:rPr>
      </w:pPr>
    </w:p>
    <w:p w:rsidR="00FC446C" w:rsidRPr="00FC446C" w:rsidRDefault="00FC446C" w:rsidP="00FC446C">
      <w:pPr>
        <w:pStyle w:val="Heading3"/>
        <w:rPr>
          <w:rFonts w:eastAsia="Times New Roman"/>
          <w:lang w:eastAsia="en-AU"/>
        </w:rPr>
      </w:pPr>
      <w:bookmarkStart w:id="45" w:name="_Toc338944752"/>
      <w:bookmarkStart w:id="46" w:name="_Toc338945043"/>
      <w:bookmarkStart w:id="47" w:name="_Toc338945370"/>
      <w:bookmarkStart w:id="48" w:name="_Toc338945623"/>
      <w:bookmarkStart w:id="49" w:name="_Toc341705895"/>
      <w:r w:rsidRPr="00FC446C">
        <w:rPr>
          <w:rFonts w:eastAsia="Times New Roman"/>
          <w:lang w:eastAsia="en-AU"/>
        </w:rPr>
        <w:lastRenderedPageBreak/>
        <w:t>Complaints</w:t>
      </w:r>
      <w:bookmarkEnd w:id="45"/>
      <w:bookmarkEnd w:id="46"/>
      <w:bookmarkEnd w:id="47"/>
      <w:bookmarkEnd w:id="48"/>
      <w:bookmarkEnd w:id="49"/>
    </w:p>
    <w:p w:rsidR="00FC446C" w:rsidRPr="004A0BCB" w:rsidRDefault="000D00AD" w:rsidP="00142765">
      <w:pPr>
        <w:rPr>
          <w:rFonts w:eastAsia="Times New Roman"/>
          <w:sz w:val="24"/>
          <w:szCs w:val="24"/>
        </w:rPr>
      </w:pPr>
      <w:r w:rsidRPr="004A0BCB">
        <w:rPr>
          <w:rFonts w:eastAsia="Times New Roman"/>
          <w:sz w:val="24"/>
          <w:szCs w:val="24"/>
        </w:rPr>
        <w:t xml:space="preserve">A total of </w:t>
      </w:r>
      <w:r w:rsidR="00221C4A">
        <w:rPr>
          <w:rFonts w:eastAsia="Times New Roman"/>
          <w:sz w:val="24"/>
          <w:szCs w:val="24"/>
        </w:rPr>
        <w:t xml:space="preserve">202 </w:t>
      </w:r>
      <w:r w:rsidR="00AD37B8">
        <w:rPr>
          <w:rFonts w:eastAsia="Times New Roman"/>
          <w:sz w:val="24"/>
          <w:szCs w:val="24"/>
        </w:rPr>
        <w:t xml:space="preserve">client </w:t>
      </w:r>
      <w:r w:rsidR="00221C4A">
        <w:rPr>
          <w:rFonts w:eastAsia="Times New Roman"/>
          <w:sz w:val="24"/>
          <w:szCs w:val="24"/>
        </w:rPr>
        <w:t xml:space="preserve">complaints were reported to </w:t>
      </w:r>
      <w:r w:rsidRPr="004A0BCB">
        <w:rPr>
          <w:rFonts w:eastAsia="Times New Roman"/>
          <w:sz w:val="24"/>
          <w:szCs w:val="24"/>
        </w:rPr>
        <w:t xml:space="preserve">54 </w:t>
      </w:r>
      <w:r w:rsidR="00221C4A">
        <w:rPr>
          <w:rFonts w:eastAsia="Times New Roman"/>
          <w:sz w:val="24"/>
          <w:szCs w:val="24"/>
        </w:rPr>
        <w:t xml:space="preserve">FSP </w:t>
      </w:r>
      <w:r w:rsidRPr="004A0BCB">
        <w:rPr>
          <w:rFonts w:eastAsia="Times New Roman"/>
          <w:sz w:val="24"/>
          <w:szCs w:val="24"/>
        </w:rPr>
        <w:t>service</w:t>
      </w:r>
      <w:r w:rsidR="00221C4A">
        <w:rPr>
          <w:rFonts w:eastAsia="Times New Roman"/>
          <w:sz w:val="24"/>
          <w:szCs w:val="24"/>
        </w:rPr>
        <w:t xml:space="preserve"> providers</w:t>
      </w:r>
      <w:r w:rsidRPr="004A0BCB">
        <w:rPr>
          <w:rFonts w:eastAsia="Times New Roman"/>
          <w:sz w:val="24"/>
          <w:szCs w:val="24"/>
        </w:rPr>
        <w:t xml:space="preserve">.  </w:t>
      </w:r>
      <w:r w:rsidR="00FC446C" w:rsidRPr="004A0BCB">
        <w:rPr>
          <w:rFonts w:eastAsia="Times New Roman"/>
          <w:sz w:val="24"/>
          <w:szCs w:val="24"/>
        </w:rPr>
        <w:t xml:space="preserve">As a result of receiving a complaint in 2011-12, 47 organisations made changes to policies or procedures. </w:t>
      </w:r>
      <w:r w:rsidRPr="004A0BCB">
        <w:rPr>
          <w:rFonts w:eastAsia="Times New Roman"/>
          <w:sz w:val="24"/>
          <w:szCs w:val="24"/>
        </w:rPr>
        <w:t xml:space="preserve"> No complaints resulted in adverse media </w:t>
      </w:r>
      <w:r w:rsidR="004A0BCB" w:rsidRPr="004A0BCB">
        <w:rPr>
          <w:rFonts w:eastAsia="Times New Roman"/>
          <w:sz w:val="24"/>
          <w:szCs w:val="24"/>
        </w:rPr>
        <w:t xml:space="preserve">coverage </w:t>
      </w:r>
      <w:r w:rsidRPr="004A0BCB">
        <w:rPr>
          <w:rFonts w:eastAsia="Times New Roman"/>
          <w:sz w:val="24"/>
          <w:szCs w:val="24"/>
        </w:rPr>
        <w:t>or litigation.</w:t>
      </w:r>
    </w:p>
    <w:p w:rsidR="00A53BDA" w:rsidRDefault="00A53BDA" w:rsidP="00FC446C">
      <w:pPr>
        <w:rPr>
          <w:rStyle w:val="BookTitle"/>
          <w:i w:val="0"/>
          <w:iCs w:val="0"/>
          <w:smallCaps/>
          <w:spacing w:val="0"/>
        </w:rPr>
        <w:sectPr w:rsidR="00A53BDA" w:rsidSect="007A4BF7">
          <w:pgSz w:w="11906" w:h="16838"/>
          <w:pgMar w:top="720" w:right="720" w:bottom="720" w:left="720" w:header="708" w:footer="708" w:gutter="0"/>
          <w:cols w:space="708"/>
          <w:docGrid w:linePitch="360"/>
        </w:sectPr>
      </w:pPr>
    </w:p>
    <w:p w:rsidR="00A53BDA" w:rsidRPr="00A53BDA" w:rsidRDefault="00A53BDA" w:rsidP="00A53BDA">
      <w:pPr>
        <w:pStyle w:val="Heading1"/>
        <w:rPr>
          <w:rFonts w:eastAsia="Times New Roman"/>
          <w:lang w:eastAsia="en-AU"/>
        </w:rPr>
      </w:pPr>
      <w:bookmarkStart w:id="50" w:name="_Toc338944753"/>
      <w:bookmarkStart w:id="51" w:name="_Toc338945044"/>
      <w:bookmarkStart w:id="52" w:name="_Toc338945371"/>
      <w:bookmarkStart w:id="53" w:name="_Toc338945624"/>
      <w:bookmarkStart w:id="54" w:name="_Toc341705896"/>
      <w:r w:rsidRPr="00A53BDA">
        <w:rPr>
          <w:rFonts w:eastAsia="Times New Roman"/>
          <w:lang w:eastAsia="en-AU"/>
        </w:rPr>
        <w:lastRenderedPageBreak/>
        <w:t>Section Two:   Client Data/Outputs</w:t>
      </w:r>
      <w:bookmarkEnd w:id="50"/>
      <w:bookmarkEnd w:id="51"/>
      <w:bookmarkEnd w:id="52"/>
      <w:bookmarkEnd w:id="53"/>
      <w:bookmarkEnd w:id="54"/>
    </w:p>
    <w:p w:rsidR="00A53BDA" w:rsidRPr="00932E68" w:rsidRDefault="00A53BDA" w:rsidP="00A53BDA">
      <w:pPr>
        <w:rPr>
          <w:rFonts w:eastAsia="Times New Roman"/>
          <w:sz w:val="24"/>
          <w:szCs w:val="24"/>
          <w:lang w:eastAsia="en-AU"/>
        </w:rPr>
      </w:pPr>
      <w:r w:rsidRPr="00932E68">
        <w:rPr>
          <w:rFonts w:eastAsia="Times New Roman"/>
          <w:sz w:val="24"/>
          <w:szCs w:val="24"/>
          <w:lang w:eastAsia="en-AU"/>
        </w:rPr>
        <w:t>FSP data is collected from service prov</w:t>
      </w:r>
      <w:r w:rsidR="00F04D4C" w:rsidRPr="00932E68">
        <w:rPr>
          <w:rFonts w:eastAsia="Times New Roman"/>
          <w:sz w:val="24"/>
          <w:szCs w:val="24"/>
          <w:lang w:eastAsia="en-AU"/>
        </w:rPr>
        <w:t xml:space="preserve">iders according to the type of </w:t>
      </w:r>
      <w:r w:rsidRPr="00932E68">
        <w:rPr>
          <w:rFonts w:eastAsia="Times New Roman"/>
          <w:sz w:val="24"/>
          <w:szCs w:val="24"/>
          <w:lang w:eastAsia="en-AU"/>
        </w:rPr>
        <w:t>service being delivered.</w:t>
      </w:r>
    </w:p>
    <w:p w:rsidR="00A53BDA" w:rsidRPr="00932E68" w:rsidRDefault="00A53BDA" w:rsidP="00A53BDA">
      <w:pPr>
        <w:rPr>
          <w:rFonts w:eastAsia="Times New Roman"/>
          <w:sz w:val="24"/>
          <w:szCs w:val="24"/>
          <w:lang w:eastAsia="en-AU"/>
        </w:rPr>
      </w:pPr>
      <w:r w:rsidRPr="00932E68">
        <w:rPr>
          <w:rFonts w:eastAsia="Times New Roman"/>
          <w:sz w:val="24"/>
          <w:szCs w:val="24"/>
          <w:lang w:eastAsia="en-AU"/>
        </w:rPr>
        <w:t>The following services input individual client data into the FSP Data System, the Program’s online data collection system, within 28 days of service delivery:</w:t>
      </w:r>
    </w:p>
    <w:p w:rsidR="00A53BDA" w:rsidRPr="00932E68" w:rsidRDefault="00A53BDA" w:rsidP="008E31EC">
      <w:pPr>
        <w:pStyle w:val="ListParagraph"/>
        <w:numPr>
          <w:ilvl w:val="0"/>
          <w:numId w:val="6"/>
        </w:numPr>
        <w:rPr>
          <w:rFonts w:eastAsia="Times New Roman"/>
          <w:sz w:val="24"/>
          <w:szCs w:val="24"/>
        </w:rPr>
      </w:pPr>
      <w:r w:rsidRPr="00932E68">
        <w:rPr>
          <w:rFonts w:eastAsia="Times New Roman"/>
          <w:sz w:val="24"/>
          <w:szCs w:val="24"/>
        </w:rPr>
        <w:t>Family and Relationship Services (FaRS)</w:t>
      </w:r>
    </w:p>
    <w:p w:rsidR="00A53BDA" w:rsidRPr="00932E68" w:rsidRDefault="00A53BDA" w:rsidP="008E31EC">
      <w:pPr>
        <w:pStyle w:val="ListParagraph"/>
        <w:numPr>
          <w:ilvl w:val="0"/>
          <w:numId w:val="6"/>
        </w:numPr>
        <w:rPr>
          <w:rFonts w:eastAsia="Times New Roman"/>
          <w:sz w:val="24"/>
          <w:szCs w:val="24"/>
        </w:rPr>
      </w:pPr>
      <w:r w:rsidRPr="00932E68">
        <w:rPr>
          <w:rFonts w:eastAsia="Times New Roman"/>
          <w:sz w:val="24"/>
          <w:szCs w:val="24"/>
        </w:rPr>
        <w:t>Specialist Services (SS)</w:t>
      </w:r>
    </w:p>
    <w:p w:rsidR="00A53BDA" w:rsidRPr="00932E68" w:rsidRDefault="00A53BDA" w:rsidP="008E31EC">
      <w:pPr>
        <w:pStyle w:val="ListParagraph"/>
        <w:numPr>
          <w:ilvl w:val="1"/>
          <w:numId w:val="6"/>
        </w:numPr>
        <w:rPr>
          <w:rFonts w:eastAsia="Times New Roman"/>
          <w:sz w:val="24"/>
          <w:szCs w:val="24"/>
        </w:rPr>
      </w:pPr>
      <w:r w:rsidRPr="00932E68">
        <w:rPr>
          <w:rFonts w:eastAsia="Times New Roman"/>
          <w:sz w:val="24"/>
          <w:szCs w:val="24"/>
        </w:rPr>
        <w:t>Kids in Focus – Family Drug Support (</w:t>
      </w:r>
      <w:proofErr w:type="spellStart"/>
      <w:r w:rsidRPr="00932E68">
        <w:rPr>
          <w:rFonts w:eastAsia="Times New Roman"/>
          <w:sz w:val="24"/>
          <w:szCs w:val="24"/>
        </w:rPr>
        <w:t>KiF</w:t>
      </w:r>
      <w:proofErr w:type="spellEnd"/>
      <w:r w:rsidRPr="00932E68">
        <w:rPr>
          <w:rFonts w:eastAsia="Times New Roman"/>
          <w:sz w:val="24"/>
          <w:szCs w:val="24"/>
        </w:rPr>
        <w:t>)</w:t>
      </w:r>
    </w:p>
    <w:p w:rsidR="00A53BDA" w:rsidRPr="00932E68" w:rsidRDefault="00A53BDA" w:rsidP="008E31EC">
      <w:pPr>
        <w:pStyle w:val="ListParagraph"/>
        <w:numPr>
          <w:ilvl w:val="1"/>
          <w:numId w:val="6"/>
        </w:numPr>
        <w:rPr>
          <w:rFonts w:eastAsia="Times New Roman"/>
          <w:sz w:val="24"/>
          <w:szCs w:val="24"/>
        </w:rPr>
      </w:pPr>
      <w:r w:rsidRPr="00932E68">
        <w:rPr>
          <w:rFonts w:eastAsia="Times New Roman"/>
          <w:sz w:val="24"/>
          <w:szCs w:val="24"/>
        </w:rPr>
        <w:t>Family Relationship Services for Humanitarian Entrants (FRSHE)</w:t>
      </w:r>
    </w:p>
    <w:p w:rsidR="00A53BDA" w:rsidRPr="00932E68" w:rsidRDefault="00A53BDA" w:rsidP="008E31EC">
      <w:pPr>
        <w:pStyle w:val="ListParagraph"/>
        <w:numPr>
          <w:ilvl w:val="1"/>
          <w:numId w:val="6"/>
        </w:numPr>
        <w:rPr>
          <w:rFonts w:eastAsia="Times New Roman"/>
          <w:sz w:val="24"/>
          <w:szCs w:val="24"/>
        </w:rPr>
      </w:pPr>
      <w:r w:rsidRPr="00932E68">
        <w:rPr>
          <w:rFonts w:eastAsia="Times New Roman"/>
          <w:sz w:val="24"/>
          <w:szCs w:val="24"/>
        </w:rPr>
        <w:t>Specialised Family Violence Services (SFVS)</w:t>
      </w:r>
    </w:p>
    <w:p w:rsidR="00A53BDA" w:rsidRPr="00932E68" w:rsidRDefault="00A53BDA" w:rsidP="008E31EC">
      <w:pPr>
        <w:pStyle w:val="ListParagraph"/>
        <w:numPr>
          <w:ilvl w:val="0"/>
          <w:numId w:val="6"/>
        </w:numPr>
        <w:rPr>
          <w:rFonts w:eastAsia="Times New Roman"/>
          <w:sz w:val="24"/>
          <w:szCs w:val="24"/>
        </w:rPr>
      </w:pPr>
      <w:r w:rsidRPr="00932E68">
        <w:rPr>
          <w:rFonts w:eastAsia="Times New Roman"/>
          <w:sz w:val="24"/>
          <w:szCs w:val="24"/>
        </w:rPr>
        <w:t>Family Law Services (FLS)</w:t>
      </w:r>
    </w:p>
    <w:p w:rsidR="00A53BDA" w:rsidRPr="00932E68" w:rsidRDefault="00A53BDA" w:rsidP="008E31EC">
      <w:pPr>
        <w:pStyle w:val="ListParagraph"/>
        <w:numPr>
          <w:ilvl w:val="1"/>
          <w:numId w:val="6"/>
        </w:numPr>
        <w:rPr>
          <w:rFonts w:eastAsia="Times New Roman"/>
          <w:sz w:val="24"/>
          <w:szCs w:val="24"/>
        </w:rPr>
      </w:pPr>
      <w:r w:rsidRPr="00932E68">
        <w:rPr>
          <w:rFonts w:eastAsia="Times New Roman"/>
          <w:sz w:val="24"/>
          <w:szCs w:val="24"/>
        </w:rPr>
        <w:t>Children’s Contact Services (CCS)</w:t>
      </w:r>
    </w:p>
    <w:p w:rsidR="00A53BDA" w:rsidRPr="00932E68" w:rsidRDefault="00A53BDA" w:rsidP="008E31EC">
      <w:pPr>
        <w:pStyle w:val="ListParagraph"/>
        <w:numPr>
          <w:ilvl w:val="1"/>
          <w:numId w:val="6"/>
        </w:numPr>
        <w:rPr>
          <w:rFonts w:eastAsia="Times New Roman"/>
          <w:sz w:val="24"/>
          <w:szCs w:val="24"/>
        </w:rPr>
      </w:pPr>
      <w:r w:rsidRPr="00932E68">
        <w:rPr>
          <w:rFonts w:eastAsia="Times New Roman"/>
          <w:sz w:val="24"/>
          <w:szCs w:val="24"/>
        </w:rPr>
        <w:t>Family Dispute Resolution/Regional Family Dispute Resolution (FDR/RFDR)</w:t>
      </w:r>
    </w:p>
    <w:p w:rsidR="00A53BDA" w:rsidRPr="00932E68" w:rsidRDefault="00A53BDA" w:rsidP="008E31EC">
      <w:pPr>
        <w:pStyle w:val="ListParagraph"/>
        <w:numPr>
          <w:ilvl w:val="1"/>
          <w:numId w:val="6"/>
        </w:numPr>
        <w:rPr>
          <w:rFonts w:eastAsia="Times New Roman"/>
          <w:sz w:val="24"/>
          <w:szCs w:val="24"/>
        </w:rPr>
      </w:pPr>
      <w:r w:rsidRPr="00932E68">
        <w:rPr>
          <w:rFonts w:eastAsia="Times New Roman"/>
          <w:sz w:val="24"/>
          <w:szCs w:val="24"/>
        </w:rPr>
        <w:t xml:space="preserve">Family Relationship Centres (FRC) </w:t>
      </w:r>
    </w:p>
    <w:p w:rsidR="00A53BDA" w:rsidRPr="00932E68" w:rsidRDefault="00A53BDA" w:rsidP="008E31EC">
      <w:pPr>
        <w:pStyle w:val="ListParagraph"/>
        <w:numPr>
          <w:ilvl w:val="1"/>
          <w:numId w:val="6"/>
        </w:numPr>
        <w:rPr>
          <w:rFonts w:eastAsia="Times New Roman"/>
          <w:sz w:val="24"/>
          <w:szCs w:val="24"/>
        </w:rPr>
      </w:pPr>
      <w:r w:rsidRPr="00932E68">
        <w:rPr>
          <w:rFonts w:eastAsia="Times New Roman"/>
          <w:sz w:val="24"/>
          <w:szCs w:val="24"/>
        </w:rPr>
        <w:t>Parenting Orders Program (POP)</w:t>
      </w:r>
    </w:p>
    <w:p w:rsidR="00A53BDA" w:rsidRPr="00932E68" w:rsidRDefault="00A53BDA" w:rsidP="008E31EC">
      <w:pPr>
        <w:pStyle w:val="ListParagraph"/>
        <w:numPr>
          <w:ilvl w:val="1"/>
          <w:numId w:val="6"/>
        </w:numPr>
        <w:rPr>
          <w:rFonts w:eastAsia="Times New Roman"/>
          <w:sz w:val="24"/>
          <w:szCs w:val="24"/>
        </w:rPr>
      </w:pPr>
      <w:r w:rsidRPr="00932E68">
        <w:rPr>
          <w:rFonts w:eastAsia="Times New Roman"/>
          <w:sz w:val="24"/>
          <w:szCs w:val="24"/>
        </w:rPr>
        <w:t>Post Separation Co-operative Parenting (PSCP)</w:t>
      </w:r>
    </w:p>
    <w:p w:rsidR="00A53BDA" w:rsidRPr="00932E68" w:rsidRDefault="00A53BDA" w:rsidP="008E31EC">
      <w:pPr>
        <w:pStyle w:val="ListParagraph"/>
        <w:numPr>
          <w:ilvl w:val="1"/>
          <w:numId w:val="6"/>
        </w:numPr>
        <w:rPr>
          <w:rFonts w:eastAsia="Times New Roman"/>
          <w:sz w:val="24"/>
          <w:szCs w:val="24"/>
        </w:rPr>
      </w:pPr>
      <w:r w:rsidRPr="00932E68">
        <w:rPr>
          <w:rFonts w:eastAsia="Times New Roman"/>
          <w:sz w:val="24"/>
          <w:szCs w:val="24"/>
        </w:rPr>
        <w:t>Supporting Children After Separation Program (SCASP)</w:t>
      </w:r>
    </w:p>
    <w:p w:rsidR="00A53BDA" w:rsidRPr="00932E68" w:rsidRDefault="00A53BDA" w:rsidP="00A53BDA">
      <w:pPr>
        <w:rPr>
          <w:rFonts w:eastAsia="Times New Roman"/>
          <w:sz w:val="24"/>
          <w:szCs w:val="24"/>
          <w:lang w:eastAsia="en-AU"/>
        </w:rPr>
      </w:pPr>
      <w:r w:rsidRPr="00932E68">
        <w:rPr>
          <w:rFonts w:eastAsia="Times New Roman"/>
          <w:sz w:val="24"/>
          <w:szCs w:val="24"/>
          <w:lang w:eastAsia="en-AU"/>
        </w:rPr>
        <w:t>The following services submit aggregated client d</w:t>
      </w:r>
      <w:r w:rsidR="000D00AD" w:rsidRPr="00932E68">
        <w:rPr>
          <w:rFonts w:eastAsia="Times New Roman"/>
          <w:sz w:val="24"/>
          <w:szCs w:val="24"/>
          <w:lang w:eastAsia="en-AU"/>
        </w:rPr>
        <w:t xml:space="preserve">ata to the </w:t>
      </w:r>
      <w:r w:rsidR="00CB6F90" w:rsidRPr="00932E68">
        <w:rPr>
          <w:rFonts w:eastAsia="Times New Roman"/>
          <w:sz w:val="24"/>
          <w:szCs w:val="24"/>
          <w:lang w:eastAsia="en-AU"/>
        </w:rPr>
        <w:t>Department</w:t>
      </w:r>
      <w:r w:rsidR="000D00AD" w:rsidRPr="00932E68">
        <w:rPr>
          <w:rFonts w:eastAsia="Times New Roman"/>
          <w:sz w:val="24"/>
          <w:szCs w:val="24"/>
          <w:lang w:eastAsia="en-AU"/>
        </w:rPr>
        <w:t xml:space="preserve"> in February a</w:t>
      </w:r>
      <w:r w:rsidRPr="00932E68">
        <w:rPr>
          <w:rFonts w:eastAsia="Times New Roman"/>
          <w:sz w:val="24"/>
          <w:szCs w:val="24"/>
          <w:lang w:eastAsia="en-AU"/>
        </w:rPr>
        <w:t xml:space="preserve">nd July each year via a </w:t>
      </w:r>
      <w:proofErr w:type="spellStart"/>
      <w:r w:rsidRPr="00932E68">
        <w:rPr>
          <w:rFonts w:eastAsia="Times New Roman"/>
          <w:sz w:val="24"/>
          <w:szCs w:val="24"/>
          <w:lang w:eastAsia="en-AU"/>
        </w:rPr>
        <w:t>SmartForm</w:t>
      </w:r>
      <w:proofErr w:type="spellEnd"/>
      <w:r w:rsidRPr="00932E68">
        <w:rPr>
          <w:rFonts w:eastAsia="Times New Roman"/>
          <w:sz w:val="24"/>
          <w:szCs w:val="24"/>
          <w:lang w:eastAsia="en-AU"/>
        </w:rPr>
        <w:t>:</w:t>
      </w:r>
    </w:p>
    <w:p w:rsidR="00A53BDA" w:rsidRPr="00932E68" w:rsidRDefault="00A53BDA" w:rsidP="008E31EC">
      <w:pPr>
        <w:pStyle w:val="ListParagraph"/>
        <w:numPr>
          <w:ilvl w:val="0"/>
          <w:numId w:val="7"/>
        </w:numPr>
        <w:rPr>
          <w:rFonts w:eastAsia="Times New Roman"/>
          <w:sz w:val="24"/>
          <w:szCs w:val="24"/>
        </w:rPr>
      </w:pPr>
      <w:r w:rsidRPr="00932E68">
        <w:rPr>
          <w:rFonts w:eastAsia="Times New Roman"/>
          <w:sz w:val="24"/>
          <w:szCs w:val="24"/>
        </w:rPr>
        <w:t>Communities for Children</w:t>
      </w:r>
    </w:p>
    <w:p w:rsidR="00A53BDA" w:rsidRPr="00932E68" w:rsidRDefault="00A53BDA" w:rsidP="008E31EC">
      <w:pPr>
        <w:pStyle w:val="ListParagraph"/>
        <w:numPr>
          <w:ilvl w:val="1"/>
          <w:numId w:val="7"/>
        </w:numPr>
        <w:rPr>
          <w:rFonts w:eastAsia="Times New Roman"/>
          <w:sz w:val="24"/>
          <w:szCs w:val="24"/>
        </w:rPr>
      </w:pPr>
      <w:r w:rsidRPr="00932E68">
        <w:rPr>
          <w:rFonts w:eastAsia="Times New Roman"/>
          <w:sz w:val="24"/>
          <w:szCs w:val="24"/>
        </w:rPr>
        <w:t>Direct Services</w:t>
      </w:r>
    </w:p>
    <w:p w:rsidR="00A53BDA" w:rsidRPr="00932E68" w:rsidRDefault="00A53BDA" w:rsidP="008E31EC">
      <w:pPr>
        <w:pStyle w:val="ListParagraph"/>
        <w:numPr>
          <w:ilvl w:val="1"/>
          <w:numId w:val="7"/>
        </w:numPr>
        <w:rPr>
          <w:rFonts w:eastAsia="Times New Roman"/>
          <w:sz w:val="24"/>
          <w:szCs w:val="24"/>
        </w:rPr>
      </w:pPr>
      <w:r w:rsidRPr="00932E68">
        <w:rPr>
          <w:rFonts w:eastAsia="Times New Roman"/>
          <w:sz w:val="24"/>
          <w:szCs w:val="24"/>
        </w:rPr>
        <w:t>Indigenous Parenting Services (including Indigenous Family Support Services)</w:t>
      </w:r>
    </w:p>
    <w:p w:rsidR="00A53BDA" w:rsidRPr="00932E68" w:rsidRDefault="00A53BDA" w:rsidP="008E31EC">
      <w:pPr>
        <w:pStyle w:val="ListParagraph"/>
        <w:numPr>
          <w:ilvl w:val="1"/>
          <w:numId w:val="7"/>
        </w:numPr>
        <w:rPr>
          <w:rFonts w:eastAsia="Times New Roman"/>
          <w:sz w:val="24"/>
          <w:szCs w:val="24"/>
        </w:rPr>
      </w:pPr>
      <w:r w:rsidRPr="00932E68">
        <w:rPr>
          <w:rFonts w:eastAsia="Times New Roman"/>
          <w:sz w:val="24"/>
          <w:szCs w:val="24"/>
        </w:rPr>
        <w:t xml:space="preserve">Facilitating Partners (FP) </w:t>
      </w:r>
    </w:p>
    <w:p w:rsidR="00A53BDA" w:rsidRPr="00932E68" w:rsidRDefault="00A53BDA" w:rsidP="008E31EC">
      <w:pPr>
        <w:pStyle w:val="ListParagraph"/>
        <w:numPr>
          <w:ilvl w:val="0"/>
          <w:numId w:val="7"/>
        </w:numPr>
        <w:rPr>
          <w:rFonts w:eastAsia="Times New Roman"/>
          <w:sz w:val="24"/>
          <w:szCs w:val="24"/>
        </w:rPr>
      </w:pPr>
      <w:r w:rsidRPr="00932E68">
        <w:rPr>
          <w:rFonts w:eastAsia="Times New Roman"/>
          <w:sz w:val="24"/>
          <w:szCs w:val="24"/>
        </w:rPr>
        <w:t>Community Playgroups</w:t>
      </w:r>
    </w:p>
    <w:p w:rsidR="00A53BDA" w:rsidRPr="00932E68" w:rsidRDefault="00A53BDA" w:rsidP="008E31EC">
      <w:pPr>
        <w:pStyle w:val="ListParagraph"/>
        <w:numPr>
          <w:ilvl w:val="0"/>
          <w:numId w:val="7"/>
        </w:numPr>
        <w:rPr>
          <w:rFonts w:eastAsia="Times New Roman"/>
          <w:sz w:val="24"/>
          <w:szCs w:val="24"/>
        </w:rPr>
      </w:pPr>
      <w:r w:rsidRPr="00932E68">
        <w:rPr>
          <w:rFonts w:eastAsia="Times New Roman"/>
          <w:sz w:val="24"/>
          <w:szCs w:val="24"/>
        </w:rPr>
        <w:t xml:space="preserve">Find and Connect </w:t>
      </w:r>
      <w:r w:rsidR="00F04D4C" w:rsidRPr="00932E68">
        <w:rPr>
          <w:rStyle w:val="FootnoteReference"/>
          <w:rFonts w:eastAsia="Times New Roman"/>
          <w:sz w:val="24"/>
          <w:szCs w:val="24"/>
        </w:rPr>
        <w:footnoteReference w:id="3"/>
      </w:r>
    </w:p>
    <w:p w:rsidR="00A53BDA" w:rsidRPr="00932E68" w:rsidRDefault="00A53BDA" w:rsidP="00A53BDA">
      <w:pPr>
        <w:rPr>
          <w:rFonts w:eastAsia="Times New Roman"/>
          <w:sz w:val="24"/>
          <w:szCs w:val="24"/>
        </w:rPr>
      </w:pPr>
      <w:r w:rsidRPr="00932E68">
        <w:rPr>
          <w:rFonts w:eastAsia="Times New Roman"/>
          <w:sz w:val="24"/>
          <w:szCs w:val="24"/>
        </w:rPr>
        <w:t>Communities for Children Facilitating Partner services participating in the 10 BAFW trial sites also</w:t>
      </w:r>
      <w:r w:rsidR="00F04D4C" w:rsidRPr="00932E68">
        <w:rPr>
          <w:rFonts w:eastAsia="Times New Roman"/>
          <w:sz w:val="24"/>
          <w:szCs w:val="24"/>
        </w:rPr>
        <w:t xml:space="preserve"> </w:t>
      </w:r>
      <w:r w:rsidRPr="00932E68">
        <w:rPr>
          <w:rFonts w:eastAsia="Times New Roman"/>
          <w:sz w:val="24"/>
          <w:szCs w:val="24"/>
        </w:rPr>
        <w:t xml:space="preserve">submit client and activity data on a monthly basis to the </w:t>
      </w:r>
      <w:r w:rsidR="00CB6F90" w:rsidRPr="00932E68">
        <w:rPr>
          <w:rFonts w:eastAsia="Times New Roman"/>
          <w:sz w:val="24"/>
          <w:szCs w:val="24"/>
        </w:rPr>
        <w:t>Department</w:t>
      </w:r>
      <w:r w:rsidRPr="00932E68">
        <w:rPr>
          <w:rFonts w:eastAsia="Times New Roman"/>
          <w:sz w:val="24"/>
          <w:szCs w:val="24"/>
        </w:rPr>
        <w:t>.</w:t>
      </w:r>
    </w:p>
    <w:p w:rsidR="00A53BDA" w:rsidRPr="00932E68" w:rsidRDefault="00F04D4C" w:rsidP="00A53BDA">
      <w:pPr>
        <w:rPr>
          <w:rFonts w:eastAsia="Times New Roman"/>
          <w:sz w:val="24"/>
          <w:szCs w:val="24"/>
        </w:rPr>
      </w:pPr>
      <w:r w:rsidRPr="00932E68">
        <w:rPr>
          <w:rFonts w:eastAsia="Times New Roman"/>
          <w:sz w:val="24"/>
          <w:szCs w:val="24"/>
        </w:rPr>
        <w:t>T</w:t>
      </w:r>
      <w:r w:rsidR="00A53BDA" w:rsidRPr="00932E68">
        <w:rPr>
          <w:rFonts w:eastAsia="Times New Roman"/>
          <w:sz w:val="24"/>
          <w:szCs w:val="24"/>
        </w:rPr>
        <w:t xml:space="preserve">his document reports on each service </w:t>
      </w:r>
      <w:proofErr w:type="gramStart"/>
      <w:r w:rsidR="00A53BDA" w:rsidRPr="00932E68">
        <w:rPr>
          <w:rFonts w:eastAsia="Times New Roman"/>
          <w:sz w:val="24"/>
          <w:szCs w:val="24"/>
        </w:rPr>
        <w:t>type,</w:t>
      </w:r>
      <w:proofErr w:type="gramEnd"/>
      <w:r w:rsidR="00A53BDA" w:rsidRPr="00932E68">
        <w:rPr>
          <w:rFonts w:eastAsia="Times New Roman"/>
          <w:sz w:val="24"/>
          <w:szCs w:val="24"/>
        </w:rPr>
        <w:t xml:space="preserve"> or group of service types individually.  Although information is presented in a similar format wherever possible, it should be remembered that the different types of data collection methods make it impossible to draw conclusions when comparing different service types.</w:t>
      </w:r>
    </w:p>
    <w:p w:rsidR="00932E68" w:rsidRDefault="00932E68">
      <w:pPr>
        <w:rPr>
          <w:rFonts w:eastAsia="Times New Roman"/>
        </w:rPr>
      </w:pPr>
      <w:r>
        <w:rPr>
          <w:rFonts w:eastAsia="Times New Roman"/>
        </w:rPr>
        <w:br w:type="page"/>
      </w:r>
    </w:p>
    <w:p w:rsidR="00A53BDA" w:rsidRDefault="00A53BDA" w:rsidP="00A53BDA">
      <w:pPr>
        <w:rPr>
          <w:rFonts w:eastAsia="Times New Roman"/>
        </w:rPr>
      </w:pPr>
    </w:p>
    <w:p w:rsidR="00A53BDA" w:rsidRPr="00A53BDA" w:rsidRDefault="00A53BDA" w:rsidP="00A53BDA">
      <w:pPr>
        <w:pStyle w:val="Heading2"/>
        <w:rPr>
          <w:rFonts w:eastAsia="Times New Roman"/>
          <w:lang w:eastAsia="en-AU"/>
        </w:rPr>
      </w:pPr>
      <w:bookmarkStart w:id="55" w:name="_Toc338944754"/>
      <w:bookmarkStart w:id="56" w:name="_Toc338945045"/>
      <w:bookmarkStart w:id="57" w:name="_Toc338945372"/>
      <w:bookmarkStart w:id="58" w:name="_Toc338945625"/>
      <w:bookmarkStart w:id="59" w:name="_Toc341705897"/>
      <w:r w:rsidRPr="00A53BDA">
        <w:rPr>
          <w:rFonts w:eastAsia="Times New Roman"/>
          <w:lang w:eastAsia="en-AU"/>
        </w:rPr>
        <w:t>Family Support Program (All serv</w:t>
      </w:r>
      <w:r w:rsidR="002417F0">
        <w:rPr>
          <w:rFonts w:eastAsia="Times New Roman"/>
          <w:lang w:eastAsia="en-AU"/>
        </w:rPr>
        <w:t>ices c</w:t>
      </w:r>
      <w:r w:rsidRPr="00A53BDA">
        <w:rPr>
          <w:rFonts w:eastAsia="Times New Roman"/>
          <w:lang w:eastAsia="en-AU"/>
        </w:rPr>
        <w:t>ombined)</w:t>
      </w:r>
      <w:bookmarkEnd w:id="55"/>
      <w:bookmarkEnd w:id="56"/>
      <w:bookmarkEnd w:id="57"/>
      <w:bookmarkEnd w:id="58"/>
      <w:bookmarkEnd w:id="59"/>
    </w:p>
    <w:p w:rsidR="00A53BDA" w:rsidRPr="00A53BDA" w:rsidRDefault="00A53BDA" w:rsidP="00A53BDA">
      <w:pPr>
        <w:pStyle w:val="Heading3"/>
        <w:rPr>
          <w:rFonts w:eastAsia="Times New Roman"/>
          <w:lang w:eastAsia="en-AU"/>
        </w:rPr>
      </w:pPr>
      <w:bookmarkStart w:id="60" w:name="_Toc338944755"/>
      <w:bookmarkStart w:id="61" w:name="_Toc338945046"/>
      <w:bookmarkStart w:id="62" w:name="_Toc338945373"/>
      <w:bookmarkStart w:id="63" w:name="_Toc338945626"/>
      <w:bookmarkStart w:id="64" w:name="_Toc341705898"/>
      <w:r w:rsidRPr="00A53BDA">
        <w:rPr>
          <w:rFonts w:eastAsia="Times New Roman"/>
          <w:lang w:eastAsia="en-AU"/>
        </w:rPr>
        <w:t>FSP client numbers</w:t>
      </w:r>
      <w:bookmarkEnd w:id="60"/>
      <w:bookmarkEnd w:id="61"/>
      <w:bookmarkEnd w:id="62"/>
      <w:bookmarkEnd w:id="63"/>
      <w:bookmarkEnd w:id="64"/>
    </w:p>
    <w:p w:rsidR="009C0D63" w:rsidRPr="00932E68" w:rsidRDefault="00470441" w:rsidP="00142765">
      <w:pPr>
        <w:rPr>
          <w:rFonts w:eastAsia="Times New Roman"/>
          <w:sz w:val="24"/>
          <w:szCs w:val="24"/>
        </w:rPr>
      </w:pPr>
      <w:r w:rsidRPr="00932E68">
        <w:rPr>
          <w:rFonts w:eastAsia="Times New Roman"/>
          <w:sz w:val="24"/>
          <w:szCs w:val="24"/>
        </w:rPr>
        <w:t xml:space="preserve">For the 2011-12 financial year, </w:t>
      </w:r>
      <w:r w:rsidR="006A6B34" w:rsidRPr="00932E68">
        <w:rPr>
          <w:rFonts w:eastAsia="Times New Roman"/>
          <w:sz w:val="24"/>
          <w:szCs w:val="24"/>
        </w:rPr>
        <w:t xml:space="preserve">CfC FP recorded the highest number of </w:t>
      </w:r>
      <w:r w:rsidR="00A53BDA" w:rsidRPr="00932E68">
        <w:rPr>
          <w:rFonts w:eastAsia="Times New Roman"/>
          <w:sz w:val="24"/>
          <w:szCs w:val="24"/>
        </w:rPr>
        <w:t>clients</w:t>
      </w:r>
      <w:r w:rsidR="00516C1A" w:rsidRPr="00932E68">
        <w:rPr>
          <w:rStyle w:val="FootnoteReference"/>
          <w:rFonts w:eastAsia="Times New Roman"/>
          <w:sz w:val="24"/>
          <w:szCs w:val="24"/>
        </w:rPr>
        <w:footnoteReference w:id="4"/>
      </w:r>
      <w:r w:rsidR="00A53BDA" w:rsidRPr="00932E68">
        <w:rPr>
          <w:rFonts w:eastAsia="Times New Roman"/>
          <w:sz w:val="24"/>
          <w:szCs w:val="24"/>
        </w:rPr>
        <w:t xml:space="preserve"> </w:t>
      </w:r>
      <w:r w:rsidR="008432A4" w:rsidRPr="00932E68">
        <w:rPr>
          <w:rFonts w:eastAsia="Times New Roman"/>
          <w:sz w:val="24"/>
          <w:szCs w:val="24"/>
        </w:rPr>
        <w:t xml:space="preserve">assisted </w:t>
      </w:r>
      <w:r w:rsidR="006A6B34" w:rsidRPr="00932E68">
        <w:rPr>
          <w:rFonts w:eastAsia="Times New Roman"/>
          <w:sz w:val="24"/>
          <w:szCs w:val="24"/>
        </w:rPr>
        <w:t>(226,816</w:t>
      </w:r>
      <w:r w:rsidR="00CE3319" w:rsidRPr="00932E68">
        <w:rPr>
          <w:rFonts w:eastAsia="Times New Roman"/>
          <w:sz w:val="24"/>
          <w:szCs w:val="24"/>
        </w:rPr>
        <w:t xml:space="preserve"> or 25% of total FSP clients</w:t>
      </w:r>
      <w:r w:rsidR="006A6B34" w:rsidRPr="00932E68">
        <w:rPr>
          <w:rFonts w:eastAsia="Times New Roman"/>
          <w:sz w:val="24"/>
          <w:szCs w:val="24"/>
        </w:rPr>
        <w:t>)</w:t>
      </w:r>
      <w:r w:rsidR="008432A4" w:rsidRPr="00932E68">
        <w:rPr>
          <w:rFonts w:eastAsia="Times New Roman"/>
          <w:sz w:val="24"/>
          <w:szCs w:val="24"/>
        </w:rPr>
        <w:t xml:space="preserve">, followed by </w:t>
      </w:r>
      <w:r w:rsidR="00B93C78">
        <w:rPr>
          <w:rFonts w:eastAsia="Times New Roman"/>
          <w:sz w:val="24"/>
          <w:szCs w:val="24"/>
        </w:rPr>
        <w:t xml:space="preserve">Community Playgroups with </w:t>
      </w:r>
      <w:r w:rsidR="008432A4" w:rsidRPr="00932E68">
        <w:rPr>
          <w:rFonts w:eastAsia="Times New Roman"/>
          <w:sz w:val="24"/>
          <w:szCs w:val="24"/>
        </w:rPr>
        <w:t>189,439 clients</w:t>
      </w:r>
      <w:r w:rsidR="00CE3319" w:rsidRPr="00932E68">
        <w:rPr>
          <w:rFonts w:eastAsia="Times New Roman"/>
          <w:sz w:val="24"/>
          <w:szCs w:val="24"/>
        </w:rPr>
        <w:t xml:space="preserve"> (20.9%)</w:t>
      </w:r>
      <w:r w:rsidR="00FD546C" w:rsidRPr="00932E68">
        <w:rPr>
          <w:rFonts w:eastAsia="Times New Roman"/>
          <w:sz w:val="24"/>
          <w:szCs w:val="24"/>
        </w:rPr>
        <w:t xml:space="preserve">. </w:t>
      </w:r>
      <w:r w:rsidR="008432A4" w:rsidRPr="00932E68">
        <w:rPr>
          <w:rFonts w:eastAsia="Times New Roman"/>
          <w:sz w:val="24"/>
          <w:szCs w:val="24"/>
        </w:rPr>
        <w:t xml:space="preserve"> </w:t>
      </w:r>
      <w:r w:rsidR="0064648E" w:rsidRPr="00932E68">
        <w:rPr>
          <w:rFonts w:eastAsia="Times New Roman"/>
          <w:sz w:val="24"/>
          <w:szCs w:val="24"/>
        </w:rPr>
        <w:t>This is most likely due to these service ty</w:t>
      </w:r>
      <w:r w:rsidR="00F649B0" w:rsidRPr="00932E68">
        <w:rPr>
          <w:rFonts w:eastAsia="Times New Roman"/>
          <w:sz w:val="24"/>
          <w:szCs w:val="24"/>
        </w:rPr>
        <w:t>pes providing</w:t>
      </w:r>
      <w:r w:rsidR="00B93C78">
        <w:rPr>
          <w:rFonts w:eastAsia="Times New Roman"/>
          <w:sz w:val="24"/>
          <w:szCs w:val="24"/>
        </w:rPr>
        <w:t xml:space="preserve"> predominantly </w:t>
      </w:r>
      <w:r w:rsidR="00F649B0" w:rsidRPr="00932E68">
        <w:rPr>
          <w:rFonts w:eastAsia="Times New Roman"/>
          <w:sz w:val="24"/>
          <w:szCs w:val="24"/>
        </w:rPr>
        <w:t xml:space="preserve">universal </w:t>
      </w:r>
      <w:r w:rsidR="00B93C78">
        <w:rPr>
          <w:rFonts w:eastAsia="Times New Roman"/>
          <w:sz w:val="24"/>
          <w:szCs w:val="24"/>
        </w:rPr>
        <w:t xml:space="preserve">services with the broadest reach </w:t>
      </w:r>
      <w:r w:rsidR="00F649B0" w:rsidRPr="00932E68">
        <w:rPr>
          <w:rFonts w:eastAsia="Times New Roman"/>
          <w:sz w:val="24"/>
          <w:szCs w:val="24"/>
        </w:rPr>
        <w:t xml:space="preserve">rather than </w:t>
      </w:r>
      <w:r w:rsidR="0064648E" w:rsidRPr="00932E68">
        <w:rPr>
          <w:rFonts w:eastAsia="Times New Roman"/>
          <w:sz w:val="24"/>
          <w:szCs w:val="24"/>
        </w:rPr>
        <w:t>tar</w:t>
      </w:r>
      <w:r w:rsidR="00F649B0" w:rsidRPr="00932E68">
        <w:rPr>
          <w:rFonts w:eastAsia="Times New Roman"/>
          <w:sz w:val="24"/>
          <w:szCs w:val="24"/>
        </w:rPr>
        <w:t>geted services</w:t>
      </w:r>
      <w:r w:rsidR="00B93C78">
        <w:rPr>
          <w:rFonts w:eastAsia="Times New Roman"/>
          <w:sz w:val="24"/>
          <w:szCs w:val="24"/>
        </w:rPr>
        <w:t>.</w:t>
      </w:r>
      <w:r w:rsidR="0064648E" w:rsidRPr="00932E68">
        <w:rPr>
          <w:rFonts w:eastAsia="Times New Roman"/>
          <w:sz w:val="24"/>
          <w:szCs w:val="24"/>
        </w:rPr>
        <w:t xml:space="preserve">  </w:t>
      </w:r>
      <w:r w:rsidR="00F649B0" w:rsidRPr="00932E68">
        <w:rPr>
          <w:rFonts w:eastAsia="Times New Roman"/>
          <w:sz w:val="24"/>
          <w:szCs w:val="24"/>
        </w:rPr>
        <w:t>FaRS, FLS,</w:t>
      </w:r>
      <w:r w:rsidRPr="00932E68">
        <w:rPr>
          <w:rFonts w:eastAsia="Times New Roman"/>
          <w:sz w:val="24"/>
          <w:szCs w:val="24"/>
        </w:rPr>
        <w:t xml:space="preserve"> </w:t>
      </w:r>
      <w:proofErr w:type="gramStart"/>
      <w:r w:rsidR="00F649B0" w:rsidRPr="00932E68">
        <w:rPr>
          <w:rFonts w:eastAsia="Times New Roman"/>
          <w:sz w:val="24"/>
          <w:szCs w:val="24"/>
        </w:rPr>
        <w:t>CfC</w:t>
      </w:r>
      <w:proofErr w:type="gramEnd"/>
      <w:r w:rsidR="00F649B0" w:rsidRPr="00932E68">
        <w:rPr>
          <w:rFonts w:eastAsia="Times New Roman"/>
          <w:sz w:val="24"/>
          <w:szCs w:val="24"/>
        </w:rPr>
        <w:t xml:space="preserve"> Direct, and </w:t>
      </w:r>
      <w:r w:rsidR="00A53BDA" w:rsidRPr="00932E68">
        <w:rPr>
          <w:rFonts w:eastAsia="Times New Roman"/>
          <w:sz w:val="24"/>
          <w:szCs w:val="24"/>
        </w:rPr>
        <w:t>CfC IPS</w:t>
      </w:r>
      <w:r w:rsidR="00F649B0" w:rsidRPr="00932E68">
        <w:rPr>
          <w:rFonts w:eastAsia="Times New Roman"/>
          <w:sz w:val="24"/>
          <w:szCs w:val="24"/>
        </w:rPr>
        <w:t xml:space="preserve"> service providers assisted 175,822</w:t>
      </w:r>
      <w:r w:rsidR="00E72744" w:rsidRPr="00932E68">
        <w:rPr>
          <w:rFonts w:eastAsia="Times New Roman"/>
          <w:sz w:val="24"/>
          <w:szCs w:val="24"/>
        </w:rPr>
        <w:t xml:space="preserve"> (19.4%)</w:t>
      </w:r>
      <w:r w:rsidR="00F649B0" w:rsidRPr="00932E68">
        <w:rPr>
          <w:rFonts w:eastAsia="Times New Roman"/>
          <w:sz w:val="24"/>
          <w:szCs w:val="24"/>
        </w:rPr>
        <w:t>, 146,920</w:t>
      </w:r>
      <w:r w:rsidR="00E72744" w:rsidRPr="00932E68">
        <w:rPr>
          <w:rFonts w:eastAsia="Times New Roman"/>
          <w:sz w:val="24"/>
          <w:szCs w:val="24"/>
        </w:rPr>
        <w:t xml:space="preserve"> (16.2%)</w:t>
      </w:r>
      <w:r w:rsidR="00F649B0" w:rsidRPr="00932E68">
        <w:rPr>
          <w:rFonts w:eastAsia="Times New Roman"/>
          <w:sz w:val="24"/>
          <w:szCs w:val="24"/>
        </w:rPr>
        <w:t>, 112,416</w:t>
      </w:r>
      <w:r w:rsidR="00E72744" w:rsidRPr="00932E68">
        <w:rPr>
          <w:rFonts w:eastAsia="Times New Roman"/>
          <w:sz w:val="24"/>
          <w:szCs w:val="24"/>
        </w:rPr>
        <w:t xml:space="preserve"> (12.4%)</w:t>
      </w:r>
      <w:r w:rsidR="00F649B0" w:rsidRPr="00932E68">
        <w:rPr>
          <w:rFonts w:eastAsia="Times New Roman"/>
          <w:sz w:val="24"/>
          <w:szCs w:val="24"/>
        </w:rPr>
        <w:t xml:space="preserve"> and 38,189 clients</w:t>
      </w:r>
      <w:r w:rsidR="00E72744" w:rsidRPr="00932E68">
        <w:rPr>
          <w:rFonts w:eastAsia="Times New Roman"/>
          <w:sz w:val="24"/>
          <w:szCs w:val="24"/>
        </w:rPr>
        <w:t xml:space="preserve"> (4.2%)</w:t>
      </w:r>
      <w:r w:rsidR="00F649B0" w:rsidRPr="00932E68">
        <w:rPr>
          <w:rFonts w:eastAsia="Times New Roman"/>
          <w:sz w:val="24"/>
          <w:szCs w:val="24"/>
        </w:rPr>
        <w:t xml:space="preserve"> respectively.  These service types provide targeted and intensive services </w:t>
      </w:r>
      <w:r w:rsidR="00CE3319" w:rsidRPr="00932E68">
        <w:rPr>
          <w:rFonts w:eastAsia="Times New Roman"/>
          <w:sz w:val="24"/>
          <w:szCs w:val="24"/>
        </w:rPr>
        <w:t xml:space="preserve">to clients, many of whom are in the high end of the </w:t>
      </w:r>
      <w:r w:rsidR="00B93C78">
        <w:rPr>
          <w:rFonts w:eastAsia="Times New Roman"/>
          <w:sz w:val="24"/>
          <w:szCs w:val="24"/>
        </w:rPr>
        <w:t>vulnerability</w:t>
      </w:r>
      <w:r w:rsidR="00B93C78" w:rsidRPr="00932E68">
        <w:rPr>
          <w:rFonts w:eastAsia="Times New Roman"/>
          <w:sz w:val="24"/>
          <w:szCs w:val="24"/>
        </w:rPr>
        <w:t xml:space="preserve"> </w:t>
      </w:r>
      <w:r w:rsidR="00CE3319" w:rsidRPr="00932E68">
        <w:rPr>
          <w:rFonts w:eastAsia="Times New Roman"/>
          <w:sz w:val="24"/>
          <w:szCs w:val="24"/>
        </w:rPr>
        <w:t>continuum.</w:t>
      </w:r>
    </w:p>
    <w:p w:rsidR="00A53BDA" w:rsidRPr="00932E68" w:rsidRDefault="0093708C" w:rsidP="00142765">
      <w:pPr>
        <w:rPr>
          <w:rFonts w:eastAsia="Times New Roman"/>
          <w:sz w:val="24"/>
          <w:szCs w:val="24"/>
        </w:rPr>
      </w:pPr>
      <w:r w:rsidRPr="00932E68">
        <w:rPr>
          <w:rFonts w:eastAsia="Times New Roman"/>
          <w:sz w:val="24"/>
          <w:szCs w:val="24"/>
        </w:rPr>
        <w:t>As shown in Chart</w:t>
      </w:r>
      <w:r w:rsidR="00932E68">
        <w:rPr>
          <w:rFonts w:eastAsia="Times New Roman"/>
          <w:sz w:val="24"/>
          <w:szCs w:val="24"/>
        </w:rPr>
        <w:t>s</w:t>
      </w:r>
      <w:r w:rsidRPr="00932E68">
        <w:rPr>
          <w:rFonts w:eastAsia="Times New Roman"/>
          <w:sz w:val="24"/>
          <w:szCs w:val="24"/>
        </w:rPr>
        <w:t xml:space="preserve"> 2.1 </w:t>
      </w:r>
      <w:r w:rsidR="00932E68">
        <w:rPr>
          <w:rFonts w:eastAsia="Times New Roman"/>
          <w:sz w:val="24"/>
          <w:szCs w:val="24"/>
        </w:rPr>
        <w:t xml:space="preserve">and 2.2 </w:t>
      </w:r>
      <w:r w:rsidRPr="00932E68">
        <w:rPr>
          <w:rFonts w:eastAsia="Times New Roman"/>
          <w:sz w:val="24"/>
          <w:szCs w:val="24"/>
        </w:rPr>
        <w:t xml:space="preserve">below, the lowest numbers of clients assisted were through the Specialist Services.  </w:t>
      </w:r>
      <w:r w:rsidR="00A53BDA" w:rsidRPr="00932E68">
        <w:rPr>
          <w:rFonts w:eastAsia="Times New Roman"/>
          <w:sz w:val="24"/>
          <w:szCs w:val="24"/>
        </w:rPr>
        <w:t>SS- SFV,</w:t>
      </w:r>
      <w:r w:rsidR="009C0D63" w:rsidRPr="00932E68">
        <w:rPr>
          <w:rFonts w:eastAsia="Times New Roman"/>
          <w:sz w:val="24"/>
          <w:szCs w:val="24"/>
        </w:rPr>
        <w:t xml:space="preserve"> SS-</w:t>
      </w:r>
      <w:proofErr w:type="spellStart"/>
      <w:r w:rsidR="009C0D63" w:rsidRPr="00932E68">
        <w:rPr>
          <w:rFonts w:eastAsia="Times New Roman"/>
          <w:sz w:val="24"/>
          <w:szCs w:val="24"/>
        </w:rPr>
        <w:t>KiF</w:t>
      </w:r>
      <w:proofErr w:type="spellEnd"/>
      <w:r w:rsidR="009C0D63" w:rsidRPr="00932E68">
        <w:rPr>
          <w:rFonts w:eastAsia="Times New Roman"/>
          <w:sz w:val="24"/>
          <w:szCs w:val="24"/>
        </w:rPr>
        <w:t xml:space="preserve"> and SS</w:t>
      </w:r>
      <w:r w:rsidR="009C0D63" w:rsidRPr="00932E68">
        <w:rPr>
          <w:rFonts w:eastAsia="Times New Roman"/>
          <w:sz w:val="24"/>
          <w:szCs w:val="24"/>
        </w:rPr>
        <w:noBreakHyphen/>
        <w:t>FRSHE assisted 10,573 (1.17</w:t>
      </w:r>
      <w:r w:rsidRPr="00932E68">
        <w:rPr>
          <w:rFonts w:eastAsia="Times New Roman"/>
          <w:sz w:val="24"/>
          <w:szCs w:val="24"/>
        </w:rPr>
        <w:t xml:space="preserve">%), </w:t>
      </w:r>
      <w:r w:rsidR="009C0D63" w:rsidRPr="00932E68">
        <w:rPr>
          <w:rFonts w:eastAsia="Times New Roman"/>
          <w:sz w:val="24"/>
          <w:szCs w:val="24"/>
        </w:rPr>
        <w:t xml:space="preserve">2,662 (0.29%) and </w:t>
      </w:r>
      <w:r w:rsidRPr="00932E68">
        <w:rPr>
          <w:rFonts w:eastAsia="Times New Roman"/>
          <w:sz w:val="24"/>
          <w:szCs w:val="24"/>
        </w:rPr>
        <w:t>1,919 (0.2</w:t>
      </w:r>
      <w:r w:rsidR="009C0D63" w:rsidRPr="00932E68">
        <w:rPr>
          <w:rFonts w:eastAsia="Times New Roman"/>
          <w:sz w:val="24"/>
          <w:szCs w:val="24"/>
        </w:rPr>
        <w:t>1%) respectively in 2011-12.  These services assist clients with complex needs</w:t>
      </w:r>
      <w:r w:rsidR="007744F7" w:rsidRPr="00932E68">
        <w:rPr>
          <w:rFonts w:eastAsia="Times New Roman"/>
          <w:sz w:val="24"/>
          <w:szCs w:val="24"/>
        </w:rPr>
        <w:t xml:space="preserve"> such as mental health, drug and alcohol </w:t>
      </w:r>
      <w:r w:rsidR="00B93C78">
        <w:rPr>
          <w:rFonts w:eastAsia="Times New Roman"/>
          <w:sz w:val="24"/>
          <w:szCs w:val="24"/>
        </w:rPr>
        <w:t>dependency</w:t>
      </w:r>
      <w:r w:rsidR="00B93C78" w:rsidRPr="00932E68">
        <w:rPr>
          <w:rFonts w:eastAsia="Times New Roman"/>
          <w:sz w:val="24"/>
          <w:szCs w:val="24"/>
        </w:rPr>
        <w:t xml:space="preserve"> </w:t>
      </w:r>
      <w:r w:rsidR="007744F7" w:rsidRPr="00932E68">
        <w:rPr>
          <w:rFonts w:eastAsia="Times New Roman"/>
          <w:sz w:val="24"/>
          <w:szCs w:val="24"/>
        </w:rPr>
        <w:t>and family violence or</w:t>
      </w:r>
      <w:r w:rsidR="00B93C78">
        <w:rPr>
          <w:rFonts w:eastAsia="Times New Roman"/>
          <w:sz w:val="24"/>
          <w:szCs w:val="24"/>
        </w:rPr>
        <w:t>,</w:t>
      </w:r>
      <w:r w:rsidR="007744F7" w:rsidRPr="00932E68">
        <w:rPr>
          <w:rFonts w:eastAsia="Times New Roman"/>
          <w:sz w:val="24"/>
          <w:szCs w:val="24"/>
        </w:rPr>
        <w:t xml:space="preserve"> in the case of FRSHE</w:t>
      </w:r>
      <w:r w:rsidR="00B93C78">
        <w:rPr>
          <w:rFonts w:eastAsia="Times New Roman"/>
          <w:sz w:val="24"/>
          <w:szCs w:val="24"/>
        </w:rPr>
        <w:t>,</w:t>
      </w:r>
      <w:r w:rsidR="007744F7" w:rsidRPr="00932E68">
        <w:rPr>
          <w:rFonts w:eastAsia="Times New Roman"/>
          <w:sz w:val="24"/>
          <w:szCs w:val="24"/>
        </w:rPr>
        <w:t xml:space="preserve"> provide family relationship services to individuals and families who have entered Australia under the Humanitarian Entr</w:t>
      </w:r>
      <w:r w:rsidR="00B93C78">
        <w:rPr>
          <w:rFonts w:eastAsia="Times New Roman"/>
          <w:sz w:val="24"/>
          <w:szCs w:val="24"/>
        </w:rPr>
        <w:t>ants</w:t>
      </w:r>
      <w:r w:rsidR="007744F7" w:rsidRPr="00932E68">
        <w:rPr>
          <w:rFonts w:eastAsia="Times New Roman"/>
          <w:sz w:val="24"/>
          <w:szCs w:val="24"/>
        </w:rPr>
        <w:t xml:space="preserve"> Program</w:t>
      </w:r>
      <w:r w:rsidR="009C0D63" w:rsidRPr="00932E68">
        <w:rPr>
          <w:rFonts w:eastAsia="Times New Roman"/>
          <w:sz w:val="24"/>
          <w:szCs w:val="24"/>
        </w:rPr>
        <w:t>.</w:t>
      </w:r>
    </w:p>
    <w:p w:rsidR="00A53BDA" w:rsidRDefault="00A53BDA" w:rsidP="00A53BDA">
      <w:pPr>
        <w:pStyle w:val="Heading4"/>
        <w:rPr>
          <w:rFonts w:eastAsia="Times New Roman"/>
          <w:lang w:eastAsia="en-AU"/>
        </w:rPr>
      </w:pPr>
      <w:bookmarkStart w:id="65" w:name="_Chart_2.1:__1"/>
      <w:bookmarkStart w:id="66" w:name="_2.1:__Chart"/>
      <w:bookmarkEnd w:id="65"/>
      <w:bookmarkEnd w:id="66"/>
      <w:r w:rsidRPr="00A53BDA">
        <w:rPr>
          <w:rFonts w:eastAsia="Times New Roman"/>
          <w:lang w:eastAsia="en-AU"/>
        </w:rPr>
        <w:t xml:space="preserve">2.1:  Chart – </w:t>
      </w:r>
      <w:r w:rsidRPr="00A53BDA">
        <w:t>Number</w:t>
      </w:r>
      <w:r w:rsidR="00932E68">
        <w:rPr>
          <w:rFonts w:eastAsia="Times New Roman"/>
          <w:lang w:eastAsia="en-AU"/>
        </w:rPr>
        <w:t xml:space="preserve"> </w:t>
      </w:r>
      <w:r w:rsidRPr="00A53BDA">
        <w:rPr>
          <w:rFonts w:eastAsia="Times New Roman"/>
          <w:lang w:eastAsia="en-AU"/>
        </w:rPr>
        <w:t>of FSP clients by service type 2011-12</w:t>
      </w:r>
    </w:p>
    <w:p w:rsidR="00B93C78" w:rsidRPr="00442A2E" w:rsidRDefault="00B93C78" w:rsidP="00442A2E">
      <w:pPr>
        <w:rPr>
          <w:lang w:eastAsia="en-AU"/>
        </w:rPr>
      </w:pPr>
      <w:r w:rsidRPr="00442A2E">
        <w:rPr>
          <w:noProof/>
          <w:lang w:eastAsia="en-AU"/>
        </w:rPr>
        <w:drawing>
          <wp:inline distT="0" distB="0" distL="0" distR="0" wp14:anchorId="2AD4ED34" wp14:editId="459CC06D">
            <wp:extent cx="5943600" cy="2066925"/>
            <wp:effectExtent l="0" t="0" r="0" b="9525"/>
            <wp:docPr id="50" name="Picture 50" descr="The largest number of clients ,226,816, was recorded for CfC FP.  CP recorded 189,439 clients; FaRS recorded 175,822 clients;  FLS recorded 146,920 clients; CfC Direct recorded 112,416 clients;  CfC IPS recorded 38,189 clients; SS-SFV recorded 10,573 clients; SS-KiF recorded 2,662 clients and SS-FRSHE recorded 1,919 clients.  " title="Total Number of FSP clients by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066925"/>
                    </a:xfrm>
                    <a:prstGeom prst="rect">
                      <a:avLst/>
                    </a:prstGeom>
                  </pic:spPr>
                </pic:pic>
              </a:graphicData>
            </a:graphic>
          </wp:inline>
        </w:drawing>
      </w:r>
    </w:p>
    <w:p w:rsidR="00A53BDA" w:rsidRDefault="00A53BDA" w:rsidP="00A53BDA">
      <w:pPr>
        <w:spacing w:before="0" w:after="0" w:line="240" w:lineRule="auto"/>
        <w:rPr>
          <w:rFonts w:ascii="Arial" w:eastAsia="Times New Roman" w:hAnsi="Arial" w:cs="Arial"/>
          <w:sz w:val="18"/>
          <w:szCs w:val="18"/>
          <w:lang w:eastAsia="en-AU"/>
        </w:rPr>
      </w:pPr>
      <w:r w:rsidRPr="00A53BDA">
        <w:rPr>
          <w:rFonts w:ascii="Arial" w:eastAsia="Times New Roman" w:hAnsi="Arial" w:cs="Arial"/>
          <w:sz w:val="18"/>
          <w:szCs w:val="18"/>
          <w:lang w:eastAsia="en-AU"/>
        </w:rPr>
        <w:t>Note: Unregistered clients may be counted more than once where the individual attends a service on multiple occasions.</w:t>
      </w:r>
    </w:p>
    <w:p w:rsidR="00932E68" w:rsidRDefault="00932E68" w:rsidP="00A53BDA">
      <w:pPr>
        <w:spacing w:before="0" w:after="0" w:line="240" w:lineRule="auto"/>
        <w:rPr>
          <w:rFonts w:ascii="Arial" w:eastAsia="Times New Roman" w:hAnsi="Arial" w:cs="Arial"/>
          <w:sz w:val="18"/>
          <w:szCs w:val="18"/>
          <w:lang w:eastAsia="en-AU"/>
        </w:rPr>
      </w:pPr>
    </w:p>
    <w:p w:rsidR="00932E68" w:rsidRDefault="00932E68">
      <w:pPr>
        <w:rPr>
          <w:rFonts w:eastAsia="Times New Roman"/>
          <w:caps/>
          <w:color w:val="4F6228" w:themeColor="accent3" w:themeShade="80"/>
          <w:spacing w:val="10"/>
          <w:sz w:val="22"/>
          <w:szCs w:val="22"/>
          <w:lang w:eastAsia="en-AU"/>
        </w:rPr>
      </w:pPr>
      <w:r>
        <w:rPr>
          <w:rFonts w:eastAsia="Times New Roman"/>
          <w:lang w:eastAsia="en-AU"/>
        </w:rPr>
        <w:br w:type="page"/>
      </w:r>
    </w:p>
    <w:p w:rsidR="00932E68" w:rsidRDefault="00932E68" w:rsidP="00932E68">
      <w:pPr>
        <w:pStyle w:val="Heading4"/>
        <w:rPr>
          <w:rFonts w:eastAsia="Times New Roman"/>
          <w:lang w:eastAsia="en-AU"/>
        </w:rPr>
      </w:pPr>
      <w:bookmarkStart w:id="67" w:name="_2.2:__CHART"/>
      <w:bookmarkEnd w:id="67"/>
      <w:r>
        <w:rPr>
          <w:rFonts w:eastAsia="Times New Roman"/>
          <w:lang w:eastAsia="en-AU"/>
        </w:rPr>
        <w:lastRenderedPageBreak/>
        <w:t>2.2:  CHART – percentage of fsp clients by service type 2011-12</w:t>
      </w:r>
    </w:p>
    <w:p w:rsidR="005E2435" w:rsidRDefault="005E2435" w:rsidP="000A2940">
      <w:pPr>
        <w:rPr>
          <w:rFonts w:eastAsia="Times New Roman"/>
        </w:rPr>
      </w:pPr>
      <w:r>
        <w:rPr>
          <w:noProof/>
          <w:lang w:eastAsia="en-AU"/>
        </w:rPr>
        <w:drawing>
          <wp:inline distT="0" distB="0" distL="0" distR="0" wp14:anchorId="298EFBF4" wp14:editId="6D6477C2">
            <wp:extent cx="4580953" cy="2752381"/>
            <wp:effectExtent l="0" t="0" r="0" b="0"/>
            <wp:docPr id="52" name="Picture 52" descr="The largest percentage of clients  (25.07%) was recorded for CfC FP.  CP recorded 20.94% of clients; FaRS recorded 19.43% of clients;  FLS recorded 16.24% of clients; CfC Direct recorded 12.43% of clients;  CfC IPS recorded 4.22% of clients; SS-SFV recorded 1.17% of clients; SS-KiF recorded 0.29% of clients and SS-FRSHE recorded 0.21% of clients. " title="Percentage of FSP clients by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80953" cy="2752381"/>
                    </a:xfrm>
                    <a:prstGeom prst="rect">
                      <a:avLst/>
                    </a:prstGeom>
                  </pic:spPr>
                </pic:pic>
              </a:graphicData>
            </a:graphic>
          </wp:inline>
        </w:drawing>
      </w:r>
    </w:p>
    <w:p w:rsidR="000A2940" w:rsidRDefault="000A2940" w:rsidP="000A2940">
      <w:pPr>
        <w:rPr>
          <w:rFonts w:ascii="Arial" w:eastAsia="Times New Roman" w:hAnsi="Arial" w:cs="Arial"/>
          <w:sz w:val="18"/>
          <w:szCs w:val="18"/>
          <w:lang w:eastAsia="en-AU"/>
        </w:rPr>
      </w:pPr>
      <w:r w:rsidRPr="000A2940">
        <w:rPr>
          <w:rFonts w:ascii="Arial" w:eastAsia="Times New Roman" w:hAnsi="Arial" w:cs="Arial"/>
          <w:sz w:val="18"/>
          <w:szCs w:val="18"/>
          <w:lang w:eastAsia="en-AU"/>
        </w:rPr>
        <w:t>Note: Unregistered clients may be counted more than once where the individual attends a service on multiple occasions.</w:t>
      </w:r>
    </w:p>
    <w:p w:rsidR="005B09F5" w:rsidRPr="005B09F5" w:rsidRDefault="005B09F5" w:rsidP="005B09F5">
      <w:pPr>
        <w:pStyle w:val="Heading3"/>
        <w:rPr>
          <w:rFonts w:eastAsia="Times New Roman"/>
          <w:lang w:eastAsia="en-AU"/>
        </w:rPr>
      </w:pPr>
      <w:bookmarkStart w:id="68" w:name="_Toc338944756"/>
      <w:bookmarkStart w:id="69" w:name="_Toc338945047"/>
      <w:bookmarkStart w:id="70" w:name="_Toc338945374"/>
      <w:bookmarkStart w:id="71" w:name="_Toc338945627"/>
      <w:bookmarkStart w:id="72" w:name="_Toc341705899"/>
      <w:r w:rsidRPr="005B09F5">
        <w:rPr>
          <w:rFonts w:eastAsia="Times New Roman"/>
          <w:lang w:eastAsia="en-AU"/>
        </w:rPr>
        <w:t>FSP cients by demographic groups</w:t>
      </w:r>
      <w:bookmarkEnd w:id="68"/>
      <w:bookmarkEnd w:id="69"/>
      <w:bookmarkEnd w:id="70"/>
      <w:bookmarkEnd w:id="71"/>
      <w:bookmarkEnd w:id="72"/>
    </w:p>
    <w:p w:rsidR="007A15D1" w:rsidRPr="00932E68" w:rsidRDefault="005E2435" w:rsidP="007A15D1">
      <w:pPr>
        <w:rPr>
          <w:rFonts w:eastAsia="Times New Roman"/>
          <w:sz w:val="24"/>
          <w:szCs w:val="24"/>
        </w:rPr>
      </w:pPr>
      <w:bookmarkStart w:id="73" w:name="_Chart_2.3:_Percentage"/>
      <w:bookmarkEnd w:id="73"/>
      <w:r>
        <w:rPr>
          <w:rFonts w:eastAsia="Times New Roman"/>
          <w:sz w:val="24"/>
          <w:szCs w:val="24"/>
        </w:rPr>
        <w:t>FSP</w:t>
      </w:r>
      <w:r w:rsidR="007750DC" w:rsidRPr="00932E68">
        <w:rPr>
          <w:rFonts w:eastAsia="Times New Roman"/>
          <w:sz w:val="24"/>
          <w:szCs w:val="24"/>
        </w:rPr>
        <w:t xml:space="preserve"> services</w:t>
      </w:r>
      <w:r w:rsidR="00927A36">
        <w:rPr>
          <w:rFonts w:eastAsia="Times New Roman"/>
          <w:sz w:val="24"/>
          <w:szCs w:val="24"/>
        </w:rPr>
        <w:t xml:space="preserve"> support children and</w:t>
      </w:r>
      <w:r w:rsidR="007750DC" w:rsidRPr="00932E68">
        <w:rPr>
          <w:rFonts w:eastAsia="Times New Roman"/>
          <w:sz w:val="24"/>
          <w:szCs w:val="24"/>
        </w:rPr>
        <w:t xml:space="preserve"> families</w:t>
      </w:r>
      <w:r w:rsidR="00927A36">
        <w:rPr>
          <w:rFonts w:eastAsia="Times New Roman"/>
          <w:sz w:val="24"/>
          <w:szCs w:val="24"/>
        </w:rPr>
        <w:t xml:space="preserve"> with an emphasis on engaging vulnerable and disadvantaged families with their support and expertise.  As a proxy for vulnerability, the FSP data identifies clients who are in the target groups of Aboriginal and/or Torres Strait Islander, Culturally and Linguistically Diverse and Disability.  </w:t>
      </w:r>
      <w:r w:rsidR="0071326B" w:rsidRPr="00932E68">
        <w:rPr>
          <w:rFonts w:eastAsia="Times New Roman"/>
          <w:sz w:val="24"/>
          <w:szCs w:val="24"/>
        </w:rPr>
        <w:t xml:space="preserve">These target groups </w:t>
      </w:r>
      <w:r w:rsidR="0071326B" w:rsidRPr="00932E68">
        <w:rPr>
          <w:sz w:val="24"/>
          <w:szCs w:val="24"/>
        </w:rPr>
        <w:t xml:space="preserve">may be under represented in the data as clients may not wish to </w:t>
      </w:r>
      <w:r w:rsidR="00927A36">
        <w:rPr>
          <w:sz w:val="24"/>
          <w:szCs w:val="24"/>
        </w:rPr>
        <w:t>self</w:t>
      </w:r>
      <w:r w:rsidR="00417F06">
        <w:rPr>
          <w:sz w:val="24"/>
          <w:szCs w:val="24"/>
        </w:rPr>
        <w:noBreakHyphen/>
      </w:r>
      <w:r w:rsidR="00927A36">
        <w:rPr>
          <w:sz w:val="24"/>
          <w:szCs w:val="24"/>
        </w:rPr>
        <w:t>identify</w:t>
      </w:r>
      <w:r w:rsidR="007A15D1" w:rsidRPr="00932E68">
        <w:rPr>
          <w:sz w:val="24"/>
          <w:szCs w:val="24"/>
        </w:rPr>
        <w:t>.</w:t>
      </w:r>
    </w:p>
    <w:p w:rsidR="005B09F5" w:rsidRPr="005B09F5" w:rsidRDefault="005B09F5" w:rsidP="005B09F5">
      <w:pPr>
        <w:pStyle w:val="Heading4"/>
        <w:rPr>
          <w:rFonts w:eastAsia="Times New Roman"/>
          <w:lang w:eastAsia="en-AU"/>
        </w:rPr>
      </w:pPr>
      <w:bookmarkStart w:id="74" w:name="_2.3:__Chart"/>
      <w:bookmarkEnd w:id="74"/>
      <w:r w:rsidRPr="005B09F5">
        <w:rPr>
          <w:rFonts w:eastAsia="Times New Roman"/>
          <w:lang w:eastAsia="en-AU"/>
        </w:rPr>
        <w:t>2.3:  Chart - Percentage of FSP clients from demographic groups 2011-12</w:t>
      </w:r>
    </w:p>
    <w:p w:rsidR="005B09F5" w:rsidRPr="005B09F5" w:rsidRDefault="005B09F5" w:rsidP="005B09F5">
      <w:pPr>
        <w:rPr>
          <w:rFonts w:ascii="Calibri" w:eastAsia="Times New Roman" w:hAnsi="Calibri" w:cs="Times New Roman"/>
          <w:noProof/>
          <w:lang w:eastAsia="en-AU"/>
        </w:rPr>
      </w:pPr>
      <w:r>
        <w:rPr>
          <w:rFonts w:ascii="Calibri" w:eastAsia="Times New Roman" w:hAnsi="Calibri" w:cs="Times New Roman"/>
          <w:noProof/>
          <w:lang w:eastAsia="en-AU"/>
        </w:rPr>
        <w:drawing>
          <wp:inline distT="0" distB="0" distL="0" distR="0" wp14:anchorId="42534F8D" wp14:editId="111FBAA7">
            <wp:extent cx="3295650" cy="2581275"/>
            <wp:effectExtent l="0" t="0" r="0" b="9525"/>
            <wp:docPr id="6" name="Picture 6" descr="The highest percentage of FSP clients was recorded for ATSI 9.45%; the next highest percentage was for CaLD (8.84%) and the lowest percentage was recorded for people with a disability (1.48%)." title="Percentage of FSP clients from demographic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95650" cy="2581275"/>
                    </a:xfrm>
                    <a:prstGeom prst="rect">
                      <a:avLst/>
                    </a:prstGeom>
                    <a:noFill/>
                    <a:ln>
                      <a:noFill/>
                    </a:ln>
                  </pic:spPr>
                </pic:pic>
              </a:graphicData>
            </a:graphic>
          </wp:inline>
        </w:drawing>
      </w:r>
    </w:p>
    <w:p w:rsidR="005B09F5" w:rsidRPr="00932E68" w:rsidRDefault="005B09F5" w:rsidP="00142765">
      <w:pPr>
        <w:rPr>
          <w:rFonts w:eastAsia="Times New Roman"/>
          <w:sz w:val="24"/>
          <w:szCs w:val="24"/>
        </w:rPr>
      </w:pPr>
      <w:r w:rsidRPr="00932E68">
        <w:rPr>
          <w:rFonts w:eastAsia="Times New Roman"/>
          <w:sz w:val="24"/>
          <w:szCs w:val="24"/>
        </w:rPr>
        <w:t>The chart above shows the total percentage of FSP</w:t>
      </w:r>
      <w:r w:rsidR="002E483D" w:rsidRPr="00932E68">
        <w:rPr>
          <w:rFonts w:eastAsia="Times New Roman"/>
          <w:sz w:val="24"/>
          <w:szCs w:val="24"/>
        </w:rPr>
        <w:t xml:space="preserve"> clients b</w:t>
      </w:r>
      <w:r w:rsidRPr="00932E68">
        <w:rPr>
          <w:rFonts w:eastAsia="Times New Roman"/>
          <w:sz w:val="24"/>
          <w:szCs w:val="24"/>
        </w:rPr>
        <w:t>y demographic group.</w:t>
      </w:r>
      <w:r w:rsidR="00142765" w:rsidRPr="00932E68">
        <w:rPr>
          <w:rFonts w:eastAsia="Times New Roman"/>
          <w:sz w:val="24"/>
          <w:szCs w:val="24"/>
        </w:rPr>
        <w:t xml:space="preserve">  </w:t>
      </w:r>
      <w:r w:rsidRPr="00932E68">
        <w:rPr>
          <w:rFonts w:eastAsia="Times New Roman"/>
          <w:sz w:val="24"/>
          <w:szCs w:val="24"/>
        </w:rPr>
        <w:t xml:space="preserve">Overall for FSP </w:t>
      </w:r>
      <w:r w:rsidR="00573985" w:rsidRPr="00932E68">
        <w:rPr>
          <w:rFonts w:eastAsia="Times New Roman"/>
          <w:sz w:val="24"/>
          <w:szCs w:val="24"/>
        </w:rPr>
        <w:t xml:space="preserve">the </w:t>
      </w:r>
      <w:r w:rsidRPr="00932E68">
        <w:rPr>
          <w:rFonts w:eastAsia="Times New Roman"/>
          <w:sz w:val="24"/>
          <w:szCs w:val="24"/>
        </w:rPr>
        <w:t xml:space="preserve">percentage of clients from </w:t>
      </w:r>
      <w:r w:rsidR="00927A36">
        <w:rPr>
          <w:rFonts w:eastAsia="Times New Roman"/>
          <w:sz w:val="24"/>
          <w:szCs w:val="24"/>
        </w:rPr>
        <w:t>target</w:t>
      </w:r>
      <w:r w:rsidR="00927A36" w:rsidRPr="00932E68">
        <w:rPr>
          <w:rFonts w:eastAsia="Times New Roman"/>
          <w:sz w:val="24"/>
          <w:szCs w:val="24"/>
        </w:rPr>
        <w:t xml:space="preserve"> </w:t>
      </w:r>
      <w:r w:rsidRPr="00932E68">
        <w:rPr>
          <w:rFonts w:eastAsia="Times New Roman"/>
          <w:sz w:val="24"/>
          <w:szCs w:val="24"/>
        </w:rPr>
        <w:t>groups was 19.78%.</w:t>
      </w:r>
      <w:r w:rsidR="002E483D" w:rsidRPr="00932E68">
        <w:rPr>
          <w:rFonts w:eastAsia="Times New Roman"/>
          <w:sz w:val="24"/>
          <w:szCs w:val="24"/>
        </w:rPr>
        <w:t xml:space="preserve">  Further details </w:t>
      </w:r>
      <w:r w:rsidR="00480802">
        <w:rPr>
          <w:rFonts w:eastAsia="Times New Roman"/>
          <w:sz w:val="24"/>
          <w:szCs w:val="24"/>
        </w:rPr>
        <w:t xml:space="preserve">for each group </w:t>
      </w:r>
      <w:r w:rsidR="002E483D" w:rsidRPr="00932E68">
        <w:rPr>
          <w:rFonts w:eastAsia="Times New Roman"/>
          <w:sz w:val="24"/>
          <w:szCs w:val="24"/>
        </w:rPr>
        <w:t>are provided below.</w:t>
      </w:r>
    </w:p>
    <w:p w:rsidR="00142765" w:rsidRDefault="00142765" w:rsidP="005B09F5">
      <w:pPr>
        <w:spacing w:before="0" w:after="0" w:line="240" w:lineRule="auto"/>
        <w:rPr>
          <w:rFonts w:ascii="Arial" w:eastAsia="Times New Roman" w:hAnsi="Arial" w:cs="Arial"/>
          <w:noProof/>
          <w:color w:val="4F6228"/>
          <w:sz w:val="18"/>
          <w:szCs w:val="18"/>
          <w:lang w:eastAsia="en-AU"/>
        </w:rPr>
      </w:pPr>
    </w:p>
    <w:p w:rsidR="00142765" w:rsidRPr="00142765" w:rsidRDefault="00142765" w:rsidP="00142765">
      <w:pPr>
        <w:pStyle w:val="Heading3"/>
        <w:rPr>
          <w:rFonts w:eastAsia="Times New Roman"/>
          <w:lang w:eastAsia="en-AU"/>
        </w:rPr>
      </w:pPr>
      <w:bookmarkStart w:id="75" w:name="_Toc338944757"/>
      <w:bookmarkStart w:id="76" w:name="_Toc338945048"/>
      <w:bookmarkStart w:id="77" w:name="_Toc338945375"/>
      <w:bookmarkStart w:id="78" w:name="_Toc338945628"/>
      <w:bookmarkStart w:id="79" w:name="_Toc341705900"/>
      <w:r w:rsidRPr="00142765">
        <w:rPr>
          <w:rFonts w:eastAsia="Times New Roman"/>
          <w:lang w:eastAsia="en-AU"/>
        </w:rPr>
        <w:lastRenderedPageBreak/>
        <w:t>FSP clients who identified as A</w:t>
      </w:r>
      <w:r w:rsidR="00927A36">
        <w:rPr>
          <w:rFonts w:eastAsia="Times New Roman"/>
          <w:lang w:eastAsia="en-AU"/>
        </w:rPr>
        <w:t xml:space="preserve">boriginal and/or </w:t>
      </w:r>
      <w:r w:rsidRPr="00142765">
        <w:rPr>
          <w:rFonts w:eastAsia="Times New Roman"/>
          <w:lang w:eastAsia="en-AU"/>
        </w:rPr>
        <w:t>T</w:t>
      </w:r>
      <w:r w:rsidR="00927A36">
        <w:rPr>
          <w:rFonts w:eastAsia="Times New Roman"/>
          <w:lang w:eastAsia="en-AU"/>
        </w:rPr>
        <w:t xml:space="preserve">orres </w:t>
      </w:r>
      <w:r w:rsidRPr="00142765">
        <w:rPr>
          <w:rFonts w:eastAsia="Times New Roman"/>
          <w:lang w:eastAsia="en-AU"/>
        </w:rPr>
        <w:t>S</w:t>
      </w:r>
      <w:r w:rsidR="00927A36">
        <w:rPr>
          <w:rFonts w:eastAsia="Times New Roman"/>
          <w:lang w:eastAsia="en-AU"/>
        </w:rPr>
        <w:t xml:space="preserve">trait </w:t>
      </w:r>
      <w:r w:rsidRPr="00142765">
        <w:rPr>
          <w:rFonts w:eastAsia="Times New Roman"/>
          <w:lang w:eastAsia="en-AU"/>
        </w:rPr>
        <w:t>I</w:t>
      </w:r>
      <w:bookmarkEnd w:id="75"/>
      <w:bookmarkEnd w:id="76"/>
      <w:bookmarkEnd w:id="77"/>
      <w:bookmarkEnd w:id="78"/>
      <w:r w:rsidR="00927A36">
        <w:rPr>
          <w:rFonts w:eastAsia="Times New Roman"/>
          <w:lang w:eastAsia="en-AU"/>
        </w:rPr>
        <w:t>slander</w:t>
      </w:r>
      <w:bookmarkEnd w:id="79"/>
    </w:p>
    <w:p w:rsidR="00142765" w:rsidRPr="00480802" w:rsidRDefault="002E483D" w:rsidP="00142765">
      <w:pPr>
        <w:rPr>
          <w:rFonts w:eastAsia="Times New Roman"/>
          <w:sz w:val="24"/>
          <w:szCs w:val="24"/>
        </w:rPr>
      </w:pPr>
      <w:r w:rsidRPr="00480802">
        <w:rPr>
          <w:rFonts w:eastAsia="Times New Roman"/>
          <w:sz w:val="24"/>
          <w:szCs w:val="24"/>
        </w:rPr>
        <w:t>As a</w:t>
      </w:r>
      <w:r w:rsidR="00142765" w:rsidRPr="00480802">
        <w:rPr>
          <w:rFonts w:eastAsia="Times New Roman"/>
          <w:sz w:val="24"/>
          <w:szCs w:val="24"/>
        </w:rPr>
        <w:t>t 30 June 2006</w:t>
      </w:r>
      <w:r w:rsidRPr="00480802">
        <w:rPr>
          <w:rFonts w:eastAsia="Times New Roman"/>
          <w:sz w:val="24"/>
          <w:szCs w:val="24"/>
        </w:rPr>
        <w:t xml:space="preserve">, according to </w:t>
      </w:r>
      <w:r w:rsidR="008E7DD8" w:rsidRPr="00480802">
        <w:rPr>
          <w:rFonts w:eastAsia="Times New Roman"/>
          <w:sz w:val="24"/>
          <w:szCs w:val="24"/>
        </w:rPr>
        <w:t xml:space="preserve">the </w:t>
      </w:r>
      <w:r w:rsidRPr="00480802">
        <w:rPr>
          <w:rFonts w:eastAsia="Times New Roman"/>
          <w:sz w:val="24"/>
          <w:szCs w:val="24"/>
        </w:rPr>
        <w:t>Australian Bur</w:t>
      </w:r>
      <w:r w:rsidR="006D728F" w:rsidRPr="00480802">
        <w:rPr>
          <w:rFonts w:eastAsia="Times New Roman"/>
          <w:sz w:val="24"/>
          <w:szCs w:val="24"/>
        </w:rPr>
        <w:t>eau</w:t>
      </w:r>
      <w:r w:rsidR="008E7DD8" w:rsidRPr="00480802">
        <w:rPr>
          <w:rFonts w:eastAsia="Times New Roman"/>
          <w:sz w:val="24"/>
          <w:szCs w:val="24"/>
        </w:rPr>
        <w:t xml:space="preserve"> of Statistics,</w:t>
      </w:r>
      <w:r w:rsidR="00142765" w:rsidRPr="00480802">
        <w:rPr>
          <w:rFonts w:eastAsia="Times New Roman"/>
          <w:sz w:val="24"/>
          <w:szCs w:val="24"/>
        </w:rPr>
        <w:t xml:space="preserve"> the Indigenous estimated resident population of Australia was 2.5%</w:t>
      </w:r>
      <w:r w:rsidR="00142765" w:rsidRPr="00480802">
        <w:rPr>
          <w:rFonts w:eastAsia="Times New Roman" w:cs="Times New Roman"/>
          <w:sz w:val="24"/>
          <w:szCs w:val="24"/>
          <w:vertAlign w:val="superscript"/>
        </w:rPr>
        <w:footnoteReference w:id="5"/>
      </w:r>
      <w:r w:rsidR="00142765" w:rsidRPr="00480802">
        <w:rPr>
          <w:rFonts w:eastAsia="Times New Roman"/>
          <w:sz w:val="24"/>
          <w:szCs w:val="24"/>
        </w:rPr>
        <w:t xml:space="preserve">.  </w:t>
      </w:r>
      <w:r w:rsidR="008E7DD8" w:rsidRPr="00480802">
        <w:rPr>
          <w:rFonts w:eastAsia="Times New Roman"/>
          <w:sz w:val="24"/>
          <w:szCs w:val="24"/>
        </w:rPr>
        <w:t xml:space="preserve">For FSP, indicators are that across the </w:t>
      </w:r>
      <w:r w:rsidR="00142765" w:rsidRPr="00480802">
        <w:rPr>
          <w:rFonts w:eastAsia="Times New Roman"/>
          <w:sz w:val="24"/>
          <w:szCs w:val="24"/>
        </w:rPr>
        <w:t>P</w:t>
      </w:r>
      <w:r w:rsidR="008E7DD8" w:rsidRPr="00480802">
        <w:rPr>
          <w:rFonts w:eastAsia="Times New Roman"/>
          <w:sz w:val="24"/>
          <w:szCs w:val="24"/>
        </w:rPr>
        <w:t>rogram</w:t>
      </w:r>
      <w:r w:rsidR="00142765" w:rsidRPr="00480802">
        <w:rPr>
          <w:rFonts w:eastAsia="Times New Roman"/>
          <w:sz w:val="24"/>
          <w:szCs w:val="24"/>
        </w:rPr>
        <w:t xml:space="preserve"> the following percentages were recorded for clients </w:t>
      </w:r>
      <w:r w:rsidR="00927A36">
        <w:rPr>
          <w:rFonts w:eastAsia="Times New Roman"/>
          <w:sz w:val="24"/>
          <w:szCs w:val="24"/>
        </w:rPr>
        <w:t xml:space="preserve">serviced by providers </w:t>
      </w:r>
      <w:r w:rsidR="00142765" w:rsidRPr="00480802">
        <w:rPr>
          <w:rFonts w:eastAsia="Times New Roman"/>
          <w:sz w:val="24"/>
          <w:szCs w:val="24"/>
        </w:rPr>
        <w:t>who identified as ATSI in 2011-12:</w:t>
      </w:r>
    </w:p>
    <w:p w:rsidR="00142765" w:rsidRPr="00480802" w:rsidRDefault="00142765" w:rsidP="008E31EC">
      <w:pPr>
        <w:pStyle w:val="ListParagraph"/>
        <w:numPr>
          <w:ilvl w:val="0"/>
          <w:numId w:val="8"/>
        </w:numPr>
        <w:rPr>
          <w:rFonts w:eastAsia="Times New Roman"/>
          <w:color w:val="000000"/>
          <w:sz w:val="24"/>
          <w:szCs w:val="24"/>
          <w:lang w:eastAsia="en-AU"/>
        </w:rPr>
      </w:pPr>
      <w:r w:rsidRPr="00480802">
        <w:rPr>
          <w:rFonts w:eastAsia="Times New Roman"/>
          <w:color w:val="000000"/>
          <w:sz w:val="24"/>
          <w:szCs w:val="24"/>
          <w:lang w:eastAsia="en-AU"/>
        </w:rPr>
        <w:t xml:space="preserve">19.8% of CfC clients (excluding CP) </w:t>
      </w:r>
    </w:p>
    <w:p w:rsidR="00142765" w:rsidRPr="00480802" w:rsidRDefault="00142765" w:rsidP="008E31EC">
      <w:pPr>
        <w:pStyle w:val="ListParagraph"/>
        <w:numPr>
          <w:ilvl w:val="0"/>
          <w:numId w:val="8"/>
        </w:numPr>
        <w:rPr>
          <w:rFonts w:eastAsia="Times New Roman"/>
          <w:color w:val="000000"/>
          <w:sz w:val="24"/>
          <w:szCs w:val="24"/>
          <w:lang w:eastAsia="en-AU"/>
        </w:rPr>
      </w:pPr>
      <w:r w:rsidRPr="00480802">
        <w:rPr>
          <w:rFonts w:eastAsia="Times New Roman"/>
          <w:color w:val="000000"/>
          <w:sz w:val="24"/>
          <w:szCs w:val="24"/>
          <w:lang w:eastAsia="en-AU"/>
        </w:rPr>
        <w:t xml:space="preserve">2.51% of FaRS, SS and FLS </w:t>
      </w:r>
    </w:p>
    <w:p w:rsidR="00142765" w:rsidRPr="00480802" w:rsidRDefault="00142765" w:rsidP="008E31EC">
      <w:pPr>
        <w:pStyle w:val="ListParagraph"/>
        <w:numPr>
          <w:ilvl w:val="0"/>
          <w:numId w:val="8"/>
        </w:numPr>
        <w:rPr>
          <w:color w:val="000000"/>
          <w:sz w:val="24"/>
          <w:szCs w:val="24"/>
        </w:rPr>
      </w:pPr>
      <w:r w:rsidRPr="00480802">
        <w:rPr>
          <w:color w:val="000000"/>
          <w:sz w:val="24"/>
          <w:szCs w:val="24"/>
        </w:rPr>
        <w:t>4.72% of Registered FaRS</w:t>
      </w:r>
      <w:r w:rsidR="00927A36">
        <w:rPr>
          <w:color w:val="000000"/>
          <w:sz w:val="24"/>
          <w:szCs w:val="24"/>
        </w:rPr>
        <w:t>,</w:t>
      </w:r>
      <w:r w:rsidRPr="00480802">
        <w:rPr>
          <w:color w:val="000000"/>
          <w:sz w:val="24"/>
          <w:szCs w:val="24"/>
        </w:rPr>
        <w:t xml:space="preserve"> SS and FLS </w:t>
      </w:r>
    </w:p>
    <w:p w:rsidR="00142765" w:rsidRPr="00480802" w:rsidRDefault="00142765" w:rsidP="008E31EC">
      <w:pPr>
        <w:pStyle w:val="ListParagraph"/>
        <w:numPr>
          <w:ilvl w:val="0"/>
          <w:numId w:val="8"/>
        </w:numPr>
        <w:rPr>
          <w:color w:val="000000"/>
          <w:sz w:val="24"/>
          <w:szCs w:val="24"/>
        </w:rPr>
      </w:pPr>
      <w:r w:rsidRPr="00480802">
        <w:rPr>
          <w:color w:val="000000"/>
          <w:sz w:val="24"/>
          <w:szCs w:val="24"/>
        </w:rPr>
        <w:t>Overall 9.45% of FSP</w:t>
      </w:r>
    </w:p>
    <w:p w:rsidR="00142765" w:rsidRPr="00480802" w:rsidRDefault="00142765" w:rsidP="00142765">
      <w:pPr>
        <w:rPr>
          <w:rFonts w:eastAsia="Times New Roman"/>
          <w:noProof/>
          <w:color w:val="4F6228"/>
          <w:sz w:val="24"/>
          <w:szCs w:val="24"/>
          <w:lang w:eastAsia="en-AU"/>
        </w:rPr>
      </w:pPr>
      <w:r w:rsidRPr="00480802">
        <w:rPr>
          <w:sz w:val="24"/>
          <w:szCs w:val="24"/>
        </w:rPr>
        <w:t xml:space="preserve">Registered clients who identified as being Aboriginal and/or Torres Strait Islander people accounted for 5.19% of all registered clients seen under FaRS.  </w:t>
      </w:r>
      <w:r w:rsidRPr="00480802">
        <w:rPr>
          <w:color w:val="000000"/>
          <w:sz w:val="24"/>
          <w:szCs w:val="24"/>
        </w:rPr>
        <w:t xml:space="preserve">The </w:t>
      </w:r>
      <w:r w:rsidR="008E7DD8" w:rsidRPr="00480802">
        <w:rPr>
          <w:color w:val="000000"/>
          <w:sz w:val="24"/>
          <w:szCs w:val="24"/>
        </w:rPr>
        <w:t xml:space="preserve">data may represent an </w:t>
      </w:r>
      <w:r w:rsidRPr="00480802">
        <w:rPr>
          <w:color w:val="000000"/>
          <w:sz w:val="24"/>
          <w:szCs w:val="24"/>
        </w:rPr>
        <w:t>underestimate of Aboriginal and/or Torres Strait Islander status among FaRS clients.</w:t>
      </w:r>
    </w:p>
    <w:p w:rsidR="00142765" w:rsidRDefault="004A7B54" w:rsidP="00142765">
      <w:pPr>
        <w:pStyle w:val="Heading4"/>
        <w:rPr>
          <w:rFonts w:eastAsia="Times New Roman"/>
          <w:lang w:eastAsia="en-AU"/>
        </w:rPr>
      </w:pPr>
      <w:bookmarkStart w:id="80" w:name="_2.4:__Chart"/>
      <w:bookmarkEnd w:id="80"/>
      <w:r>
        <w:rPr>
          <w:rFonts w:eastAsia="Times New Roman"/>
          <w:lang w:eastAsia="en-AU"/>
        </w:rPr>
        <w:t>2.4</w:t>
      </w:r>
      <w:r w:rsidR="00142765" w:rsidRPr="00142765">
        <w:rPr>
          <w:rFonts w:eastAsia="Times New Roman"/>
          <w:lang w:eastAsia="en-AU"/>
        </w:rPr>
        <w:t>:  Chart - Percentage of FSP clients identifying as ATSI by service type 2011-12</w:t>
      </w:r>
    </w:p>
    <w:p w:rsidR="00142765" w:rsidRPr="00142765" w:rsidRDefault="00142765" w:rsidP="00142765">
      <w:pPr>
        <w:spacing w:before="0" w:after="0" w:line="240" w:lineRule="auto"/>
        <w:rPr>
          <w:lang w:eastAsia="en-AU"/>
        </w:rPr>
      </w:pPr>
    </w:p>
    <w:p w:rsidR="00142765" w:rsidRPr="00142765" w:rsidRDefault="00142765" w:rsidP="00142765">
      <w:pPr>
        <w:spacing w:before="0" w:after="0" w:line="240" w:lineRule="auto"/>
        <w:rPr>
          <w:rFonts w:ascii="Calibri" w:eastAsia="Times New Roman" w:hAnsi="Calibri" w:cs="Times New Roman"/>
          <w:noProof/>
          <w:lang w:eastAsia="en-AU"/>
        </w:rPr>
      </w:pPr>
      <w:r>
        <w:rPr>
          <w:rFonts w:ascii="Calibri" w:eastAsia="Times New Roman" w:hAnsi="Calibri" w:cs="Times New Roman"/>
          <w:noProof/>
          <w:lang w:eastAsia="en-AU"/>
        </w:rPr>
        <w:drawing>
          <wp:inline distT="0" distB="0" distL="0" distR="0" wp14:anchorId="094857C3" wp14:editId="375B8512">
            <wp:extent cx="5943600" cy="1895475"/>
            <wp:effectExtent l="0" t="0" r="0" b="9525"/>
            <wp:docPr id="8" name="Picture 8" descr="The highest percentage of clients identifying as ATSI was 86.6% for CfC IPS, the next highest was 12.7% for CfC FP; 11.2% for CfC Direct; 5.03% for SS-KiF; 2.8% for SS-SFV; 2.74% for FaRS; 2.2% for FLS and 1.2% for CP.  No clients identifed as ASTI for SS-FRESHE." title="Percentage of ATSI cl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895475"/>
                    </a:xfrm>
                    <a:prstGeom prst="rect">
                      <a:avLst/>
                    </a:prstGeom>
                    <a:noFill/>
                    <a:ln>
                      <a:noFill/>
                    </a:ln>
                  </pic:spPr>
                </pic:pic>
              </a:graphicData>
            </a:graphic>
          </wp:inline>
        </w:drawing>
      </w:r>
    </w:p>
    <w:p w:rsidR="00142765" w:rsidRPr="00142765" w:rsidRDefault="00142765" w:rsidP="00142765">
      <w:pPr>
        <w:spacing w:before="0" w:after="0" w:line="240" w:lineRule="auto"/>
        <w:rPr>
          <w:rFonts w:ascii="Calibri" w:eastAsia="Times New Roman" w:hAnsi="Calibri" w:cs="Times New Roman"/>
          <w:noProof/>
          <w:lang w:eastAsia="en-AU"/>
        </w:rPr>
      </w:pPr>
      <w:r w:rsidRPr="00142765">
        <w:rPr>
          <w:rFonts w:ascii="Calibri" w:eastAsia="Times New Roman" w:hAnsi="Calibri" w:cs="Times New Roman"/>
          <w:noProof/>
          <w:lang w:eastAsia="en-AU"/>
        </w:rPr>
        <w:t>*CfC IPS includes Closing the Gap in the Northern Territory services.</w:t>
      </w:r>
    </w:p>
    <w:p w:rsidR="00142765" w:rsidRPr="004A7B54" w:rsidRDefault="00142765" w:rsidP="00142765">
      <w:pPr>
        <w:rPr>
          <w:rFonts w:eastAsia="Times New Roman"/>
          <w:noProof/>
          <w:sz w:val="24"/>
          <w:szCs w:val="24"/>
          <w:lang w:eastAsia="en-AU"/>
        </w:rPr>
      </w:pPr>
      <w:r w:rsidRPr="004A7B54">
        <w:rPr>
          <w:rFonts w:eastAsia="Times New Roman"/>
          <w:noProof/>
          <w:sz w:val="24"/>
          <w:szCs w:val="24"/>
          <w:lang w:eastAsia="en-AU"/>
        </w:rPr>
        <w:t>The chart above shows the percentage of FSP clients identifying as ATSI by service type in 2011-12.</w:t>
      </w:r>
      <w:r w:rsidR="00573985" w:rsidRPr="004A7B54">
        <w:rPr>
          <w:rFonts w:eastAsia="Times New Roman"/>
          <w:noProof/>
          <w:sz w:val="24"/>
          <w:szCs w:val="24"/>
          <w:lang w:eastAsia="en-AU"/>
        </w:rPr>
        <w:t xml:space="preserve">  As would be expected</w:t>
      </w:r>
      <w:r w:rsidR="00AD37B8">
        <w:rPr>
          <w:rFonts w:eastAsia="Times New Roman"/>
          <w:noProof/>
          <w:sz w:val="24"/>
          <w:szCs w:val="24"/>
          <w:lang w:eastAsia="en-AU"/>
        </w:rPr>
        <w:t>,</w:t>
      </w:r>
      <w:r w:rsidR="00573985" w:rsidRPr="004A7B54">
        <w:rPr>
          <w:rFonts w:eastAsia="Times New Roman"/>
          <w:noProof/>
          <w:sz w:val="24"/>
          <w:szCs w:val="24"/>
          <w:lang w:eastAsia="en-AU"/>
        </w:rPr>
        <w:t xml:space="preserve"> the highest percentage of clients </w:t>
      </w:r>
      <w:r w:rsidR="00927A36">
        <w:rPr>
          <w:rFonts w:eastAsia="Times New Roman"/>
          <w:noProof/>
          <w:sz w:val="24"/>
          <w:szCs w:val="24"/>
          <w:lang w:eastAsia="en-AU"/>
        </w:rPr>
        <w:t>who identify as</w:t>
      </w:r>
      <w:r w:rsidR="00573985" w:rsidRPr="004A7B54">
        <w:rPr>
          <w:rFonts w:eastAsia="Times New Roman"/>
          <w:noProof/>
          <w:sz w:val="24"/>
          <w:szCs w:val="24"/>
          <w:lang w:eastAsia="en-AU"/>
        </w:rPr>
        <w:t xml:space="preserve"> ATSI is in the Indigenous Parenting Services</w:t>
      </w:r>
      <w:r w:rsidR="00927A36">
        <w:rPr>
          <w:rFonts w:eastAsia="Times New Roman"/>
          <w:noProof/>
          <w:sz w:val="24"/>
          <w:szCs w:val="24"/>
          <w:lang w:eastAsia="en-AU"/>
        </w:rPr>
        <w:t>.</w:t>
      </w:r>
    </w:p>
    <w:p w:rsidR="00142765" w:rsidRPr="00142765" w:rsidRDefault="00142765" w:rsidP="00142765">
      <w:pPr>
        <w:pStyle w:val="Heading3"/>
        <w:rPr>
          <w:rFonts w:eastAsia="Times New Roman"/>
          <w:lang w:eastAsia="en-AU"/>
        </w:rPr>
      </w:pPr>
      <w:bookmarkStart w:id="81" w:name="_Toc338944758"/>
      <w:bookmarkStart w:id="82" w:name="_Toc338945049"/>
      <w:bookmarkStart w:id="83" w:name="_Toc338945376"/>
      <w:bookmarkStart w:id="84" w:name="_Toc338945629"/>
      <w:bookmarkStart w:id="85" w:name="_Toc341705901"/>
      <w:r w:rsidRPr="00142765">
        <w:rPr>
          <w:rFonts w:eastAsia="Times New Roman"/>
          <w:lang w:eastAsia="en-AU"/>
        </w:rPr>
        <w:t>FSP clients who identified as C</w:t>
      </w:r>
      <w:r w:rsidR="002417F0">
        <w:rPr>
          <w:rFonts w:eastAsia="Times New Roman"/>
          <w:lang w:eastAsia="en-AU"/>
        </w:rPr>
        <w:t xml:space="preserve">ulturally and Linguistically </w:t>
      </w:r>
      <w:r w:rsidRPr="00142765">
        <w:rPr>
          <w:rFonts w:eastAsia="Times New Roman"/>
          <w:lang w:eastAsia="en-AU"/>
        </w:rPr>
        <w:t>D</w:t>
      </w:r>
      <w:bookmarkEnd w:id="81"/>
      <w:bookmarkEnd w:id="82"/>
      <w:bookmarkEnd w:id="83"/>
      <w:bookmarkEnd w:id="84"/>
      <w:r w:rsidR="002417F0">
        <w:rPr>
          <w:rFonts w:eastAsia="Times New Roman"/>
          <w:lang w:eastAsia="en-AU"/>
        </w:rPr>
        <w:t>iverse</w:t>
      </w:r>
      <w:bookmarkEnd w:id="85"/>
    </w:p>
    <w:p w:rsidR="00142765" w:rsidRPr="004A7B54" w:rsidRDefault="004A7B54" w:rsidP="00142765">
      <w:pPr>
        <w:rPr>
          <w:rFonts w:eastAsia="Times New Roman"/>
          <w:b/>
          <w:sz w:val="24"/>
          <w:szCs w:val="24"/>
          <w:lang w:eastAsia="en-AU"/>
        </w:rPr>
      </w:pPr>
      <w:r>
        <w:rPr>
          <w:rFonts w:eastAsia="Times New Roman"/>
          <w:sz w:val="24"/>
          <w:szCs w:val="24"/>
          <w:lang w:eastAsia="en-AU"/>
        </w:rPr>
        <w:t>Chart 2.5</w:t>
      </w:r>
      <w:r w:rsidR="00142765" w:rsidRPr="004A7B54">
        <w:rPr>
          <w:rFonts w:eastAsia="Times New Roman"/>
          <w:sz w:val="24"/>
          <w:szCs w:val="24"/>
          <w:lang w:eastAsia="en-AU"/>
        </w:rPr>
        <w:t xml:space="preserve"> shows the total number of clients by service type and age category </w:t>
      </w:r>
      <w:proofErr w:type="gramStart"/>
      <w:r w:rsidR="00142765" w:rsidRPr="004A7B54">
        <w:rPr>
          <w:rFonts w:eastAsia="Times New Roman"/>
          <w:sz w:val="24"/>
          <w:szCs w:val="24"/>
          <w:lang w:eastAsia="en-AU"/>
        </w:rPr>
        <w:t>who</w:t>
      </w:r>
      <w:proofErr w:type="gramEnd"/>
      <w:r w:rsidR="00142765" w:rsidRPr="004A7B54">
        <w:rPr>
          <w:rFonts w:eastAsia="Times New Roman"/>
          <w:sz w:val="24"/>
          <w:szCs w:val="24"/>
          <w:lang w:eastAsia="en-AU"/>
        </w:rPr>
        <w:t xml:space="preserve"> identified as </w:t>
      </w:r>
      <w:proofErr w:type="spellStart"/>
      <w:r w:rsidR="00142765" w:rsidRPr="004A7B54">
        <w:rPr>
          <w:rFonts w:eastAsia="Times New Roman"/>
          <w:sz w:val="24"/>
          <w:szCs w:val="24"/>
          <w:lang w:eastAsia="en-AU"/>
        </w:rPr>
        <w:t>CaLD</w:t>
      </w:r>
      <w:proofErr w:type="spellEnd"/>
      <w:r w:rsidRPr="004A7B54">
        <w:rPr>
          <w:rFonts w:eastAsia="Times New Roman"/>
          <w:sz w:val="24"/>
          <w:szCs w:val="24"/>
          <w:lang w:eastAsia="en-AU"/>
        </w:rPr>
        <w:t xml:space="preserve"> in 2011-12</w:t>
      </w:r>
      <w:r w:rsidR="00142765" w:rsidRPr="004A7B54">
        <w:rPr>
          <w:rFonts w:eastAsia="Times New Roman"/>
          <w:sz w:val="24"/>
          <w:szCs w:val="24"/>
          <w:lang w:eastAsia="en-AU"/>
        </w:rPr>
        <w:t>.</w:t>
      </w:r>
    </w:p>
    <w:p w:rsidR="00142765" w:rsidRPr="004A7B54" w:rsidRDefault="00142765" w:rsidP="008E31EC">
      <w:pPr>
        <w:pStyle w:val="ListParagraph"/>
        <w:numPr>
          <w:ilvl w:val="0"/>
          <w:numId w:val="9"/>
        </w:numPr>
        <w:rPr>
          <w:rFonts w:eastAsia="Times New Roman"/>
          <w:sz w:val="24"/>
          <w:szCs w:val="24"/>
          <w:lang w:eastAsia="en-AU"/>
        </w:rPr>
      </w:pPr>
      <w:r w:rsidRPr="004A7B54">
        <w:rPr>
          <w:rFonts w:eastAsia="Times New Roman"/>
          <w:sz w:val="24"/>
          <w:szCs w:val="24"/>
          <w:lang w:eastAsia="en-AU"/>
        </w:rPr>
        <w:t>17.3% of CfC clients (excluding C</w:t>
      </w:r>
      <w:r w:rsidR="004A7B54" w:rsidRPr="004A7B54">
        <w:rPr>
          <w:rFonts w:eastAsia="Times New Roman"/>
          <w:sz w:val="24"/>
          <w:szCs w:val="24"/>
          <w:lang w:eastAsia="en-AU"/>
        </w:rPr>
        <w:t xml:space="preserve">P) identified as </w:t>
      </w:r>
      <w:proofErr w:type="spellStart"/>
      <w:r w:rsidR="004A7B54" w:rsidRPr="004A7B54">
        <w:rPr>
          <w:rFonts w:eastAsia="Times New Roman"/>
          <w:sz w:val="24"/>
          <w:szCs w:val="24"/>
          <w:lang w:eastAsia="en-AU"/>
        </w:rPr>
        <w:t>CaLD</w:t>
      </w:r>
      <w:proofErr w:type="spellEnd"/>
      <w:r w:rsidR="00927A36">
        <w:rPr>
          <w:rFonts w:eastAsia="Times New Roman"/>
          <w:sz w:val="24"/>
          <w:szCs w:val="24"/>
          <w:lang w:eastAsia="en-AU"/>
        </w:rPr>
        <w:t xml:space="preserve"> in 2011-12</w:t>
      </w:r>
    </w:p>
    <w:p w:rsidR="00142765" w:rsidRPr="004A7B54" w:rsidRDefault="00142765" w:rsidP="008E31EC">
      <w:pPr>
        <w:pStyle w:val="ListParagraph"/>
        <w:numPr>
          <w:ilvl w:val="0"/>
          <w:numId w:val="9"/>
        </w:numPr>
        <w:rPr>
          <w:rFonts w:eastAsia="Times New Roman"/>
          <w:sz w:val="24"/>
          <w:szCs w:val="24"/>
          <w:lang w:eastAsia="en-AU"/>
        </w:rPr>
      </w:pPr>
      <w:r w:rsidRPr="004A7B54">
        <w:rPr>
          <w:rFonts w:eastAsia="Times New Roman"/>
          <w:sz w:val="24"/>
          <w:szCs w:val="24"/>
          <w:lang w:eastAsia="en-AU"/>
        </w:rPr>
        <w:t>2.1% of FaRS, SS &amp; FLS clien</w:t>
      </w:r>
      <w:r w:rsidR="004A7B54" w:rsidRPr="004A7B54">
        <w:rPr>
          <w:rFonts w:eastAsia="Times New Roman"/>
          <w:sz w:val="24"/>
          <w:szCs w:val="24"/>
          <w:lang w:eastAsia="en-AU"/>
        </w:rPr>
        <w:t xml:space="preserve">ts identified as </w:t>
      </w:r>
      <w:proofErr w:type="spellStart"/>
      <w:r w:rsidR="004A7B54" w:rsidRPr="004A7B54">
        <w:rPr>
          <w:rFonts w:eastAsia="Times New Roman"/>
          <w:sz w:val="24"/>
          <w:szCs w:val="24"/>
          <w:lang w:eastAsia="en-AU"/>
        </w:rPr>
        <w:t>CaLD</w:t>
      </w:r>
      <w:proofErr w:type="spellEnd"/>
      <w:r w:rsidR="00927A36">
        <w:rPr>
          <w:rFonts w:eastAsia="Times New Roman"/>
          <w:sz w:val="24"/>
          <w:szCs w:val="24"/>
          <w:lang w:eastAsia="en-AU"/>
        </w:rPr>
        <w:t xml:space="preserve"> in 2011-12</w:t>
      </w:r>
    </w:p>
    <w:p w:rsidR="00142765" w:rsidRPr="004A7B54" w:rsidRDefault="00142765" w:rsidP="008E31EC">
      <w:pPr>
        <w:pStyle w:val="ListParagraph"/>
        <w:numPr>
          <w:ilvl w:val="0"/>
          <w:numId w:val="9"/>
        </w:numPr>
        <w:rPr>
          <w:rFonts w:eastAsia="Times New Roman"/>
          <w:sz w:val="24"/>
          <w:szCs w:val="24"/>
          <w:lang w:eastAsia="en-AU"/>
        </w:rPr>
      </w:pPr>
      <w:r w:rsidRPr="004A7B54">
        <w:rPr>
          <w:rFonts w:eastAsia="Times New Roman"/>
          <w:sz w:val="24"/>
          <w:szCs w:val="24"/>
          <w:lang w:eastAsia="en-AU"/>
        </w:rPr>
        <w:t>3.96% of Registered FaRS</w:t>
      </w:r>
      <w:r w:rsidR="00927A36">
        <w:rPr>
          <w:rFonts w:eastAsia="Times New Roman"/>
          <w:sz w:val="24"/>
          <w:szCs w:val="24"/>
          <w:lang w:eastAsia="en-AU"/>
        </w:rPr>
        <w:t>,</w:t>
      </w:r>
      <w:r w:rsidRPr="004A7B54">
        <w:rPr>
          <w:rFonts w:eastAsia="Times New Roman"/>
          <w:sz w:val="24"/>
          <w:szCs w:val="24"/>
          <w:lang w:eastAsia="en-AU"/>
        </w:rPr>
        <w:t xml:space="preserve"> SS and FLS clients identified as </w:t>
      </w:r>
      <w:proofErr w:type="spellStart"/>
      <w:r w:rsidRPr="004A7B54">
        <w:rPr>
          <w:rFonts w:eastAsia="Times New Roman"/>
          <w:sz w:val="24"/>
          <w:szCs w:val="24"/>
          <w:lang w:eastAsia="en-AU"/>
        </w:rPr>
        <w:t>CaLD</w:t>
      </w:r>
      <w:proofErr w:type="spellEnd"/>
      <w:r w:rsidRPr="004A7B54">
        <w:rPr>
          <w:rFonts w:eastAsia="Times New Roman"/>
          <w:sz w:val="24"/>
          <w:szCs w:val="24"/>
          <w:lang w:eastAsia="en-AU"/>
        </w:rPr>
        <w:t xml:space="preserve"> in 2011-12</w:t>
      </w:r>
    </w:p>
    <w:p w:rsidR="00142765" w:rsidRPr="004A7B54" w:rsidRDefault="00142765" w:rsidP="008E31EC">
      <w:pPr>
        <w:pStyle w:val="ListParagraph"/>
        <w:numPr>
          <w:ilvl w:val="0"/>
          <w:numId w:val="9"/>
        </w:numPr>
        <w:rPr>
          <w:rFonts w:eastAsia="Times New Roman"/>
          <w:sz w:val="24"/>
          <w:szCs w:val="24"/>
          <w:lang w:eastAsia="en-AU"/>
        </w:rPr>
      </w:pPr>
      <w:r w:rsidRPr="004A7B54">
        <w:rPr>
          <w:rFonts w:eastAsia="Times New Roman"/>
          <w:sz w:val="24"/>
          <w:szCs w:val="24"/>
          <w:lang w:eastAsia="en-AU"/>
        </w:rPr>
        <w:t xml:space="preserve">Overall 8.84% of FSP clients identified as </w:t>
      </w:r>
      <w:proofErr w:type="spellStart"/>
      <w:r w:rsidRPr="004A7B54">
        <w:rPr>
          <w:rFonts w:eastAsia="Times New Roman"/>
          <w:sz w:val="24"/>
          <w:szCs w:val="24"/>
          <w:lang w:eastAsia="en-AU"/>
        </w:rPr>
        <w:t>CaLD</w:t>
      </w:r>
      <w:proofErr w:type="spellEnd"/>
      <w:r w:rsidRPr="004A7B54">
        <w:rPr>
          <w:rFonts w:eastAsia="Times New Roman"/>
          <w:sz w:val="24"/>
          <w:szCs w:val="24"/>
          <w:lang w:eastAsia="en-AU"/>
        </w:rPr>
        <w:t xml:space="preserve"> in 2011-12</w:t>
      </w:r>
    </w:p>
    <w:p w:rsidR="00EF4A49" w:rsidRDefault="00927A36" w:rsidP="00142765">
      <w:pPr>
        <w:rPr>
          <w:rFonts w:eastAsia="Times New Roman"/>
          <w:sz w:val="24"/>
          <w:szCs w:val="24"/>
          <w:lang w:eastAsia="en-AU"/>
        </w:rPr>
      </w:pPr>
      <w:r>
        <w:rPr>
          <w:rFonts w:eastAsia="Times New Roman"/>
          <w:sz w:val="24"/>
          <w:szCs w:val="24"/>
          <w:lang w:eastAsia="en-AU"/>
        </w:rPr>
        <w:lastRenderedPageBreak/>
        <w:t>A</w:t>
      </w:r>
      <w:r w:rsidR="0053546B" w:rsidRPr="004A7B54">
        <w:rPr>
          <w:rFonts w:eastAsia="Times New Roman"/>
          <w:sz w:val="24"/>
          <w:szCs w:val="24"/>
          <w:lang w:eastAsia="en-AU"/>
        </w:rPr>
        <w:t>cross the Program</w:t>
      </w:r>
      <w:r w:rsidR="00142765" w:rsidRPr="004A7B54">
        <w:rPr>
          <w:rFonts w:eastAsia="Times New Roman"/>
          <w:sz w:val="24"/>
          <w:szCs w:val="24"/>
          <w:lang w:eastAsia="en-AU"/>
        </w:rPr>
        <w:t>,</w:t>
      </w:r>
      <w:r w:rsidR="00142765" w:rsidRPr="004A7B54">
        <w:rPr>
          <w:rFonts w:ascii="Calibri" w:eastAsia="Times New Roman" w:hAnsi="Calibri" w:cs="Times New Roman"/>
          <w:sz w:val="24"/>
          <w:szCs w:val="24"/>
          <w:lang w:eastAsia="en-AU"/>
        </w:rPr>
        <w:t xml:space="preserve"> </w:t>
      </w:r>
      <w:r w:rsidR="00142765" w:rsidRPr="004A7B54">
        <w:rPr>
          <w:rFonts w:eastAsia="Times New Roman"/>
          <w:sz w:val="24"/>
          <w:szCs w:val="24"/>
          <w:lang w:eastAsia="en-AU"/>
        </w:rPr>
        <w:t>Specialist Services – FRSHE had the highest percentage</w:t>
      </w:r>
      <w:r>
        <w:rPr>
          <w:rFonts w:eastAsia="Times New Roman"/>
          <w:sz w:val="24"/>
          <w:szCs w:val="24"/>
          <w:lang w:eastAsia="en-AU"/>
        </w:rPr>
        <w:t xml:space="preserve"> of </w:t>
      </w:r>
      <w:proofErr w:type="spellStart"/>
      <w:r>
        <w:rPr>
          <w:rFonts w:eastAsia="Times New Roman"/>
          <w:sz w:val="24"/>
          <w:szCs w:val="24"/>
          <w:lang w:eastAsia="en-AU"/>
        </w:rPr>
        <w:t>CaLD</w:t>
      </w:r>
      <w:proofErr w:type="spellEnd"/>
      <w:r>
        <w:rPr>
          <w:rFonts w:eastAsia="Times New Roman"/>
          <w:sz w:val="24"/>
          <w:szCs w:val="24"/>
          <w:lang w:eastAsia="en-AU"/>
        </w:rPr>
        <w:t xml:space="preserve"> clients (</w:t>
      </w:r>
      <w:r w:rsidR="00142765" w:rsidRPr="004A7B54">
        <w:rPr>
          <w:rFonts w:eastAsia="Times New Roman"/>
          <w:sz w:val="24"/>
          <w:szCs w:val="24"/>
          <w:lang w:eastAsia="en-AU"/>
        </w:rPr>
        <w:t>36.53%</w:t>
      </w:r>
      <w:r>
        <w:rPr>
          <w:rFonts w:eastAsia="Times New Roman"/>
          <w:sz w:val="24"/>
          <w:szCs w:val="24"/>
          <w:lang w:eastAsia="en-AU"/>
        </w:rPr>
        <w:t>)</w:t>
      </w:r>
      <w:r w:rsidR="00142765" w:rsidRPr="004A7B54">
        <w:rPr>
          <w:rFonts w:eastAsia="Times New Roman"/>
          <w:sz w:val="24"/>
          <w:szCs w:val="24"/>
          <w:lang w:eastAsia="en-AU"/>
        </w:rPr>
        <w:t xml:space="preserve">.  </w:t>
      </w:r>
      <w:r w:rsidR="0053546B" w:rsidRPr="004A7B54">
        <w:rPr>
          <w:rFonts w:eastAsia="Times New Roman"/>
          <w:sz w:val="24"/>
          <w:szCs w:val="24"/>
          <w:lang w:eastAsia="en-AU"/>
        </w:rPr>
        <w:t>However, only 701</w:t>
      </w:r>
      <w:r w:rsidR="00D87990" w:rsidRPr="004A7B54">
        <w:rPr>
          <w:rFonts w:eastAsia="Times New Roman"/>
          <w:sz w:val="24"/>
          <w:szCs w:val="24"/>
          <w:lang w:eastAsia="en-AU"/>
        </w:rPr>
        <w:t xml:space="preserve"> out of 750 registered clients </w:t>
      </w:r>
      <w:r w:rsidR="005B26CB" w:rsidRPr="004A7B54">
        <w:rPr>
          <w:rFonts w:eastAsia="Times New Roman"/>
          <w:sz w:val="24"/>
          <w:szCs w:val="24"/>
          <w:lang w:eastAsia="en-AU"/>
        </w:rPr>
        <w:t xml:space="preserve">identified as </w:t>
      </w:r>
      <w:proofErr w:type="spellStart"/>
      <w:r w:rsidR="005B26CB" w:rsidRPr="004A7B54">
        <w:rPr>
          <w:rFonts w:eastAsia="Times New Roman"/>
          <w:sz w:val="24"/>
          <w:szCs w:val="24"/>
          <w:lang w:eastAsia="en-AU"/>
        </w:rPr>
        <w:t>C</w:t>
      </w:r>
      <w:r w:rsidR="00EF4A49">
        <w:rPr>
          <w:rFonts w:eastAsia="Times New Roman"/>
          <w:sz w:val="24"/>
          <w:szCs w:val="24"/>
          <w:lang w:eastAsia="en-AU"/>
        </w:rPr>
        <w:t>a</w:t>
      </w:r>
      <w:r w:rsidR="005B26CB" w:rsidRPr="004A7B54">
        <w:rPr>
          <w:rFonts w:eastAsia="Times New Roman"/>
          <w:sz w:val="24"/>
          <w:szCs w:val="24"/>
          <w:lang w:eastAsia="en-AU"/>
        </w:rPr>
        <w:t>LD</w:t>
      </w:r>
      <w:proofErr w:type="spellEnd"/>
      <w:r w:rsidR="005B26CB" w:rsidRPr="004A7B54">
        <w:rPr>
          <w:rFonts w:eastAsia="Times New Roman"/>
          <w:sz w:val="24"/>
          <w:szCs w:val="24"/>
          <w:lang w:eastAsia="en-AU"/>
        </w:rPr>
        <w:t xml:space="preserve">; </w:t>
      </w:r>
      <w:r w:rsidR="0053546B" w:rsidRPr="004A7B54">
        <w:rPr>
          <w:rFonts w:eastAsia="Times New Roman"/>
          <w:sz w:val="24"/>
          <w:szCs w:val="24"/>
          <w:lang w:eastAsia="en-AU"/>
        </w:rPr>
        <w:t xml:space="preserve">the total number of FRSHE clients was 1,919 </w:t>
      </w:r>
      <w:r w:rsidR="00EF4A49">
        <w:rPr>
          <w:rFonts w:eastAsia="Times New Roman"/>
          <w:sz w:val="24"/>
          <w:szCs w:val="24"/>
          <w:lang w:eastAsia="en-AU"/>
        </w:rPr>
        <w:t xml:space="preserve">therefore, </w:t>
      </w:r>
      <w:r w:rsidR="0053546B" w:rsidRPr="004A7B54">
        <w:rPr>
          <w:rFonts w:eastAsia="Times New Roman"/>
          <w:sz w:val="24"/>
          <w:szCs w:val="24"/>
          <w:lang w:eastAsia="en-AU"/>
        </w:rPr>
        <w:t xml:space="preserve">the majority </w:t>
      </w:r>
      <w:r w:rsidR="00EF4A49">
        <w:rPr>
          <w:rFonts w:eastAsia="Times New Roman"/>
          <w:sz w:val="24"/>
          <w:szCs w:val="24"/>
          <w:lang w:eastAsia="en-AU"/>
        </w:rPr>
        <w:t xml:space="preserve">were </w:t>
      </w:r>
      <w:r w:rsidR="0053546B" w:rsidRPr="004A7B54">
        <w:rPr>
          <w:rFonts w:eastAsia="Times New Roman"/>
          <w:sz w:val="24"/>
          <w:szCs w:val="24"/>
          <w:lang w:eastAsia="en-AU"/>
        </w:rPr>
        <w:t>unregistered clients for which demographic details are not collected.</w:t>
      </w:r>
    </w:p>
    <w:p w:rsidR="00142765" w:rsidRPr="004A7B54" w:rsidRDefault="00EF4A49" w:rsidP="00142765">
      <w:pPr>
        <w:rPr>
          <w:rFonts w:eastAsia="Times New Roman"/>
          <w:sz w:val="24"/>
          <w:szCs w:val="24"/>
          <w:lang w:eastAsia="en-AU"/>
        </w:rPr>
      </w:pPr>
      <w:r>
        <w:rPr>
          <w:rFonts w:eastAsia="Times New Roman"/>
          <w:sz w:val="24"/>
          <w:szCs w:val="24"/>
          <w:lang w:eastAsia="en-AU"/>
        </w:rPr>
        <w:t xml:space="preserve">This low registration rate therefore underestimates the likely percentage of </w:t>
      </w:r>
      <w:proofErr w:type="spellStart"/>
      <w:r>
        <w:rPr>
          <w:rFonts w:eastAsia="Times New Roman"/>
          <w:sz w:val="24"/>
          <w:szCs w:val="24"/>
          <w:lang w:eastAsia="en-AU"/>
        </w:rPr>
        <w:t>CaLD</w:t>
      </w:r>
      <w:proofErr w:type="spellEnd"/>
      <w:r>
        <w:rPr>
          <w:rFonts w:eastAsia="Times New Roman"/>
          <w:sz w:val="24"/>
          <w:szCs w:val="24"/>
          <w:lang w:eastAsia="en-AU"/>
        </w:rPr>
        <w:t xml:space="preserve"> clients being supported through the FSP.  </w:t>
      </w:r>
      <w:r w:rsidR="00142765" w:rsidRPr="004A7B54">
        <w:rPr>
          <w:rFonts w:eastAsia="Times New Roman"/>
          <w:sz w:val="24"/>
          <w:szCs w:val="24"/>
          <w:lang w:eastAsia="en-AU"/>
        </w:rPr>
        <w:t xml:space="preserve">A breakdown of the percentages of </w:t>
      </w:r>
      <w:proofErr w:type="spellStart"/>
      <w:r w:rsidR="00142765" w:rsidRPr="004A7B54">
        <w:rPr>
          <w:rFonts w:eastAsia="Times New Roman"/>
          <w:sz w:val="24"/>
          <w:szCs w:val="24"/>
          <w:lang w:eastAsia="en-AU"/>
        </w:rPr>
        <w:t>CaLD</w:t>
      </w:r>
      <w:proofErr w:type="spellEnd"/>
      <w:r w:rsidR="00142765" w:rsidRPr="004A7B54">
        <w:rPr>
          <w:rFonts w:eastAsia="Times New Roman"/>
          <w:sz w:val="24"/>
          <w:szCs w:val="24"/>
          <w:lang w:eastAsia="en-AU"/>
        </w:rPr>
        <w:t xml:space="preserve"> clients by ser</w:t>
      </w:r>
      <w:r w:rsidR="004A7B54">
        <w:rPr>
          <w:rFonts w:eastAsia="Times New Roman"/>
          <w:sz w:val="24"/>
          <w:szCs w:val="24"/>
          <w:lang w:eastAsia="en-AU"/>
        </w:rPr>
        <w:t>vice type is shown in the chart</w:t>
      </w:r>
      <w:r w:rsidR="00142765" w:rsidRPr="004A7B54">
        <w:rPr>
          <w:rFonts w:eastAsia="Times New Roman"/>
          <w:sz w:val="24"/>
          <w:szCs w:val="24"/>
          <w:lang w:eastAsia="en-AU"/>
        </w:rPr>
        <w:t xml:space="preserve"> below.</w:t>
      </w:r>
    </w:p>
    <w:p w:rsidR="00142765" w:rsidRPr="00142765" w:rsidRDefault="004A7B54" w:rsidP="00142765">
      <w:pPr>
        <w:pStyle w:val="Heading4"/>
        <w:rPr>
          <w:rFonts w:eastAsia="Times New Roman"/>
          <w:lang w:eastAsia="en-AU"/>
        </w:rPr>
      </w:pPr>
      <w:bookmarkStart w:id="86" w:name="_Chart_2.6:_Percentage"/>
      <w:bookmarkStart w:id="87" w:name="_2.5:_chart_-"/>
      <w:bookmarkEnd w:id="86"/>
      <w:bookmarkEnd w:id="87"/>
      <w:r>
        <w:rPr>
          <w:rFonts w:eastAsia="Times New Roman"/>
          <w:lang w:eastAsia="en-AU"/>
        </w:rPr>
        <w:t>2.5</w:t>
      </w:r>
      <w:r w:rsidR="00142765" w:rsidRPr="00142765">
        <w:rPr>
          <w:rFonts w:eastAsia="Times New Roman"/>
          <w:lang w:eastAsia="en-AU"/>
        </w:rPr>
        <w:t>: chart - Percentage of clients identifying as CaLD by service type 2011-12</w:t>
      </w:r>
    </w:p>
    <w:p w:rsidR="00142765" w:rsidRDefault="00142765" w:rsidP="005B09F5">
      <w:pPr>
        <w:spacing w:before="0" w:after="0" w:line="240" w:lineRule="auto"/>
        <w:rPr>
          <w:rFonts w:ascii="Arial" w:eastAsia="Times New Roman" w:hAnsi="Arial" w:cs="Arial"/>
          <w:noProof/>
          <w:color w:val="4F6228"/>
          <w:sz w:val="18"/>
          <w:szCs w:val="18"/>
          <w:lang w:eastAsia="en-AU"/>
        </w:rPr>
      </w:pPr>
    </w:p>
    <w:p w:rsidR="00835CD1" w:rsidRPr="00835CD1" w:rsidRDefault="00835CD1" w:rsidP="00835CD1">
      <w:pPr>
        <w:spacing w:before="0" w:after="0" w:line="240" w:lineRule="auto"/>
        <w:rPr>
          <w:rFonts w:ascii="Calibri" w:eastAsia="Times New Roman" w:hAnsi="Calibri" w:cs="Times New Roman"/>
          <w:lang w:eastAsia="en-AU"/>
        </w:rPr>
      </w:pPr>
      <w:r>
        <w:rPr>
          <w:rFonts w:ascii="Calibri" w:eastAsia="Times New Roman" w:hAnsi="Calibri" w:cs="Times New Roman"/>
          <w:noProof/>
          <w:lang w:eastAsia="en-AU"/>
        </w:rPr>
        <w:drawing>
          <wp:inline distT="0" distB="0" distL="0" distR="0" wp14:anchorId="4D0CC3FA" wp14:editId="7DC72FC0">
            <wp:extent cx="5943600" cy="1905000"/>
            <wp:effectExtent l="0" t="0" r="0" b="0"/>
            <wp:docPr id="9" name="Picture 9" descr="The highest percentage of clients identifying as CaLD was 36.53% for SS-FRSHE, the next highest was 22.5% for CfC Direct; 16.3% for CfC FP; 7.6% for CfC IPS; 4.9% for CP; 2.11% for FaRS; 1.74% for FLS 1.28% or SS-SFV and 0.15% for SS-KiF." title="Percentage of CaLD Cl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p w:rsidR="00835CD1" w:rsidRPr="00835CD1" w:rsidRDefault="00835CD1" w:rsidP="00835CD1">
      <w:pPr>
        <w:spacing w:before="0" w:after="0" w:line="240" w:lineRule="auto"/>
        <w:rPr>
          <w:rFonts w:ascii="Calibri" w:eastAsia="Times New Roman" w:hAnsi="Calibri" w:cs="Times New Roman"/>
          <w:noProof/>
          <w:lang w:eastAsia="en-AU"/>
        </w:rPr>
      </w:pPr>
      <w:r w:rsidRPr="00835CD1">
        <w:rPr>
          <w:rFonts w:ascii="Calibri" w:eastAsia="Times New Roman" w:hAnsi="Calibri" w:cs="Times New Roman"/>
          <w:noProof/>
          <w:lang w:eastAsia="en-AU"/>
        </w:rPr>
        <w:t>*CfC IPS includes Closing the Gap in the Northern Territory services.</w:t>
      </w:r>
    </w:p>
    <w:p w:rsidR="00835CD1" w:rsidRPr="00835CD1" w:rsidRDefault="00835CD1" w:rsidP="00835CD1">
      <w:pPr>
        <w:pStyle w:val="Heading3"/>
        <w:rPr>
          <w:rFonts w:eastAsia="Times New Roman"/>
          <w:lang w:eastAsia="en-AU"/>
        </w:rPr>
      </w:pPr>
      <w:bookmarkStart w:id="88" w:name="_Toc338944759"/>
      <w:bookmarkStart w:id="89" w:name="_Toc338945050"/>
      <w:bookmarkStart w:id="90" w:name="_Toc338945377"/>
      <w:bookmarkStart w:id="91" w:name="_Toc338945630"/>
      <w:bookmarkStart w:id="92" w:name="_Toc341705902"/>
      <w:r w:rsidRPr="00835CD1">
        <w:rPr>
          <w:rFonts w:eastAsia="Times New Roman"/>
          <w:noProof/>
          <w:lang w:eastAsia="en-AU"/>
        </w:rPr>
        <w:t xml:space="preserve">FSP clients who identified as </w:t>
      </w:r>
      <w:r w:rsidR="00EF4A49">
        <w:rPr>
          <w:rFonts w:eastAsia="Times New Roman"/>
          <w:noProof/>
          <w:lang w:eastAsia="en-AU"/>
        </w:rPr>
        <w:t>having</w:t>
      </w:r>
      <w:r w:rsidRPr="00835CD1">
        <w:rPr>
          <w:rFonts w:eastAsia="Times New Roman"/>
          <w:noProof/>
          <w:lang w:eastAsia="en-AU"/>
        </w:rPr>
        <w:t xml:space="preserve"> a disability</w:t>
      </w:r>
      <w:bookmarkEnd w:id="88"/>
      <w:bookmarkEnd w:id="89"/>
      <w:bookmarkEnd w:id="90"/>
      <w:bookmarkEnd w:id="91"/>
      <w:bookmarkEnd w:id="92"/>
    </w:p>
    <w:p w:rsidR="009C0827" w:rsidRDefault="009C0827" w:rsidP="00835CD1">
      <w:pPr>
        <w:rPr>
          <w:rFonts w:eastAsia="Times New Roman"/>
          <w:sz w:val="24"/>
          <w:szCs w:val="24"/>
          <w:lang w:eastAsia="en-AU"/>
        </w:rPr>
      </w:pPr>
      <w:r w:rsidRPr="009C0827">
        <w:rPr>
          <w:rFonts w:eastAsia="Times New Roman"/>
          <w:sz w:val="24"/>
          <w:szCs w:val="24"/>
          <w:lang w:eastAsia="en-AU"/>
        </w:rPr>
        <w:t>Four million people in Australia</w:t>
      </w:r>
      <w:r>
        <w:rPr>
          <w:rFonts w:eastAsia="Times New Roman"/>
          <w:sz w:val="24"/>
          <w:szCs w:val="24"/>
          <w:lang w:eastAsia="en-AU"/>
        </w:rPr>
        <w:t xml:space="preserve"> or just under one in five Australians</w:t>
      </w:r>
      <w:r w:rsidRPr="009C0827">
        <w:rPr>
          <w:rFonts w:eastAsia="Times New Roman"/>
          <w:sz w:val="24"/>
          <w:szCs w:val="24"/>
          <w:lang w:eastAsia="en-AU"/>
        </w:rPr>
        <w:t xml:space="preserve"> (18.5%) reported having a disability in 2009, according to the results of the Survey of Disability, Ageing and Carers (SDAC).</w:t>
      </w:r>
      <w:r>
        <w:rPr>
          <w:rStyle w:val="FootnoteReference"/>
          <w:rFonts w:eastAsia="Times New Roman"/>
          <w:sz w:val="24"/>
          <w:szCs w:val="24"/>
          <w:lang w:eastAsia="en-AU"/>
        </w:rPr>
        <w:footnoteReference w:id="6"/>
      </w:r>
      <w:r w:rsidR="000A52B4">
        <w:rPr>
          <w:rFonts w:eastAsia="Times New Roman"/>
          <w:sz w:val="24"/>
          <w:szCs w:val="24"/>
          <w:lang w:eastAsia="en-AU"/>
        </w:rPr>
        <w:t xml:space="preserve">  </w:t>
      </w:r>
      <w:r w:rsidR="000A52B4" w:rsidRPr="000A52B4">
        <w:rPr>
          <w:rFonts w:eastAsia="Times New Roman"/>
          <w:sz w:val="24"/>
          <w:szCs w:val="24"/>
          <w:lang w:eastAsia="en-AU"/>
        </w:rPr>
        <w:t>The disability rate increases steadily with age, with younger people less likely to report a disability than older people. Of those aged four years and under, 3.4% were affected by disability, compared with 40% of those aged between 65 and 69 and 88% of those aged 90 years and over.</w:t>
      </w:r>
    </w:p>
    <w:p w:rsidR="00835CD1" w:rsidRDefault="00835CD1" w:rsidP="00835CD1">
      <w:pPr>
        <w:rPr>
          <w:rFonts w:eastAsia="Times New Roman"/>
          <w:sz w:val="24"/>
          <w:szCs w:val="24"/>
          <w:lang w:eastAsia="en-AU"/>
        </w:rPr>
      </w:pPr>
      <w:r w:rsidRPr="00EC5A68">
        <w:rPr>
          <w:rFonts w:eastAsia="Times New Roman"/>
          <w:sz w:val="24"/>
          <w:szCs w:val="24"/>
          <w:lang w:eastAsia="en-AU"/>
        </w:rPr>
        <w:t>People with a disability is a priority target group for CfC services but is not a priority target group identified for FaRS, SS or FLS.</w:t>
      </w:r>
      <w:r w:rsidRPr="00EC5A68" w:rsidDel="00BE70F2">
        <w:rPr>
          <w:rFonts w:eastAsia="Times New Roman"/>
          <w:sz w:val="24"/>
          <w:szCs w:val="24"/>
          <w:lang w:eastAsia="en-AU"/>
        </w:rPr>
        <w:t xml:space="preserve"> </w:t>
      </w:r>
      <w:r w:rsidRPr="00EC5A68">
        <w:rPr>
          <w:rFonts w:eastAsia="Times New Roman"/>
          <w:sz w:val="24"/>
          <w:szCs w:val="24"/>
          <w:lang w:eastAsia="en-AU"/>
        </w:rPr>
        <w:t xml:space="preserve"> </w:t>
      </w:r>
      <w:r w:rsidR="000A52B4">
        <w:rPr>
          <w:rFonts w:eastAsia="Times New Roman"/>
          <w:sz w:val="24"/>
          <w:szCs w:val="24"/>
          <w:lang w:eastAsia="en-AU"/>
        </w:rPr>
        <w:t xml:space="preserve">The percentage of people identifying as having a disability accessing </w:t>
      </w:r>
      <w:proofErr w:type="gramStart"/>
      <w:r w:rsidR="000A52B4">
        <w:rPr>
          <w:rFonts w:eastAsia="Times New Roman"/>
          <w:sz w:val="24"/>
          <w:szCs w:val="24"/>
          <w:lang w:eastAsia="en-AU"/>
        </w:rPr>
        <w:t>CfC</w:t>
      </w:r>
      <w:proofErr w:type="gramEnd"/>
      <w:r w:rsidR="000A52B4">
        <w:rPr>
          <w:rFonts w:eastAsia="Times New Roman"/>
          <w:sz w:val="24"/>
          <w:szCs w:val="24"/>
          <w:lang w:eastAsia="en-AU"/>
        </w:rPr>
        <w:t xml:space="preserve"> services in 2011-12 was 3%.</w:t>
      </w:r>
      <w:r w:rsidR="00417F06">
        <w:rPr>
          <w:rFonts w:eastAsia="Times New Roman"/>
          <w:sz w:val="24"/>
          <w:szCs w:val="24"/>
          <w:lang w:eastAsia="en-AU"/>
        </w:rPr>
        <w:t xml:space="preserve">  This may represent an unde</w:t>
      </w:r>
      <w:r w:rsidR="00DD4B48">
        <w:rPr>
          <w:rFonts w:eastAsia="Times New Roman"/>
          <w:sz w:val="24"/>
          <w:szCs w:val="24"/>
          <w:lang w:eastAsia="en-AU"/>
        </w:rPr>
        <w:t>restimate as people may not choose to identify as having a disability or else the disability is not evident at the time of service.</w:t>
      </w:r>
    </w:p>
    <w:p w:rsidR="00A04B91" w:rsidRDefault="00A04B91" w:rsidP="009C0827">
      <w:pPr>
        <w:pStyle w:val="Heading4"/>
        <w:rPr>
          <w:rFonts w:eastAsia="Times New Roman"/>
          <w:lang w:eastAsia="en-AU"/>
        </w:rPr>
      </w:pPr>
      <w:bookmarkStart w:id="93" w:name="_2.6:_Chart_-"/>
      <w:bookmarkEnd w:id="93"/>
      <w:r>
        <w:rPr>
          <w:rFonts w:eastAsia="Times New Roman"/>
          <w:lang w:eastAsia="en-AU"/>
        </w:rPr>
        <w:br w:type="page"/>
      </w:r>
    </w:p>
    <w:p w:rsidR="009C0827" w:rsidRPr="00BF292A" w:rsidRDefault="009C0827" w:rsidP="009C0827">
      <w:pPr>
        <w:pStyle w:val="Heading4"/>
        <w:rPr>
          <w:rFonts w:eastAsia="Times New Roman"/>
          <w:lang w:eastAsia="en-AU"/>
        </w:rPr>
      </w:pPr>
      <w:r>
        <w:rPr>
          <w:rFonts w:eastAsia="Times New Roman"/>
          <w:lang w:eastAsia="en-AU"/>
        </w:rPr>
        <w:lastRenderedPageBreak/>
        <w:t xml:space="preserve">2.6: </w:t>
      </w:r>
      <w:r w:rsidRPr="00BF292A">
        <w:rPr>
          <w:rFonts w:eastAsia="Times New Roman"/>
          <w:lang w:eastAsia="en-AU"/>
        </w:rPr>
        <w:t>Chart - Percentage of CfC and CP clients identifying as people with a disability by service type 2011-12</w:t>
      </w:r>
    </w:p>
    <w:p w:rsidR="009C0827" w:rsidRPr="00BF292A" w:rsidRDefault="009C0827" w:rsidP="009C0827">
      <w:pPr>
        <w:rPr>
          <w:rFonts w:ascii="Calibri" w:eastAsia="Times New Roman" w:hAnsi="Calibri" w:cs="Times New Roman"/>
          <w:noProof/>
          <w:lang w:eastAsia="en-AU"/>
        </w:rPr>
      </w:pPr>
      <w:r w:rsidRPr="00417F06">
        <w:rPr>
          <w:rFonts w:ascii="Calibri" w:eastAsia="Times New Roman" w:hAnsi="Calibri" w:cs="Times New Roman"/>
          <w:noProof/>
          <w:lang w:eastAsia="en-AU"/>
        </w:rPr>
        <w:drawing>
          <wp:inline distT="0" distB="0" distL="0" distR="0" wp14:anchorId="5D7FC219" wp14:editId="094621C3">
            <wp:extent cx="3295650" cy="2228850"/>
            <wp:effectExtent l="0" t="0" r="0" b="0"/>
            <wp:docPr id="54" name="Picture 54" descr="CfC Direct had the highest percentage with 4.7% of clients identifying as people with a disability.  The next highest percentages were recorded for CfC FP with 2.4% and 2.3% for CP.  CfC IPS recorded the lowest percentage of 1.7% and includes Closing the Gap in the Northern Territory services.  The total percentage of CfC clients identifying as people with a disability in 2011-12 (excluding CP) was 3%." title="Total percentage of CfC and CP clients identifying as people with a disability by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95650" cy="2228850"/>
                    </a:xfrm>
                    <a:prstGeom prst="rect">
                      <a:avLst/>
                    </a:prstGeom>
                    <a:noFill/>
                    <a:ln>
                      <a:noFill/>
                    </a:ln>
                  </pic:spPr>
                </pic:pic>
              </a:graphicData>
            </a:graphic>
          </wp:inline>
        </w:drawing>
      </w:r>
    </w:p>
    <w:p w:rsidR="009C0827" w:rsidRPr="00BF292A" w:rsidRDefault="009C0827" w:rsidP="009C0827">
      <w:pPr>
        <w:spacing w:after="120" w:line="240" w:lineRule="auto"/>
        <w:rPr>
          <w:rFonts w:ascii="Arial" w:eastAsia="Times New Roman" w:hAnsi="Arial" w:cs="Arial"/>
          <w:b/>
          <w:color w:val="4F6228"/>
          <w:sz w:val="18"/>
          <w:szCs w:val="18"/>
          <w:lang w:eastAsia="en-AU"/>
        </w:rPr>
      </w:pPr>
      <w:r w:rsidRPr="00805706">
        <w:t>The chart above provides a breakdown of the percentages of clients identifying as people with a disability by service type</w:t>
      </w:r>
      <w:r>
        <w:rPr>
          <w:rFonts w:ascii="Arial" w:eastAsia="Times New Roman" w:hAnsi="Arial" w:cs="Arial"/>
          <w:color w:val="4F6228"/>
          <w:sz w:val="18"/>
          <w:szCs w:val="18"/>
          <w:lang w:eastAsia="en-AU"/>
        </w:rPr>
        <w:t>.</w:t>
      </w:r>
    </w:p>
    <w:p w:rsidR="009C0827" w:rsidRPr="00EC5A68" w:rsidRDefault="009C0827" w:rsidP="00835CD1">
      <w:pPr>
        <w:rPr>
          <w:rFonts w:eastAsia="Times New Roman"/>
          <w:sz w:val="24"/>
          <w:szCs w:val="24"/>
          <w:highlight w:val="yellow"/>
          <w:lang w:eastAsia="en-AU"/>
        </w:rPr>
      </w:pPr>
    </w:p>
    <w:p w:rsidR="000630B7" w:rsidRPr="000630B7" w:rsidRDefault="000630B7" w:rsidP="000630B7">
      <w:pPr>
        <w:pStyle w:val="Heading3"/>
        <w:rPr>
          <w:rFonts w:eastAsia="Times New Roman"/>
          <w:lang w:eastAsia="en-AU"/>
        </w:rPr>
      </w:pPr>
      <w:bookmarkStart w:id="94" w:name="_Toc338944761"/>
      <w:bookmarkStart w:id="95" w:name="_Toc338945052"/>
      <w:bookmarkStart w:id="96" w:name="_Toc338945379"/>
      <w:bookmarkStart w:id="97" w:name="_Toc338945632"/>
      <w:bookmarkStart w:id="98" w:name="_Toc341705903"/>
      <w:r w:rsidRPr="000630B7">
        <w:rPr>
          <w:rFonts w:eastAsia="Times New Roman"/>
          <w:lang w:eastAsia="en-AU"/>
        </w:rPr>
        <w:t>Income from service fees</w:t>
      </w:r>
      <w:bookmarkEnd w:id="94"/>
      <w:bookmarkEnd w:id="95"/>
      <w:bookmarkEnd w:id="96"/>
      <w:bookmarkEnd w:id="97"/>
      <w:bookmarkEnd w:id="98"/>
    </w:p>
    <w:p w:rsidR="000630B7" w:rsidRPr="00EC5A68" w:rsidRDefault="000630B7" w:rsidP="000630B7">
      <w:pPr>
        <w:rPr>
          <w:rFonts w:eastAsia="Times New Roman"/>
          <w:sz w:val="24"/>
          <w:szCs w:val="24"/>
        </w:rPr>
      </w:pPr>
      <w:r w:rsidRPr="00EC5A68">
        <w:rPr>
          <w:rFonts w:eastAsia="Times New Roman"/>
          <w:sz w:val="24"/>
          <w:szCs w:val="24"/>
        </w:rPr>
        <w:t>The FSP funding agreement permits</w:t>
      </w:r>
      <w:r w:rsidR="00EF4A49">
        <w:rPr>
          <w:rFonts w:eastAsia="Times New Roman"/>
          <w:sz w:val="24"/>
          <w:szCs w:val="24"/>
        </w:rPr>
        <w:t xml:space="preserve"> most</w:t>
      </w:r>
      <w:r w:rsidRPr="00EC5A68">
        <w:rPr>
          <w:rFonts w:eastAsia="Times New Roman"/>
          <w:sz w:val="24"/>
          <w:szCs w:val="24"/>
        </w:rPr>
        <w:t xml:space="preserve"> service providers to collect fees from clients</w:t>
      </w:r>
      <w:r w:rsidR="00EF4A49">
        <w:rPr>
          <w:rFonts w:eastAsia="Times New Roman"/>
          <w:sz w:val="24"/>
          <w:szCs w:val="24"/>
        </w:rPr>
        <w:t>.  S</w:t>
      </w:r>
      <w:r w:rsidRPr="00EC5A68">
        <w:rPr>
          <w:rFonts w:eastAsia="Times New Roman"/>
          <w:sz w:val="24"/>
          <w:szCs w:val="24"/>
        </w:rPr>
        <w:t>ervice types for which the collection of fees is expressly ex</w:t>
      </w:r>
      <w:r w:rsidR="00D87990" w:rsidRPr="00EC5A68">
        <w:rPr>
          <w:rFonts w:eastAsia="Times New Roman"/>
          <w:sz w:val="24"/>
          <w:szCs w:val="24"/>
        </w:rPr>
        <w:t>cluded</w:t>
      </w:r>
      <w:r w:rsidR="00EF4A49">
        <w:rPr>
          <w:rFonts w:eastAsia="Times New Roman"/>
          <w:sz w:val="24"/>
          <w:szCs w:val="24"/>
        </w:rPr>
        <w:t xml:space="preserve"> are</w:t>
      </w:r>
      <w:r w:rsidR="00D87990" w:rsidRPr="00EC5A68">
        <w:rPr>
          <w:rFonts w:eastAsia="Times New Roman"/>
          <w:sz w:val="24"/>
          <w:szCs w:val="24"/>
        </w:rPr>
        <w:t xml:space="preserve"> SS – KIF, SS – FRSHE and </w:t>
      </w:r>
      <w:proofErr w:type="gramStart"/>
      <w:r w:rsidR="00D87990" w:rsidRPr="00EC5A68">
        <w:rPr>
          <w:rFonts w:eastAsia="Times New Roman"/>
          <w:sz w:val="24"/>
          <w:szCs w:val="24"/>
        </w:rPr>
        <w:t>CfC</w:t>
      </w:r>
      <w:proofErr w:type="gramEnd"/>
      <w:r w:rsidR="00D87990" w:rsidRPr="00EC5A68">
        <w:rPr>
          <w:rFonts w:eastAsia="Times New Roman"/>
          <w:sz w:val="24"/>
          <w:szCs w:val="24"/>
        </w:rPr>
        <w:t xml:space="preserve"> (though an exemption may be granted for CfC Direct).</w:t>
      </w:r>
    </w:p>
    <w:p w:rsidR="00EC5A68" w:rsidRDefault="000630B7">
      <w:pPr>
        <w:rPr>
          <w:rFonts w:eastAsia="Times New Roman"/>
          <w:caps/>
          <w:color w:val="4F6228" w:themeColor="accent3" w:themeShade="80"/>
          <w:spacing w:val="10"/>
          <w:sz w:val="22"/>
          <w:szCs w:val="22"/>
          <w:lang w:eastAsia="en-AU"/>
        </w:rPr>
      </w:pPr>
      <w:r w:rsidRPr="00EC5A68">
        <w:rPr>
          <w:rFonts w:eastAsia="Times New Roman"/>
          <w:sz w:val="24"/>
          <w:szCs w:val="24"/>
        </w:rPr>
        <w:t xml:space="preserve">The </w:t>
      </w:r>
      <w:r w:rsidR="005B26CB" w:rsidRPr="00EC5A68">
        <w:rPr>
          <w:rFonts w:eastAsia="Times New Roman"/>
          <w:sz w:val="24"/>
          <w:szCs w:val="24"/>
        </w:rPr>
        <w:t>FSP funding a</w:t>
      </w:r>
      <w:r w:rsidRPr="00EC5A68">
        <w:rPr>
          <w:rFonts w:eastAsia="Times New Roman"/>
          <w:sz w:val="24"/>
          <w:szCs w:val="24"/>
        </w:rPr>
        <w:t xml:space="preserve">greement specifies that fee income must be reinvested in activities related to FSP services.  </w:t>
      </w:r>
    </w:p>
    <w:p w:rsidR="000630B7" w:rsidRPr="000630B7" w:rsidRDefault="00EC5A68" w:rsidP="000630B7">
      <w:pPr>
        <w:pStyle w:val="Heading4"/>
        <w:rPr>
          <w:rFonts w:eastAsia="Times New Roman"/>
          <w:lang w:eastAsia="en-AU"/>
        </w:rPr>
      </w:pPr>
      <w:bookmarkStart w:id="99" w:name="_2.6:__Chart"/>
      <w:bookmarkEnd w:id="99"/>
      <w:r>
        <w:rPr>
          <w:rFonts w:eastAsia="Times New Roman"/>
          <w:lang w:eastAsia="en-AU"/>
        </w:rPr>
        <w:t>2.</w:t>
      </w:r>
      <w:r w:rsidR="00A570F5">
        <w:rPr>
          <w:rFonts w:eastAsia="Times New Roman"/>
          <w:lang w:eastAsia="en-AU"/>
        </w:rPr>
        <w:t>7</w:t>
      </w:r>
      <w:r w:rsidR="000630B7" w:rsidRPr="000630B7">
        <w:rPr>
          <w:rFonts w:eastAsia="Times New Roman"/>
          <w:lang w:eastAsia="en-AU"/>
        </w:rPr>
        <w:t>:  Chart - Percentage of sessions with fees charged – FaRS, SS-SFV and FLS 2009-10, 2010-11 and 2011-12</w:t>
      </w:r>
    </w:p>
    <w:p w:rsidR="000630B7" w:rsidRPr="000630B7" w:rsidRDefault="000630B7" w:rsidP="000630B7">
      <w:pPr>
        <w:spacing w:before="0" w:after="0" w:line="240" w:lineRule="auto"/>
        <w:rPr>
          <w:rFonts w:ascii="Arial" w:eastAsia="Times New Roman" w:hAnsi="Arial" w:cs="Arial"/>
          <w:sz w:val="24"/>
          <w:szCs w:val="24"/>
          <w:lang w:eastAsia="en-AU"/>
        </w:rPr>
      </w:pPr>
      <w:r>
        <w:rPr>
          <w:rFonts w:ascii="Calibri" w:eastAsia="Times New Roman" w:hAnsi="Calibri" w:cs="Times New Roman"/>
          <w:noProof/>
          <w:lang w:eastAsia="en-AU"/>
        </w:rPr>
        <w:drawing>
          <wp:inline distT="0" distB="0" distL="0" distR="0" wp14:anchorId="6289DFCC" wp14:editId="5E5B8A85">
            <wp:extent cx="4581525" cy="2752725"/>
            <wp:effectExtent l="0" t="0" r="9525" b="9525"/>
            <wp:docPr id="12" name="Picture 12" descr="The percentage of sessions with fees charged for SS-SFV has decreased from 21.8% in 2009-10 and 2010-11 to 11.6% in 2011-12.  FaRS has remained fairly steady with 55.6% of sessions charging fees in 2009-10, 57.1% in 2010-11 and 54.8% in 2011.12.  The percentage of sessions with fees charged for FLS has been climbing from 23.3% of sessions charging fees in 2009-10, 28.6% in 2010-11 and a dramatic increase in 2011-12 to 77.4%." title="Percentage of sessions with fees charged - FaRS, SS-SFV and FLS 2009 t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r w:rsidRPr="000630B7">
        <w:rPr>
          <w:rFonts w:ascii="Arial" w:eastAsia="Times New Roman" w:hAnsi="Arial" w:cs="Arial"/>
          <w:sz w:val="24"/>
          <w:szCs w:val="24"/>
          <w:lang w:eastAsia="en-AU"/>
        </w:rPr>
        <w:t xml:space="preserve"> </w:t>
      </w:r>
    </w:p>
    <w:p w:rsidR="000630B7" w:rsidRDefault="000630B7" w:rsidP="000630B7">
      <w:pPr>
        <w:rPr>
          <w:rFonts w:eastAsia="Times New Roman"/>
          <w:sz w:val="24"/>
          <w:szCs w:val="24"/>
          <w:lang w:eastAsia="en-AU"/>
        </w:rPr>
      </w:pPr>
      <w:r w:rsidRPr="00EC5A68">
        <w:rPr>
          <w:rFonts w:eastAsia="Times New Roman"/>
          <w:sz w:val="24"/>
          <w:szCs w:val="24"/>
          <w:lang w:eastAsia="en-AU"/>
        </w:rPr>
        <w:t xml:space="preserve">The chart above shows a comparison over 2009 to 2012 of the percentage of sessions </w:t>
      </w:r>
      <w:r w:rsidR="00EF4A49">
        <w:rPr>
          <w:rFonts w:eastAsia="Times New Roman"/>
          <w:sz w:val="24"/>
          <w:szCs w:val="24"/>
          <w:lang w:eastAsia="en-AU"/>
        </w:rPr>
        <w:t>where</w:t>
      </w:r>
      <w:r w:rsidR="00EF4A49" w:rsidRPr="00EC5A68">
        <w:rPr>
          <w:rFonts w:eastAsia="Times New Roman"/>
          <w:sz w:val="24"/>
          <w:szCs w:val="24"/>
          <w:lang w:eastAsia="en-AU"/>
        </w:rPr>
        <w:t xml:space="preserve"> </w:t>
      </w:r>
      <w:r w:rsidRPr="00EC5A68">
        <w:rPr>
          <w:rFonts w:eastAsia="Times New Roman"/>
          <w:sz w:val="24"/>
          <w:szCs w:val="24"/>
          <w:lang w:eastAsia="en-AU"/>
        </w:rPr>
        <w:t xml:space="preserve">fees </w:t>
      </w:r>
      <w:r w:rsidR="00EF4A49">
        <w:rPr>
          <w:rFonts w:eastAsia="Times New Roman"/>
          <w:sz w:val="24"/>
          <w:szCs w:val="24"/>
          <w:lang w:eastAsia="en-AU"/>
        </w:rPr>
        <w:t>we</w:t>
      </w:r>
      <w:r w:rsidR="00E63A70">
        <w:rPr>
          <w:rFonts w:eastAsia="Times New Roman"/>
          <w:sz w:val="24"/>
          <w:szCs w:val="24"/>
          <w:lang w:eastAsia="en-AU"/>
        </w:rPr>
        <w:t>r</w:t>
      </w:r>
      <w:r w:rsidR="00EF4A49">
        <w:rPr>
          <w:rFonts w:eastAsia="Times New Roman"/>
          <w:sz w:val="24"/>
          <w:szCs w:val="24"/>
          <w:lang w:eastAsia="en-AU"/>
        </w:rPr>
        <w:t xml:space="preserve">e </w:t>
      </w:r>
      <w:r w:rsidRPr="00EC5A68">
        <w:rPr>
          <w:rFonts w:eastAsia="Times New Roman"/>
          <w:sz w:val="24"/>
          <w:szCs w:val="24"/>
          <w:lang w:eastAsia="en-AU"/>
        </w:rPr>
        <w:t xml:space="preserve">charged for FaRS, SS-SFV and FLS.  </w:t>
      </w:r>
      <w:r w:rsidR="00D87990" w:rsidRPr="00EC5A68">
        <w:rPr>
          <w:rFonts w:eastAsia="Times New Roman"/>
          <w:sz w:val="24"/>
          <w:szCs w:val="24"/>
          <w:lang w:eastAsia="en-AU"/>
        </w:rPr>
        <w:t xml:space="preserve">The percentages have remained relatively static over the three financial </w:t>
      </w:r>
      <w:r w:rsidR="00AA66DE" w:rsidRPr="00EC5A68">
        <w:rPr>
          <w:rFonts w:eastAsia="Times New Roman"/>
          <w:sz w:val="24"/>
          <w:szCs w:val="24"/>
          <w:lang w:eastAsia="en-AU"/>
        </w:rPr>
        <w:lastRenderedPageBreak/>
        <w:t xml:space="preserve">years for FaRS.  There was an increase from 28.6 % to 77.4% of sessions </w:t>
      </w:r>
      <w:r w:rsidR="00EF4A49">
        <w:rPr>
          <w:rFonts w:eastAsia="Times New Roman"/>
          <w:sz w:val="24"/>
          <w:szCs w:val="24"/>
          <w:lang w:eastAsia="en-AU"/>
        </w:rPr>
        <w:t>where</w:t>
      </w:r>
      <w:r w:rsidR="00EF4A49" w:rsidRPr="00EC5A68">
        <w:rPr>
          <w:rFonts w:eastAsia="Times New Roman"/>
          <w:sz w:val="24"/>
          <w:szCs w:val="24"/>
          <w:lang w:eastAsia="en-AU"/>
        </w:rPr>
        <w:t xml:space="preserve"> </w:t>
      </w:r>
      <w:r w:rsidR="00AA66DE" w:rsidRPr="00EC5A68">
        <w:rPr>
          <w:rFonts w:eastAsia="Times New Roman"/>
          <w:sz w:val="24"/>
          <w:szCs w:val="24"/>
          <w:lang w:eastAsia="en-AU"/>
        </w:rPr>
        <w:t xml:space="preserve">fees </w:t>
      </w:r>
      <w:r w:rsidR="00EF4A49">
        <w:rPr>
          <w:rFonts w:eastAsia="Times New Roman"/>
          <w:sz w:val="24"/>
          <w:szCs w:val="24"/>
          <w:lang w:eastAsia="en-AU"/>
        </w:rPr>
        <w:t xml:space="preserve">were </w:t>
      </w:r>
      <w:r w:rsidR="00AA66DE" w:rsidRPr="00EC5A68">
        <w:rPr>
          <w:rFonts w:eastAsia="Times New Roman"/>
          <w:sz w:val="24"/>
          <w:szCs w:val="24"/>
          <w:lang w:eastAsia="en-AU"/>
        </w:rPr>
        <w:t>charged</w:t>
      </w:r>
      <w:r w:rsidR="00A83F0B" w:rsidRPr="00EC5A68">
        <w:rPr>
          <w:rFonts w:eastAsia="Times New Roman"/>
          <w:sz w:val="24"/>
          <w:szCs w:val="24"/>
          <w:lang w:eastAsia="en-AU"/>
        </w:rPr>
        <w:t xml:space="preserve"> </w:t>
      </w:r>
      <w:r w:rsidR="00AA66DE" w:rsidRPr="00EC5A68">
        <w:rPr>
          <w:rFonts w:eastAsia="Times New Roman"/>
          <w:sz w:val="24"/>
          <w:szCs w:val="24"/>
          <w:lang w:eastAsia="en-AU"/>
        </w:rPr>
        <w:t xml:space="preserve">for FLS for the 2010-11 and 2011-12 financial years respectively.  </w:t>
      </w:r>
      <w:r w:rsidR="00A83F0B" w:rsidRPr="00EC5A68">
        <w:rPr>
          <w:rFonts w:eastAsia="Times New Roman"/>
          <w:sz w:val="24"/>
          <w:szCs w:val="24"/>
          <w:lang w:eastAsia="en-AU"/>
        </w:rPr>
        <w:t>It should be noted that from 1 July 2011</w:t>
      </w:r>
      <w:r w:rsidR="005635CC">
        <w:rPr>
          <w:rFonts w:eastAsia="Times New Roman"/>
          <w:sz w:val="24"/>
          <w:szCs w:val="24"/>
          <w:lang w:eastAsia="en-AU"/>
        </w:rPr>
        <w:t>,</w:t>
      </w:r>
      <w:r w:rsidR="00A83F0B" w:rsidRPr="00EC5A68">
        <w:rPr>
          <w:rFonts w:eastAsia="Times New Roman"/>
          <w:sz w:val="24"/>
          <w:szCs w:val="24"/>
          <w:lang w:eastAsia="en-AU"/>
        </w:rPr>
        <w:t xml:space="preserve"> AGD introduced changes to its fees regime for family law services</w:t>
      </w:r>
      <w:r w:rsidR="00222682">
        <w:rPr>
          <w:rFonts w:eastAsia="Times New Roman"/>
          <w:sz w:val="24"/>
          <w:szCs w:val="24"/>
          <w:lang w:eastAsia="en-AU"/>
        </w:rPr>
        <w:t xml:space="preserve">, </w:t>
      </w:r>
      <w:r w:rsidR="00B917CD" w:rsidRPr="00EC5A68">
        <w:rPr>
          <w:rFonts w:eastAsia="Times New Roman"/>
          <w:sz w:val="24"/>
          <w:szCs w:val="24"/>
          <w:lang w:eastAsia="en-AU"/>
        </w:rPr>
        <w:t xml:space="preserve">which seems to be </w:t>
      </w:r>
      <w:r w:rsidR="00EC5A68">
        <w:rPr>
          <w:rFonts w:eastAsia="Times New Roman"/>
          <w:sz w:val="24"/>
          <w:szCs w:val="24"/>
          <w:lang w:eastAsia="en-AU"/>
        </w:rPr>
        <w:t>reflected in Chart 2.6 for the 2011-12 financial year</w:t>
      </w:r>
      <w:r w:rsidR="00A83F0B" w:rsidRPr="00EC5A68">
        <w:rPr>
          <w:rFonts w:eastAsia="Times New Roman"/>
          <w:sz w:val="24"/>
          <w:szCs w:val="24"/>
          <w:lang w:eastAsia="en-AU"/>
        </w:rPr>
        <w:t>.</w:t>
      </w:r>
      <w:r w:rsidR="005B21C7">
        <w:rPr>
          <w:rFonts w:eastAsia="Times New Roman"/>
          <w:sz w:val="24"/>
          <w:szCs w:val="24"/>
          <w:lang w:eastAsia="en-AU"/>
        </w:rPr>
        <w:t xml:space="preserve">  </w:t>
      </w:r>
      <w:r w:rsidR="009541A4">
        <w:rPr>
          <w:rFonts w:eastAsia="Times New Roman"/>
          <w:sz w:val="24"/>
          <w:szCs w:val="24"/>
          <w:lang w:eastAsia="en-AU"/>
        </w:rPr>
        <w:t>The table below however shows that in terms of total fees charged there was a modest percentage increase charged for FLS with the percentage change from 2009-10 to 2010-11 being 15.9% and the percentage change from 2010-11 to 2011-12 being 16.6%.</w:t>
      </w:r>
    </w:p>
    <w:p w:rsidR="00DA2404" w:rsidRDefault="00DA2404" w:rsidP="006E0B2B">
      <w:pPr>
        <w:pStyle w:val="Heading4"/>
        <w:spacing w:after="240"/>
        <w:rPr>
          <w:rFonts w:eastAsia="Times New Roman"/>
          <w:lang w:eastAsia="en-AU"/>
        </w:rPr>
      </w:pPr>
      <w:bookmarkStart w:id="100" w:name="_2.8:_Table_–"/>
      <w:bookmarkEnd w:id="100"/>
      <w:r w:rsidRPr="0040180C">
        <w:rPr>
          <w:rFonts w:eastAsia="Times New Roman"/>
          <w:lang w:eastAsia="en-AU"/>
        </w:rPr>
        <w:t>2</w:t>
      </w:r>
      <w:r>
        <w:rPr>
          <w:rFonts w:eastAsia="Times New Roman"/>
          <w:lang w:eastAsia="en-AU"/>
        </w:rPr>
        <w:t>.8</w:t>
      </w:r>
      <w:r w:rsidRPr="0040180C">
        <w:rPr>
          <w:rFonts w:eastAsia="Times New Roman"/>
          <w:lang w:eastAsia="en-AU"/>
        </w:rPr>
        <w:t xml:space="preserve">: Table </w:t>
      </w:r>
      <w:r>
        <w:rPr>
          <w:rFonts w:eastAsia="Times New Roman"/>
          <w:lang w:eastAsia="en-AU"/>
        </w:rPr>
        <w:t>–</w:t>
      </w:r>
      <w:r w:rsidRPr="0040180C">
        <w:rPr>
          <w:rFonts w:eastAsia="Times New Roman"/>
          <w:lang w:eastAsia="en-AU"/>
        </w:rPr>
        <w:t xml:space="preserve"> </w:t>
      </w:r>
      <w:r>
        <w:rPr>
          <w:rFonts w:eastAsia="Times New Roman"/>
          <w:lang w:eastAsia="en-AU"/>
        </w:rPr>
        <w:t>Total fees charged FaRS, SS-SFV and FLS 2009-20</w:t>
      </w:r>
      <w:r w:rsidRPr="0040180C">
        <w:rPr>
          <w:rFonts w:eastAsia="Times New Roman"/>
          <w:lang w:eastAsia="en-AU"/>
        </w:rPr>
        <w:t>12</w:t>
      </w:r>
    </w:p>
    <w:tbl>
      <w:tblPr>
        <w:tblStyle w:val="LightShading-Accent31"/>
        <w:tblW w:w="10598" w:type="dxa"/>
        <w:tblLook w:val="04A0" w:firstRow="1" w:lastRow="0" w:firstColumn="1" w:lastColumn="0" w:noHBand="0" w:noVBand="1"/>
        <w:tblCaption w:val="Total fees charged FaRS, SS-SFV and FLS 2009-2012"/>
        <w:tblDescription w:val="The table shows total fees charged as follows:&#10;&#10;Total FaRS fees in 2009-10 was $7,338,496.91, in 2010-11 this increased to $7,686,128.09 and in 2011-12 the total fees reduced to $7,124,556.87.&#10;&#10;No fees were charged for FRESHE in 2009-10 or 2010-11 however $30.00 was charged in 2011-12.&#10;&#10;Fees were not charged in 2009-10 for SS-KiF however $950 was charged in 2010-11 and this reduced to $3.00 in 2011-12.&#10;&#10;The total fees charged for SS-SFVS in 2009-10 was $65,862.41, this increased to $93,801.88 in 2010-11 but reduced to $73,413.15 in 2011-12.&#10;&#10;The Total fees charged for FLS in 2009-10 was $2,083,912.65, this increased to $2,415,394.85 in 2010-11 and increased again to $2,817,479.82 in 2011-12.&#10;&#10;The total fees charged for FaRS, SS and FLS in 2009-10 was $9,488,271.97 which then increased to $10,196,274.82 in 2010-11 but decreased in 2011-12 to $10,015,482.74."/>
      </w:tblPr>
      <w:tblGrid>
        <w:gridCol w:w="2518"/>
        <w:gridCol w:w="1387"/>
        <w:gridCol w:w="3433"/>
        <w:gridCol w:w="3260"/>
      </w:tblGrid>
      <w:tr w:rsidR="00DD603B" w:rsidRPr="00DD603B" w:rsidTr="00F67123">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0598" w:type="dxa"/>
            <w:gridSpan w:val="4"/>
            <w:hideMark/>
          </w:tcPr>
          <w:p w:rsidR="00DD603B" w:rsidRPr="00442A2E" w:rsidRDefault="00DD603B" w:rsidP="00DD603B">
            <w:pPr>
              <w:jc w:val="center"/>
              <w:rPr>
                <w:rFonts w:eastAsia="Times New Roman" w:cs="Calibri"/>
                <w:b w:val="0"/>
                <w:color w:val="000000"/>
                <w:lang w:eastAsia="en-AU"/>
              </w:rPr>
            </w:pPr>
            <w:r w:rsidRPr="00442A2E">
              <w:rPr>
                <w:rFonts w:eastAsia="Times New Roman" w:cs="Calibri"/>
                <w:color w:val="000000"/>
                <w:lang w:eastAsia="en-AU"/>
              </w:rPr>
              <w:t>Total fees charged</w:t>
            </w:r>
          </w:p>
        </w:tc>
      </w:tr>
      <w:tr w:rsidR="00DD603B" w:rsidRPr="00DD603B" w:rsidTr="006E0B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18" w:type="dxa"/>
            <w:hideMark/>
          </w:tcPr>
          <w:p w:rsidR="00DD603B" w:rsidRPr="00442A2E" w:rsidRDefault="00DD603B" w:rsidP="00DD603B">
            <w:pPr>
              <w:rPr>
                <w:rFonts w:eastAsia="Times New Roman" w:cs="Calibri"/>
                <w:b w:val="0"/>
                <w:color w:val="000000"/>
                <w:lang w:eastAsia="en-AU"/>
              </w:rPr>
            </w:pPr>
            <w:r w:rsidRPr="00442A2E">
              <w:rPr>
                <w:rFonts w:eastAsia="Times New Roman" w:cs="Calibri"/>
                <w:color w:val="000000"/>
                <w:lang w:eastAsia="en-AU"/>
              </w:rPr>
              <w:t>Service Type</w:t>
            </w:r>
          </w:p>
        </w:tc>
        <w:tc>
          <w:tcPr>
            <w:tcW w:w="1387" w:type="dxa"/>
            <w:hideMark/>
          </w:tcPr>
          <w:p w:rsidR="00DD603B" w:rsidRPr="00442A2E" w:rsidRDefault="00DD603B" w:rsidP="00DD603B">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n-AU"/>
              </w:rPr>
            </w:pPr>
            <w:r w:rsidRPr="00442A2E">
              <w:rPr>
                <w:rFonts w:eastAsia="Times New Roman" w:cs="Calibri"/>
                <w:b/>
                <w:color w:val="000000"/>
                <w:lang w:eastAsia="en-AU"/>
              </w:rPr>
              <w:t>2009-10</w:t>
            </w:r>
          </w:p>
        </w:tc>
        <w:tc>
          <w:tcPr>
            <w:tcW w:w="3433" w:type="dxa"/>
            <w:hideMark/>
          </w:tcPr>
          <w:p w:rsidR="00DD603B" w:rsidRPr="00442A2E" w:rsidRDefault="00DD603B" w:rsidP="00DD603B">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n-AU"/>
              </w:rPr>
            </w:pPr>
            <w:r w:rsidRPr="00442A2E">
              <w:rPr>
                <w:rFonts w:eastAsia="Times New Roman" w:cs="Calibri"/>
                <w:b/>
                <w:color w:val="000000"/>
                <w:lang w:eastAsia="en-AU"/>
              </w:rPr>
              <w:t>2010-11</w:t>
            </w:r>
          </w:p>
        </w:tc>
        <w:tc>
          <w:tcPr>
            <w:tcW w:w="3260" w:type="dxa"/>
            <w:hideMark/>
          </w:tcPr>
          <w:p w:rsidR="00DD603B" w:rsidRPr="00442A2E" w:rsidRDefault="00DD603B" w:rsidP="00DD603B">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n-AU"/>
              </w:rPr>
            </w:pPr>
            <w:r w:rsidRPr="00442A2E">
              <w:rPr>
                <w:rFonts w:eastAsia="Times New Roman" w:cs="Calibri"/>
                <w:b/>
                <w:color w:val="000000"/>
                <w:lang w:eastAsia="en-AU"/>
              </w:rPr>
              <w:t>2011-12</w:t>
            </w:r>
          </w:p>
        </w:tc>
      </w:tr>
      <w:tr w:rsidR="001C0B39" w:rsidRPr="00DD603B" w:rsidTr="006E0B2B">
        <w:trPr>
          <w:trHeight w:val="315"/>
        </w:trPr>
        <w:tc>
          <w:tcPr>
            <w:cnfStyle w:val="001000000000" w:firstRow="0" w:lastRow="0" w:firstColumn="1" w:lastColumn="0" w:oddVBand="0" w:evenVBand="0" w:oddHBand="0" w:evenHBand="0" w:firstRowFirstColumn="0" w:firstRowLastColumn="0" w:lastRowFirstColumn="0" w:lastRowLastColumn="0"/>
            <w:tcW w:w="2518" w:type="dxa"/>
            <w:hideMark/>
          </w:tcPr>
          <w:p w:rsidR="00DD603B" w:rsidRPr="006E0B2B" w:rsidRDefault="00DD603B" w:rsidP="00DD603B">
            <w:pPr>
              <w:rPr>
                <w:rFonts w:eastAsia="Times New Roman" w:cs="Calibri"/>
                <w:b w:val="0"/>
                <w:color w:val="000000"/>
                <w:lang w:eastAsia="en-AU"/>
              </w:rPr>
            </w:pPr>
            <w:r w:rsidRPr="006E0B2B">
              <w:rPr>
                <w:rFonts w:eastAsia="Times New Roman" w:cs="Calibri"/>
                <w:b w:val="0"/>
                <w:color w:val="000000"/>
                <w:lang w:eastAsia="en-AU"/>
              </w:rPr>
              <w:t>FaRS</w:t>
            </w:r>
          </w:p>
        </w:tc>
        <w:tc>
          <w:tcPr>
            <w:tcW w:w="1387" w:type="dxa"/>
          </w:tcPr>
          <w:p w:rsidR="00DD603B" w:rsidRPr="001C0B39" w:rsidRDefault="001C0B39" w:rsidP="00DD603B">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AU"/>
              </w:rPr>
            </w:pPr>
            <w:r>
              <w:rPr>
                <w:rFonts w:eastAsia="Times New Roman" w:cs="Calibri"/>
                <w:color w:val="000000"/>
                <w:lang w:eastAsia="en-AU"/>
              </w:rPr>
              <w:t>$</w:t>
            </w:r>
            <w:r w:rsidRPr="00442A2E">
              <w:rPr>
                <w:rFonts w:eastAsia="Times New Roman" w:cs="Calibri"/>
                <w:color w:val="000000"/>
                <w:lang w:eastAsia="en-AU"/>
              </w:rPr>
              <w:t>7,338,496.91</w:t>
            </w:r>
          </w:p>
        </w:tc>
        <w:tc>
          <w:tcPr>
            <w:tcW w:w="3433" w:type="dxa"/>
          </w:tcPr>
          <w:p w:rsidR="00DD603B" w:rsidRPr="001C0B39" w:rsidRDefault="001C0B39" w:rsidP="00DD603B">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AU"/>
              </w:rPr>
            </w:pPr>
            <w:r>
              <w:rPr>
                <w:rFonts w:eastAsia="Times New Roman" w:cs="Calibri"/>
                <w:color w:val="000000"/>
                <w:lang w:eastAsia="en-AU"/>
              </w:rPr>
              <w:t>$</w:t>
            </w:r>
            <w:r w:rsidRPr="00442A2E">
              <w:rPr>
                <w:rFonts w:eastAsia="Times New Roman" w:cs="Calibri"/>
                <w:color w:val="000000"/>
                <w:lang w:eastAsia="en-AU"/>
              </w:rPr>
              <w:t>7,686,128.09</w:t>
            </w:r>
          </w:p>
        </w:tc>
        <w:tc>
          <w:tcPr>
            <w:tcW w:w="3260" w:type="dxa"/>
            <w:hideMark/>
          </w:tcPr>
          <w:p w:rsidR="00DD603B" w:rsidRPr="00DD603B" w:rsidRDefault="00DD603B" w:rsidP="00DD603B">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AU"/>
              </w:rPr>
            </w:pPr>
            <w:r w:rsidRPr="00DD603B">
              <w:rPr>
                <w:rFonts w:eastAsia="Times New Roman" w:cs="Calibri"/>
                <w:color w:val="000000"/>
                <w:lang w:eastAsia="en-AU"/>
              </w:rPr>
              <w:t>$7,124,556.87</w:t>
            </w:r>
          </w:p>
        </w:tc>
      </w:tr>
      <w:tr w:rsidR="001C0B39" w:rsidRPr="00DD603B" w:rsidTr="006E0B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18" w:type="dxa"/>
            <w:hideMark/>
          </w:tcPr>
          <w:p w:rsidR="00DD603B" w:rsidRPr="006E0B2B" w:rsidRDefault="00DD603B" w:rsidP="00DD603B">
            <w:pPr>
              <w:rPr>
                <w:rFonts w:eastAsia="Times New Roman" w:cs="Calibri"/>
                <w:b w:val="0"/>
                <w:color w:val="000000"/>
                <w:lang w:eastAsia="en-AU"/>
              </w:rPr>
            </w:pPr>
            <w:r w:rsidRPr="006E0B2B">
              <w:rPr>
                <w:rFonts w:eastAsia="Times New Roman" w:cs="Calibri"/>
                <w:b w:val="0"/>
                <w:color w:val="000000"/>
                <w:lang w:eastAsia="en-AU"/>
              </w:rPr>
              <w:t>FRESHE</w:t>
            </w:r>
          </w:p>
        </w:tc>
        <w:tc>
          <w:tcPr>
            <w:tcW w:w="1387" w:type="dxa"/>
          </w:tcPr>
          <w:p w:rsidR="00DD603B" w:rsidRPr="001C0B39" w:rsidRDefault="001C0B39" w:rsidP="00DD603B">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AU"/>
              </w:rPr>
            </w:pPr>
            <w:r>
              <w:rPr>
                <w:rFonts w:eastAsia="Times New Roman" w:cs="Calibri"/>
                <w:color w:val="000000"/>
                <w:lang w:eastAsia="en-AU"/>
              </w:rPr>
              <w:t>$0.0</w:t>
            </w:r>
            <w:r w:rsidRPr="00442A2E">
              <w:rPr>
                <w:rFonts w:eastAsia="Times New Roman" w:cs="Calibri"/>
                <w:color w:val="000000"/>
                <w:lang w:eastAsia="en-AU"/>
              </w:rPr>
              <w:t>0</w:t>
            </w:r>
          </w:p>
        </w:tc>
        <w:tc>
          <w:tcPr>
            <w:tcW w:w="3433" w:type="dxa"/>
          </w:tcPr>
          <w:p w:rsidR="00DD603B" w:rsidRPr="001C0B39" w:rsidRDefault="001C0B39" w:rsidP="00DD603B">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AU"/>
              </w:rPr>
            </w:pPr>
            <w:r>
              <w:rPr>
                <w:rFonts w:eastAsia="Times New Roman" w:cs="Calibri"/>
                <w:color w:val="000000"/>
                <w:lang w:eastAsia="en-AU"/>
              </w:rPr>
              <w:t>$</w:t>
            </w:r>
            <w:r w:rsidRPr="00442A2E">
              <w:rPr>
                <w:rFonts w:eastAsia="Times New Roman" w:cs="Calibri"/>
                <w:color w:val="000000"/>
                <w:lang w:eastAsia="en-AU"/>
              </w:rPr>
              <w:t>0</w:t>
            </w:r>
            <w:r>
              <w:rPr>
                <w:rFonts w:eastAsia="Times New Roman" w:cs="Calibri"/>
                <w:color w:val="000000"/>
                <w:lang w:eastAsia="en-AU"/>
              </w:rPr>
              <w:t>.00</w:t>
            </w:r>
          </w:p>
        </w:tc>
        <w:tc>
          <w:tcPr>
            <w:tcW w:w="3260" w:type="dxa"/>
            <w:hideMark/>
          </w:tcPr>
          <w:p w:rsidR="00DD603B" w:rsidRPr="00DD603B" w:rsidRDefault="00DD603B" w:rsidP="00DD603B">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AU"/>
              </w:rPr>
            </w:pPr>
            <w:r w:rsidRPr="00DD603B">
              <w:rPr>
                <w:rFonts w:eastAsia="Times New Roman" w:cs="Calibri"/>
                <w:color w:val="000000"/>
                <w:lang w:eastAsia="en-AU"/>
              </w:rPr>
              <w:t>$30.00</w:t>
            </w:r>
          </w:p>
        </w:tc>
      </w:tr>
      <w:tr w:rsidR="001C0B39" w:rsidRPr="00DD603B" w:rsidTr="006E0B2B">
        <w:trPr>
          <w:trHeight w:val="315"/>
        </w:trPr>
        <w:tc>
          <w:tcPr>
            <w:cnfStyle w:val="001000000000" w:firstRow="0" w:lastRow="0" w:firstColumn="1" w:lastColumn="0" w:oddVBand="0" w:evenVBand="0" w:oddHBand="0" w:evenHBand="0" w:firstRowFirstColumn="0" w:firstRowLastColumn="0" w:lastRowFirstColumn="0" w:lastRowLastColumn="0"/>
            <w:tcW w:w="2518" w:type="dxa"/>
            <w:hideMark/>
          </w:tcPr>
          <w:p w:rsidR="00DD603B" w:rsidRPr="006E0B2B" w:rsidRDefault="00DD603B" w:rsidP="00DD603B">
            <w:pPr>
              <w:rPr>
                <w:rFonts w:eastAsia="Times New Roman" w:cs="Calibri"/>
                <w:b w:val="0"/>
                <w:color w:val="000000"/>
                <w:lang w:eastAsia="en-AU"/>
              </w:rPr>
            </w:pPr>
            <w:r w:rsidRPr="006E0B2B">
              <w:rPr>
                <w:rFonts w:eastAsia="Times New Roman" w:cs="Calibri"/>
                <w:b w:val="0"/>
                <w:color w:val="000000"/>
                <w:lang w:eastAsia="en-AU"/>
              </w:rPr>
              <w:t>SS-KIF</w:t>
            </w:r>
          </w:p>
        </w:tc>
        <w:tc>
          <w:tcPr>
            <w:tcW w:w="1387" w:type="dxa"/>
          </w:tcPr>
          <w:p w:rsidR="00DD603B" w:rsidRPr="001C0B39" w:rsidRDefault="001C0B39" w:rsidP="00DD603B">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AU"/>
              </w:rPr>
            </w:pPr>
            <w:r>
              <w:rPr>
                <w:rFonts w:eastAsia="Times New Roman" w:cs="Calibri"/>
                <w:color w:val="000000"/>
                <w:lang w:eastAsia="en-AU"/>
              </w:rPr>
              <w:t>$0.0</w:t>
            </w:r>
            <w:r w:rsidRPr="00442A2E">
              <w:rPr>
                <w:rFonts w:eastAsia="Times New Roman" w:cs="Calibri"/>
                <w:color w:val="000000"/>
                <w:lang w:eastAsia="en-AU"/>
              </w:rPr>
              <w:t>0</w:t>
            </w:r>
          </w:p>
        </w:tc>
        <w:tc>
          <w:tcPr>
            <w:tcW w:w="3433" w:type="dxa"/>
          </w:tcPr>
          <w:p w:rsidR="00DD603B" w:rsidRPr="001C0B39" w:rsidRDefault="001C0B39" w:rsidP="00DD603B">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AU"/>
              </w:rPr>
            </w:pPr>
            <w:r>
              <w:rPr>
                <w:rFonts w:eastAsia="Times New Roman" w:cs="Calibri"/>
                <w:color w:val="000000"/>
                <w:lang w:eastAsia="en-AU"/>
              </w:rPr>
              <w:t>$</w:t>
            </w:r>
            <w:r w:rsidRPr="00442A2E">
              <w:rPr>
                <w:rFonts w:eastAsia="Times New Roman" w:cs="Calibri"/>
                <w:color w:val="000000"/>
                <w:lang w:eastAsia="en-AU"/>
              </w:rPr>
              <w:t>950</w:t>
            </w:r>
          </w:p>
        </w:tc>
        <w:tc>
          <w:tcPr>
            <w:tcW w:w="3260" w:type="dxa"/>
            <w:hideMark/>
          </w:tcPr>
          <w:p w:rsidR="00DD603B" w:rsidRPr="00DD603B" w:rsidRDefault="00DD603B" w:rsidP="00DD603B">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AU"/>
              </w:rPr>
            </w:pPr>
            <w:r w:rsidRPr="00DD603B">
              <w:rPr>
                <w:rFonts w:eastAsia="Times New Roman" w:cs="Calibri"/>
                <w:color w:val="000000"/>
                <w:lang w:eastAsia="en-AU"/>
              </w:rPr>
              <w:t>$3.00</w:t>
            </w:r>
          </w:p>
        </w:tc>
      </w:tr>
      <w:tr w:rsidR="001C0B39" w:rsidRPr="00DD603B" w:rsidTr="006E0B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18" w:type="dxa"/>
            <w:hideMark/>
          </w:tcPr>
          <w:p w:rsidR="00DD603B" w:rsidRPr="006E0B2B" w:rsidRDefault="00DD603B" w:rsidP="00DD603B">
            <w:pPr>
              <w:rPr>
                <w:rFonts w:eastAsia="Times New Roman" w:cs="Calibri"/>
                <w:b w:val="0"/>
                <w:color w:val="000000"/>
                <w:lang w:eastAsia="en-AU"/>
              </w:rPr>
            </w:pPr>
            <w:r w:rsidRPr="006E0B2B">
              <w:rPr>
                <w:rFonts w:eastAsia="Times New Roman" w:cs="Calibri"/>
                <w:b w:val="0"/>
                <w:color w:val="000000"/>
                <w:lang w:eastAsia="en-AU"/>
              </w:rPr>
              <w:t>SS-SFVS</w:t>
            </w:r>
          </w:p>
        </w:tc>
        <w:tc>
          <w:tcPr>
            <w:tcW w:w="1387" w:type="dxa"/>
          </w:tcPr>
          <w:p w:rsidR="00DD603B" w:rsidRPr="001C0B39" w:rsidRDefault="001C0B39" w:rsidP="00DD603B">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AU"/>
              </w:rPr>
            </w:pPr>
            <w:r>
              <w:rPr>
                <w:rFonts w:eastAsia="Times New Roman" w:cs="Calibri"/>
                <w:color w:val="000000"/>
                <w:lang w:eastAsia="en-AU"/>
              </w:rPr>
              <w:t>$</w:t>
            </w:r>
            <w:r w:rsidRPr="00442A2E">
              <w:rPr>
                <w:rFonts w:eastAsia="Times New Roman" w:cs="Calibri"/>
                <w:color w:val="000000"/>
                <w:lang w:eastAsia="en-AU"/>
              </w:rPr>
              <w:t>65,862.41</w:t>
            </w:r>
          </w:p>
        </w:tc>
        <w:tc>
          <w:tcPr>
            <w:tcW w:w="3433" w:type="dxa"/>
          </w:tcPr>
          <w:p w:rsidR="00DD603B" w:rsidRPr="001C0B39" w:rsidRDefault="001C0B39" w:rsidP="00DD603B">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AU"/>
              </w:rPr>
            </w:pPr>
            <w:r>
              <w:rPr>
                <w:rFonts w:eastAsia="Times New Roman" w:cs="Calibri"/>
                <w:color w:val="000000"/>
                <w:lang w:eastAsia="en-AU"/>
              </w:rPr>
              <w:t>$</w:t>
            </w:r>
            <w:r w:rsidRPr="00442A2E">
              <w:rPr>
                <w:rFonts w:eastAsia="Times New Roman" w:cs="Calibri"/>
                <w:color w:val="000000"/>
                <w:lang w:eastAsia="en-AU"/>
              </w:rPr>
              <w:t>93,801.88</w:t>
            </w:r>
          </w:p>
        </w:tc>
        <w:tc>
          <w:tcPr>
            <w:tcW w:w="3260" w:type="dxa"/>
            <w:hideMark/>
          </w:tcPr>
          <w:p w:rsidR="00DD603B" w:rsidRPr="00DD603B" w:rsidRDefault="00DD603B" w:rsidP="00DD603B">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AU"/>
              </w:rPr>
            </w:pPr>
            <w:r w:rsidRPr="00DD603B">
              <w:rPr>
                <w:rFonts w:eastAsia="Times New Roman" w:cs="Calibri"/>
                <w:color w:val="000000"/>
                <w:lang w:eastAsia="en-AU"/>
              </w:rPr>
              <w:t>$73,413.05</w:t>
            </w:r>
          </w:p>
        </w:tc>
      </w:tr>
      <w:tr w:rsidR="001C0B39" w:rsidRPr="00DD603B" w:rsidTr="006E0B2B">
        <w:trPr>
          <w:trHeight w:val="315"/>
        </w:trPr>
        <w:tc>
          <w:tcPr>
            <w:cnfStyle w:val="001000000000" w:firstRow="0" w:lastRow="0" w:firstColumn="1" w:lastColumn="0" w:oddVBand="0" w:evenVBand="0" w:oddHBand="0" w:evenHBand="0" w:firstRowFirstColumn="0" w:firstRowLastColumn="0" w:lastRowFirstColumn="0" w:lastRowLastColumn="0"/>
            <w:tcW w:w="2518" w:type="dxa"/>
          </w:tcPr>
          <w:p w:rsidR="001C0B39" w:rsidRPr="006E0B2B" w:rsidRDefault="001C0B39" w:rsidP="00DD603B">
            <w:pPr>
              <w:rPr>
                <w:rFonts w:eastAsia="Times New Roman" w:cs="Calibri"/>
                <w:b w:val="0"/>
                <w:color w:val="000000"/>
                <w:lang w:eastAsia="en-AU"/>
              </w:rPr>
            </w:pPr>
            <w:r w:rsidRPr="006E0B2B">
              <w:rPr>
                <w:rFonts w:eastAsia="Times New Roman" w:cs="Calibri"/>
                <w:b w:val="0"/>
                <w:color w:val="000000"/>
                <w:lang w:eastAsia="en-AU"/>
              </w:rPr>
              <w:t>FLS</w:t>
            </w:r>
          </w:p>
        </w:tc>
        <w:tc>
          <w:tcPr>
            <w:tcW w:w="1387" w:type="dxa"/>
          </w:tcPr>
          <w:p w:rsidR="001C0B39" w:rsidRPr="00442A2E" w:rsidRDefault="001C0B39" w:rsidP="00DD603B">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AU"/>
              </w:rPr>
            </w:pPr>
            <w:r>
              <w:rPr>
                <w:rFonts w:eastAsia="Times New Roman" w:cs="Calibri"/>
                <w:color w:val="000000"/>
                <w:lang w:eastAsia="en-AU"/>
              </w:rPr>
              <w:t>$</w:t>
            </w:r>
            <w:r w:rsidRPr="00442A2E">
              <w:rPr>
                <w:rFonts w:eastAsia="Times New Roman" w:cs="Calibri"/>
                <w:color w:val="000000"/>
                <w:lang w:eastAsia="en-AU"/>
              </w:rPr>
              <w:t>2,083,912.65</w:t>
            </w:r>
          </w:p>
        </w:tc>
        <w:tc>
          <w:tcPr>
            <w:tcW w:w="3433" w:type="dxa"/>
          </w:tcPr>
          <w:p w:rsidR="001C0B39" w:rsidRPr="00442A2E" w:rsidRDefault="001C0B39" w:rsidP="00DD603B">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AU"/>
              </w:rPr>
            </w:pPr>
            <w:r>
              <w:rPr>
                <w:rFonts w:eastAsia="Times New Roman" w:cs="Calibri"/>
                <w:color w:val="000000"/>
                <w:lang w:eastAsia="en-AU"/>
              </w:rPr>
              <w:t>$</w:t>
            </w:r>
            <w:r w:rsidRPr="00442A2E">
              <w:rPr>
                <w:rFonts w:eastAsia="Times New Roman" w:cs="Calibri"/>
                <w:color w:val="000000"/>
                <w:lang w:eastAsia="en-AU"/>
              </w:rPr>
              <w:t>2,415,394.85</w:t>
            </w:r>
          </w:p>
        </w:tc>
        <w:tc>
          <w:tcPr>
            <w:tcW w:w="3260" w:type="dxa"/>
          </w:tcPr>
          <w:p w:rsidR="001C0B39" w:rsidRPr="00DD603B" w:rsidRDefault="001C0B39" w:rsidP="00DD603B">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AU"/>
              </w:rPr>
            </w:pPr>
            <w:r w:rsidRPr="00DD603B">
              <w:rPr>
                <w:rFonts w:eastAsia="Times New Roman" w:cs="Calibri"/>
                <w:color w:val="000000"/>
                <w:lang w:eastAsia="en-AU"/>
              </w:rPr>
              <w:t>$2,817,479.82</w:t>
            </w:r>
          </w:p>
        </w:tc>
      </w:tr>
      <w:tr w:rsidR="001C0B39" w:rsidRPr="00DD603B" w:rsidTr="006E0B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18" w:type="dxa"/>
            <w:hideMark/>
          </w:tcPr>
          <w:p w:rsidR="001C0B39" w:rsidRPr="00442A2E" w:rsidRDefault="001C0B39" w:rsidP="00DD603B">
            <w:pPr>
              <w:rPr>
                <w:rFonts w:eastAsia="Times New Roman" w:cs="Calibri"/>
                <w:b w:val="0"/>
                <w:color w:val="000000"/>
                <w:lang w:eastAsia="en-AU"/>
              </w:rPr>
            </w:pPr>
            <w:r w:rsidRPr="00442A2E">
              <w:rPr>
                <w:rFonts w:eastAsia="Times New Roman" w:cs="Calibri"/>
                <w:color w:val="000000"/>
                <w:lang w:eastAsia="en-AU"/>
              </w:rPr>
              <w:t>TOTAL</w:t>
            </w:r>
          </w:p>
        </w:tc>
        <w:tc>
          <w:tcPr>
            <w:tcW w:w="1387" w:type="dxa"/>
          </w:tcPr>
          <w:p w:rsidR="001C0B39" w:rsidRPr="00442A2E" w:rsidRDefault="001C0B39" w:rsidP="00DD603B">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n-AU"/>
              </w:rPr>
            </w:pPr>
            <w:r>
              <w:rPr>
                <w:rFonts w:eastAsia="Times New Roman" w:cs="Calibri"/>
                <w:b/>
                <w:color w:val="000000"/>
                <w:lang w:eastAsia="en-AU"/>
              </w:rPr>
              <w:t>$</w:t>
            </w:r>
            <w:r w:rsidRPr="00442A2E">
              <w:rPr>
                <w:rFonts w:eastAsia="Times New Roman" w:cs="Calibri"/>
                <w:b/>
                <w:color w:val="000000"/>
                <w:lang w:eastAsia="en-AU"/>
              </w:rPr>
              <w:t>9,488,271.97</w:t>
            </w:r>
          </w:p>
        </w:tc>
        <w:tc>
          <w:tcPr>
            <w:tcW w:w="3433" w:type="dxa"/>
          </w:tcPr>
          <w:p w:rsidR="001C0B39" w:rsidRPr="00442A2E" w:rsidRDefault="001C0B39" w:rsidP="00DD603B">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n-AU"/>
              </w:rPr>
            </w:pPr>
            <w:r>
              <w:rPr>
                <w:rFonts w:eastAsia="Times New Roman" w:cs="Calibri"/>
                <w:b/>
                <w:color w:val="000000"/>
                <w:lang w:eastAsia="en-AU"/>
              </w:rPr>
              <w:t>$</w:t>
            </w:r>
            <w:r w:rsidRPr="00442A2E">
              <w:rPr>
                <w:rFonts w:eastAsia="Times New Roman" w:cs="Calibri"/>
                <w:b/>
                <w:color w:val="000000"/>
                <w:lang w:eastAsia="en-AU"/>
              </w:rPr>
              <w:t>10,196,274.82</w:t>
            </w:r>
          </w:p>
        </w:tc>
        <w:tc>
          <w:tcPr>
            <w:tcW w:w="3260" w:type="dxa"/>
            <w:hideMark/>
          </w:tcPr>
          <w:p w:rsidR="001C0B39" w:rsidRPr="00442A2E" w:rsidRDefault="001C0B39">
            <w:pPr>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n-AU"/>
              </w:rPr>
            </w:pPr>
            <w:r w:rsidRPr="00442A2E">
              <w:rPr>
                <w:rFonts w:eastAsia="Times New Roman" w:cs="Calibri"/>
                <w:b/>
                <w:color w:val="000000"/>
                <w:lang w:eastAsia="en-AU"/>
              </w:rPr>
              <w:t>$</w:t>
            </w:r>
            <w:r>
              <w:rPr>
                <w:rFonts w:eastAsia="Times New Roman" w:cs="Calibri"/>
                <w:b/>
                <w:color w:val="000000"/>
                <w:lang w:eastAsia="en-AU"/>
              </w:rPr>
              <w:t>10,015,482.74</w:t>
            </w:r>
          </w:p>
        </w:tc>
      </w:tr>
    </w:tbl>
    <w:p w:rsidR="0040180C" w:rsidRPr="00221C4A" w:rsidRDefault="0040180C" w:rsidP="00221C4A">
      <w:pPr>
        <w:pStyle w:val="Heading3"/>
      </w:pPr>
      <w:bookmarkStart w:id="101" w:name="_Toc338944763"/>
      <w:bookmarkStart w:id="102" w:name="_Toc338945054"/>
      <w:bookmarkStart w:id="103" w:name="_Toc338945381"/>
      <w:bookmarkStart w:id="104" w:name="_Toc338945634"/>
      <w:bookmarkStart w:id="105" w:name="_Toc341705904"/>
      <w:r w:rsidRPr="00221C4A">
        <w:t>Referrals to External Services</w:t>
      </w:r>
      <w:bookmarkEnd w:id="101"/>
      <w:bookmarkEnd w:id="102"/>
      <w:bookmarkEnd w:id="103"/>
      <w:bookmarkEnd w:id="104"/>
      <w:bookmarkEnd w:id="105"/>
      <w:r w:rsidRPr="00221C4A">
        <w:t xml:space="preserve"> </w:t>
      </w:r>
    </w:p>
    <w:p w:rsidR="0040180C" w:rsidRPr="00A823DA" w:rsidRDefault="0040180C" w:rsidP="0040180C">
      <w:pPr>
        <w:rPr>
          <w:rFonts w:eastAsia="Times New Roman"/>
          <w:sz w:val="24"/>
          <w:szCs w:val="24"/>
          <w:lang w:eastAsia="en-AU"/>
        </w:rPr>
      </w:pPr>
      <w:r w:rsidRPr="00A823DA">
        <w:rPr>
          <w:rFonts w:eastAsia="Times New Roman"/>
          <w:sz w:val="24"/>
          <w:szCs w:val="24"/>
          <w:lang w:eastAsia="en-AU"/>
        </w:rPr>
        <w:t xml:space="preserve">FaRS, SS and FLS, providers are able to select </w:t>
      </w:r>
      <w:r w:rsidR="00C42CE0" w:rsidRPr="00A823DA">
        <w:rPr>
          <w:rFonts w:eastAsia="Times New Roman"/>
          <w:sz w:val="24"/>
          <w:szCs w:val="24"/>
          <w:lang w:eastAsia="en-AU"/>
        </w:rPr>
        <w:t xml:space="preserve">a service </w:t>
      </w:r>
      <w:r w:rsidRPr="00A823DA">
        <w:rPr>
          <w:rFonts w:eastAsia="Times New Roman"/>
          <w:sz w:val="24"/>
          <w:szCs w:val="24"/>
          <w:lang w:eastAsia="en-AU"/>
        </w:rPr>
        <w:t>f</w:t>
      </w:r>
      <w:r w:rsidR="00C42CE0" w:rsidRPr="00A823DA">
        <w:rPr>
          <w:rFonts w:eastAsia="Times New Roman"/>
          <w:sz w:val="24"/>
          <w:szCs w:val="24"/>
          <w:lang w:eastAsia="en-AU"/>
        </w:rPr>
        <w:t xml:space="preserve">rom a drop down list </w:t>
      </w:r>
      <w:r w:rsidRPr="00A823DA">
        <w:rPr>
          <w:rFonts w:eastAsia="Times New Roman"/>
          <w:sz w:val="24"/>
          <w:szCs w:val="24"/>
          <w:lang w:eastAsia="en-AU"/>
        </w:rPr>
        <w:t>to</w:t>
      </w:r>
      <w:r w:rsidR="00135BAD">
        <w:rPr>
          <w:rFonts w:eastAsia="Times New Roman"/>
          <w:sz w:val="24"/>
          <w:szCs w:val="24"/>
          <w:lang w:eastAsia="en-AU"/>
        </w:rPr>
        <w:t xml:space="preserve"> identify where they have referred clients</w:t>
      </w:r>
      <w:r w:rsidRPr="00A823DA">
        <w:rPr>
          <w:rFonts w:eastAsia="Times New Roman"/>
          <w:sz w:val="24"/>
          <w:szCs w:val="24"/>
          <w:lang w:eastAsia="en-AU"/>
        </w:rPr>
        <w:t>.  The following table shows those services most commonly selected.</w:t>
      </w:r>
    </w:p>
    <w:p w:rsidR="0040180C" w:rsidRPr="0040180C" w:rsidRDefault="00A04B91" w:rsidP="00442A2E">
      <w:pPr>
        <w:pStyle w:val="Heading4"/>
        <w:rPr>
          <w:rFonts w:eastAsia="Times New Roman"/>
          <w:lang w:eastAsia="en-AU"/>
        </w:rPr>
      </w:pPr>
      <w:bookmarkStart w:id="106" w:name="_2.7:_Table_-"/>
      <w:bookmarkEnd w:id="106"/>
      <w:r w:rsidRPr="0040180C">
        <w:rPr>
          <w:rFonts w:eastAsia="Times New Roman"/>
          <w:lang w:eastAsia="en-AU"/>
        </w:rPr>
        <w:t>2</w:t>
      </w:r>
      <w:r>
        <w:rPr>
          <w:rFonts w:eastAsia="Times New Roman"/>
          <w:lang w:eastAsia="en-AU"/>
        </w:rPr>
        <w:t>.</w:t>
      </w:r>
      <w:r w:rsidR="00DA2404">
        <w:rPr>
          <w:rFonts w:eastAsia="Times New Roman"/>
          <w:lang w:eastAsia="en-AU"/>
        </w:rPr>
        <w:t>9</w:t>
      </w:r>
      <w:r w:rsidR="0040180C" w:rsidRPr="0040180C">
        <w:rPr>
          <w:rFonts w:eastAsia="Times New Roman"/>
          <w:lang w:eastAsia="en-AU"/>
        </w:rPr>
        <w:t>: Table - Service types to which clients were most often referred in 2011-12</w:t>
      </w:r>
    </w:p>
    <w:p w:rsidR="0040180C" w:rsidRPr="0040180C" w:rsidRDefault="0040180C" w:rsidP="0040180C">
      <w:pPr>
        <w:spacing w:before="0" w:after="0"/>
        <w:rPr>
          <w:rFonts w:ascii="Calibri" w:eastAsia="Times New Roman" w:hAnsi="Calibri" w:cs="Times New Roman"/>
          <w:vanish/>
          <w:lang w:eastAsia="en-AU"/>
        </w:rPr>
      </w:pPr>
    </w:p>
    <w:tbl>
      <w:tblPr>
        <w:tblW w:w="5000" w:type="pct"/>
        <w:tblBorders>
          <w:top w:val="single" w:sz="8" w:space="0" w:color="9BBB59"/>
          <w:bottom w:val="single" w:sz="8" w:space="0" w:color="9BBB59"/>
        </w:tblBorders>
        <w:tblLayout w:type="fixed"/>
        <w:tblLook w:val="04A0" w:firstRow="1" w:lastRow="0" w:firstColumn="1" w:lastColumn="0" w:noHBand="0" w:noVBand="1"/>
        <w:tblCaption w:val="Service types to which clients were most often referred in 2011-12"/>
        <w:tblDescription w:val="The highest number (3,333) and percentage (16.7%) of clients was referred to Community Legal Centres.  The next largest number of clients (2,552 or 12.8%) was referred to a professional at this service, followed by 2,339 or 11.7% of clients being referred to other funded family relationship services.  Legal Aid Commission received 1,094 or 5.5% of referrals; domestic violence services received 844 or 4.2% of referrals; followed by other family relationship service (not funded under the FSP), Family Relationship Centres and private legal practitioners receiving 829 or 4.2%, 800 or 4.0% and 755 or 3.9% of referrals.  The lowest number (766 or 3.8%) of referrals was made to health practitioners."/>
      </w:tblPr>
      <w:tblGrid>
        <w:gridCol w:w="4026"/>
        <w:gridCol w:w="2967"/>
        <w:gridCol w:w="3712"/>
      </w:tblGrid>
      <w:tr w:rsidR="0040180C" w:rsidRPr="0040180C" w:rsidTr="0040180C">
        <w:trPr>
          <w:trHeight w:val="300"/>
          <w:tblHeader/>
        </w:trPr>
        <w:tc>
          <w:tcPr>
            <w:tcW w:w="1880" w:type="pct"/>
            <w:tcBorders>
              <w:top w:val="single" w:sz="8" w:space="0" w:color="9BBB59"/>
              <w:left w:val="nil"/>
              <w:bottom w:val="single" w:sz="8" w:space="0" w:color="9BBB59"/>
              <w:right w:val="nil"/>
            </w:tcBorders>
            <w:shd w:val="clear" w:color="auto" w:fill="auto"/>
            <w:noWrap/>
            <w:hideMark/>
          </w:tcPr>
          <w:p w:rsidR="0040180C" w:rsidRPr="0040180C" w:rsidRDefault="0040180C" w:rsidP="0040180C">
            <w:pPr>
              <w:spacing w:before="0" w:after="0" w:line="240" w:lineRule="auto"/>
              <w:rPr>
                <w:rFonts w:ascii="Arial Narrow" w:eastAsia="Calibri" w:hAnsi="Arial Narrow" w:cs="Arial"/>
                <w:b/>
                <w:bCs/>
                <w:lang w:eastAsia="en-AU"/>
              </w:rPr>
            </w:pPr>
            <w:r w:rsidRPr="0040180C">
              <w:rPr>
                <w:rFonts w:ascii="Arial Narrow" w:eastAsia="Calibri" w:hAnsi="Arial Narrow" w:cs="Arial"/>
                <w:b/>
                <w:bCs/>
                <w:lang w:eastAsia="en-AU"/>
              </w:rPr>
              <w:t>Service Type</w:t>
            </w:r>
          </w:p>
        </w:tc>
        <w:tc>
          <w:tcPr>
            <w:tcW w:w="1386" w:type="pct"/>
            <w:tcBorders>
              <w:top w:val="single" w:sz="8" w:space="0" w:color="9BBB59"/>
              <w:left w:val="nil"/>
              <w:bottom w:val="single" w:sz="8" w:space="0" w:color="9BBB59"/>
              <w:right w:val="nil"/>
            </w:tcBorders>
            <w:shd w:val="clear" w:color="auto" w:fill="auto"/>
          </w:tcPr>
          <w:p w:rsidR="0040180C" w:rsidRPr="0040180C" w:rsidRDefault="0040180C" w:rsidP="0040180C">
            <w:pPr>
              <w:spacing w:before="0" w:after="0" w:line="240" w:lineRule="auto"/>
              <w:jc w:val="center"/>
              <w:rPr>
                <w:rFonts w:ascii="Arial Narrow" w:eastAsia="Calibri" w:hAnsi="Arial Narrow" w:cs="Arial"/>
                <w:b/>
                <w:bCs/>
                <w:lang w:eastAsia="en-AU"/>
              </w:rPr>
            </w:pPr>
            <w:r w:rsidRPr="0040180C">
              <w:rPr>
                <w:rFonts w:ascii="Arial Narrow" w:eastAsia="Calibri" w:hAnsi="Arial Narrow" w:cs="Arial"/>
                <w:b/>
                <w:bCs/>
                <w:lang w:eastAsia="en-AU"/>
              </w:rPr>
              <w:t>Number of referrals</w:t>
            </w:r>
          </w:p>
        </w:tc>
        <w:tc>
          <w:tcPr>
            <w:tcW w:w="1734" w:type="pct"/>
            <w:tcBorders>
              <w:top w:val="single" w:sz="8" w:space="0" w:color="9BBB59"/>
              <w:left w:val="nil"/>
              <w:bottom w:val="single" w:sz="8" w:space="0" w:color="9BBB59"/>
              <w:right w:val="nil"/>
            </w:tcBorders>
            <w:shd w:val="clear" w:color="auto" w:fill="auto"/>
            <w:noWrap/>
            <w:hideMark/>
          </w:tcPr>
          <w:p w:rsidR="0040180C" w:rsidRPr="0040180C" w:rsidRDefault="0040180C" w:rsidP="0040180C">
            <w:pPr>
              <w:spacing w:before="0" w:after="0" w:line="240" w:lineRule="auto"/>
              <w:jc w:val="center"/>
              <w:rPr>
                <w:rFonts w:ascii="Arial Narrow" w:eastAsia="Calibri" w:hAnsi="Arial Narrow" w:cs="Arial"/>
                <w:b/>
                <w:bCs/>
                <w:lang w:eastAsia="en-AU"/>
              </w:rPr>
            </w:pPr>
            <w:r w:rsidRPr="0040180C">
              <w:rPr>
                <w:rFonts w:ascii="Arial Narrow" w:eastAsia="Calibri" w:hAnsi="Arial Narrow" w:cs="Arial"/>
                <w:b/>
                <w:bCs/>
                <w:lang w:eastAsia="en-AU"/>
              </w:rPr>
              <w:t xml:space="preserve">Percentage of </w:t>
            </w:r>
          </w:p>
          <w:p w:rsidR="0040180C" w:rsidRPr="0040180C" w:rsidRDefault="0040180C" w:rsidP="0040180C">
            <w:pPr>
              <w:spacing w:before="0" w:after="0" w:line="240" w:lineRule="auto"/>
              <w:jc w:val="center"/>
              <w:rPr>
                <w:rFonts w:ascii="Arial Narrow" w:eastAsia="Calibri" w:hAnsi="Arial Narrow" w:cs="Arial"/>
                <w:b/>
                <w:bCs/>
                <w:lang w:eastAsia="en-AU"/>
              </w:rPr>
            </w:pPr>
            <w:r w:rsidRPr="0040180C">
              <w:rPr>
                <w:rFonts w:ascii="Arial Narrow" w:eastAsia="Calibri" w:hAnsi="Arial Narrow" w:cs="Arial"/>
                <w:b/>
                <w:bCs/>
                <w:lang w:eastAsia="en-AU"/>
              </w:rPr>
              <w:t>all referrals</w:t>
            </w:r>
          </w:p>
        </w:tc>
      </w:tr>
      <w:tr w:rsidR="0040180C" w:rsidRPr="0040180C" w:rsidTr="00BF292A">
        <w:trPr>
          <w:trHeight w:val="300"/>
        </w:trPr>
        <w:tc>
          <w:tcPr>
            <w:tcW w:w="1880" w:type="pct"/>
            <w:tcBorders>
              <w:left w:val="nil"/>
              <w:right w:val="nil"/>
            </w:tcBorders>
            <w:shd w:val="clear" w:color="auto" w:fill="E6EED5"/>
            <w:noWrap/>
          </w:tcPr>
          <w:p w:rsidR="0040180C" w:rsidRPr="0040180C" w:rsidRDefault="0040180C" w:rsidP="0040180C">
            <w:pPr>
              <w:spacing w:before="60" w:after="60" w:line="240" w:lineRule="auto"/>
              <w:rPr>
                <w:rFonts w:ascii="Arial Narrow" w:eastAsia="Calibri" w:hAnsi="Arial Narrow" w:cs="Arial"/>
                <w:bCs/>
                <w:color w:val="000000"/>
                <w:lang w:eastAsia="en-AU"/>
              </w:rPr>
            </w:pPr>
            <w:r w:rsidRPr="0040180C">
              <w:rPr>
                <w:rFonts w:ascii="Arial Narrow" w:eastAsia="Calibri" w:hAnsi="Arial Narrow" w:cs="Arial"/>
                <w:bCs/>
                <w:color w:val="000000"/>
                <w:lang w:eastAsia="en-AU"/>
              </w:rPr>
              <w:t>Community Legal Centre</w:t>
            </w:r>
          </w:p>
        </w:tc>
        <w:tc>
          <w:tcPr>
            <w:tcW w:w="1386" w:type="pct"/>
            <w:tcBorders>
              <w:left w:val="nil"/>
              <w:right w:val="nil"/>
            </w:tcBorders>
            <w:shd w:val="clear" w:color="auto" w:fill="E6EED5"/>
          </w:tcPr>
          <w:p w:rsidR="0040180C" w:rsidRPr="0040180C" w:rsidRDefault="0040180C" w:rsidP="0040180C">
            <w:pPr>
              <w:spacing w:before="60" w:after="6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3,333</w:t>
            </w:r>
          </w:p>
        </w:tc>
        <w:tc>
          <w:tcPr>
            <w:tcW w:w="1734" w:type="pct"/>
            <w:tcBorders>
              <w:left w:val="nil"/>
              <w:right w:val="nil"/>
            </w:tcBorders>
            <w:shd w:val="clear" w:color="auto" w:fill="E6EED5"/>
            <w:noWrap/>
          </w:tcPr>
          <w:p w:rsidR="0040180C" w:rsidRPr="0040180C" w:rsidRDefault="0040180C" w:rsidP="0040180C">
            <w:pPr>
              <w:spacing w:before="60" w:after="6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16.7</w:t>
            </w:r>
          </w:p>
        </w:tc>
      </w:tr>
      <w:tr w:rsidR="0040180C" w:rsidRPr="0040180C" w:rsidTr="00BF292A">
        <w:trPr>
          <w:trHeight w:val="300"/>
        </w:trPr>
        <w:tc>
          <w:tcPr>
            <w:tcW w:w="1880" w:type="pct"/>
            <w:shd w:val="clear" w:color="auto" w:fill="auto"/>
            <w:noWrap/>
          </w:tcPr>
          <w:p w:rsidR="0040180C" w:rsidRPr="0040180C" w:rsidRDefault="0040180C" w:rsidP="0040180C">
            <w:pPr>
              <w:spacing w:before="60" w:after="60" w:line="240" w:lineRule="auto"/>
              <w:rPr>
                <w:rFonts w:ascii="Arial Narrow" w:eastAsia="Calibri" w:hAnsi="Arial Narrow" w:cs="Arial"/>
                <w:bCs/>
                <w:color w:val="000000"/>
                <w:lang w:eastAsia="en-AU"/>
              </w:rPr>
            </w:pPr>
            <w:r w:rsidRPr="0040180C">
              <w:rPr>
                <w:rFonts w:ascii="Arial Narrow" w:eastAsia="Calibri" w:hAnsi="Arial Narrow" w:cs="Arial"/>
                <w:bCs/>
                <w:color w:val="000000"/>
                <w:lang w:eastAsia="en-AU"/>
              </w:rPr>
              <w:t>Professional at this service</w:t>
            </w:r>
          </w:p>
        </w:tc>
        <w:tc>
          <w:tcPr>
            <w:tcW w:w="1386" w:type="pct"/>
            <w:shd w:val="clear" w:color="auto" w:fill="auto"/>
          </w:tcPr>
          <w:p w:rsidR="0040180C" w:rsidRPr="0040180C" w:rsidRDefault="0040180C" w:rsidP="0040180C">
            <w:pPr>
              <w:spacing w:before="60" w:after="6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2,552</w:t>
            </w:r>
          </w:p>
        </w:tc>
        <w:tc>
          <w:tcPr>
            <w:tcW w:w="1734" w:type="pct"/>
            <w:shd w:val="clear" w:color="auto" w:fill="auto"/>
            <w:noWrap/>
          </w:tcPr>
          <w:p w:rsidR="0040180C" w:rsidRPr="0040180C" w:rsidRDefault="0040180C" w:rsidP="0040180C">
            <w:pPr>
              <w:spacing w:before="60" w:after="6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12.8</w:t>
            </w:r>
          </w:p>
        </w:tc>
      </w:tr>
      <w:tr w:rsidR="0040180C" w:rsidRPr="0040180C" w:rsidTr="00BF292A">
        <w:trPr>
          <w:trHeight w:val="300"/>
        </w:trPr>
        <w:tc>
          <w:tcPr>
            <w:tcW w:w="1880" w:type="pct"/>
            <w:tcBorders>
              <w:left w:val="nil"/>
              <w:right w:val="nil"/>
            </w:tcBorders>
            <w:shd w:val="clear" w:color="auto" w:fill="E6EED5"/>
            <w:noWrap/>
          </w:tcPr>
          <w:p w:rsidR="0040180C" w:rsidRPr="0040180C" w:rsidRDefault="0040180C" w:rsidP="0040180C">
            <w:pPr>
              <w:spacing w:before="60" w:after="60" w:line="240" w:lineRule="auto"/>
              <w:rPr>
                <w:rFonts w:ascii="Arial Narrow" w:eastAsia="Calibri" w:hAnsi="Arial Narrow" w:cs="Arial"/>
                <w:bCs/>
                <w:color w:val="000000"/>
                <w:lang w:eastAsia="en-AU"/>
              </w:rPr>
            </w:pPr>
            <w:r w:rsidRPr="0040180C">
              <w:rPr>
                <w:rFonts w:ascii="Arial Narrow" w:eastAsia="Calibri" w:hAnsi="Arial Narrow" w:cs="Arial"/>
                <w:bCs/>
                <w:color w:val="000000"/>
                <w:lang w:eastAsia="en-AU"/>
              </w:rPr>
              <w:t>Other funded family relationship service</w:t>
            </w:r>
          </w:p>
        </w:tc>
        <w:tc>
          <w:tcPr>
            <w:tcW w:w="1386" w:type="pct"/>
            <w:tcBorders>
              <w:left w:val="nil"/>
              <w:right w:val="nil"/>
            </w:tcBorders>
            <w:shd w:val="clear" w:color="auto" w:fill="E6EED5"/>
          </w:tcPr>
          <w:p w:rsidR="0040180C" w:rsidRPr="0040180C" w:rsidRDefault="0040180C" w:rsidP="0040180C">
            <w:pPr>
              <w:spacing w:before="60" w:after="6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2,339</w:t>
            </w:r>
          </w:p>
        </w:tc>
        <w:tc>
          <w:tcPr>
            <w:tcW w:w="1734" w:type="pct"/>
            <w:tcBorders>
              <w:left w:val="nil"/>
              <w:right w:val="nil"/>
            </w:tcBorders>
            <w:shd w:val="clear" w:color="auto" w:fill="E6EED5"/>
            <w:noWrap/>
          </w:tcPr>
          <w:p w:rsidR="0040180C" w:rsidRPr="0040180C" w:rsidRDefault="0040180C" w:rsidP="0040180C">
            <w:pPr>
              <w:spacing w:before="60" w:after="6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11.7</w:t>
            </w:r>
          </w:p>
        </w:tc>
      </w:tr>
      <w:tr w:rsidR="0040180C" w:rsidRPr="0040180C" w:rsidTr="00BF292A">
        <w:trPr>
          <w:trHeight w:val="300"/>
        </w:trPr>
        <w:tc>
          <w:tcPr>
            <w:tcW w:w="1880" w:type="pct"/>
            <w:shd w:val="clear" w:color="auto" w:fill="auto"/>
            <w:noWrap/>
          </w:tcPr>
          <w:p w:rsidR="0040180C" w:rsidRPr="0040180C" w:rsidRDefault="0040180C" w:rsidP="0040180C">
            <w:pPr>
              <w:spacing w:before="60" w:after="60" w:line="240" w:lineRule="auto"/>
              <w:rPr>
                <w:rFonts w:ascii="Arial Narrow" w:eastAsia="Calibri" w:hAnsi="Arial Narrow" w:cs="Arial"/>
                <w:bCs/>
                <w:color w:val="000000"/>
                <w:lang w:eastAsia="en-AU"/>
              </w:rPr>
            </w:pPr>
            <w:r w:rsidRPr="0040180C">
              <w:rPr>
                <w:rFonts w:ascii="Arial Narrow" w:eastAsia="Calibri" w:hAnsi="Arial Narrow" w:cs="Arial"/>
                <w:bCs/>
                <w:color w:val="000000"/>
                <w:lang w:eastAsia="en-AU"/>
              </w:rPr>
              <w:t>Community organisation</w:t>
            </w:r>
          </w:p>
        </w:tc>
        <w:tc>
          <w:tcPr>
            <w:tcW w:w="1386" w:type="pct"/>
            <w:shd w:val="clear" w:color="auto" w:fill="auto"/>
          </w:tcPr>
          <w:p w:rsidR="0040180C" w:rsidRPr="0040180C" w:rsidRDefault="0040180C" w:rsidP="0040180C">
            <w:pPr>
              <w:spacing w:before="60" w:after="6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2,317</w:t>
            </w:r>
          </w:p>
        </w:tc>
        <w:tc>
          <w:tcPr>
            <w:tcW w:w="1734" w:type="pct"/>
            <w:shd w:val="clear" w:color="auto" w:fill="auto"/>
            <w:noWrap/>
          </w:tcPr>
          <w:p w:rsidR="0040180C" w:rsidRPr="0040180C" w:rsidRDefault="0040180C" w:rsidP="0040180C">
            <w:pPr>
              <w:spacing w:before="60" w:after="6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11.6</w:t>
            </w:r>
          </w:p>
        </w:tc>
      </w:tr>
      <w:tr w:rsidR="0040180C" w:rsidRPr="0040180C" w:rsidTr="00BF292A">
        <w:trPr>
          <w:trHeight w:val="300"/>
        </w:trPr>
        <w:tc>
          <w:tcPr>
            <w:tcW w:w="1880" w:type="pct"/>
            <w:tcBorders>
              <w:left w:val="nil"/>
              <w:right w:val="nil"/>
            </w:tcBorders>
            <w:shd w:val="clear" w:color="auto" w:fill="E6EED5"/>
            <w:noWrap/>
          </w:tcPr>
          <w:p w:rsidR="0040180C" w:rsidRPr="0040180C" w:rsidRDefault="0040180C" w:rsidP="0040180C">
            <w:pPr>
              <w:spacing w:before="60" w:after="60" w:line="240" w:lineRule="auto"/>
              <w:rPr>
                <w:rFonts w:ascii="Arial Narrow" w:eastAsia="Calibri" w:hAnsi="Arial Narrow" w:cs="Arial"/>
                <w:bCs/>
                <w:color w:val="000000"/>
                <w:lang w:eastAsia="en-AU"/>
              </w:rPr>
            </w:pPr>
            <w:r w:rsidRPr="0040180C">
              <w:rPr>
                <w:rFonts w:ascii="Arial Narrow" w:eastAsia="Calibri" w:hAnsi="Arial Narrow" w:cs="Arial"/>
                <w:bCs/>
                <w:color w:val="000000"/>
                <w:lang w:eastAsia="en-AU"/>
              </w:rPr>
              <w:t>Legal Aid Commission</w:t>
            </w:r>
          </w:p>
        </w:tc>
        <w:tc>
          <w:tcPr>
            <w:tcW w:w="1386" w:type="pct"/>
            <w:tcBorders>
              <w:left w:val="nil"/>
              <w:right w:val="nil"/>
            </w:tcBorders>
            <w:shd w:val="clear" w:color="auto" w:fill="E6EED5"/>
          </w:tcPr>
          <w:p w:rsidR="0040180C" w:rsidRPr="0040180C" w:rsidRDefault="0040180C" w:rsidP="0040180C">
            <w:pPr>
              <w:spacing w:before="60" w:after="6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1,094</w:t>
            </w:r>
          </w:p>
        </w:tc>
        <w:tc>
          <w:tcPr>
            <w:tcW w:w="1734" w:type="pct"/>
            <w:tcBorders>
              <w:left w:val="nil"/>
              <w:right w:val="nil"/>
            </w:tcBorders>
            <w:shd w:val="clear" w:color="auto" w:fill="E6EED5"/>
            <w:noWrap/>
          </w:tcPr>
          <w:p w:rsidR="0040180C" w:rsidRPr="0040180C" w:rsidRDefault="0040180C" w:rsidP="0040180C">
            <w:pPr>
              <w:spacing w:before="60" w:after="6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5.5</w:t>
            </w:r>
          </w:p>
        </w:tc>
      </w:tr>
      <w:tr w:rsidR="0040180C" w:rsidRPr="0040180C" w:rsidTr="00BF292A">
        <w:trPr>
          <w:trHeight w:val="300"/>
        </w:trPr>
        <w:tc>
          <w:tcPr>
            <w:tcW w:w="1880" w:type="pct"/>
            <w:shd w:val="clear" w:color="auto" w:fill="auto"/>
            <w:noWrap/>
          </w:tcPr>
          <w:p w:rsidR="0040180C" w:rsidRPr="0040180C" w:rsidRDefault="0040180C" w:rsidP="0040180C">
            <w:pPr>
              <w:spacing w:before="60" w:after="60" w:line="240" w:lineRule="auto"/>
              <w:rPr>
                <w:rFonts w:ascii="Arial Narrow" w:eastAsia="Calibri" w:hAnsi="Arial Narrow" w:cs="Arial"/>
                <w:bCs/>
                <w:color w:val="000000"/>
                <w:lang w:eastAsia="en-AU"/>
              </w:rPr>
            </w:pPr>
            <w:r w:rsidRPr="0040180C">
              <w:rPr>
                <w:rFonts w:ascii="Arial Narrow" w:eastAsia="Calibri" w:hAnsi="Arial Narrow" w:cs="Arial"/>
                <w:bCs/>
                <w:color w:val="000000"/>
                <w:lang w:eastAsia="en-AU"/>
              </w:rPr>
              <w:t>Domestic Violence Service</w:t>
            </w:r>
          </w:p>
        </w:tc>
        <w:tc>
          <w:tcPr>
            <w:tcW w:w="1386" w:type="pct"/>
            <w:shd w:val="clear" w:color="auto" w:fill="auto"/>
          </w:tcPr>
          <w:p w:rsidR="0040180C" w:rsidRPr="0040180C" w:rsidRDefault="0040180C" w:rsidP="0040180C">
            <w:pPr>
              <w:spacing w:before="60" w:after="6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 xml:space="preserve">   844</w:t>
            </w:r>
          </w:p>
        </w:tc>
        <w:tc>
          <w:tcPr>
            <w:tcW w:w="1734" w:type="pct"/>
            <w:shd w:val="clear" w:color="auto" w:fill="auto"/>
            <w:noWrap/>
          </w:tcPr>
          <w:p w:rsidR="0040180C" w:rsidRPr="0040180C" w:rsidRDefault="0040180C" w:rsidP="0040180C">
            <w:pPr>
              <w:spacing w:before="60" w:after="6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4.2</w:t>
            </w:r>
          </w:p>
        </w:tc>
      </w:tr>
      <w:tr w:rsidR="0040180C" w:rsidRPr="0040180C" w:rsidTr="00BF292A">
        <w:trPr>
          <w:trHeight w:val="300"/>
        </w:trPr>
        <w:tc>
          <w:tcPr>
            <w:tcW w:w="1880" w:type="pct"/>
            <w:tcBorders>
              <w:left w:val="nil"/>
              <w:right w:val="nil"/>
            </w:tcBorders>
            <w:shd w:val="clear" w:color="auto" w:fill="E6EED5"/>
            <w:noWrap/>
          </w:tcPr>
          <w:p w:rsidR="0040180C" w:rsidRPr="0040180C" w:rsidRDefault="0040180C" w:rsidP="0040180C">
            <w:pPr>
              <w:spacing w:before="60" w:after="60" w:line="240" w:lineRule="auto"/>
              <w:rPr>
                <w:rFonts w:ascii="Arial Narrow" w:eastAsia="Calibri" w:hAnsi="Arial Narrow" w:cs="Arial"/>
                <w:bCs/>
                <w:color w:val="000000"/>
                <w:lang w:eastAsia="en-AU"/>
              </w:rPr>
            </w:pPr>
            <w:r w:rsidRPr="0040180C">
              <w:rPr>
                <w:rFonts w:ascii="Arial Narrow" w:eastAsia="Calibri" w:hAnsi="Arial Narrow" w:cs="Arial"/>
                <w:bCs/>
                <w:color w:val="000000"/>
                <w:lang w:eastAsia="en-AU"/>
              </w:rPr>
              <w:t>Other family relationship service (not funded under the FSP)</w:t>
            </w:r>
          </w:p>
        </w:tc>
        <w:tc>
          <w:tcPr>
            <w:tcW w:w="1386" w:type="pct"/>
            <w:tcBorders>
              <w:left w:val="nil"/>
              <w:right w:val="nil"/>
            </w:tcBorders>
            <w:shd w:val="clear" w:color="auto" w:fill="E6EED5"/>
          </w:tcPr>
          <w:p w:rsidR="0040180C" w:rsidRPr="0040180C" w:rsidRDefault="0040180C" w:rsidP="0040180C">
            <w:pPr>
              <w:spacing w:before="60" w:after="6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 xml:space="preserve">   829</w:t>
            </w:r>
          </w:p>
        </w:tc>
        <w:tc>
          <w:tcPr>
            <w:tcW w:w="1734" w:type="pct"/>
            <w:tcBorders>
              <w:left w:val="nil"/>
              <w:right w:val="nil"/>
            </w:tcBorders>
            <w:shd w:val="clear" w:color="auto" w:fill="E6EED5"/>
            <w:noWrap/>
          </w:tcPr>
          <w:p w:rsidR="0040180C" w:rsidRPr="0040180C" w:rsidRDefault="0040180C" w:rsidP="0040180C">
            <w:pPr>
              <w:spacing w:before="60" w:after="6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4.2</w:t>
            </w:r>
          </w:p>
        </w:tc>
      </w:tr>
      <w:tr w:rsidR="0040180C" w:rsidRPr="0040180C" w:rsidTr="00BF292A">
        <w:trPr>
          <w:trHeight w:val="300"/>
        </w:trPr>
        <w:tc>
          <w:tcPr>
            <w:tcW w:w="1880" w:type="pct"/>
            <w:shd w:val="clear" w:color="auto" w:fill="auto"/>
            <w:noWrap/>
          </w:tcPr>
          <w:p w:rsidR="0040180C" w:rsidRPr="0040180C" w:rsidRDefault="0040180C" w:rsidP="0040180C">
            <w:pPr>
              <w:spacing w:before="60" w:after="60" w:line="240" w:lineRule="auto"/>
              <w:rPr>
                <w:rFonts w:ascii="Arial Narrow" w:eastAsia="Calibri" w:hAnsi="Arial Narrow" w:cs="Arial"/>
                <w:bCs/>
                <w:color w:val="000000"/>
                <w:lang w:eastAsia="en-AU"/>
              </w:rPr>
            </w:pPr>
            <w:r w:rsidRPr="0040180C">
              <w:rPr>
                <w:rFonts w:ascii="Arial Narrow" w:eastAsia="Calibri" w:hAnsi="Arial Narrow" w:cs="Arial"/>
                <w:bCs/>
                <w:color w:val="000000"/>
                <w:lang w:eastAsia="en-AU"/>
              </w:rPr>
              <w:t>Family Relationship Centre</w:t>
            </w:r>
          </w:p>
        </w:tc>
        <w:tc>
          <w:tcPr>
            <w:tcW w:w="1386" w:type="pct"/>
            <w:shd w:val="clear" w:color="auto" w:fill="auto"/>
          </w:tcPr>
          <w:p w:rsidR="0040180C" w:rsidRPr="0040180C" w:rsidRDefault="0040180C" w:rsidP="0040180C">
            <w:pPr>
              <w:spacing w:before="60" w:after="6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 xml:space="preserve">   800</w:t>
            </w:r>
          </w:p>
        </w:tc>
        <w:tc>
          <w:tcPr>
            <w:tcW w:w="1734" w:type="pct"/>
            <w:shd w:val="clear" w:color="auto" w:fill="auto"/>
            <w:noWrap/>
          </w:tcPr>
          <w:p w:rsidR="0040180C" w:rsidRPr="0040180C" w:rsidRDefault="0040180C" w:rsidP="0040180C">
            <w:pPr>
              <w:spacing w:before="60" w:after="6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4.0</w:t>
            </w:r>
          </w:p>
        </w:tc>
      </w:tr>
      <w:tr w:rsidR="0040180C" w:rsidRPr="0040180C" w:rsidTr="00BF292A">
        <w:trPr>
          <w:trHeight w:val="300"/>
        </w:trPr>
        <w:tc>
          <w:tcPr>
            <w:tcW w:w="1880" w:type="pct"/>
            <w:tcBorders>
              <w:left w:val="nil"/>
              <w:right w:val="nil"/>
            </w:tcBorders>
            <w:shd w:val="clear" w:color="auto" w:fill="E6EED5"/>
            <w:noWrap/>
          </w:tcPr>
          <w:p w:rsidR="0040180C" w:rsidRPr="0040180C" w:rsidDel="00B27730" w:rsidRDefault="0040180C" w:rsidP="0040180C">
            <w:pPr>
              <w:spacing w:before="60" w:after="60" w:line="240" w:lineRule="auto"/>
              <w:rPr>
                <w:rFonts w:ascii="Arial Narrow" w:eastAsia="Calibri" w:hAnsi="Arial Narrow" w:cs="Arial"/>
                <w:bCs/>
                <w:color w:val="000000"/>
                <w:lang w:eastAsia="en-AU"/>
              </w:rPr>
            </w:pPr>
            <w:r w:rsidRPr="0040180C">
              <w:rPr>
                <w:rFonts w:ascii="Arial Narrow" w:eastAsia="Calibri" w:hAnsi="Arial Narrow" w:cs="Arial"/>
                <w:bCs/>
                <w:color w:val="000000"/>
                <w:lang w:eastAsia="en-AU"/>
              </w:rPr>
              <w:t>Private Legal Practitioner</w:t>
            </w:r>
          </w:p>
        </w:tc>
        <w:tc>
          <w:tcPr>
            <w:tcW w:w="1386" w:type="pct"/>
            <w:tcBorders>
              <w:left w:val="nil"/>
              <w:right w:val="nil"/>
            </w:tcBorders>
            <w:shd w:val="clear" w:color="auto" w:fill="E6EED5"/>
          </w:tcPr>
          <w:p w:rsidR="0040180C" w:rsidRPr="0040180C" w:rsidRDefault="0040180C" w:rsidP="0040180C">
            <w:pPr>
              <w:spacing w:before="60" w:after="6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 xml:space="preserve">   775</w:t>
            </w:r>
          </w:p>
        </w:tc>
        <w:tc>
          <w:tcPr>
            <w:tcW w:w="1734" w:type="pct"/>
            <w:tcBorders>
              <w:left w:val="nil"/>
              <w:right w:val="nil"/>
            </w:tcBorders>
            <w:shd w:val="clear" w:color="auto" w:fill="E6EED5"/>
            <w:noWrap/>
          </w:tcPr>
          <w:p w:rsidR="0040180C" w:rsidRPr="0040180C" w:rsidRDefault="0040180C" w:rsidP="0040180C">
            <w:pPr>
              <w:spacing w:before="60" w:after="6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3.9</w:t>
            </w:r>
          </w:p>
        </w:tc>
      </w:tr>
      <w:tr w:rsidR="0040180C" w:rsidRPr="0040180C" w:rsidTr="00BF292A">
        <w:trPr>
          <w:trHeight w:val="300"/>
        </w:trPr>
        <w:tc>
          <w:tcPr>
            <w:tcW w:w="1880" w:type="pct"/>
            <w:shd w:val="clear" w:color="auto" w:fill="auto"/>
            <w:noWrap/>
          </w:tcPr>
          <w:p w:rsidR="0040180C" w:rsidRPr="0040180C" w:rsidDel="00B27730" w:rsidRDefault="0040180C" w:rsidP="0040180C">
            <w:pPr>
              <w:spacing w:before="60" w:after="60" w:line="240" w:lineRule="auto"/>
              <w:rPr>
                <w:rFonts w:ascii="Arial Narrow" w:eastAsia="Calibri" w:hAnsi="Arial Narrow" w:cs="Arial"/>
                <w:bCs/>
                <w:color w:val="000000"/>
                <w:lang w:eastAsia="en-AU"/>
              </w:rPr>
            </w:pPr>
            <w:r w:rsidRPr="0040180C">
              <w:rPr>
                <w:rFonts w:ascii="Arial Narrow" w:eastAsia="Calibri" w:hAnsi="Arial Narrow" w:cs="Arial"/>
                <w:bCs/>
                <w:color w:val="000000"/>
                <w:lang w:eastAsia="en-AU"/>
              </w:rPr>
              <w:t>Health practitioner</w:t>
            </w:r>
          </w:p>
        </w:tc>
        <w:tc>
          <w:tcPr>
            <w:tcW w:w="1386" w:type="pct"/>
            <w:shd w:val="clear" w:color="auto" w:fill="auto"/>
          </w:tcPr>
          <w:p w:rsidR="0040180C" w:rsidRPr="0040180C" w:rsidRDefault="0040180C" w:rsidP="0040180C">
            <w:pPr>
              <w:spacing w:before="60" w:after="6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 xml:space="preserve">   766</w:t>
            </w:r>
          </w:p>
        </w:tc>
        <w:tc>
          <w:tcPr>
            <w:tcW w:w="1734" w:type="pct"/>
            <w:shd w:val="clear" w:color="auto" w:fill="auto"/>
            <w:noWrap/>
          </w:tcPr>
          <w:p w:rsidR="0040180C" w:rsidRPr="0040180C" w:rsidRDefault="0040180C" w:rsidP="0040180C">
            <w:pPr>
              <w:spacing w:before="60" w:after="6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3.8</w:t>
            </w:r>
          </w:p>
        </w:tc>
      </w:tr>
    </w:tbl>
    <w:p w:rsidR="00A04B91" w:rsidRDefault="0040180C" w:rsidP="00FE3033">
      <w:pPr>
        <w:rPr>
          <w:rFonts w:eastAsia="Times New Roman"/>
          <w:lang w:eastAsia="en-AU"/>
        </w:rPr>
      </w:pPr>
      <w:r w:rsidRPr="00EC5A68">
        <w:rPr>
          <w:rFonts w:eastAsia="Times New Roman"/>
          <w:sz w:val="24"/>
          <w:szCs w:val="24"/>
          <w:lang w:eastAsia="en-AU"/>
        </w:rPr>
        <w:t>T</w:t>
      </w:r>
      <w:r w:rsidR="00EC5A68" w:rsidRPr="00EC5A68">
        <w:rPr>
          <w:rFonts w:eastAsia="Times New Roman"/>
          <w:sz w:val="24"/>
          <w:szCs w:val="24"/>
          <w:lang w:eastAsia="en-AU"/>
        </w:rPr>
        <w:t>able 2.7</w:t>
      </w:r>
      <w:r w:rsidRPr="00EC5A68">
        <w:rPr>
          <w:rFonts w:eastAsia="Times New Roman"/>
          <w:sz w:val="24"/>
          <w:szCs w:val="24"/>
          <w:lang w:eastAsia="en-AU"/>
        </w:rPr>
        <w:t xml:space="preserve"> shows the type of services that clients have been most often referred to in 2011-12 including the number of referrals and the percentage of all referrals.  </w:t>
      </w:r>
      <w:r w:rsidR="00DF5A7A">
        <w:rPr>
          <w:rFonts w:eastAsia="Times New Roman"/>
          <w:sz w:val="24"/>
          <w:szCs w:val="24"/>
          <w:lang w:eastAsia="en-AU"/>
        </w:rPr>
        <w:t xml:space="preserve">The referrals reflect that </w:t>
      </w:r>
      <w:r w:rsidR="00222682">
        <w:rPr>
          <w:rFonts w:eastAsia="Times New Roman"/>
          <w:sz w:val="24"/>
          <w:szCs w:val="24"/>
          <w:lang w:eastAsia="en-AU"/>
        </w:rPr>
        <w:t xml:space="preserve">the </w:t>
      </w:r>
      <w:r w:rsidR="00DF5A7A">
        <w:rPr>
          <w:rFonts w:eastAsia="Times New Roman"/>
          <w:sz w:val="24"/>
          <w:szCs w:val="24"/>
          <w:lang w:eastAsia="en-AU"/>
        </w:rPr>
        <w:t xml:space="preserve">complex needs of clients are being addressed in collaboration with a number of different types of organisations which provide specialist services or </w:t>
      </w:r>
      <w:r w:rsidR="00135BAD">
        <w:rPr>
          <w:rFonts w:eastAsia="Times New Roman"/>
          <w:sz w:val="24"/>
          <w:szCs w:val="24"/>
          <w:lang w:eastAsia="en-AU"/>
        </w:rPr>
        <w:t>services needed to meet the multiple needs of clients</w:t>
      </w:r>
      <w:r w:rsidR="00DF5A7A">
        <w:rPr>
          <w:rFonts w:eastAsia="Times New Roman"/>
          <w:sz w:val="24"/>
          <w:szCs w:val="24"/>
          <w:lang w:eastAsia="en-AU"/>
        </w:rPr>
        <w:t>.</w:t>
      </w:r>
      <w:bookmarkStart w:id="107" w:name="_Toc338944764"/>
      <w:bookmarkStart w:id="108" w:name="_Toc338945055"/>
      <w:bookmarkStart w:id="109" w:name="_Toc338945382"/>
      <w:bookmarkStart w:id="110" w:name="_Toc338945635"/>
      <w:r w:rsidR="00A04B91">
        <w:rPr>
          <w:rFonts w:eastAsia="Times New Roman"/>
          <w:lang w:eastAsia="en-AU"/>
        </w:rPr>
        <w:br w:type="page"/>
      </w:r>
    </w:p>
    <w:p w:rsidR="0040180C" w:rsidRPr="0040180C" w:rsidRDefault="0040180C" w:rsidP="0040180C">
      <w:pPr>
        <w:pStyle w:val="Heading3"/>
        <w:rPr>
          <w:rFonts w:eastAsia="Times New Roman"/>
          <w:lang w:eastAsia="en-AU"/>
        </w:rPr>
      </w:pPr>
      <w:bookmarkStart w:id="111" w:name="_Toc341705905"/>
      <w:r w:rsidRPr="0040180C">
        <w:rPr>
          <w:rFonts w:eastAsia="Times New Roman"/>
          <w:lang w:eastAsia="en-AU"/>
        </w:rPr>
        <w:lastRenderedPageBreak/>
        <w:t>Presenting needs</w:t>
      </w:r>
      <w:bookmarkEnd w:id="107"/>
      <w:bookmarkEnd w:id="108"/>
      <w:bookmarkEnd w:id="109"/>
      <w:bookmarkEnd w:id="110"/>
      <w:bookmarkEnd w:id="111"/>
    </w:p>
    <w:p w:rsidR="0040180C" w:rsidRPr="0040180C" w:rsidRDefault="00DC632A" w:rsidP="0040180C">
      <w:pPr>
        <w:pStyle w:val="Heading4"/>
        <w:rPr>
          <w:rFonts w:eastAsia="Times New Roman"/>
          <w:lang w:eastAsia="en-AU"/>
        </w:rPr>
      </w:pPr>
      <w:bookmarkStart w:id="112" w:name="_Table_2.13:_"/>
      <w:bookmarkStart w:id="113" w:name="_2.8:__Table"/>
      <w:bookmarkEnd w:id="112"/>
      <w:bookmarkEnd w:id="113"/>
      <w:r>
        <w:rPr>
          <w:rFonts w:eastAsia="Times New Roman"/>
          <w:lang w:eastAsia="en-AU"/>
        </w:rPr>
        <w:t>2.</w:t>
      </w:r>
      <w:r w:rsidR="00DA2404">
        <w:rPr>
          <w:rFonts w:eastAsia="Times New Roman"/>
          <w:lang w:eastAsia="en-AU"/>
        </w:rPr>
        <w:t>10</w:t>
      </w:r>
      <w:r w:rsidR="0040180C" w:rsidRPr="0040180C">
        <w:rPr>
          <w:rFonts w:eastAsia="Times New Roman"/>
          <w:lang w:eastAsia="en-AU"/>
        </w:rPr>
        <w:t>:  Table - Top 10 presenting needs identified by</w:t>
      </w:r>
      <w:r w:rsidR="00895152">
        <w:rPr>
          <w:rFonts w:eastAsia="Times New Roman"/>
          <w:lang w:eastAsia="en-AU"/>
        </w:rPr>
        <w:t xml:space="preserve"> FSP FaRS, SS and FLS</w:t>
      </w:r>
      <w:r w:rsidR="0040180C" w:rsidRPr="0040180C">
        <w:rPr>
          <w:rFonts w:eastAsia="Times New Roman"/>
          <w:lang w:eastAsia="en-AU"/>
        </w:rPr>
        <w:t xml:space="preserve"> registered clients in 2008-09, 2009-10, 2010-11 and 2011-12</w:t>
      </w:r>
    </w:p>
    <w:p w:rsidR="0040180C" w:rsidRPr="0040180C" w:rsidRDefault="0040180C" w:rsidP="0040180C">
      <w:pPr>
        <w:spacing w:before="0" w:after="0"/>
        <w:rPr>
          <w:rFonts w:ascii="Calibri" w:eastAsia="Times New Roman" w:hAnsi="Calibri" w:cs="Times New Roman"/>
          <w:vanish/>
          <w:lang w:eastAsia="en-AU"/>
        </w:rPr>
      </w:pPr>
    </w:p>
    <w:tbl>
      <w:tblPr>
        <w:tblW w:w="0" w:type="auto"/>
        <w:tblBorders>
          <w:top w:val="single" w:sz="8" w:space="0" w:color="9BBB59"/>
          <w:bottom w:val="single" w:sz="8" w:space="0" w:color="9BBB59"/>
        </w:tblBorders>
        <w:tblLook w:val="04A0" w:firstRow="1" w:lastRow="0" w:firstColumn="1" w:lastColumn="0" w:noHBand="0" w:noVBand="1"/>
        <w:tblCaption w:val="Presenting needs identified by registered FaRS, SS and FLS clients 2008 to 2012"/>
        <w:tblDescription w:val="The largest number of clients presented over the four years with post-separation parenting needs.  In 2008-09 the number was 66,058.  It then increased to 70,185 in 2009-10, but reduced to 68,790 in 2010-11.  However, in 2011-12 the number climbed to 72,235 or 10.1%.&#10;The number of clients with presenting needs for dealing with relationship difficulties was 51,063 in 2008-09, 49,922 in &#10;2009-10, 53,589 in 2010-11 and 52,012 or 7.3% in 2011-12.&#10;The number of clients with presenting needs associated with communication has been increasing from 34,640 in 2008-09, 40,192 in 2009-10, 45,217 in 2010-11 up to 49,315 or 6.9% in 2011-12.&#10;The number of clients with presenting needs for conflict has also been increasing from 36,463 in 2008-09, 39,616 in 2009-10, 45,372 in 2010-11 up to 47,520 or 6.7% in 2011-12.&#10;The number of clients with presenting needs for parenting has been fluctuating with 30,007 in 2008-09, 29,751 in 2009-10, 32,231 in 2010-11 and 31,095 or 4.4% in 2011-12.&#10;The number of clients with presenting needs for stress has risen from 19,104 in 2008-09, to 24,106 in 2009-10, 29,053 in 2010-11 and to 30,932 or 4.3% in 2011-12.&#10;The number of clients with presenting needs for relationship breakdown has decreased from 30,720 in 2008-09, 30,437 in 2009-10, 28,994 in 2010-11 down to 26,035 or 3.6% in 2011-12.&#10;The number of clients with presenting needs for separation of parents has risen from 17,035 in 2008-09, to 20,764 in 2009-10, 24,334 in 2010-11 and to 24,763 or 3.5% in 2011-12.&#10;The number of clients with presenting needs for anxiety in 2011-12 was 24,214 or 3.4%.&#10;The number of clients with presenting needs for family separation had been rising with 19,731 in 2008-09, 22,699 in 2009-10, and 25,100 in 2010-11 but fell to 23,806 or 3.3% in 2011-12.&#10;"/>
      </w:tblPr>
      <w:tblGrid>
        <w:gridCol w:w="2802"/>
        <w:gridCol w:w="1540"/>
        <w:gridCol w:w="1540"/>
        <w:gridCol w:w="1540"/>
        <w:gridCol w:w="1541"/>
        <w:gridCol w:w="1541"/>
      </w:tblGrid>
      <w:tr w:rsidR="0040180C" w:rsidRPr="0040180C" w:rsidTr="0040180C">
        <w:trPr>
          <w:tblHeader/>
        </w:trPr>
        <w:tc>
          <w:tcPr>
            <w:tcW w:w="2802" w:type="dxa"/>
            <w:tcBorders>
              <w:top w:val="single" w:sz="8" w:space="0" w:color="9BBB59"/>
              <w:left w:val="nil"/>
              <w:bottom w:val="single" w:sz="8" w:space="0" w:color="9BBB59"/>
              <w:right w:val="nil"/>
            </w:tcBorders>
            <w:shd w:val="clear" w:color="auto" w:fill="auto"/>
          </w:tcPr>
          <w:p w:rsidR="0040180C" w:rsidRPr="0040180C" w:rsidRDefault="0040180C" w:rsidP="0040180C">
            <w:pPr>
              <w:spacing w:before="120" w:after="0" w:line="240" w:lineRule="auto"/>
              <w:rPr>
                <w:rFonts w:ascii="Arial Narrow" w:eastAsia="Calibri" w:hAnsi="Arial Narrow" w:cs="Arial"/>
                <w:b/>
                <w:bCs/>
                <w:lang w:eastAsia="en-AU"/>
              </w:rPr>
            </w:pPr>
            <w:r w:rsidRPr="0040180C">
              <w:rPr>
                <w:rFonts w:ascii="Arial Narrow" w:eastAsia="Calibri" w:hAnsi="Arial Narrow" w:cs="Arial"/>
                <w:b/>
                <w:bCs/>
                <w:lang w:eastAsia="en-AU"/>
              </w:rPr>
              <w:t>Presenting need</w:t>
            </w:r>
          </w:p>
        </w:tc>
        <w:tc>
          <w:tcPr>
            <w:tcW w:w="1540" w:type="dxa"/>
            <w:tcBorders>
              <w:top w:val="single" w:sz="8" w:space="0" w:color="9BBB59"/>
              <w:left w:val="nil"/>
              <w:bottom w:val="single" w:sz="8" w:space="0" w:color="9BBB59"/>
              <w:right w:val="nil"/>
            </w:tcBorders>
            <w:shd w:val="clear" w:color="auto" w:fill="auto"/>
          </w:tcPr>
          <w:p w:rsidR="0040180C" w:rsidRPr="0040180C" w:rsidRDefault="0040180C" w:rsidP="0040180C">
            <w:pPr>
              <w:spacing w:before="120" w:after="0" w:line="240" w:lineRule="auto"/>
              <w:ind w:left="445" w:hanging="445"/>
              <w:jc w:val="center"/>
              <w:rPr>
                <w:rFonts w:ascii="Arial Narrow" w:eastAsia="Calibri" w:hAnsi="Arial Narrow" w:cs="Arial"/>
                <w:b/>
                <w:bCs/>
                <w:lang w:eastAsia="en-AU"/>
              </w:rPr>
            </w:pPr>
            <w:r w:rsidRPr="0040180C">
              <w:rPr>
                <w:rFonts w:ascii="Arial Narrow" w:eastAsia="Calibri" w:hAnsi="Arial Narrow" w:cs="Arial"/>
                <w:b/>
                <w:bCs/>
                <w:lang w:eastAsia="en-AU"/>
              </w:rPr>
              <w:t>2008-09</w:t>
            </w:r>
          </w:p>
        </w:tc>
        <w:tc>
          <w:tcPr>
            <w:tcW w:w="1540" w:type="dxa"/>
            <w:tcBorders>
              <w:top w:val="single" w:sz="8" w:space="0" w:color="9BBB59"/>
              <w:left w:val="nil"/>
              <w:bottom w:val="single" w:sz="8" w:space="0" w:color="9BBB59"/>
              <w:right w:val="nil"/>
            </w:tcBorders>
            <w:shd w:val="clear" w:color="auto" w:fill="auto"/>
          </w:tcPr>
          <w:p w:rsidR="0040180C" w:rsidRPr="0040180C" w:rsidRDefault="0040180C" w:rsidP="0040180C">
            <w:pPr>
              <w:spacing w:before="120" w:after="0" w:line="240" w:lineRule="auto"/>
              <w:jc w:val="center"/>
              <w:rPr>
                <w:rFonts w:ascii="Arial Narrow" w:eastAsia="Calibri" w:hAnsi="Arial Narrow" w:cs="Arial"/>
                <w:b/>
                <w:bCs/>
                <w:lang w:eastAsia="en-AU"/>
              </w:rPr>
            </w:pPr>
            <w:r w:rsidRPr="0040180C">
              <w:rPr>
                <w:rFonts w:ascii="Arial Narrow" w:eastAsia="Calibri" w:hAnsi="Arial Narrow" w:cs="Arial"/>
                <w:b/>
                <w:bCs/>
                <w:lang w:eastAsia="en-AU"/>
              </w:rPr>
              <w:t>2009-10</w:t>
            </w:r>
          </w:p>
        </w:tc>
        <w:tc>
          <w:tcPr>
            <w:tcW w:w="1540" w:type="dxa"/>
            <w:tcBorders>
              <w:top w:val="single" w:sz="8" w:space="0" w:color="9BBB59"/>
              <w:left w:val="nil"/>
              <w:bottom w:val="single" w:sz="8" w:space="0" w:color="9BBB59"/>
              <w:right w:val="nil"/>
            </w:tcBorders>
            <w:shd w:val="clear" w:color="auto" w:fill="auto"/>
          </w:tcPr>
          <w:p w:rsidR="0040180C" w:rsidRPr="0040180C" w:rsidRDefault="0040180C" w:rsidP="0040180C">
            <w:pPr>
              <w:spacing w:before="120" w:after="0" w:line="240" w:lineRule="auto"/>
              <w:jc w:val="center"/>
              <w:rPr>
                <w:rFonts w:ascii="Arial Narrow" w:eastAsia="Calibri" w:hAnsi="Arial Narrow" w:cs="Arial"/>
                <w:b/>
                <w:bCs/>
                <w:lang w:eastAsia="en-AU"/>
              </w:rPr>
            </w:pPr>
            <w:r w:rsidRPr="0040180C">
              <w:rPr>
                <w:rFonts w:ascii="Arial Narrow" w:eastAsia="Calibri" w:hAnsi="Arial Narrow" w:cs="Arial"/>
                <w:b/>
                <w:bCs/>
                <w:lang w:eastAsia="en-AU"/>
              </w:rPr>
              <w:t>2010-11</w:t>
            </w:r>
          </w:p>
        </w:tc>
        <w:tc>
          <w:tcPr>
            <w:tcW w:w="1541" w:type="dxa"/>
            <w:tcBorders>
              <w:top w:val="single" w:sz="8" w:space="0" w:color="9BBB59"/>
              <w:left w:val="nil"/>
              <w:bottom w:val="single" w:sz="8" w:space="0" w:color="9BBB59"/>
              <w:right w:val="nil"/>
            </w:tcBorders>
            <w:shd w:val="clear" w:color="auto" w:fill="auto"/>
          </w:tcPr>
          <w:p w:rsidR="0040180C" w:rsidRPr="0040180C" w:rsidRDefault="0040180C" w:rsidP="0040180C">
            <w:pPr>
              <w:spacing w:before="120" w:after="0" w:line="240" w:lineRule="auto"/>
              <w:jc w:val="center"/>
              <w:rPr>
                <w:rFonts w:ascii="Arial Narrow" w:eastAsia="Calibri" w:hAnsi="Arial Narrow" w:cs="Arial"/>
                <w:b/>
                <w:bCs/>
                <w:lang w:eastAsia="en-AU"/>
              </w:rPr>
            </w:pPr>
            <w:r w:rsidRPr="0040180C">
              <w:rPr>
                <w:rFonts w:ascii="Arial Narrow" w:eastAsia="Calibri" w:hAnsi="Arial Narrow" w:cs="Arial"/>
                <w:b/>
                <w:bCs/>
                <w:lang w:eastAsia="en-AU"/>
              </w:rPr>
              <w:t>2011-12</w:t>
            </w:r>
          </w:p>
        </w:tc>
        <w:tc>
          <w:tcPr>
            <w:tcW w:w="1541" w:type="dxa"/>
            <w:tcBorders>
              <w:top w:val="single" w:sz="8" w:space="0" w:color="9BBB59"/>
              <w:left w:val="nil"/>
              <w:bottom w:val="single" w:sz="8" w:space="0" w:color="9BBB59"/>
              <w:right w:val="nil"/>
            </w:tcBorders>
            <w:shd w:val="clear" w:color="auto" w:fill="auto"/>
          </w:tcPr>
          <w:p w:rsidR="0040180C" w:rsidRPr="0040180C" w:rsidRDefault="0040180C" w:rsidP="0040180C">
            <w:pPr>
              <w:spacing w:before="120" w:after="0" w:line="240" w:lineRule="auto"/>
              <w:jc w:val="center"/>
              <w:rPr>
                <w:rFonts w:ascii="Arial Narrow" w:eastAsia="Calibri" w:hAnsi="Arial Narrow" w:cs="Arial"/>
                <w:b/>
                <w:bCs/>
                <w:lang w:eastAsia="en-AU"/>
              </w:rPr>
            </w:pPr>
            <w:r w:rsidRPr="0040180C">
              <w:rPr>
                <w:rFonts w:ascii="Arial Narrow" w:eastAsia="Calibri" w:hAnsi="Arial Narrow" w:cs="Arial"/>
                <w:b/>
                <w:bCs/>
                <w:lang w:eastAsia="en-AU"/>
              </w:rPr>
              <w:t>Percentage of all presenting needs in 2011-12</w:t>
            </w:r>
          </w:p>
        </w:tc>
      </w:tr>
      <w:tr w:rsidR="0040180C" w:rsidRPr="0040180C" w:rsidTr="00BF292A">
        <w:tc>
          <w:tcPr>
            <w:tcW w:w="2802" w:type="dxa"/>
            <w:tcBorders>
              <w:left w:val="nil"/>
              <w:right w:val="nil"/>
            </w:tcBorders>
            <w:shd w:val="clear" w:color="auto" w:fill="E6EED5"/>
          </w:tcPr>
          <w:p w:rsidR="0040180C" w:rsidRPr="0040180C" w:rsidRDefault="0040180C" w:rsidP="0040180C">
            <w:pPr>
              <w:spacing w:before="120" w:after="0" w:line="240" w:lineRule="auto"/>
              <w:rPr>
                <w:rFonts w:ascii="Arial Narrow" w:eastAsia="Calibri" w:hAnsi="Arial Narrow" w:cs="Times New Roman"/>
                <w:bCs/>
                <w:color w:val="76923C"/>
                <w:spacing w:val="5"/>
                <w:lang w:eastAsia="en-AU"/>
              </w:rPr>
            </w:pPr>
            <w:r w:rsidRPr="0040180C">
              <w:rPr>
                <w:rFonts w:ascii="Arial Narrow" w:eastAsia="Calibri" w:hAnsi="Arial Narrow" w:cs="Arial"/>
                <w:bCs/>
                <w:color w:val="000000"/>
                <w:lang w:eastAsia="en-AU"/>
              </w:rPr>
              <w:t>Post-separation parenting</w:t>
            </w:r>
          </w:p>
        </w:tc>
        <w:tc>
          <w:tcPr>
            <w:tcW w:w="1540"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66,058</w:t>
            </w:r>
          </w:p>
        </w:tc>
        <w:tc>
          <w:tcPr>
            <w:tcW w:w="1540"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70,185</w:t>
            </w:r>
          </w:p>
        </w:tc>
        <w:tc>
          <w:tcPr>
            <w:tcW w:w="1540"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68,790</w:t>
            </w:r>
          </w:p>
        </w:tc>
        <w:tc>
          <w:tcPr>
            <w:tcW w:w="1541"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72,235</w:t>
            </w:r>
          </w:p>
        </w:tc>
        <w:tc>
          <w:tcPr>
            <w:tcW w:w="1541"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10.1</w:t>
            </w:r>
          </w:p>
        </w:tc>
      </w:tr>
      <w:tr w:rsidR="0040180C" w:rsidRPr="0040180C" w:rsidTr="00BF292A">
        <w:tc>
          <w:tcPr>
            <w:tcW w:w="2802" w:type="dxa"/>
            <w:shd w:val="clear" w:color="auto" w:fill="auto"/>
          </w:tcPr>
          <w:p w:rsidR="0040180C" w:rsidRPr="0040180C" w:rsidRDefault="0040180C" w:rsidP="0040180C">
            <w:pPr>
              <w:spacing w:before="120" w:after="0" w:line="240" w:lineRule="auto"/>
              <w:rPr>
                <w:rFonts w:ascii="Arial Narrow" w:eastAsia="Calibri" w:hAnsi="Arial Narrow" w:cs="Arial"/>
                <w:bCs/>
                <w:color w:val="000000"/>
                <w:lang w:eastAsia="en-AU"/>
              </w:rPr>
            </w:pPr>
            <w:r w:rsidRPr="0040180C">
              <w:rPr>
                <w:rFonts w:ascii="Arial Narrow" w:eastAsia="Calibri" w:hAnsi="Arial Narrow" w:cs="Arial"/>
                <w:bCs/>
                <w:color w:val="000000"/>
                <w:lang w:eastAsia="en-AU"/>
              </w:rPr>
              <w:t>Dealing with relationship difficulties</w:t>
            </w:r>
          </w:p>
        </w:tc>
        <w:tc>
          <w:tcPr>
            <w:tcW w:w="1540"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51,063</w:t>
            </w:r>
          </w:p>
        </w:tc>
        <w:tc>
          <w:tcPr>
            <w:tcW w:w="1540"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49,922</w:t>
            </w:r>
          </w:p>
        </w:tc>
        <w:tc>
          <w:tcPr>
            <w:tcW w:w="1540"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53,589</w:t>
            </w:r>
          </w:p>
        </w:tc>
        <w:tc>
          <w:tcPr>
            <w:tcW w:w="1541"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52,012</w:t>
            </w:r>
          </w:p>
        </w:tc>
        <w:tc>
          <w:tcPr>
            <w:tcW w:w="1541"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7.3</w:t>
            </w:r>
          </w:p>
        </w:tc>
      </w:tr>
      <w:tr w:rsidR="0040180C" w:rsidRPr="0040180C" w:rsidTr="00BF292A">
        <w:tc>
          <w:tcPr>
            <w:tcW w:w="2802" w:type="dxa"/>
            <w:tcBorders>
              <w:left w:val="nil"/>
              <w:right w:val="nil"/>
            </w:tcBorders>
            <w:shd w:val="clear" w:color="auto" w:fill="E6EED5"/>
          </w:tcPr>
          <w:p w:rsidR="0040180C" w:rsidRPr="0040180C" w:rsidRDefault="0040180C" w:rsidP="0040180C">
            <w:pPr>
              <w:spacing w:before="120" w:after="0" w:line="240" w:lineRule="auto"/>
              <w:rPr>
                <w:rFonts w:ascii="Arial Narrow" w:eastAsia="Calibri" w:hAnsi="Arial Narrow" w:cs="Arial"/>
                <w:bCs/>
                <w:color w:val="000000"/>
                <w:lang w:eastAsia="en-AU"/>
              </w:rPr>
            </w:pPr>
            <w:r w:rsidRPr="0040180C">
              <w:rPr>
                <w:rFonts w:ascii="Arial Narrow" w:eastAsia="Calibri" w:hAnsi="Arial Narrow" w:cs="Arial"/>
                <w:bCs/>
                <w:color w:val="000000"/>
                <w:lang w:eastAsia="en-AU"/>
              </w:rPr>
              <w:t>Communication issues</w:t>
            </w:r>
          </w:p>
        </w:tc>
        <w:tc>
          <w:tcPr>
            <w:tcW w:w="1540"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34,640</w:t>
            </w:r>
          </w:p>
        </w:tc>
        <w:tc>
          <w:tcPr>
            <w:tcW w:w="1540"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40,192</w:t>
            </w:r>
          </w:p>
        </w:tc>
        <w:tc>
          <w:tcPr>
            <w:tcW w:w="1540"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45,217</w:t>
            </w:r>
          </w:p>
        </w:tc>
        <w:tc>
          <w:tcPr>
            <w:tcW w:w="1541"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49,315</w:t>
            </w:r>
          </w:p>
        </w:tc>
        <w:tc>
          <w:tcPr>
            <w:tcW w:w="1541"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6.9</w:t>
            </w:r>
          </w:p>
        </w:tc>
      </w:tr>
      <w:tr w:rsidR="0040180C" w:rsidRPr="0040180C" w:rsidTr="00BF292A">
        <w:tc>
          <w:tcPr>
            <w:tcW w:w="2802" w:type="dxa"/>
            <w:shd w:val="clear" w:color="auto" w:fill="auto"/>
          </w:tcPr>
          <w:p w:rsidR="0040180C" w:rsidRPr="0040180C" w:rsidRDefault="0040180C" w:rsidP="0040180C">
            <w:pPr>
              <w:spacing w:before="120" w:after="0" w:line="240" w:lineRule="auto"/>
              <w:rPr>
                <w:rFonts w:ascii="Arial Narrow" w:eastAsia="Calibri" w:hAnsi="Arial Narrow" w:cs="Arial"/>
                <w:bCs/>
                <w:color w:val="000000"/>
                <w:lang w:eastAsia="en-AU"/>
              </w:rPr>
            </w:pPr>
            <w:r w:rsidRPr="0040180C">
              <w:rPr>
                <w:rFonts w:ascii="Arial Narrow" w:eastAsia="Calibri" w:hAnsi="Arial Narrow" w:cs="Arial"/>
                <w:bCs/>
                <w:color w:val="000000"/>
                <w:lang w:eastAsia="en-AU"/>
              </w:rPr>
              <w:t>Conflict</w:t>
            </w:r>
          </w:p>
        </w:tc>
        <w:tc>
          <w:tcPr>
            <w:tcW w:w="1540"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36,463</w:t>
            </w:r>
          </w:p>
        </w:tc>
        <w:tc>
          <w:tcPr>
            <w:tcW w:w="1540"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39,616</w:t>
            </w:r>
          </w:p>
        </w:tc>
        <w:tc>
          <w:tcPr>
            <w:tcW w:w="1540"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45,372</w:t>
            </w:r>
          </w:p>
        </w:tc>
        <w:tc>
          <w:tcPr>
            <w:tcW w:w="1541"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47,520</w:t>
            </w:r>
          </w:p>
        </w:tc>
        <w:tc>
          <w:tcPr>
            <w:tcW w:w="1541"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6.7</w:t>
            </w:r>
          </w:p>
        </w:tc>
      </w:tr>
      <w:tr w:rsidR="0040180C" w:rsidRPr="0040180C" w:rsidTr="00BF292A">
        <w:tc>
          <w:tcPr>
            <w:tcW w:w="2802" w:type="dxa"/>
            <w:tcBorders>
              <w:left w:val="nil"/>
              <w:right w:val="nil"/>
            </w:tcBorders>
            <w:shd w:val="clear" w:color="auto" w:fill="E6EED5"/>
          </w:tcPr>
          <w:p w:rsidR="0040180C" w:rsidRPr="0040180C" w:rsidRDefault="0040180C" w:rsidP="0040180C">
            <w:pPr>
              <w:spacing w:before="120" w:after="0" w:line="240" w:lineRule="auto"/>
              <w:rPr>
                <w:rFonts w:ascii="Arial Narrow" w:eastAsia="Calibri" w:hAnsi="Arial Narrow" w:cs="Arial"/>
                <w:bCs/>
                <w:color w:val="000000"/>
                <w:lang w:eastAsia="en-AU"/>
              </w:rPr>
            </w:pPr>
            <w:r w:rsidRPr="0040180C">
              <w:rPr>
                <w:rFonts w:ascii="Arial Narrow" w:eastAsia="Calibri" w:hAnsi="Arial Narrow" w:cs="Arial"/>
                <w:bCs/>
                <w:color w:val="000000"/>
                <w:lang w:eastAsia="en-AU"/>
              </w:rPr>
              <w:t>Parenting</w:t>
            </w:r>
          </w:p>
        </w:tc>
        <w:tc>
          <w:tcPr>
            <w:tcW w:w="1540"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30,007</w:t>
            </w:r>
          </w:p>
        </w:tc>
        <w:tc>
          <w:tcPr>
            <w:tcW w:w="1540"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29,751</w:t>
            </w:r>
          </w:p>
        </w:tc>
        <w:tc>
          <w:tcPr>
            <w:tcW w:w="1540"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32,231</w:t>
            </w:r>
          </w:p>
        </w:tc>
        <w:tc>
          <w:tcPr>
            <w:tcW w:w="1541"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31,095</w:t>
            </w:r>
          </w:p>
        </w:tc>
        <w:tc>
          <w:tcPr>
            <w:tcW w:w="1541"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4.4</w:t>
            </w:r>
          </w:p>
        </w:tc>
      </w:tr>
      <w:tr w:rsidR="0040180C" w:rsidRPr="0040180C" w:rsidTr="00BF292A">
        <w:tc>
          <w:tcPr>
            <w:tcW w:w="2802" w:type="dxa"/>
            <w:shd w:val="clear" w:color="auto" w:fill="auto"/>
          </w:tcPr>
          <w:p w:rsidR="0040180C" w:rsidRPr="0040180C" w:rsidRDefault="0040180C" w:rsidP="0040180C">
            <w:pPr>
              <w:spacing w:before="120" w:after="0" w:line="240" w:lineRule="auto"/>
              <w:rPr>
                <w:rFonts w:ascii="Arial Narrow" w:eastAsia="Calibri" w:hAnsi="Arial Narrow" w:cs="Arial"/>
                <w:bCs/>
                <w:color w:val="000000"/>
                <w:lang w:eastAsia="en-AU"/>
              </w:rPr>
            </w:pPr>
            <w:r w:rsidRPr="0040180C">
              <w:rPr>
                <w:rFonts w:ascii="Arial Narrow" w:eastAsia="Calibri" w:hAnsi="Arial Narrow" w:cs="Arial"/>
                <w:bCs/>
                <w:color w:val="000000"/>
                <w:lang w:eastAsia="en-AU"/>
              </w:rPr>
              <w:t>Stress</w:t>
            </w:r>
          </w:p>
        </w:tc>
        <w:tc>
          <w:tcPr>
            <w:tcW w:w="1540"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19,104</w:t>
            </w:r>
          </w:p>
        </w:tc>
        <w:tc>
          <w:tcPr>
            <w:tcW w:w="1540"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24,106</w:t>
            </w:r>
          </w:p>
        </w:tc>
        <w:tc>
          <w:tcPr>
            <w:tcW w:w="1540"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29,053</w:t>
            </w:r>
          </w:p>
        </w:tc>
        <w:tc>
          <w:tcPr>
            <w:tcW w:w="1541"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30,932</w:t>
            </w:r>
          </w:p>
        </w:tc>
        <w:tc>
          <w:tcPr>
            <w:tcW w:w="1541"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4.3</w:t>
            </w:r>
          </w:p>
        </w:tc>
      </w:tr>
      <w:tr w:rsidR="0040180C" w:rsidRPr="0040180C" w:rsidTr="00BF292A">
        <w:tc>
          <w:tcPr>
            <w:tcW w:w="2802" w:type="dxa"/>
            <w:tcBorders>
              <w:left w:val="nil"/>
              <w:right w:val="nil"/>
            </w:tcBorders>
            <w:shd w:val="clear" w:color="auto" w:fill="E6EED5"/>
          </w:tcPr>
          <w:p w:rsidR="0040180C" w:rsidRPr="0040180C" w:rsidRDefault="0040180C" w:rsidP="0040180C">
            <w:pPr>
              <w:spacing w:before="120" w:after="0" w:line="240" w:lineRule="auto"/>
              <w:rPr>
                <w:rFonts w:ascii="Arial Narrow" w:eastAsia="Calibri" w:hAnsi="Arial Narrow" w:cs="Arial"/>
                <w:bCs/>
                <w:color w:val="000000"/>
                <w:lang w:eastAsia="en-AU"/>
              </w:rPr>
            </w:pPr>
            <w:r w:rsidRPr="0040180C">
              <w:rPr>
                <w:rFonts w:ascii="Arial Narrow" w:eastAsia="Calibri" w:hAnsi="Arial Narrow" w:cs="Arial"/>
                <w:bCs/>
                <w:color w:val="000000"/>
                <w:lang w:eastAsia="en-AU"/>
              </w:rPr>
              <w:t>Relationship breakdown</w:t>
            </w:r>
          </w:p>
        </w:tc>
        <w:tc>
          <w:tcPr>
            <w:tcW w:w="1540"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30,720</w:t>
            </w:r>
          </w:p>
        </w:tc>
        <w:tc>
          <w:tcPr>
            <w:tcW w:w="1540"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30,437</w:t>
            </w:r>
          </w:p>
        </w:tc>
        <w:tc>
          <w:tcPr>
            <w:tcW w:w="1540"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28,994</w:t>
            </w:r>
          </w:p>
        </w:tc>
        <w:tc>
          <w:tcPr>
            <w:tcW w:w="1541"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26,035</w:t>
            </w:r>
          </w:p>
        </w:tc>
        <w:tc>
          <w:tcPr>
            <w:tcW w:w="1541"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3.6</w:t>
            </w:r>
          </w:p>
        </w:tc>
      </w:tr>
      <w:tr w:rsidR="0040180C" w:rsidRPr="0040180C" w:rsidTr="00BF292A">
        <w:tc>
          <w:tcPr>
            <w:tcW w:w="2802" w:type="dxa"/>
            <w:shd w:val="clear" w:color="auto" w:fill="auto"/>
          </w:tcPr>
          <w:p w:rsidR="0040180C" w:rsidRPr="0040180C" w:rsidRDefault="0040180C" w:rsidP="0040180C">
            <w:pPr>
              <w:spacing w:before="120" w:after="0" w:line="240" w:lineRule="auto"/>
              <w:rPr>
                <w:rFonts w:ascii="Arial Narrow" w:eastAsia="Calibri" w:hAnsi="Arial Narrow" w:cs="Arial"/>
                <w:bCs/>
                <w:color w:val="000000"/>
                <w:lang w:eastAsia="en-AU"/>
              </w:rPr>
            </w:pPr>
            <w:r w:rsidRPr="0040180C">
              <w:rPr>
                <w:rFonts w:ascii="Arial Narrow" w:eastAsia="Calibri" w:hAnsi="Arial Narrow" w:cs="Arial"/>
                <w:bCs/>
                <w:color w:val="000000"/>
                <w:lang w:eastAsia="en-AU"/>
              </w:rPr>
              <w:t>Separation of parents</w:t>
            </w:r>
          </w:p>
        </w:tc>
        <w:tc>
          <w:tcPr>
            <w:tcW w:w="1540"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17,035</w:t>
            </w:r>
          </w:p>
        </w:tc>
        <w:tc>
          <w:tcPr>
            <w:tcW w:w="1540"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20,764</w:t>
            </w:r>
          </w:p>
        </w:tc>
        <w:tc>
          <w:tcPr>
            <w:tcW w:w="1540"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24,334</w:t>
            </w:r>
          </w:p>
        </w:tc>
        <w:tc>
          <w:tcPr>
            <w:tcW w:w="1541"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24,763</w:t>
            </w:r>
          </w:p>
        </w:tc>
        <w:tc>
          <w:tcPr>
            <w:tcW w:w="1541"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3.5</w:t>
            </w:r>
          </w:p>
        </w:tc>
      </w:tr>
      <w:tr w:rsidR="0040180C" w:rsidRPr="0040180C" w:rsidTr="00BF292A">
        <w:tc>
          <w:tcPr>
            <w:tcW w:w="2802" w:type="dxa"/>
            <w:tcBorders>
              <w:left w:val="nil"/>
              <w:right w:val="nil"/>
            </w:tcBorders>
            <w:shd w:val="clear" w:color="auto" w:fill="E6EED5"/>
          </w:tcPr>
          <w:p w:rsidR="0040180C" w:rsidRPr="0040180C" w:rsidRDefault="0040180C" w:rsidP="0040180C">
            <w:pPr>
              <w:spacing w:before="120" w:after="0" w:line="240" w:lineRule="auto"/>
              <w:rPr>
                <w:rFonts w:ascii="Arial Narrow" w:eastAsia="Calibri" w:hAnsi="Arial Narrow" w:cs="Arial"/>
                <w:bCs/>
                <w:color w:val="000000"/>
                <w:lang w:eastAsia="en-AU"/>
              </w:rPr>
            </w:pPr>
            <w:r w:rsidRPr="0040180C">
              <w:rPr>
                <w:rFonts w:ascii="Arial Narrow" w:eastAsia="Calibri" w:hAnsi="Arial Narrow" w:cs="Arial"/>
                <w:bCs/>
                <w:color w:val="000000"/>
                <w:lang w:eastAsia="en-AU"/>
              </w:rPr>
              <w:t>Anxiety</w:t>
            </w:r>
          </w:p>
        </w:tc>
        <w:tc>
          <w:tcPr>
            <w:tcW w:w="1540"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N/A</w:t>
            </w:r>
          </w:p>
        </w:tc>
        <w:tc>
          <w:tcPr>
            <w:tcW w:w="1540"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N/A</w:t>
            </w:r>
          </w:p>
        </w:tc>
        <w:tc>
          <w:tcPr>
            <w:tcW w:w="1540"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N/A</w:t>
            </w:r>
          </w:p>
        </w:tc>
        <w:tc>
          <w:tcPr>
            <w:tcW w:w="1541"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24,214</w:t>
            </w:r>
          </w:p>
        </w:tc>
        <w:tc>
          <w:tcPr>
            <w:tcW w:w="1541" w:type="dxa"/>
            <w:tcBorders>
              <w:left w:val="nil"/>
              <w:right w:val="nil"/>
            </w:tcBorders>
            <w:shd w:val="clear" w:color="auto" w:fill="E6EED5"/>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3.4</w:t>
            </w:r>
          </w:p>
        </w:tc>
      </w:tr>
      <w:tr w:rsidR="0040180C" w:rsidRPr="0040180C" w:rsidTr="00BF292A">
        <w:tc>
          <w:tcPr>
            <w:tcW w:w="2802" w:type="dxa"/>
            <w:shd w:val="clear" w:color="auto" w:fill="auto"/>
          </w:tcPr>
          <w:p w:rsidR="0040180C" w:rsidRPr="0040180C" w:rsidRDefault="0040180C" w:rsidP="0040180C">
            <w:pPr>
              <w:spacing w:before="120" w:after="0" w:line="240" w:lineRule="auto"/>
              <w:rPr>
                <w:rFonts w:ascii="Arial Narrow" w:eastAsia="Calibri" w:hAnsi="Arial Narrow" w:cs="Arial"/>
                <w:bCs/>
                <w:color w:val="000000"/>
                <w:lang w:eastAsia="en-AU"/>
              </w:rPr>
            </w:pPr>
            <w:r w:rsidRPr="0040180C">
              <w:rPr>
                <w:rFonts w:ascii="Arial Narrow" w:eastAsia="Calibri" w:hAnsi="Arial Narrow" w:cs="Arial"/>
                <w:bCs/>
                <w:color w:val="000000"/>
                <w:lang w:eastAsia="en-AU"/>
              </w:rPr>
              <w:t>Family separation</w:t>
            </w:r>
          </w:p>
        </w:tc>
        <w:tc>
          <w:tcPr>
            <w:tcW w:w="1540"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19,731</w:t>
            </w:r>
          </w:p>
        </w:tc>
        <w:tc>
          <w:tcPr>
            <w:tcW w:w="1540"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22,699</w:t>
            </w:r>
          </w:p>
        </w:tc>
        <w:tc>
          <w:tcPr>
            <w:tcW w:w="1540"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25,100</w:t>
            </w:r>
          </w:p>
        </w:tc>
        <w:tc>
          <w:tcPr>
            <w:tcW w:w="1541"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23,806</w:t>
            </w:r>
          </w:p>
        </w:tc>
        <w:tc>
          <w:tcPr>
            <w:tcW w:w="1541" w:type="dxa"/>
            <w:shd w:val="clear" w:color="auto" w:fill="auto"/>
          </w:tcPr>
          <w:p w:rsidR="0040180C" w:rsidRPr="0040180C" w:rsidRDefault="0040180C" w:rsidP="0040180C">
            <w:pPr>
              <w:spacing w:before="120" w:after="0" w:line="240" w:lineRule="auto"/>
              <w:ind w:right="34"/>
              <w:jc w:val="center"/>
              <w:rPr>
                <w:rFonts w:ascii="Arial Narrow" w:eastAsia="Calibri" w:hAnsi="Arial Narrow" w:cs="Arial"/>
                <w:color w:val="000000"/>
                <w:lang w:eastAsia="en-AU"/>
              </w:rPr>
            </w:pPr>
            <w:r w:rsidRPr="0040180C">
              <w:rPr>
                <w:rFonts w:ascii="Arial Narrow" w:eastAsia="Calibri" w:hAnsi="Arial Narrow" w:cs="Arial"/>
                <w:color w:val="000000"/>
                <w:lang w:eastAsia="en-AU"/>
              </w:rPr>
              <w:t>3.3</w:t>
            </w:r>
          </w:p>
        </w:tc>
      </w:tr>
    </w:tbl>
    <w:p w:rsidR="00794AF1" w:rsidRDefault="0040180C" w:rsidP="0040180C">
      <w:pPr>
        <w:rPr>
          <w:rFonts w:eastAsia="Times New Roman"/>
          <w:sz w:val="24"/>
          <w:szCs w:val="24"/>
          <w:lang w:eastAsia="en-AU"/>
        </w:rPr>
      </w:pPr>
      <w:r w:rsidRPr="00222682">
        <w:rPr>
          <w:rFonts w:eastAsia="Times New Roman"/>
          <w:sz w:val="24"/>
          <w:szCs w:val="24"/>
          <w:lang w:eastAsia="en-AU"/>
        </w:rPr>
        <w:t>The table above shows a comparison of the top ten presenting needs ident</w:t>
      </w:r>
      <w:r w:rsidR="00222682">
        <w:rPr>
          <w:rFonts w:eastAsia="Times New Roman"/>
          <w:sz w:val="24"/>
          <w:szCs w:val="24"/>
          <w:lang w:eastAsia="en-AU"/>
        </w:rPr>
        <w:t>ified by registered clients from 2008-09 to</w:t>
      </w:r>
      <w:r w:rsidRPr="00222682">
        <w:rPr>
          <w:rFonts w:eastAsia="Times New Roman"/>
          <w:sz w:val="24"/>
          <w:szCs w:val="24"/>
          <w:lang w:eastAsia="en-AU"/>
        </w:rPr>
        <w:t xml:space="preserve"> 2011-12.  The table also shows the percentage of all presenting needs in 2011-12.  </w:t>
      </w:r>
      <w:r w:rsidR="00C42CE0">
        <w:rPr>
          <w:rFonts w:eastAsia="Times New Roman"/>
          <w:sz w:val="24"/>
          <w:szCs w:val="24"/>
          <w:lang w:eastAsia="en-AU"/>
        </w:rPr>
        <w:t>The type of services clients are being referred to in Table 2.7 is reflected in the top ten presenting needs identified in Table 2.8.  Clients are presenting with relationship and parenting issues, where there may be issues requiring legal advice and/or</w:t>
      </w:r>
      <w:r w:rsidR="00135BAD">
        <w:rPr>
          <w:rFonts w:eastAsia="Times New Roman"/>
          <w:sz w:val="24"/>
          <w:szCs w:val="24"/>
          <w:lang w:eastAsia="en-AU"/>
        </w:rPr>
        <w:t xml:space="preserve"> ongoing</w:t>
      </w:r>
      <w:r w:rsidR="00C42CE0">
        <w:rPr>
          <w:rFonts w:eastAsia="Times New Roman"/>
          <w:sz w:val="24"/>
          <w:szCs w:val="24"/>
          <w:lang w:eastAsia="en-AU"/>
        </w:rPr>
        <w:t xml:space="preserve"> counselling services.</w:t>
      </w:r>
    </w:p>
    <w:p w:rsidR="0040180C" w:rsidRDefault="00C42CE0" w:rsidP="0040180C">
      <w:pPr>
        <w:rPr>
          <w:rFonts w:eastAsia="Times New Roman"/>
          <w:sz w:val="24"/>
          <w:szCs w:val="24"/>
          <w:lang w:eastAsia="en-AU"/>
        </w:rPr>
      </w:pPr>
      <w:r>
        <w:rPr>
          <w:rFonts w:eastAsia="Times New Roman"/>
          <w:sz w:val="24"/>
          <w:szCs w:val="24"/>
          <w:lang w:eastAsia="en-AU"/>
        </w:rPr>
        <w:t>What typically is</w:t>
      </w:r>
      <w:r w:rsidR="00135BAD">
        <w:rPr>
          <w:rFonts w:eastAsia="Times New Roman"/>
          <w:sz w:val="24"/>
          <w:szCs w:val="24"/>
          <w:lang w:eastAsia="en-AU"/>
        </w:rPr>
        <w:t xml:space="preserve"> </w:t>
      </w:r>
      <w:r>
        <w:rPr>
          <w:rFonts w:eastAsia="Times New Roman"/>
          <w:sz w:val="24"/>
          <w:szCs w:val="24"/>
          <w:lang w:eastAsia="en-AU"/>
        </w:rPr>
        <w:t>n</w:t>
      </w:r>
      <w:r w:rsidR="00135BAD">
        <w:rPr>
          <w:rFonts w:eastAsia="Times New Roman"/>
          <w:sz w:val="24"/>
          <w:szCs w:val="24"/>
          <w:lang w:eastAsia="en-AU"/>
        </w:rPr>
        <w:t>o</w:t>
      </w:r>
      <w:r>
        <w:rPr>
          <w:rFonts w:eastAsia="Times New Roman"/>
          <w:sz w:val="24"/>
          <w:szCs w:val="24"/>
          <w:lang w:eastAsia="en-AU"/>
        </w:rPr>
        <w:t xml:space="preserve">t represented in these figures </w:t>
      </w:r>
      <w:r w:rsidR="00135BAD">
        <w:rPr>
          <w:rFonts w:eastAsia="Times New Roman"/>
          <w:sz w:val="24"/>
          <w:szCs w:val="24"/>
          <w:lang w:eastAsia="en-AU"/>
        </w:rPr>
        <w:t>(</w:t>
      </w:r>
      <w:r>
        <w:rPr>
          <w:rFonts w:eastAsia="Times New Roman"/>
          <w:sz w:val="24"/>
          <w:szCs w:val="24"/>
          <w:lang w:eastAsia="en-AU"/>
        </w:rPr>
        <w:t>except for the ‘anxiety’ presenting need</w:t>
      </w:r>
      <w:r w:rsidR="00135BAD">
        <w:rPr>
          <w:rFonts w:eastAsia="Times New Roman"/>
          <w:sz w:val="24"/>
          <w:szCs w:val="24"/>
          <w:lang w:eastAsia="en-AU"/>
        </w:rPr>
        <w:t>)</w:t>
      </w:r>
      <w:r>
        <w:rPr>
          <w:rFonts w:eastAsia="Times New Roman"/>
          <w:sz w:val="24"/>
          <w:szCs w:val="24"/>
          <w:lang w:eastAsia="en-AU"/>
        </w:rPr>
        <w:t xml:space="preserve"> is the number of client</w:t>
      </w:r>
      <w:r w:rsidR="00135BAD">
        <w:rPr>
          <w:rFonts w:eastAsia="Times New Roman"/>
          <w:sz w:val="24"/>
          <w:szCs w:val="24"/>
          <w:lang w:eastAsia="en-AU"/>
        </w:rPr>
        <w:t>s</w:t>
      </w:r>
      <w:r>
        <w:rPr>
          <w:rFonts w:eastAsia="Times New Roman"/>
          <w:sz w:val="24"/>
          <w:szCs w:val="24"/>
          <w:lang w:eastAsia="en-AU"/>
        </w:rPr>
        <w:t xml:space="preserve"> who ha</w:t>
      </w:r>
      <w:r w:rsidR="00135BAD">
        <w:rPr>
          <w:rFonts w:eastAsia="Times New Roman"/>
          <w:sz w:val="24"/>
          <w:szCs w:val="24"/>
          <w:lang w:eastAsia="en-AU"/>
        </w:rPr>
        <w:t xml:space="preserve">ve presented </w:t>
      </w:r>
      <w:r>
        <w:rPr>
          <w:rFonts w:eastAsia="Times New Roman"/>
          <w:sz w:val="24"/>
          <w:szCs w:val="24"/>
          <w:lang w:eastAsia="en-AU"/>
        </w:rPr>
        <w:t xml:space="preserve">with mental health issues.  A number of case studies provided by FSP service providers include clients who have </w:t>
      </w:r>
      <w:r w:rsidR="00135BAD">
        <w:rPr>
          <w:rFonts w:eastAsia="Times New Roman"/>
          <w:sz w:val="24"/>
          <w:szCs w:val="24"/>
          <w:lang w:eastAsia="en-AU"/>
        </w:rPr>
        <w:t xml:space="preserve">complex </w:t>
      </w:r>
      <w:r>
        <w:rPr>
          <w:rFonts w:eastAsia="Times New Roman"/>
          <w:sz w:val="24"/>
          <w:szCs w:val="24"/>
          <w:lang w:eastAsia="en-AU"/>
        </w:rPr>
        <w:t>mental health issues.</w:t>
      </w:r>
    </w:p>
    <w:p w:rsidR="00DB112D" w:rsidRDefault="00DB112D" w:rsidP="0040180C">
      <w:pPr>
        <w:rPr>
          <w:rFonts w:eastAsia="Times New Roman"/>
          <w:sz w:val="24"/>
          <w:szCs w:val="24"/>
          <w:lang w:eastAsia="en-AU"/>
        </w:rPr>
      </w:pPr>
      <w:r>
        <w:rPr>
          <w:rFonts w:eastAsia="Times New Roman"/>
          <w:sz w:val="24"/>
          <w:szCs w:val="24"/>
          <w:lang w:eastAsia="en-AU"/>
        </w:rPr>
        <w:t xml:space="preserve">According to the </w:t>
      </w:r>
      <w:r w:rsidRPr="00417F06">
        <w:rPr>
          <w:rFonts w:eastAsia="Times New Roman"/>
          <w:i/>
          <w:sz w:val="24"/>
          <w:szCs w:val="24"/>
          <w:lang w:eastAsia="en-AU"/>
        </w:rPr>
        <w:t>ABS 2007 National Survey of Mental Health and</w:t>
      </w:r>
      <w:r>
        <w:rPr>
          <w:rFonts w:eastAsia="Times New Roman"/>
          <w:sz w:val="24"/>
          <w:szCs w:val="24"/>
          <w:lang w:eastAsia="en-AU"/>
        </w:rPr>
        <w:t xml:space="preserve"> </w:t>
      </w:r>
      <w:r w:rsidRPr="00417F06">
        <w:rPr>
          <w:rFonts w:eastAsia="Times New Roman"/>
          <w:i/>
          <w:sz w:val="24"/>
          <w:szCs w:val="24"/>
          <w:lang w:eastAsia="en-AU"/>
        </w:rPr>
        <w:t>Wellbeing</w:t>
      </w:r>
      <w:r>
        <w:rPr>
          <w:rFonts w:eastAsia="Times New Roman"/>
          <w:sz w:val="24"/>
          <w:szCs w:val="24"/>
          <w:lang w:eastAsia="en-AU"/>
        </w:rPr>
        <w:t xml:space="preserve"> </w:t>
      </w:r>
      <w:r w:rsidR="00F722C5">
        <w:rPr>
          <w:rFonts w:eastAsia="Times New Roman"/>
          <w:sz w:val="24"/>
          <w:szCs w:val="24"/>
          <w:lang w:eastAsia="en-AU"/>
        </w:rPr>
        <w:t>one in five Australians aged 16</w:t>
      </w:r>
      <w:r w:rsidR="00DD4B48">
        <w:rPr>
          <w:rFonts w:eastAsia="Times New Roman"/>
          <w:sz w:val="24"/>
          <w:szCs w:val="24"/>
          <w:lang w:eastAsia="en-AU"/>
        </w:rPr>
        <w:noBreakHyphen/>
      </w:r>
      <w:r w:rsidR="00F722C5">
        <w:rPr>
          <w:rFonts w:eastAsia="Times New Roman"/>
          <w:sz w:val="24"/>
          <w:szCs w:val="24"/>
          <w:lang w:eastAsia="en-AU"/>
        </w:rPr>
        <w:t>85 years had a mental disorder in 2007 and almost one in two (or 7.3 million people) had experienced a mental disorder at some point in their lives.  P</w:t>
      </w:r>
      <w:r>
        <w:rPr>
          <w:rFonts w:eastAsia="Times New Roman"/>
          <w:sz w:val="24"/>
          <w:szCs w:val="24"/>
          <w:lang w:eastAsia="en-AU"/>
        </w:rPr>
        <w:t>eople with a mental illness may not be able to fully participate in the community due to difficulties faced with everyday functioning</w:t>
      </w:r>
      <w:r w:rsidR="00F722C5">
        <w:rPr>
          <w:rFonts w:eastAsia="Times New Roman"/>
          <w:sz w:val="24"/>
          <w:szCs w:val="24"/>
          <w:lang w:eastAsia="en-AU"/>
        </w:rPr>
        <w:t xml:space="preserve"> and often experience social isolation</w:t>
      </w:r>
      <w:r>
        <w:rPr>
          <w:rFonts w:eastAsia="Times New Roman"/>
          <w:sz w:val="24"/>
          <w:szCs w:val="24"/>
          <w:lang w:eastAsia="en-AU"/>
        </w:rPr>
        <w:t xml:space="preserve">.  </w:t>
      </w:r>
      <w:r w:rsidR="00F722C5">
        <w:rPr>
          <w:rFonts w:eastAsia="Times New Roman"/>
          <w:sz w:val="24"/>
          <w:szCs w:val="24"/>
          <w:lang w:eastAsia="en-AU"/>
        </w:rPr>
        <w:t>FSP services provide services to help with</w:t>
      </w:r>
      <w:r>
        <w:rPr>
          <w:rFonts w:eastAsia="Times New Roman"/>
          <w:sz w:val="24"/>
          <w:szCs w:val="24"/>
          <w:lang w:eastAsia="en-AU"/>
        </w:rPr>
        <w:t xml:space="preserve"> information, coun</w:t>
      </w:r>
      <w:r w:rsidR="00F722C5">
        <w:rPr>
          <w:rFonts w:eastAsia="Times New Roman"/>
          <w:sz w:val="24"/>
          <w:szCs w:val="24"/>
          <w:lang w:eastAsia="en-AU"/>
        </w:rPr>
        <w:t>selling, social intervention or skills training.</w:t>
      </w:r>
    </w:p>
    <w:p w:rsidR="00794AF1" w:rsidRDefault="00794AF1" w:rsidP="0040180C">
      <w:pPr>
        <w:rPr>
          <w:rFonts w:eastAsia="Times New Roman"/>
          <w:sz w:val="24"/>
          <w:szCs w:val="24"/>
          <w:lang w:eastAsia="en-AU"/>
        </w:rPr>
      </w:pPr>
      <w:r>
        <w:rPr>
          <w:rFonts w:eastAsia="Times New Roman"/>
          <w:sz w:val="24"/>
          <w:szCs w:val="24"/>
          <w:lang w:eastAsia="en-AU"/>
        </w:rPr>
        <w:t xml:space="preserve">FSP services are contributing to improving the life chances of children at greatest risk of long-term disadvantage (a </w:t>
      </w:r>
      <w:r w:rsidRPr="00F722C5">
        <w:rPr>
          <w:rFonts w:eastAsia="Times New Roman"/>
          <w:sz w:val="24"/>
          <w:szCs w:val="24"/>
          <w:lang w:eastAsia="en-AU"/>
        </w:rPr>
        <w:t>social inclusion</w:t>
      </w:r>
      <w:r>
        <w:rPr>
          <w:rFonts w:eastAsia="Times New Roman"/>
          <w:sz w:val="24"/>
          <w:szCs w:val="24"/>
          <w:lang w:eastAsia="en-AU"/>
        </w:rPr>
        <w:t xml:space="preserve"> strategic change indicator).  In 2011-12 84.8% of FSP clients reported improved child wellbeing and family functioning.</w:t>
      </w:r>
    </w:p>
    <w:p w:rsidR="0040180C" w:rsidRPr="0040180C" w:rsidRDefault="0040180C" w:rsidP="0040180C">
      <w:pPr>
        <w:pStyle w:val="Heading2"/>
        <w:rPr>
          <w:rFonts w:eastAsia="Times New Roman"/>
          <w:lang w:eastAsia="en-AU"/>
        </w:rPr>
      </w:pPr>
      <w:bookmarkStart w:id="114" w:name="_Toc338944765"/>
      <w:bookmarkStart w:id="115" w:name="_Toc338945056"/>
      <w:bookmarkStart w:id="116" w:name="_Toc338945383"/>
      <w:bookmarkStart w:id="117" w:name="_Toc338945636"/>
      <w:bookmarkStart w:id="118" w:name="_Toc341705906"/>
      <w:r w:rsidRPr="0040180C">
        <w:rPr>
          <w:rFonts w:eastAsia="Times New Roman"/>
          <w:lang w:eastAsia="en-AU"/>
        </w:rPr>
        <w:t>Building Australia’s Future Workforce (BAFW)</w:t>
      </w:r>
      <w:bookmarkEnd w:id="114"/>
      <w:bookmarkEnd w:id="115"/>
      <w:bookmarkEnd w:id="116"/>
      <w:bookmarkEnd w:id="117"/>
      <w:bookmarkEnd w:id="118"/>
    </w:p>
    <w:p w:rsidR="0040180C" w:rsidRPr="00285567" w:rsidRDefault="0040180C" w:rsidP="0040180C">
      <w:pPr>
        <w:rPr>
          <w:rFonts w:eastAsia="Times New Roman"/>
          <w:strike/>
          <w:sz w:val="24"/>
          <w:szCs w:val="24"/>
        </w:rPr>
      </w:pPr>
      <w:r w:rsidRPr="00285567">
        <w:rPr>
          <w:rFonts w:eastAsia="Times New Roman"/>
          <w:sz w:val="24"/>
          <w:szCs w:val="24"/>
          <w:lang w:eastAsia="en-AU"/>
        </w:rPr>
        <w:t>The Building Australia’s Future Workforce (BAFW) p</w:t>
      </w:r>
      <w:r w:rsidR="00135BAD">
        <w:rPr>
          <w:rFonts w:eastAsia="Times New Roman"/>
          <w:sz w:val="24"/>
          <w:szCs w:val="24"/>
          <w:lang w:eastAsia="en-AU"/>
        </w:rPr>
        <w:t>articipation agenda</w:t>
      </w:r>
      <w:r w:rsidRPr="00285567">
        <w:rPr>
          <w:rFonts w:eastAsia="Times New Roman"/>
          <w:sz w:val="24"/>
          <w:szCs w:val="24"/>
          <w:lang w:eastAsia="en-AU"/>
        </w:rPr>
        <w:t xml:space="preserve">, announced </w:t>
      </w:r>
      <w:proofErr w:type="gramStart"/>
      <w:r w:rsidRPr="00285567">
        <w:rPr>
          <w:rFonts w:eastAsia="Times New Roman"/>
          <w:sz w:val="24"/>
          <w:szCs w:val="24"/>
          <w:lang w:eastAsia="en-AU"/>
        </w:rPr>
        <w:t>in the 2011-12 Federal Budget,</w:t>
      </w:r>
      <w:proofErr w:type="gramEnd"/>
      <w:r w:rsidR="00135BAD">
        <w:rPr>
          <w:rFonts w:eastAsia="Times New Roman"/>
          <w:sz w:val="24"/>
          <w:szCs w:val="24"/>
          <w:lang w:eastAsia="en-AU"/>
        </w:rPr>
        <w:t xml:space="preserve"> supports vulnerable parents on income </w:t>
      </w:r>
      <w:r w:rsidRPr="00285567">
        <w:rPr>
          <w:rFonts w:eastAsia="Times New Roman"/>
          <w:sz w:val="24"/>
          <w:szCs w:val="24"/>
          <w:lang w:eastAsia="en-AU"/>
        </w:rPr>
        <w:t xml:space="preserve">to develop their </w:t>
      </w:r>
      <w:r w:rsidR="00135BAD">
        <w:rPr>
          <w:rFonts w:eastAsia="Times New Roman"/>
          <w:sz w:val="24"/>
          <w:szCs w:val="24"/>
          <w:lang w:eastAsia="en-AU"/>
        </w:rPr>
        <w:t>attachment to work through training, job services and targeted parenting and family support services</w:t>
      </w:r>
      <w:r w:rsidRPr="00285567">
        <w:rPr>
          <w:rFonts w:eastAsia="Times New Roman"/>
          <w:sz w:val="24"/>
          <w:szCs w:val="24"/>
          <w:lang w:eastAsia="en-AU"/>
        </w:rPr>
        <w:t>.</w:t>
      </w:r>
    </w:p>
    <w:p w:rsidR="0040180C" w:rsidRPr="00285567" w:rsidRDefault="0040180C" w:rsidP="0040180C">
      <w:pPr>
        <w:rPr>
          <w:rFonts w:eastAsia="Times New Roman"/>
          <w:sz w:val="24"/>
          <w:szCs w:val="24"/>
          <w:lang w:eastAsia="en-AU"/>
        </w:rPr>
      </w:pPr>
      <w:r w:rsidRPr="00285567">
        <w:rPr>
          <w:rFonts w:eastAsia="Times New Roman"/>
          <w:sz w:val="24"/>
          <w:szCs w:val="24"/>
          <w:lang w:eastAsia="en-AU"/>
        </w:rPr>
        <w:lastRenderedPageBreak/>
        <w:t>The BAFW package includes two measures</w:t>
      </w:r>
      <w:r w:rsidR="00135BAD">
        <w:rPr>
          <w:rFonts w:eastAsia="Times New Roman"/>
          <w:sz w:val="24"/>
          <w:szCs w:val="24"/>
          <w:lang w:eastAsia="en-AU"/>
        </w:rPr>
        <w:t xml:space="preserve"> where </w:t>
      </w:r>
      <w:proofErr w:type="gramStart"/>
      <w:r w:rsidR="00135BAD">
        <w:rPr>
          <w:rFonts w:eastAsia="Times New Roman"/>
          <w:sz w:val="24"/>
          <w:szCs w:val="24"/>
          <w:lang w:eastAsia="en-AU"/>
        </w:rPr>
        <w:t>CfC</w:t>
      </w:r>
      <w:proofErr w:type="gramEnd"/>
      <w:r w:rsidR="00135BAD">
        <w:rPr>
          <w:rFonts w:eastAsia="Times New Roman"/>
          <w:sz w:val="24"/>
          <w:szCs w:val="24"/>
          <w:lang w:eastAsia="en-AU"/>
        </w:rPr>
        <w:t xml:space="preserve"> FP</w:t>
      </w:r>
      <w:r w:rsidR="003925E1">
        <w:rPr>
          <w:rFonts w:eastAsia="Times New Roman"/>
          <w:sz w:val="24"/>
          <w:szCs w:val="24"/>
          <w:lang w:eastAsia="en-AU"/>
        </w:rPr>
        <w:t>s</w:t>
      </w:r>
      <w:r w:rsidR="00135BAD">
        <w:rPr>
          <w:rFonts w:eastAsia="Times New Roman"/>
          <w:sz w:val="24"/>
          <w:szCs w:val="24"/>
          <w:lang w:eastAsia="en-AU"/>
        </w:rPr>
        <w:t xml:space="preserve"> play an important role: </w:t>
      </w:r>
      <w:r w:rsidRPr="00285567">
        <w:rPr>
          <w:rFonts w:eastAsia="Times New Roman"/>
          <w:sz w:val="24"/>
          <w:szCs w:val="24"/>
          <w:lang w:eastAsia="en-AU"/>
        </w:rPr>
        <w:t xml:space="preserve"> the Helping Young Parents (HYP) measure and the Supporting Jobless Families (SJF) measure.  These measures operate in the 10 Local Government Areas (LGAs) of Playford (SA), Hume and Greater Shepparton (VIC), Burnie (TAS), Bankstown, Wyong and Shellharbour (NSW), Rockhampton and Logan (QLD) and Kwinana (WA).  The HYP measure was implemented on 1 January 2012, while the SJF measure began on 1 July 2012.</w:t>
      </w:r>
    </w:p>
    <w:p w:rsidR="0040180C" w:rsidRDefault="0040180C" w:rsidP="0040180C">
      <w:pPr>
        <w:rPr>
          <w:rFonts w:eastAsia="Times New Roman"/>
          <w:sz w:val="24"/>
          <w:szCs w:val="24"/>
          <w:lang w:eastAsia="en-AU"/>
        </w:rPr>
      </w:pPr>
      <w:r w:rsidRPr="00285567">
        <w:rPr>
          <w:rFonts w:eastAsia="Times New Roman"/>
          <w:sz w:val="24"/>
          <w:szCs w:val="24"/>
          <w:lang w:eastAsia="en-AU"/>
        </w:rPr>
        <w:t xml:space="preserve">The </w:t>
      </w:r>
      <w:r w:rsidR="00135BAD">
        <w:rPr>
          <w:rFonts w:eastAsia="Times New Roman"/>
          <w:sz w:val="24"/>
          <w:szCs w:val="24"/>
          <w:lang w:eastAsia="en-AU"/>
        </w:rPr>
        <w:t>Government</w:t>
      </w:r>
      <w:r w:rsidRPr="00285567">
        <w:rPr>
          <w:rFonts w:eastAsia="Times New Roman"/>
          <w:sz w:val="24"/>
          <w:szCs w:val="24"/>
          <w:lang w:eastAsia="en-AU"/>
        </w:rPr>
        <w:t xml:space="preserve"> provided funding over four years to enhance and expand Communities for Children Facilitating Partner (CfC FP) services in these locations to support people participating in the trials.  Activities that </w:t>
      </w:r>
      <w:proofErr w:type="gramStart"/>
      <w:r w:rsidRPr="00285567">
        <w:rPr>
          <w:rFonts w:eastAsia="Times New Roman"/>
          <w:sz w:val="24"/>
          <w:szCs w:val="24"/>
          <w:lang w:eastAsia="en-AU"/>
        </w:rPr>
        <w:t>CfC</w:t>
      </w:r>
      <w:proofErr w:type="gramEnd"/>
      <w:r w:rsidRPr="00285567">
        <w:rPr>
          <w:rFonts w:eastAsia="Times New Roman"/>
          <w:sz w:val="24"/>
          <w:szCs w:val="24"/>
          <w:lang w:eastAsia="en-AU"/>
        </w:rPr>
        <w:t xml:space="preserve"> FPs may offer include home visits, early learning and literacy programs</w:t>
      </w:r>
      <w:r w:rsidR="00135BAD">
        <w:rPr>
          <w:rFonts w:eastAsia="Times New Roman"/>
          <w:sz w:val="24"/>
          <w:szCs w:val="24"/>
          <w:lang w:eastAsia="en-AU"/>
        </w:rPr>
        <w:t>,</w:t>
      </w:r>
      <w:r w:rsidRPr="00285567">
        <w:rPr>
          <w:rFonts w:eastAsia="Times New Roman"/>
          <w:sz w:val="24"/>
          <w:szCs w:val="24"/>
          <w:lang w:eastAsia="en-AU"/>
        </w:rPr>
        <w:t xml:space="preserve"> social and communication skills, parenting and family support programs</w:t>
      </w:r>
      <w:r w:rsidR="00135BAD">
        <w:rPr>
          <w:rFonts w:eastAsia="Times New Roman"/>
          <w:sz w:val="24"/>
          <w:szCs w:val="24"/>
          <w:lang w:eastAsia="en-AU"/>
        </w:rPr>
        <w:t xml:space="preserve"> and</w:t>
      </w:r>
      <w:r w:rsidRPr="00285567">
        <w:rPr>
          <w:rFonts w:eastAsia="Times New Roman"/>
          <w:sz w:val="24"/>
          <w:szCs w:val="24"/>
          <w:lang w:eastAsia="en-AU"/>
        </w:rPr>
        <w:t xml:space="preserve"> child nutrition</w:t>
      </w:r>
      <w:r w:rsidR="00135BAD">
        <w:rPr>
          <w:rFonts w:eastAsia="Times New Roman"/>
          <w:sz w:val="24"/>
          <w:szCs w:val="24"/>
          <w:lang w:eastAsia="en-AU"/>
        </w:rPr>
        <w:t>.</w:t>
      </w:r>
      <w:r w:rsidRPr="00285567">
        <w:rPr>
          <w:rFonts w:eastAsia="Times New Roman"/>
          <w:sz w:val="24"/>
          <w:szCs w:val="24"/>
          <w:lang w:eastAsia="en-AU"/>
        </w:rPr>
        <w:t xml:space="preserve">  CfC FPs also link parents to other support services as part of the</w:t>
      </w:r>
      <w:r w:rsidR="00135BAD">
        <w:rPr>
          <w:rFonts w:eastAsia="Times New Roman"/>
          <w:sz w:val="24"/>
          <w:szCs w:val="24"/>
          <w:lang w:eastAsia="en-AU"/>
        </w:rPr>
        <w:t>ir role in supporting the objectives of BAFW.</w:t>
      </w:r>
    </w:p>
    <w:p w:rsidR="00945640" w:rsidRPr="00285567" w:rsidRDefault="00945640" w:rsidP="0040180C">
      <w:pPr>
        <w:rPr>
          <w:rFonts w:eastAsia="Times New Roman"/>
          <w:sz w:val="24"/>
          <w:szCs w:val="24"/>
          <w:lang w:eastAsia="en-AU"/>
        </w:rPr>
      </w:pPr>
      <w:r w:rsidRPr="00285567">
        <w:rPr>
          <w:rFonts w:eastAsia="Times New Roman"/>
          <w:sz w:val="24"/>
          <w:szCs w:val="24"/>
          <w:lang w:eastAsia="en-AU"/>
        </w:rPr>
        <w:t>All 52 CfC FP sites were also provided with additional funding to support families affected by eligibility changes to the Parenting Payment</w:t>
      </w:r>
      <w:r w:rsidR="00135BAD">
        <w:rPr>
          <w:rFonts w:eastAsia="Times New Roman"/>
          <w:sz w:val="24"/>
          <w:szCs w:val="24"/>
          <w:lang w:eastAsia="en-AU"/>
        </w:rPr>
        <w:t xml:space="preserve"> to become job ready</w:t>
      </w:r>
      <w:r w:rsidRPr="00285567">
        <w:rPr>
          <w:rFonts w:eastAsia="Times New Roman"/>
          <w:sz w:val="24"/>
          <w:szCs w:val="24"/>
          <w:lang w:eastAsia="en-AU"/>
        </w:rPr>
        <w:t xml:space="preserve"> (to come into effect from 1 Ja</w:t>
      </w:r>
      <w:r>
        <w:rPr>
          <w:rFonts w:eastAsia="Times New Roman"/>
          <w:sz w:val="24"/>
          <w:szCs w:val="24"/>
          <w:lang w:eastAsia="en-AU"/>
        </w:rPr>
        <w:t>nuary 2013).</w:t>
      </w:r>
    </w:p>
    <w:p w:rsidR="0040180C" w:rsidRPr="0040180C" w:rsidRDefault="0040180C" w:rsidP="0040180C">
      <w:pPr>
        <w:pStyle w:val="Heading4"/>
        <w:rPr>
          <w:rFonts w:eastAsia="Times New Roman"/>
          <w:lang w:eastAsia="en-AU"/>
        </w:rPr>
      </w:pPr>
      <w:bookmarkStart w:id="119" w:name="_Table_2.14:_BAFW"/>
      <w:bookmarkStart w:id="120" w:name="_2.9:_Table_-"/>
      <w:bookmarkEnd w:id="119"/>
      <w:bookmarkEnd w:id="120"/>
      <w:r w:rsidRPr="0040180C">
        <w:rPr>
          <w:rFonts w:eastAsia="Times New Roman"/>
          <w:lang w:eastAsia="en-AU"/>
        </w:rPr>
        <w:t>2</w:t>
      </w:r>
      <w:r w:rsidR="00285567">
        <w:rPr>
          <w:rFonts w:eastAsia="Times New Roman"/>
          <w:lang w:eastAsia="en-AU"/>
        </w:rPr>
        <w:t>.</w:t>
      </w:r>
      <w:r w:rsidR="00A570F5">
        <w:rPr>
          <w:rFonts w:eastAsia="Times New Roman"/>
          <w:lang w:eastAsia="en-AU"/>
        </w:rPr>
        <w:t>1</w:t>
      </w:r>
      <w:r w:rsidR="00DA2404">
        <w:rPr>
          <w:rFonts w:eastAsia="Times New Roman"/>
          <w:lang w:eastAsia="en-AU"/>
        </w:rPr>
        <w:t>1</w:t>
      </w:r>
      <w:r w:rsidRPr="0040180C">
        <w:rPr>
          <w:rFonts w:eastAsia="Times New Roman"/>
          <w:lang w:eastAsia="en-AU"/>
        </w:rPr>
        <w:t>: Table - BAFW CfC FP Referral Numbers For helping young parents measure</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Caption w:val="BAFW CfC FP referral numbers for helping young parents measure"/>
        <w:tblDescription w:val="Over the period a total of 41 referrals were reported.  The total for April was 12, May recorded 21 and June 8.  The total DHS referrals ws 29.  In April 7 referrals were reported in May 16 and June 6.  The number of referrals per month was as follows&#10;o April 7 DHS and 5 non-DHS&#10;o May 16 DHS and 5 non-DHS&#10;o June 6 DHS and 2 non-DHS&#10;In New South Wales the three sites under the BAFW Measure are located in Bankstown, Shellharbour and Wyong.&#10;• Bankstown is delivered by The Smith Family and received the following referrals&#10;o 1 referrals from DHS in April&#10;• Shellharbour is delivered by Barnardos and received the following referrals&#10;o 1 DHS referral each in April, May and June (or a total of 3 DHS referrals over the three months)&#10;• Wyong is delivered by The Benevolent Society and received the following referrals&#10;o 3 DHS and 2 non-DHS referrals in May and 3 DHS referrals and 1 non-DHS referral in June (or a total of 9 referrals over the three months.&#10;In Queensland the two sites are located in Logan and Rockhampton.&#10;• Logan is delivered by The Salvation Army (Qld) Property Trust and no referrals were recorded over the three months.&#10;• Rockhampton is delivered by The Smith Family and received the following referrals&#10;o 4 DHS and 3 non-DHS referrals in April, 3 DHS referrals in May and no referrals recorded in June (or a total of 10 referrals over the three months)&#10;In South Australia the Playford site is delivered by Anglicare SA Inc and recorded  no referrals in May, 1 non-DHS referral in May and no referrals in June.&#10;In Tasmania the Burnie site is delivered by Catholic Care Victoria Tasmania Ltd and received the following referrals&#10;o 1 DHS and 1 non-DHS referral in April, 3 DHS referrals in May and 1 non-DHS referral in June (or a total of 6 referrals over the three months.&#10;In Western Australia the Kwinana site is delivered by the Smith Family and recorded no referrals in April,4 DHS referrals and 1 non-DHS referral in May and 1 DHS referral in June or a total of 6 referrals over the three months.&#10;In Victoria the two sites are located in Greater Shepparton and Hume Broadmeadows. &#10;• Greater Shepparton is delivered by Catholic Care Victoria Tasmania Ltd and received the following referrals&#10;o 1 DHS and 1 non-DHS referral in May (or a total of 2 referrals over the three months)&#10;• Hume/Braodmeadows is delivered by Broadmeadows Uniting Care and received the following referrals&#10;o 1 non- DHS referral April, 1 DHS referral in May and June (or a total of 3 DHS referrals over the three months)&#10;&#10;"/>
      </w:tblPr>
      <w:tblGrid>
        <w:gridCol w:w="1135"/>
        <w:gridCol w:w="1599"/>
        <w:gridCol w:w="2477"/>
        <w:gridCol w:w="796"/>
        <w:gridCol w:w="638"/>
        <w:gridCol w:w="796"/>
        <w:gridCol w:w="638"/>
        <w:gridCol w:w="796"/>
        <w:gridCol w:w="639"/>
        <w:gridCol w:w="1135"/>
      </w:tblGrid>
      <w:tr w:rsidR="0040180C" w:rsidRPr="0040180C" w:rsidTr="00895152">
        <w:trPr>
          <w:tblHeader/>
        </w:trPr>
        <w:tc>
          <w:tcPr>
            <w:tcW w:w="1135" w:type="dxa"/>
            <w:tcBorders>
              <w:top w:val="nil"/>
              <w:left w:val="nil"/>
              <w:bottom w:val="single" w:sz="18" w:space="0" w:color="9BBB59"/>
              <w:right w:val="nil"/>
            </w:tcBorders>
            <w:shd w:val="clear" w:color="auto" w:fill="auto"/>
          </w:tcPr>
          <w:p w:rsidR="0040180C" w:rsidRPr="0040180C" w:rsidRDefault="0040180C" w:rsidP="0040180C">
            <w:pPr>
              <w:spacing w:before="120" w:after="120" w:line="240" w:lineRule="auto"/>
              <w:rPr>
                <w:rFonts w:ascii="Arial Narrow" w:eastAsia="Times New Roman" w:hAnsi="Arial Narrow" w:cs="Times New Roman"/>
                <w:b/>
                <w:bCs/>
                <w:spacing w:val="5"/>
                <w:sz w:val="16"/>
                <w:szCs w:val="16"/>
              </w:rPr>
            </w:pPr>
          </w:p>
        </w:tc>
        <w:tc>
          <w:tcPr>
            <w:tcW w:w="1599" w:type="dxa"/>
            <w:tcBorders>
              <w:top w:val="nil"/>
              <w:left w:val="nil"/>
              <w:bottom w:val="single" w:sz="18" w:space="0" w:color="9BBB59"/>
              <w:right w:val="nil"/>
            </w:tcBorders>
            <w:shd w:val="clear" w:color="auto" w:fill="auto"/>
          </w:tcPr>
          <w:p w:rsidR="0040180C" w:rsidRPr="0040180C" w:rsidRDefault="0040180C" w:rsidP="0040180C">
            <w:pPr>
              <w:spacing w:before="120" w:after="120" w:line="240" w:lineRule="auto"/>
              <w:rPr>
                <w:rFonts w:ascii="Arial Narrow" w:eastAsia="Times New Roman" w:hAnsi="Arial Narrow" w:cs="Times New Roman"/>
                <w:b/>
                <w:bCs/>
                <w:spacing w:val="5"/>
                <w:sz w:val="16"/>
                <w:szCs w:val="16"/>
              </w:rPr>
            </w:pPr>
          </w:p>
        </w:tc>
        <w:tc>
          <w:tcPr>
            <w:tcW w:w="2477" w:type="dxa"/>
            <w:tcBorders>
              <w:top w:val="nil"/>
              <w:left w:val="nil"/>
              <w:bottom w:val="single" w:sz="18" w:space="0" w:color="9BBB59"/>
              <w:right w:val="single" w:sz="8" w:space="0" w:color="9BBB59"/>
            </w:tcBorders>
            <w:shd w:val="clear" w:color="auto" w:fill="auto"/>
          </w:tcPr>
          <w:p w:rsidR="0040180C" w:rsidRPr="0040180C" w:rsidRDefault="0040180C" w:rsidP="0040180C">
            <w:pPr>
              <w:spacing w:before="120" w:after="120" w:line="240" w:lineRule="auto"/>
              <w:rPr>
                <w:rFonts w:ascii="Arial Narrow" w:eastAsia="Times New Roman" w:hAnsi="Arial Narrow" w:cs="Times New Roman"/>
                <w:b/>
                <w:bCs/>
                <w:spacing w:val="5"/>
                <w:sz w:val="16"/>
                <w:szCs w:val="16"/>
              </w:rPr>
            </w:pPr>
          </w:p>
        </w:tc>
        <w:tc>
          <w:tcPr>
            <w:tcW w:w="1434" w:type="dxa"/>
            <w:gridSpan w:val="2"/>
            <w:tcBorders>
              <w:top w:val="single" w:sz="8" w:space="0" w:color="9BBB59"/>
              <w:left w:val="single" w:sz="8" w:space="0" w:color="9BBB59"/>
              <w:bottom w:val="single" w:sz="1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Times New Roman" w:hAnsi="Arial Narrow" w:cs="Times New Roman"/>
                <w:b/>
                <w:bCs/>
                <w:spacing w:val="5"/>
                <w:sz w:val="16"/>
                <w:szCs w:val="16"/>
              </w:rPr>
            </w:pPr>
            <w:r w:rsidRPr="0040180C">
              <w:rPr>
                <w:rFonts w:ascii="Arial Narrow" w:eastAsia="Times New Roman" w:hAnsi="Arial Narrow" w:cs="Times New Roman"/>
                <w:b/>
                <w:bCs/>
                <w:spacing w:val="5"/>
                <w:sz w:val="16"/>
                <w:szCs w:val="16"/>
              </w:rPr>
              <w:t>April 2012</w:t>
            </w:r>
          </w:p>
        </w:tc>
        <w:tc>
          <w:tcPr>
            <w:tcW w:w="1434" w:type="dxa"/>
            <w:gridSpan w:val="2"/>
            <w:tcBorders>
              <w:top w:val="single" w:sz="8" w:space="0" w:color="9BBB59"/>
              <w:left w:val="single" w:sz="8" w:space="0" w:color="9BBB59"/>
              <w:bottom w:val="single" w:sz="1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Times New Roman" w:hAnsi="Arial Narrow" w:cs="Times New Roman"/>
                <w:b/>
                <w:bCs/>
                <w:spacing w:val="5"/>
                <w:sz w:val="16"/>
                <w:szCs w:val="16"/>
              </w:rPr>
            </w:pPr>
            <w:r w:rsidRPr="0040180C">
              <w:rPr>
                <w:rFonts w:ascii="Arial Narrow" w:eastAsia="Times New Roman" w:hAnsi="Arial Narrow" w:cs="Times New Roman"/>
                <w:b/>
                <w:bCs/>
                <w:spacing w:val="5"/>
                <w:sz w:val="16"/>
                <w:szCs w:val="16"/>
              </w:rPr>
              <w:t>May 2012</w:t>
            </w:r>
          </w:p>
        </w:tc>
        <w:tc>
          <w:tcPr>
            <w:tcW w:w="1435" w:type="dxa"/>
            <w:gridSpan w:val="2"/>
            <w:tcBorders>
              <w:top w:val="single" w:sz="8" w:space="0" w:color="9BBB59"/>
              <w:left w:val="single" w:sz="8" w:space="0" w:color="9BBB59"/>
              <w:bottom w:val="single" w:sz="1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Times New Roman" w:hAnsi="Arial Narrow" w:cs="Times New Roman"/>
                <w:b/>
                <w:bCs/>
                <w:spacing w:val="5"/>
                <w:sz w:val="16"/>
                <w:szCs w:val="16"/>
              </w:rPr>
            </w:pPr>
            <w:r w:rsidRPr="0040180C">
              <w:rPr>
                <w:rFonts w:ascii="Arial Narrow" w:eastAsia="Times New Roman" w:hAnsi="Arial Narrow" w:cs="Times New Roman"/>
                <w:b/>
                <w:bCs/>
                <w:spacing w:val="5"/>
                <w:sz w:val="16"/>
                <w:szCs w:val="16"/>
              </w:rPr>
              <w:t>June 2012</w:t>
            </w:r>
          </w:p>
        </w:tc>
        <w:tc>
          <w:tcPr>
            <w:tcW w:w="1135" w:type="dxa"/>
            <w:vMerge w:val="restart"/>
            <w:tcBorders>
              <w:top w:val="single" w:sz="8" w:space="0" w:color="9BBB59"/>
              <w:left w:val="single" w:sz="8" w:space="0" w:color="9BBB59"/>
              <w:bottom w:val="single" w:sz="1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Times New Roman" w:hAnsi="Arial Narrow" w:cs="Times New Roman"/>
                <w:b/>
                <w:bCs/>
                <w:spacing w:val="5"/>
                <w:sz w:val="16"/>
                <w:szCs w:val="16"/>
              </w:rPr>
            </w:pPr>
            <w:r w:rsidRPr="0040180C">
              <w:rPr>
                <w:rFonts w:ascii="Arial Narrow" w:eastAsia="Times New Roman" w:hAnsi="Arial Narrow" w:cs="Times New Roman"/>
                <w:b/>
                <w:bCs/>
                <w:spacing w:val="5"/>
                <w:sz w:val="16"/>
                <w:szCs w:val="16"/>
              </w:rPr>
              <w:t xml:space="preserve">Total </w:t>
            </w:r>
          </w:p>
        </w:tc>
      </w:tr>
      <w:tr w:rsidR="0040180C" w:rsidRPr="0040180C" w:rsidTr="00895152">
        <w:trPr>
          <w:tblHeader/>
        </w:trPr>
        <w:tc>
          <w:tcPr>
            <w:tcW w:w="1135"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rPr>
                <w:rFonts w:ascii="Arial Narrow" w:eastAsia="Times New Roman" w:hAnsi="Arial Narrow" w:cs="Times New Roman"/>
                <w:b/>
                <w:bCs/>
                <w:spacing w:val="5"/>
                <w:sz w:val="16"/>
                <w:szCs w:val="16"/>
              </w:rPr>
            </w:pPr>
            <w:r w:rsidRPr="0040180C">
              <w:rPr>
                <w:rFonts w:ascii="Arial Narrow" w:eastAsia="Times New Roman" w:hAnsi="Arial Narrow" w:cs="Times New Roman"/>
                <w:b/>
                <w:bCs/>
                <w:spacing w:val="5"/>
                <w:sz w:val="16"/>
                <w:szCs w:val="16"/>
              </w:rPr>
              <w:t>State</w:t>
            </w:r>
          </w:p>
        </w:tc>
        <w:tc>
          <w:tcPr>
            <w:tcW w:w="1599"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CfC FP Site</w:t>
            </w:r>
          </w:p>
        </w:tc>
        <w:tc>
          <w:tcPr>
            <w:tcW w:w="2477"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Organisation Name</w:t>
            </w:r>
          </w:p>
        </w:tc>
        <w:tc>
          <w:tcPr>
            <w:tcW w:w="796"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DHS Referred</w:t>
            </w:r>
          </w:p>
        </w:tc>
        <w:tc>
          <w:tcPr>
            <w:tcW w:w="638"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Other</w:t>
            </w:r>
          </w:p>
        </w:tc>
        <w:tc>
          <w:tcPr>
            <w:tcW w:w="796"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DHS Referred</w:t>
            </w:r>
          </w:p>
        </w:tc>
        <w:tc>
          <w:tcPr>
            <w:tcW w:w="638"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Other</w:t>
            </w:r>
          </w:p>
        </w:tc>
        <w:tc>
          <w:tcPr>
            <w:tcW w:w="796"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DHS Referred</w:t>
            </w:r>
          </w:p>
        </w:tc>
        <w:tc>
          <w:tcPr>
            <w:tcW w:w="639"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Other</w:t>
            </w:r>
          </w:p>
        </w:tc>
        <w:tc>
          <w:tcPr>
            <w:tcW w:w="1135" w:type="dxa"/>
            <w:vMerge/>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rPr>
                <w:rFonts w:ascii="Arial Narrow" w:eastAsia="Calibri" w:hAnsi="Arial Narrow" w:cs="Times New Roman"/>
                <w:b/>
                <w:spacing w:val="5"/>
                <w:sz w:val="16"/>
                <w:szCs w:val="16"/>
              </w:rPr>
            </w:pPr>
          </w:p>
        </w:tc>
      </w:tr>
      <w:tr w:rsidR="0040180C" w:rsidRPr="0040180C" w:rsidTr="00895152">
        <w:tc>
          <w:tcPr>
            <w:tcW w:w="1135" w:type="dxa"/>
            <w:vMerge w:val="restart"/>
            <w:tcBorders>
              <w:top w:val="single" w:sz="8" w:space="0" w:color="9BBB59"/>
              <w:left w:val="single" w:sz="8" w:space="0" w:color="9BBB59"/>
              <w:bottom w:val="single" w:sz="8" w:space="0" w:color="9BBB59"/>
              <w:right w:val="single" w:sz="8" w:space="0" w:color="9BBB59"/>
            </w:tcBorders>
            <w:shd w:val="clear" w:color="auto" w:fill="auto"/>
            <w:vAlign w:val="center"/>
          </w:tcPr>
          <w:p w:rsidR="0040180C" w:rsidRPr="0040180C" w:rsidRDefault="0040180C" w:rsidP="0040180C">
            <w:pPr>
              <w:spacing w:before="120" w:after="120" w:line="240" w:lineRule="auto"/>
              <w:jc w:val="center"/>
              <w:rPr>
                <w:rFonts w:ascii="Arial Narrow" w:eastAsia="Times New Roman" w:hAnsi="Arial Narrow" w:cs="Times New Roman"/>
                <w:b/>
                <w:bCs/>
                <w:spacing w:val="5"/>
                <w:sz w:val="16"/>
                <w:szCs w:val="16"/>
              </w:rPr>
            </w:pPr>
            <w:r w:rsidRPr="0040180C">
              <w:rPr>
                <w:rFonts w:ascii="Arial Narrow" w:eastAsia="Times New Roman" w:hAnsi="Arial Narrow" w:cs="Times New Roman"/>
                <w:b/>
                <w:bCs/>
                <w:spacing w:val="5"/>
                <w:sz w:val="16"/>
                <w:szCs w:val="16"/>
              </w:rPr>
              <w:t>NSW</w:t>
            </w:r>
          </w:p>
        </w:tc>
        <w:tc>
          <w:tcPr>
            <w:tcW w:w="1599"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Bankstown</w:t>
            </w:r>
          </w:p>
        </w:tc>
        <w:tc>
          <w:tcPr>
            <w:tcW w:w="2477"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The Smith Family</w:t>
            </w:r>
          </w:p>
        </w:tc>
        <w:tc>
          <w:tcPr>
            <w:tcW w:w="796"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1</w:t>
            </w:r>
          </w:p>
        </w:tc>
        <w:tc>
          <w:tcPr>
            <w:tcW w:w="638"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796"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638"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796"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639"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1135"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1</w:t>
            </w:r>
          </w:p>
        </w:tc>
      </w:tr>
      <w:tr w:rsidR="0040180C" w:rsidRPr="0040180C" w:rsidTr="00895152">
        <w:tc>
          <w:tcPr>
            <w:tcW w:w="1135" w:type="dxa"/>
            <w:vMerge/>
            <w:tcBorders>
              <w:top w:val="single" w:sz="8" w:space="0" w:color="9BBB59"/>
              <w:left w:val="single" w:sz="8" w:space="0" w:color="9BBB59"/>
              <w:bottom w:val="single" w:sz="8" w:space="0" w:color="9BBB59"/>
              <w:right w:val="single" w:sz="8" w:space="0" w:color="9BBB59"/>
            </w:tcBorders>
            <w:shd w:val="clear" w:color="auto" w:fill="E6EED5"/>
            <w:vAlign w:val="center"/>
          </w:tcPr>
          <w:p w:rsidR="0040180C" w:rsidRPr="0040180C" w:rsidRDefault="0040180C" w:rsidP="0040180C">
            <w:pPr>
              <w:spacing w:before="120" w:after="120" w:line="240" w:lineRule="auto"/>
              <w:jc w:val="center"/>
              <w:rPr>
                <w:rFonts w:ascii="Arial Narrow" w:eastAsia="Times New Roman" w:hAnsi="Arial Narrow" w:cs="Times New Roman"/>
                <w:b/>
                <w:bCs/>
                <w:spacing w:val="5"/>
                <w:sz w:val="16"/>
                <w:szCs w:val="16"/>
              </w:rPr>
            </w:pPr>
          </w:p>
        </w:tc>
        <w:tc>
          <w:tcPr>
            <w:tcW w:w="1599"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Shellharbour</w:t>
            </w:r>
          </w:p>
        </w:tc>
        <w:tc>
          <w:tcPr>
            <w:tcW w:w="2477"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rPr>
                <w:rFonts w:ascii="Arial Narrow" w:eastAsia="Calibri" w:hAnsi="Arial Narrow" w:cs="Times New Roman"/>
                <w:spacing w:val="5"/>
                <w:sz w:val="16"/>
                <w:szCs w:val="16"/>
              </w:rPr>
            </w:pPr>
            <w:proofErr w:type="spellStart"/>
            <w:r w:rsidRPr="0040180C">
              <w:rPr>
                <w:rFonts w:ascii="Arial Narrow" w:eastAsia="Calibri" w:hAnsi="Arial Narrow" w:cs="Times New Roman"/>
                <w:spacing w:val="5"/>
                <w:sz w:val="16"/>
                <w:szCs w:val="16"/>
              </w:rPr>
              <w:t>Barnardos</w:t>
            </w:r>
            <w:proofErr w:type="spellEnd"/>
            <w:r w:rsidR="00972F6E">
              <w:rPr>
                <w:rFonts w:ascii="Arial Narrow" w:eastAsia="Calibri" w:hAnsi="Arial Narrow" w:cs="Times New Roman"/>
                <w:spacing w:val="5"/>
                <w:sz w:val="16"/>
                <w:szCs w:val="16"/>
              </w:rPr>
              <w:t xml:space="preserve"> Australia</w:t>
            </w:r>
          </w:p>
        </w:tc>
        <w:tc>
          <w:tcPr>
            <w:tcW w:w="796"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1</w:t>
            </w:r>
          </w:p>
        </w:tc>
        <w:tc>
          <w:tcPr>
            <w:tcW w:w="638"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796"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1</w:t>
            </w:r>
          </w:p>
        </w:tc>
        <w:tc>
          <w:tcPr>
            <w:tcW w:w="638"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796"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1</w:t>
            </w:r>
          </w:p>
        </w:tc>
        <w:tc>
          <w:tcPr>
            <w:tcW w:w="639"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1135"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3</w:t>
            </w:r>
          </w:p>
        </w:tc>
      </w:tr>
      <w:tr w:rsidR="0040180C" w:rsidRPr="0040180C" w:rsidTr="00895152">
        <w:tc>
          <w:tcPr>
            <w:tcW w:w="1135" w:type="dxa"/>
            <w:vMerge/>
            <w:tcBorders>
              <w:top w:val="single" w:sz="8" w:space="0" w:color="9BBB59"/>
              <w:left w:val="single" w:sz="8" w:space="0" w:color="9BBB59"/>
              <w:bottom w:val="single" w:sz="8" w:space="0" w:color="9BBB59"/>
              <w:right w:val="single" w:sz="8" w:space="0" w:color="9BBB59"/>
            </w:tcBorders>
            <w:shd w:val="clear" w:color="auto" w:fill="auto"/>
            <w:vAlign w:val="center"/>
          </w:tcPr>
          <w:p w:rsidR="0040180C" w:rsidRPr="0040180C" w:rsidRDefault="0040180C" w:rsidP="0040180C">
            <w:pPr>
              <w:spacing w:before="120" w:after="120" w:line="240" w:lineRule="auto"/>
              <w:jc w:val="center"/>
              <w:rPr>
                <w:rFonts w:ascii="Arial Narrow" w:eastAsia="Times New Roman" w:hAnsi="Arial Narrow" w:cs="Times New Roman"/>
                <w:b/>
                <w:bCs/>
                <w:spacing w:val="5"/>
                <w:sz w:val="16"/>
                <w:szCs w:val="16"/>
              </w:rPr>
            </w:pPr>
          </w:p>
        </w:tc>
        <w:tc>
          <w:tcPr>
            <w:tcW w:w="1599"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Wyong</w:t>
            </w:r>
          </w:p>
        </w:tc>
        <w:tc>
          <w:tcPr>
            <w:tcW w:w="2477"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The Benevolent Society</w:t>
            </w:r>
          </w:p>
        </w:tc>
        <w:tc>
          <w:tcPr>
            <w:tcW w:w="796"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638"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796"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3</w:t>
            </w:r>
          </w:p>
        </w:tc>
        <w:tc>
          <w:tcPr>
            <w:tcW w:w="638"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2</w:t>
            </w:r>
          </w:p>
        </w:tc>
        <w:tc>
          <w:tcPr>
            <w:tcW w:w="796"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3</w:t>
            </w:r>
          </w:p>
        </w:tc>
        <w:tc>
          <w:tcPr>
            <w:tcW w:w="639"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1</w:t>
            </w:r>
          </w:p>
        </w:tc>
        <w:tc>
          <w:tcPr>
            <w:tcW w:w="1135"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9</w:t>
            </w:r>
          </w:p>
        </w:tc>
      </w:tr>
      <w:tr w:rsidR="0040180C" w:rsidRPr="0040180C" w:rsidTr="00895152">
        <w:tc>
          <w:tcPr>
            <w:tcW w:w="1135" w:type="dxa"/>
            <w:vMerge w:val="restart"/>
            <w:tcBorders>
              <w:top w:val="single" w:sz="8" w:space="0" w:color="9BBB59"/>
              <w:left w:val="single" w:sz="8" w:space="0" w:color="9BBB59"/>
              <w:bottom w:val="single" w:sz="8" w:space="0" w:color="9BBB59"/>
              <w:right w:val="single" w:sz="8" w:space="0" w:color="9BBB59"/>
            </w:tcBorders>
            <w:shd w:val="clear" w:color="auto" w:fill="E6EED5"/>
            <w:vAlign w:val="center"/>
          </w:tcPr>
          <w:p w:rsidR="0040180C" w:rsidRPr="0040180C" w:rsidRDefault="0040180C" w:rsidP="0040180C">
            <w:pPr>
              <w:spacing w:before="120" w:after="120" w:line="240" w:lineRule="auto"/>
              <w:jc w:val="center"/>
              <w:rPr>
                <w:rFonts w:ascii="Arial Narrow" w:eastAsia="Times New Roman" w:hAnsi="Arial Narrow" w:cs="Times New Roman"/>
                <w:b/>
                <w:bCs/>
                <w:spacing w:val="5"/>
                <w:sz w:val="16"/>
                <w:szCs w:val="16"/>
              </w:rPr>
            </w:pPr>
            <w:r w:rsidRPr="0040180C">
              <w:rPr>
                <w:rFonts w:ascii="Arial Narrow" w:eastAsia="Times New Roman" w:hAnsi="Arial Narrow" w:cs="Times New Roman"/>
                <w:b/>
                <w:bCs/>
                <w:spacing w:val="5"/>
                <w:sz w:val="16"/>
                <w:szCs w:val="16"/>
              </w:rPr>
              <w:t>QLD</w:t>
            </w:r>
          </w:p>
        </w:tc>
        <w:tc>
          <w:tcPr>
            <w:tcW w:w="1599"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Logan</w:t>
            </w:r>
          </w:p>
        </w:tc>
        <w:tc>
          <w:tcPr>
            <w:tcW w:w="2477"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The Salvation Army (Qld) Property Trust</w:t>
            </w:r>
          </w:p>
        </w:tc>
        <w:tc>
          <w:tcPr>
            <w:tcW w:w="796"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638"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796"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638"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796"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639"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1135"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r>
      <w:tr w:rsidR="0040180C" w:rsidRPr="0040180C" w:rsidTr="00895152">
        <w:tc>
          <w:tcPr>
            <w:tcW w:w="1135" w:type="dxa"/>
            <w:vMerge/>
            <w:tcBorders>
              <w:top w:val="single" w:sz="8" w:space="0" w:color="9BBB59"/>
              <w:left w:val="single" w:sz="8" w:space="0" w:color="9BBB59"/>
              <w:bottom w:val="single" w:sz="8" w:space="0" w:color="9BBB59"/>
              <w:right w:val="single" w:sz="8" w:space="0" w:color="9BBB59"/>
            </w:tcBorders>
            <w:shd w:val="clear" w:color="auto" w:fill="auto"/>
            <w:vAlign w:val="center"/>
          </w:tcPr>
          <w:p w:rsidR="0040180C" w:rsidRPr="0040180C" w:rsidRDefault="0040180C" w:rsidP="0040180C">
            <w:pPr>
              <w:spacing w:before="120" w:after="120" w:line="240" w:lineRule="auto"/>
              <w:jc w:val="center"/>
              <w:rPr>
                <w:rFonts w:ascii="Arial Narrow" w:eastAsia="Times New Roman" w:hAnsi="Arial Narrow" w:cs="Times New Roman"/>
                <w:b/>
                <w:bCs/>
                <w:spacing w:val="5"/>
                <w:sz w:val="16"/>
                <w:szCs w:val="16"/>
              </w:rPr>
            </w:pPr>
          </w:p>
        </w:tc>
        <w:tc>
          <w:tcPr>
            <w:tcW w:w="1599"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Rockhampton</w:t>
            </w:r>
          </w:p>
        </w:tc>
        <w:tc>
          <w:tcPr>
            <w:tcW w:w="2477"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The Smith Family</w:t>
            </w:r>
          </w:p>
        </w:tc>
        <w:tc>
          <w:tcPr>
            <w:tcW w:w="796"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4</w:t>
            </w:r>
          </w:p>
        </w:tc>
        <w:tc>
          <w:tcPr>
            <w:tcW w:w="638"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3</w:t>
            </w:r>
          </w:p>
        </w:tc>
        <w:tc>
          <w:tcPr>
            <w:tcW w:w="796"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3</w:t>
            </w:r>
          </w:p>
        </w:tc>
        <w:tc>
          <w:tcPr>
            <w:tcW w:w="638"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796"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639"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1135"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10</w:t>
            </w:r>
          </w:p>
        </w:tc>
      </w:tr>
      <w:tr w:rsidR="0040180C" w:rsidRPr="0040180C" w:rsidTr="00895152">
        <w:tc>
          <w:tcPr>
            <w:tcW w:w="1135"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40180C" w:rsidRPr="0040180C" w:rsidRDefault="0040180C" w:rsidP="0040180C">
            <w:pPr>
              <w:spacing w:before="120" w:after="120" w:line="240" w:lineRule="auto"/>
              <w:jc w:val="center"/>
              <w:rPr>
                <w:rFonts w:ascii="Arial Narrow" w:eastAsia="Times New Roman" w:hAnsi="Arial Narrow" w:cs="Times New Roman"/>
                <w:b/>
                <w:bCs/>
                <w:spacing w:val="5"/>
                <w:sz w:val="16"/>
                <w:szCs w:val="16"/>
              </w:rPr>
            </w:pPr>
            <w:r w:rsidRPr="0040180C">
              <w:rPr>
                <w:rFonts w:ascii="Arial Narrow" w:eastAsia="Times New Roman" w:hAnsi="Arial Narrow" w:cs="Times New Roman"/>
                <w:b/>
                <w:bCs/>
                <w:spacing w:val="5"/>
                <w:sz w:val="16"/>
                <w:szCs w:val="16"/>
              </w:rPr>
              <w:t>SA</w:t>
            </w:r>
          </w:p>
        </w:tc>
        <w:tc>
          <w:tcPr>
            <w:tcW w:w="1599"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Playford</w:t>
            </w:r>
          </w:p>
        </w:tc>
        <w:tc>
          <w:tcPr>
            <w:tcW w:w="2477"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rPr>
                <w:rFonts w:ascii="Arial Narrow" w:eastAsia="Calibri" w:hAnsi="Arial Narrow" w:cs="Times New Roman"/>
                <w:spacing w:val="5"/>
                <w:sz w:val="16"/>
                <w:szCs w:val="16"/>
              </w:rPr>
            </w:pPr>
            <w:proofErr w:type="spellStart"/>
            <w:r w:rsidRPr="0040180C">
              <w:rPr>
                <w:rFonts w:ascii="Arial Narrow" w:eastAsia="Calibri" w:hAnsi="Arial Narrow" w:cs="Times New Roman"/>
                <w:spacing w:val="5"/>
                <w:sz w:val="16"/>
                <w:szCs w:val="16"/>
              </w:rPr>
              <w:t>Anglicare</w:t>
            </w:r>
            <w:proofErr w:type="spellEnd"/>
            <w:r w:rsidRPr="0040180C">
              <w:rPr>
                <w:rFonts w:ascii="Arial Narrow" w:eastAsia="Calibri" w:hAnsi="Arial Narrow" w:cs="Times New Roman"/>
                <w:spacing w:val="5"/>
                <w:sz w:val="16"/>
                <w:szCs w:val="16"/>
              </w:rPr>
              <w:t xml:space="preserve"> SA </w:t>
            </w:r>
            <w:proofErr w:type="spellStart"/>
            <w:r w:rsidRPr="0040180C">
              <w:rPr>
                <w:rFonts w:ascii="Arial Narrow" w:eastAsia="Calibri" w:hAnsi="Arial Narrow" w:cs="Times New Roman"/>
                <w:spacing w:val="5"/>
                <w:sz w:val="16"/>
                <w:szCs w:val="16"/>
              </w:rPr>
              <w:t>Inc</w:t>
            </w:r>
            <w:proofErr w:type="spellEnd"/>
          </w:p>
        </w:tc>
        <w:tc>
          <w:tcPr>
            <w:tcW w:w="796"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638"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796"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638"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1</w:t>
            </w:r>
          </w:p>
        </w:tc>
        <w:tc>
          <w:tcPr>
            <w:tcW w:w="796"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639"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1135"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1</w:t>
            </w:r>
          </w:p>
        </w:tc>
      </w:tr>
      <w:tr w:rsidR="0040180C" w:rsidRPr="0040180C" w:rsidTr="00895152">
        <w:tc>
          <w:tcPr>
            <w:tcW w:w="1135" w:type="dxa"/>
            <w:tcBorders>
              <w:top w:val="single" w:sz="8" w:space="0" w:color="9BBB59"/>
              <w:left w:val="single" w:sz="8" w:space="0" w:color="9BBB59"/>
              <w:bottom w:val="single" w:sz="8" w:space="0" w:color="9BBB59"/>
              <w:right w:val="single" w:sz="8" w:space="0" w:color="9BBB59"/>
            </w:tcBorders>
            <w:shd w:val="clear" w:color="auto" w:fill="auto"/>
            <w:vAlign w:val="center"/>
          </w:tcPr>
          <w:p w:rsidR="0040180C" w:rsidRPr="0040180C" w:rsidRDefault="0040180C" w:rsidP="0040180C">
            <w:pPr>
              <w:spacing w:before="120" w:after="120" w:line="240" w:lineRule="auto"/>
              <w:jc w:val="center"/>
              <w:rPr>
                <w:rFonts w:ascii="Arial Narrow" w:eastAsia="Times New Roman" w:hAnsi="Arial Narrow" w:cs="Times New Roman"/>
                <w:b/>
                <w:bCs/>
                <w:spacing w:val="5"/>
                <w:sz w:val="16"/>
                <w:szCs w:val="16"/>
              </w:rPr>
            </w:pPr>
            <w:r w:rsidRPr="0040180C">
              <w:rPr>
                <w:rFonts w:ascii="Arial Narrow" w:eastAsia="Times New Roman" w:hAnsi="Arial Narrow" w:cs="Times New Roman"/>
                <w:b/>
                <w:bCs/>
                <w:spacing w:val="5"/>
                <w:sz w:val="16"/>
                <w:szCs w:val="16"/>
              </w:rPr>
              <w:t>TAS</w:t>
            </w:r>
          </w:p>
        </w:tc>
        <w:tc>
          <w:tcPr>
            <w:tcW w:w="1599"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Burnie</w:t>
            </w:r>
          </w:p>
        </w:tc>
        <w:tc>
          <w:tcPr>
            <w:tcW w:w="2477"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Catholic Care Victoria Tasmania Ltd</w:t>
            </w:r>
          </w:p>
        </w:tc>
        <w:tc>
          <w:tcPr>
            <w:tcW w:w="796"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1</w:t>
            </w:r>
          </w:p>
        </w:tc>
        <w:tc>
          <w:tcPr>
            <w:tcW w:w="638"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1</w:t>
            </w:r>
          </w:p>
        </w:tc>
        <w:tc>
          <w:tcPr>
            <w:tcW w:w="796"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3</w:t>
            </w:r>
          </w:p>
        </w:tc>
        <w:tc>
          <w:tcPr>
            <w:tcW w:w="638"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796"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639"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1</w:t>
            </w:r>
          </w:p>
        </w:tc>
        <w:tc>
          <w:tcPr>
            <w:tcW w:w="1135"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6</w:t>
            </w:r>
          </w:p>
        </w:tc>
      </w:tr>
      <w:tr w:rsidR="0040180C" w:rsidRPr="0040180C" w:rsidTr="00895152">
        <w:tc>
          <w:tcPr>
            <w:tcW w:w="1135"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40180C" w:rsidRPr="0040180C" w:rsidRDefault="0040180C" w:rsidP="0040180C">
            <w:pPr>
              <w:spacing w:before="120" w:after="120" w:line="240" w:lineRule="auto"/>
              <w:jc w:val="center"/>
              <w:rPr>
                <w:rFonts w:ascii="Arial Narrow" w:eastAsia="Times New Roman" w:hAnsi="Arial Narrow" w:cs="Times New Roman"/>
                <w:b/>
                <w:bCs/>
                <w:spacing w:val="5"/>
                <w:sz w:val="16"/>
                <w:szCs w:val="16"/>
              </w:rPr>
            </w:pPr>
            <w:r w:rsidRPr="0040180C">
              <w:rPr>
                <w:rFonts w:ascii="Arial Narrow" w:eastAsia="Times New Roman" w:hAnsi="Arial Narrow" w:cs="Times New Roman"/>
                <w:b/>
                <w:bCs/>
                <w:spacing w:val="5"/>
                <w:sz w:val="16"/>
                <w:szCs w:val="16"/>
              </w:rPr>
              <w:t>WA</w:t>
            </w:r>
          </w:p>
        </w:tc>
        <w:tc>
          <w:tcPr>
            <w:tcW w:w="1599"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Kwinana</w:t>
            </w:r>
          </w:p>
        </w:tc>
        <w:tc>
          <w:tcPr>
            <w:tcW w:w="2477"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The Smith Family</w:t>
            </w:r>
          </w:p>
        </w:tc>
        <w:tc>
          <w:tcPr>
            <w:tcW w:w="796"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638"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796"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4</w:t>
            </w:r>
          </w:p>
        </w:tc>
        <w:tc>
          <w:tcPr>
            <w:tcW w:w="638"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1</w:t>
            </w:r>
          </w:p>
        </w:tc>
        <w:tc>
          <w:tcPr>
            <w:tcW w:w="796"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1</w:t>
            </w:r>
          </w:p>
        </w:tc>
        <w:tc>
          <w:tcPr>
            <w:tcW w:w="639"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1135"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6</w:t>
            </w:r>
          </w:p>
        </w:tc>
      </w:tr>
      <w:tr w:rsidR="0040180C" w:rsidRPr="0040180C" w:rsidTr="00895152">
        <w:tc>
          <w:tcPr>
            <w:tcW w:w="1135" w:type="dxa"/>
            <w:vMerge w:val="restart"/>
            <w:tcBorders>
              <w:top w:val="single" w:sz="8" w:space="0" w:color="9BBB59"/>
              <w:left w:val="single" w:sz="8" w:space="0" w:color="9BBB59"/>
              <w:bottom w:val="single" w:sz="8" w:space="0" w:color="9BBB59"/>
              <w:right w:val="single" w:sz="8" w:space="0" w:color="9BBB59"/>
            </w:tcBorders>
            <w:shd w:val="clear" w:color="auto" w:fill="auto"/>
            <w:vAlign w:val="center"/>
          </w:tcPr>
          <w:p w:rsidR="0040180C" w:rsidRPr="0040180C" w:rsidRDefault="0040180C" w:rsidP="0040180C">
            <w:pPr>
              <w:spacing w:before="120" w:after="120" w:line="240" w:lineRule="auto"/>
              <w:jc w:val="center"/>
              <w:rPr>
                <w:rFonts w:ascii="Arial Narrow" w:eastAsia="Times New Roman" w:hAnsi="Arial Narrow" w:cs="Times New Roman"/>
                <w:b/>
                <w:bCs/>
                <w:spacing w:val="5"/>
                <w:sz w:val="16"/>
                <w:szCs w:val="16"/>
              </w:rPr>
            </w:pPr>
            <w:r w:rsidRPr="0040180C">
              <w:rPr>
                <w:rFonts w:ascii="Arial Narrow" w:eastAsia="Times New Roman" w:hAnsi="Arial Narrow" w:cs="Times New Roman"/>
                <w:b/>
                <w:bCs/>
                <w:spacing w:val="5"/>
                <w:sz w:val="16"/>
                <w:szCs w:val="16"/>
              </w:rPr>
              <w:t>VIC</w:t>
            </w:r>
          </w:p>
        </w:tc>
        <w:tc>
          <w:tcPr>
            <w:tcW w:w="1599"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Greater Shepparton</w:t>
            </w:r>
          </w:p>
        </w:tc>
        <w:tc>
          <w:tcPr>
            <w:tcW w:w="2477"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Catholic Care Victoria Tasmania Ltd</w:t>
            </w:r>
          </w:p>
        </w:tc>
        <w:tc>
          <w:tcPr>
            <w:tcW w:w="796"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638"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796"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1</w:t>
            </w:r>
          </w:p>
        </w:tc>
        <w:tc>
          <w:tcPr>
            <w:tcW w:w="638"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1</w:t>
            </w:r>
          </w:p>
        </w:tc>
        <w:tc>
          <w:tcPr>
            <w:tcW w:w="796"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639"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1135"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2</w:t>
            </w:r>
          </w:p>
        </w:tc>
      </w:tr>
      <w:tr w:rsidR="0040180C" w:rsidRPr="0040180C" w:rsidTr="00895152">
        <w:tc>
          <w:tcPr>
            <w:tcW w:w="1135" w:type="dxa"/>
            <w:vMerge/>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rPr>
                <w:rFonts w:ascii="Arial Narrow" w:eastAsia="Times New Roman" w:hAnsi="Arial Narrow" w:cs="Times New Roman"/>
                <w:b/>
                <w:bCs/>
                <w:spacing w:val="5"/>
                <w:sz w:val="16"/>
                <w:szCs w:val="16"/>
              </w:rPr>
            </w:pPr>
          </w:p>
        </w:tc>
        <w:tc>
          <w:tcPr>
            <w:tcW w:w="1599"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Hume/Broadmeadows</w:t>
            </w:r>
          </w:p>
        </w:tc>
        <w:tc>
          <w:tcPr>
            <w:tcW w:w="2477"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Broadmeadows Uniting Care</w:t>
            </w:r>
          </w:p>
        </w:tc>
        <w:tc>
          <w:tcPr>
            <w:tcW w:w="796"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638"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1</w:t>
            </w:r>
          </w:p>
        </w:tc>
        <w:tc>
          <w:tcPr>
            <w:tcW w:w="796"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1</w:t>
            </w:r>
          </w:p>
        </w:tc>
        <w:tc>
          <w:tcPr>
            <w:tcW w:w="638"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796"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1</w:t>
            </w:r>
          </w:p>
        </w:tc>
        <w:tc>
          <w:tcPr>
            <w:tcW w:w="639"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0</w:t>
            </w:r>
          </w:p>
        </w:tc>
        <w:tc>
          <w:tcPr>
            <w:tcW w:w="1135"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spacing w:val="5"/>
                <w:sz w:val="16"/>
                <w:szCs w:val="16"/>
              </w:rPr>
            </w:pPr>
            <w:r w:rsidRPr="0040180C">
              <w:rPr>
                <w:rFonts w:ascii="Arial Narrow" w:eastAsia="Calibri" w:hAnsi="Arial Narrow" w:cs="Times New Roman"/>
                <w:spacing w:val="5"/>
                <w:sz w:val="16"/>
                <w:szCs w:val="16"/>
              </w:rPr>
              <w:t>3</w:t>
            </w:r>
          </w:p>
        </w:tc>
      </w:tr>
      <w:tr w:rsidR="0040180C" w:rsidRPr="0040180C" w:rsidTr="00895152">
        <w:tc>
          <w:tcPr>
            <w:tcW w:w="1135" w:type="dxa"/>
            <w:tcBorders>
              <w:top w:val="single" w:sz="8" w:space="0" w:color="9BBB59"/>
              <w:left w:val="nil"/>
              <w:bottom w:val="nil"/>
              <w:right w:val="single" w:sz="8" w:space="0" w:color="9BBB59"/>
            </w:tcBorders>
            <w:shd w:val="clear" w:color="auto" w:fill="auto"/>
          </w:tcPr>
          <w:p w:rsidR="0040180C" w:rsidRPr="0040180C" w:rsidRDefault="0040180C" w:rsidP="0040180C">
            <w:pPr>
              <w:spacing w:before="120" w:after="120" w:line="240" w:lineRule="auto"/>
              <w:rPr>
                <w:rFonts w:ascii="Arial Narrow" w:eastAsia="Times New Roman" w:hAnsi="Arial Narrow" w:cs="Times New Roman"/>
                <w:b/>
                <w:bCs/>
                <w:spacing w:val="5"/>
                <w:sz w:val="16"/>
                <w:szCs w:val="16"/>
              </w:rPr>
            </w:pPr>
          </w:p>
        </w:tc>
        <w:tc>
          <w:tcPr>
            <w:tcW w:w="4076" w:type="dxa"/>
            <w:gridSpan w:val="2"/>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Total</w:t>
            </w:r>
          </w:p>
        </w:tc>
        <w:tc>
          <w:tcPr>
            <w:tcW w:w="796"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7</w:t>
            </w:r>
          </w:p>
        </w:tc>
        <w:tc>
          <w:tcPr>
            <w:tcW w:w="638"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5</w:t>
            </w:r>
          </w:p>
        </w:tc>
        <w:tc>
          <w:tcPr>
            <w:tcW w:w="796"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16</w:t>
            </w:r>
          </w:p>
        </w:tc>
        <w:tc>
          <w:tcPr>
            <w:tcW w:w="638"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5</w:t>
            </w:r>
          </w:p>
        </w:tc>
        <w:tc>
          <w:tcPr>
            <w:tcW w:w="796"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6</w:t>
            </w:r>
          </w:p>
        </w:tc>
        <w:tc>
          <w:tcPr>
            <w:tcW w:w="639"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2</w:t>
            </w:r>
          </w:p>
        </w:tc>
        <w:tc>
          <w:tcPr>
            <w:tcW w:w="1135"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41</w:t>
            </w:r>
          </w:p>
        </w:tc>
      </w:tr>
      <w:tr w:rsidR="0040180C" w:rsidRPr="0040180C" w:rsidTr="00895152">
        <w:tc>
          <w:tcPr>
            <w:tcW w:w="1135" w:type="dxa"/>
            <w:tcBorders>
              <w:top w:val="nil"/>
              <w:left w:val="nil"/>
              <w:bottom w:val="nil"/>
              <w:right w:val="single" w:sz="8" w:space="0" w:color="9BBB59"/>
            </w:tcBorders>
            <w:shd w:val="clear" w:color="auto" w:fill="FFFFFF"/>
          </w:tcPr>
          <w:p w:rsidR="0040180C" w:rsidRPr="0040180C" w:rsidRDefault="0040180C" w:rsidP="0040180C">
            <w:pPr>
              <w:spacing w:before="120" w:after="120" w:line="240" w:lineRule="auto"/>
              <w:rPr>
                <w:rFonts w:ascii="Arial Narrow" w:eastAsia="Times New Roman" w:hAnsi="Arial Narrow" w:cs="Times New Roman"/>
                <w:b/>
                <w:bCs/>
                <w:spacing w:val="5"/>
                <w:sz w:val="16"/>
                <w:szCs w:val="16"/>
              </w:rPr>
            </w:pPr>
          </w:p>
        </w:tc>
        <w:tc>
          <w:tcPr>
            <w:tcW w:w="4076" w:type="dxa"/>
            <w:gridSpan w:val="2"/>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Total referred per month</w:t>
            </w:r>
          </w:p>
        </w:tc>
        <w:tc>
          <w:tcPr>
            <w:tcW w:w="1434" w:type="dxa"/>
            <w:gridSpan w:val="2"/>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12</w:t>
            </w:r>
          </w:p>
        </w:tc>
        <w:tc>
          <w:tcPr>
            <w:tcW w:w="1434" w:type="dxa"/>
            <w:gridSpan w:val="2"/>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21</w:t>
            </w:r>
          </w:p>
        </w:tc>
        <w:tc>
          <w:tcPr>
            <w:tcW w:w="1435" w:type="dxa"/>
            <w:gridSpan w:val="2"/>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8</w:t>
            </w:r>
          </w:p>
        </w:tc>
        <w:tc>
          <w:tcPr>
            <w:tcW w:w="1135" w:type="dxa"/>
            <w:tcBorders>
              <w:top w:val="single" w:sz="8" w:space="0" w:color="9BBB59"/>
              <w:left w:val="single" w:sz="8" w:space="0" w:color="9BBB59"/>
              <w:bottom w:val="single" w:sz="8" w:space="0" w:color="9BBB59"/>
              <w:right w:val="single" w:sz="8" w:space="0" w:color="9BBB59"/>
            </w:tcBorders>
            <w:shd w:val="clear" w:color="auto" w:fill="E6EED5"/>
          </w:tcPr>
          <w:p w:rsidR="0040180C" w:rsidRPr="0040180C" w:rsidRDefault="0040180C" w:rsidP="0040180C">
            <w:pPr>
              <w:spacing w:before="120" w:after="120" w:line="240" w:lineRule="auto"/>
              <w:jc w:val="center"/>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41</w:t>
            </w:r>
          </w:p>
        </w:tc>
      </w:tr>
      <w:tr w:rsidR="0040180C" w:rsidRPr="0040180C" w:rsidTr="00895152">
        <w:tc>
          <w:tcPr>
            <w:tcW w:w="1135" w:type="dxa"/>
            <w:tcBorders>
              <w:top w:val="nil"/>
              <w:left w:val="nil"/>
              <w:bottom w:val="nil"/>
              <w:right w:val="single" w:sz="8" w:space="0" w:color="9BBB59"/>
            </w:tcBorders>
            <w:shd w:val="clear" w:color="auto" w:fill="auto"/>
          </w:tcPr>
          <w:p w:rsidR="0040180C" w:rsidRPr="0040180C" w:rsidRDefault="0040180C" w:rsidP="0040180C">
            <w:pPr>
              <w:spacing w:before="120" w:after="120" w:line="240" w:lineRule="auto"/>
              <w:rPr>
                <w:rFonts w:ascii="Arial Narrow" w:eastAsia="Times New Roman" w:hAnsi="Arial Narrow" w:cs="Times New Roman"/>
                <w:b/>
                <w:bCs/>
                <w:spacing w:val="5"/>
                <w:sz w:val="16"/>
                <w:szCs w:val="16"/>
              </w:rPr>
            </w:pPr>
          </w:p>
        </w:tc>
        <w:tc>
          <w:tcPr>
            <w:tcW w:w="4076" w:type="dxa"/>
            <w:gridSpan w:val="2"/>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Total DHS Referred</w:t>
            </w:r>
          </w:p>
        </w:tc>
        <w:tc>
          <w:tcPr>
            <w:tcW w:w="1434" w:type="dxa"/>
            <w:gridSpan w:val="2"/>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7</w:t>
            </w:r>
          </w:p>
        </w:tc>
        <w:tc>
          <w:tcPr>
            <w:tcW w:w="1434" w:type="dxa"/>
            <w:gridSpan w:val="2"/>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16</w:t>
            </w:r>
          </w:p>
        </w:tc>
        <w:tc>
          <w:tcPr>
            <w:tcW w:w="1435" w:type="dxa"/>
            <w:gridSpan w:val="2"/>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6</w:t>
            </w:r>
          </w:p>
        </w:tc>
        <w:tc>
          <w:tcPr>
            <w:tcW w:w="1135" w:type="dxa"/>
            <w:tcBorders>
              <w:top w:val="single" w:sz="8" w:space="0" w:color="9BBB59"/>
              <w:left w:val="single" w:sz="8" w:space="0" w:color="9BBB59"/>
              <w:bottom w:val="single" w:sz="8" w:space="0" w:color="9BBB59"/>
              <w:right w:val="single" w:sz="8" w:space="0" w:color="9BBB59"/>
            </w:tcBorders>
            <w:shd w:val="clear" w:color="auto" w:fill="auto"/>
          </w:tcPr>
          <w:p w:rsidR="0040180C" w:rsidRPr="0040180C" w:rsidRDefault="0040180C" w:rsidP="0040180C">
            <w:pPr>
              <w:spacing w:before="120" w:after="120" w:line="240" w:lineRule="auto"/>
              <w:jc w:val="center"/>
              <w:rPr>
                <w:rFonts w:ascii="Arial Narrow" w:eastAsia="Calibri" w:hAnsi="Arial Narrow" w:cs="Times New Roman"/>
                <w:b/>
                <w:spacing w:val="5"/>
                <w:sz w:val="16"/>
                <w:szCs w:val="16"/>
              </w:rPr>
            </w:pPr>
            <w:r w:rsidRPr="0040180C">
              <w:rPr>
                <w:rFonts w:ascii="Arial Narrow" w:eastAsia="Calibri" w:hAnsi="Arial Narrow" w:cs="Times New Roman"/>
                <w:b/>
                <w:spacing w:val="5"/>
                <w:sz w:val="16"/>
                <w:szCs w:val="16"/>
              </w:rPr>
              <w:t>29</w:t>
            </w:r>
          </w:p>
        </w:tc>
      </w:tr>
    </w:tbl>
    <w:p w:rsidR="00945640" w:rsidRPr="00945640" w:rsidRDefault="0040180C" w:rsidP="00945640">
      <w:pPr>
        <w:rPr>
          <w:rFonts w:eastAsia="Calibri"/>
          <w:sz w:val="24"/>
          <w:szCs w:val="24"/>
        </w:rPr>
      </w:pPr>
      <w:r w:rsidRPr="00285567">
        <w:rPr>
          <w:rFonts w:eastAsia="Times New Roman"/>
          <w:noProof/>
          <w:sz w:val="24"/>
          <w:szCs w:val="24"/>
          <w:lang w:eastAsia="en-AU"/>
        </w:rPr>
        <w:t xml:space="preserve">The table above shows </w:t>
      </w:r>
      <w:r w:rsidR="00135BAD">
        <w:rPr>
          <w:rFonts w:eastAsia="Times New Roman"/>
          <w:noProof/>
          <w:sz w:val="24"/>
          <w:szCs w:val="24"/>
          <w:lang w:eastAsia="en-AU"/>
        </w:rPr>
        <w:t>H</w:t>
      </w:r>
      <w:r w:rsidRPr="00285567">
        <w:rPr>
          <w:rFonts w:eastAsia="Times New Roman"/>
          <w:noProof/>
          <w:sz w:val="24"/>
          <w:szCs w:val="24"/>
          <w:lang w:eastAsia="en-AU"/>
        </w:rPr>
        <w:t xml:space="preserve">elping </w:t>
      </w:r>
      <w:r w:rsidR="00135BAD">
        <w:rPr>
          <w:rFonts w:eastAsia="Times New Roman"/>
          <w:noProof/>
          <w:sz w:val="24"/>
          <w:szCs w:val="24"/>
          <w:lang w:eastAsia="en-AU"/>
        </w:rPr>
        <w:t>Y</w:t>
      </w:r>
      <w:r w:rsidRPr="00285567">
        <w:rPr>
          <w:rFonts w:eastAsia="Times New Roman"/>
          <w:noProof/>
          <w:sz w:val="24"/>
          <w:szCs w:val="24"/>
          <w:lang w:eastAsia="en-AU"/>
        </w:rPr>
        <w:t xml:space="preserve">oung </w:t>
      </w:r>
      <w:r w:rsidR="00135BAD">
        <w:rPr>
          <w:rFonts w:eastAsia="Times New Roman"/>
          <w:noProof/>
          <w:sz w:val="24"/>
          <w:szCs w:val="24"/>
          <w:lang w:eastAsia="en-AU"/>
        </w:rPr>
        <w:t>P</w:t>
      </w:r>
      <w:r w:rsidRPr="00285567">
        <w:rPr>
          <w:rFonts w:eastAsia="Times New Roman"/>
          <w:noProof/>
          <w:sz w:val="24"/>
          <w:szCs w:val="24"/>
          <w:lang w:eastAsia="en-AU"/>
        </w:rPr>
        <w:t xml:space="preserve">arents </w:t>
      </w:r>
      <w:r w:rsidR="00285567">
        <w:rPr>
          <w:rFonts w:eastAsia="Times New Roman"/>
          <w:noProof/>
          <w:sz w:val="24"/>
          <w:szCs w:val="24"/>
          <w:lang w:eastAsia="en-AU"/>
        </w:rPr>
        <w:t>client referral numbers from  1 </w:t>
      </w:r>
      <w:r w:rsidRPr="00285567">
        <w:rPr>
          <w:rFonts w:eastAsia="Times New Roman"/>
          <w:noProof/>
          <w:sz w:val="24"/>
          <w:szCs w:val="24"/>
          <w:lang w:eastAsia="en-AU"/>
        </w:rPr>
        <w:t>April to 30 June 2012</w:t>
      </w:r>
      <w:r w:rsidRPr="00945640">
        <w:rPr>
          <w:rFonts w:eastAsia="Times New Roman"/>
          <w:noProof/>
          <w:sz w:val="24"/>
          <w:szCs w:val="24"/>
          <w:lang w:eastAsia="en-AU"/>
        </w:rPr>
        <w:t xml:space="preserve">.  </w:t>
      </w:r>
      <w:r w:rsidR="00945640" w:rsidRPr="00945640">
        <w:rPr>
          <w:rFonts w:eastAsia="Calibri"/>
          <w:sz w:val="24"/>
          <w:szCs w:val="24"/>
        </w:rPr>
        <w:t>A detailed breakdown of referrals to CfC from 1 January to 30 March 2012 has not been included as CfC FP</w:t>
      </w:r>
      <w:r w:rsidR="00DF5F75">
        <w:rPr>
          <w:rFonts w:eastAsia="Calibri"/>
          <w:sz w:val="24"/>
          <w:szCs w:val="24"/>
        </w:rPr>
        <w:t>s</w:t>
      </w:r>
      <w:r w:rsidR="00945640" w:rsidRPr="00945640">
        <w:rPr>
          <w:rFonts w:eastAsia="Calibri"/>
          <w:sz w:val="24"/>
          <w:szCs w:val="24"/>
        </w:rPr>
        <w:t xml:space="preserve"> recorded the attendance of all young parents not just trial participants</w:t>
      </w:r>
      <w:r w:rsidR="00135BAD">
        <w:rPr>
          <w:rFonts w:eastAsia="Calibri"/>
          <w:sz w:val="24"/>
          <w:szCs w:val="24"/>
        </w:rPr>
        <w:t>, and the trial participant numbers could not be disaggregated.</w:t>
      </w:r>
    </w:p>
    <w:p w:rsidR="00945640" w:rsidRDefault="00945640" w:rsidP="00945640">
      <w:pPr>
        <w:rPr>
          <w:rFonts w:eastAsia="Times New Roman"/>
          <w:sz w:val="24"/>
          <w:szCs w:val="24"/>
          <w:lang w:eastAsia="en-AU"/>
        </w:rPr>
      </w:pPr>
      <w:proofErr w:type="gramStart"/>
      <w:r w:rsidRPr="00285567">
        <w:rPr>
          <w:rFonts w:eastAsia="Times New Roman"/>
          <w:sz w:val="24"/>
          <w:szCs w:val="24"/>
          <w:lang w:eastAsia="en-AU"/>
        </w:rPr>
        <w:lastRenderedPageBreak/>
        <w:t>CfC FPs report that young parents are primarily accessing playgroup, parenting skills and family relationship activities and that young parents are becoming more aware of the support available to them in the</w:t>
      </w:r>
      <w:r w:rsidR="00DF5F75">
        <w:rPr>
          <w:rFonts w:eastAsia="Times New Roman"/>
          <w:sz w:val="24"/>
          <w:szCs w:val="24"/>
          <w:lang w:eastAsia="en-AU"/>
        </w:rPr>
        <w:t>ir</w:t>
      </w:r>
      <w:r w:rsidRPr="00285567">
        <w:rPr>
          <w:rFonts w:eastAsia="Times New Roman"/>
          <w:sz w:val="24"/>
          <w:szCs w:val="24"/>
          <w:lang w:eastAsia="en-AU"/>
        </w:rPr>
        <w:t xml:space="preserve"> community.</w:t>
      </w:r>
      <w:proofErr w:type="gramEnd"/>
    </w:p>
    <w:p w:rsidR="00895152" w:rsidRPr="00895152" w:rsidRDefault="00895152" w:rsidP="00895152">
      <w:pPr>
        <w:pStyle w:val="Heading2"/>
        <w:rPr>
          <w:rFonts w:eastAsia="Times New Roman"/>
          <w:lang w:eastAsia="en-AU"/>
        </w:rPr>
      </w:pPr>
      <w:bookmarkStart w:id="121" w:name="_Toc338944766"/>
      <w:bookmarkStart w:id="122" w:name="_Toc338945057"/>
      <w:bookmarkStart w:id="123" w:name="_Toc338945384"/>
      <w:bookmarkStart w:id="124" w:name="_Toc338945637"/>
      <w:bookmarkStart w:id="125" w:name="_Toc341705907"/>
      <w:r w:rsidRPr="00895152">
        <w:rPr>
          <w:rFonts w:eastAsia="Times New Roman"/>
          <w:lang w:eastAsia="en-AU"/>
        </w:rPr>
        <w:t>Family and Relationship Services, Specialist Services and Family Law Services</w:t>
      </w:r>
      <w:bookmarkEnd w:id="121"/>
      <w:bookmarkEnd w:id="122"/>
      <w:bookmarkEnd w:id="123"/>
      <w:bookmarkEnd w:id="124"/>
      <w:bookmarkEnd w:id="125"/>
      <w:r w:rsidRPr="00895152">
        <w:rPr>
          <w:rFonts w:eastAsia="Times New Roman"/>
          <w:lang w:eastAsia="en-AU"/>
        </w:rPr>
        <w:t xml:space="preserve"> </w:t>
      </w:r>
    </w:p>
    <w:p w:rsidR="00895152" w:rsidRPr="00793B68" w:rsidRDefault="00895152" w:rsidP="00895152">
      <w:pPr>
        <w:rPr>
          <w:rFonts w:eastAsia="Times New Roman"/>
          <w:sz w:val="24"/>
          <w:szCs w:val="24"/>
        </w:rPr>
      </w:pPr>
      <w:r w:rsidRPr="00793B68">
        <w:rPr>
          <w:rFonts w:eastAsia="Times New Roman"/>
          <w:sz w:val="24"/>
          <w:szCs w:val="24"/>
        </w:rPr>
        <w:t>Family and Relationship Services provide relationship advice, counselling for young people and children,</w:t>
      </w:r>
      <w:r w:rsidR="00793B68" w:rsidRPr="00793B68">
        <w:rPr>
          <w:rFonts w:eastAsia="Times New Roman"/>
          <w:sz w:val="24"/>
          <w:szCs w:val="24"/>
        </w:rPr>
        <w:t xml:space="preserve"> and broader parenting support while </w:t>
      </w:r>
      <w:r w:rsidRPr="00793B68">
        <w:rPr>
          <w:rFonts w:eastAsia="Times New Roman"/>
          <w:sz w:val="24"/>
          <w:szCs w:val="24"/>
        </w:rPr>
        <w:t>Specialist Services support vulnerable families affected by issues such as drugs, violence and trauma.</w:t>
      </w:r>
    </w:p>
    <w:p w:rsidR="00895152" w:rsidRPr="00793B68" w:rsidRDefault="00895152" w:rsidP="00895152">
      <w:pPr>
        <w:rPr>
          <w:rFonts w:eastAsia="Times New Roman"/>
          <w:sz w:val="24"/>
          <w:szCs w:val="24"/>
        </w:rPr>
      </w:pPr>
      <w:r w:rsidRPr="00793B68">
        <w:rPr>
          <w:rFonts w:eastAsia="Times New Roman"/>
          <w:sz w:val="24"/>
          <w:szCs w:val="24"/>
        </w:rPr>
        <w:t xml:space="preserve">Family Law Services provide alternatives to formal </w:t>
      </w:r>
      <w:r w:rsidR="00DF5F75">
        <w:rPr>
          <w:rFonts w:eastAsia="Times New Roman"/>
          <w:sz w:val="24"/>
          <w:szCs w:val="24"/>
        </w:rPr>
        <w:t>court</w:t>
      </w:r>
      <w:r w:rsidRPr="00793B68">
        <w:rPr>
          <w:rFonts w:eastAsia="Times New Roman"/>
          <w:sz w:val="24"/>
          <w:szCs w:val="24"/>
        </w:rPr>
        <w:t xml:space="preserve"> processes for families who are separated, separating or in dispute to improve their relationships</w:t>
      </w:r>
      <w:r w:rsidR="00DF5F75">
        <w:rPr>
          <w:rFonts w:eastAsia="Times New Roman"/>
          <w:sz w:val="24"/>
          <w:szCs w:val="24"/>
        </w:rPr>
        <w:t xml:space="preserve"> and care arrangements</w:t>
      </w:r>
      <w:r w:rsidRPr="00793B68">
        <w:rPr>
          <w:rFonts w:eastAsia="Times New Roman"/>
          <w:sz w:val="24"/>
          <w:szCs w:val="24"/>
        </w:rPr>
        <w:t xml:space="preserve"> in the best interests of </w:t>
      </w:r>
      <w:r w:rsidR="00DF5F75">
        <w:rPr>
          <w:rFonts w:eastAsia="Times New Roman"/>
          <w:sz w:val="24"/>
          <w:szCs w:val="24"/>
        </w:rPr>
        <w:t xml:space="preserve">their </w:t>
      </w:r>
      <w:r w:rsidRPr="00793B68">
        <w:rPr>
          <w:rFonts w:eastAsia="Times New Roman"/>
          <w:sz w:val="24"/>
          <w:szCs w:val="24"/>
        </w:rPr>
        <w:t xml:space="preserve">children.  These services are funded through the Attorney-General’s </w:t>
      </w:r>
      <w:r w:rsidR="00CB6F90" w:rsidRPr="00793B68">
        <w:rPr>
          <w:rFonts w:eastAsia="Times New Roman"/>
          <w:sz w:val="24"/>
          <w:szCs w:val="24"/>
        </w:rPr>
        <w:t>Department</w:t>
      </w:r>
      <w:r w:rsidRPr="00793B68">
        <w:rPr>
          <w:rFonts w:eastAsia="Times New Roman"/>
          <w:sz w:val="24"/>
          <w:szCs w:val="24"/>
        </w:rPr>
        <w:t>.</w:t>
      </w:r>
    </w:p>
    <w:p w:rsidR="00895152" w:rsidRPr="00895152" w:rsidRDefault="00895152" w:rsidP="00895152">
      <w:pPr>
        <w:pStyle w:val="Heading3"/>
        <w:rPr>
          <w:rFonts w:eastAsia="Times New Roman"/>
          <w:lang w:eastAsia="en-AU"/>
        </w:rPr>
      </w:pPr>
      <w:bookmarkStart w:id="126" w:name="_Toc338944767"/>
      <w:bookmarkStart w:id="127" w:name="_Toc338945058"/>
      <w:bookmarkStart w:id="128" w:name="_Toc338945385"/>
      <w:bookmarkStart w:id="129" w:name="_Toc338945638"/>
      <w:bookmarkStart w:id="130" w:name="_Toc341705908"/>
      <w:r w:rsidRPr="00895152">
        <w:rPr>
          <w:rFonts w:eastAsia="Times New Roman"/>
          <w:lang w:eastAsia="en-AU"/>
        </w:rPr>
        <w:t>FaRS, SS &amp; FLS client numbers</w:t>
      </w:r>
      <w:bookmarkEnd w:id="126"/>
      <w:bookmarkEnd w:id="127"/>
      <w:bookmarkEnd w:id="128"/>
      <w:bookmarkEnd w:id="129"/>
      <w:bookmarkEnd w:id="130"/>
    </w:p>
    <w:p w:rsidR="00895152" w:rsidRPr="00837F4F" w:rsidRDefault="00081CE9" w:rsidP="00081CE9">
      <w:pPr>
        <w:rPr>
          <w:rFonts w:eastAsia="Times New Roman"/>
          <w:sz w:val="24"/>
          <w:szCs w:val="24"/>
          <w:highlight w:val="yellow"/>
        </w:rPr>
      </w:pPr>
      <w:r>
        <w:rPr>
          <w:rFonts w:eastAsia="Times New Roman"/>
          <w:sz w:val="24"/>
          <w:szCs w:val="24"/>
        </w:rPr>
        <w:t>C</w:t>
      </w:r>
      <w:r w:rsidR="00895152" w:rsidRPr="00837F4F">
        <w:rPr>
          <w:rFonts w:eastAsia="Times New Roman"/>
          <w:sz w:val="24"/>
          <w:szCs w:val="24"/>
        </w:rPr>
        <w:t>lient numbers were generally evenly distributed throughout the year</w:t>
      </w:r>
      <w:r w:rsidR="00DF5F75">
        <w:rPr>
          <w:rFonts w:eastAsia="Times New Roman"/>
          <w:sz w:val="24"/>
          <w:szCs w:val="24"/>
        </w:rPr>
        <w:t>.  F</w:t>
      </w:r>
      <w:r w:rsidR="00895152" w:rsidRPr="00837F4F">
        <w:rPr>
          <w:rFonts w:eastAsia="Times New Roman"/>
          <w:sz w:val="24"/>
          <w:szCs w:val="24"/>
        </w:rPr>
        <w:t>or the most part</w:t>
      </w:r>
      <w:r w:rsidR="00DF5F75">
        <w:rPr>
          <w:rFonts w:eastAsia="Times New Roman"/>
          <w:sz w:val="24"/>
          <w:szCs w:val="24"/>
        </w:rPr>
        <w:t>, across</w:t>
      </w:r>
      <w:r w:rsidR="00895152" w:rsidRPr="00837F4F">
        <w:rPr>
          <w:rFonts w:eastAsia="Times New Roman"/>
          <w:sz w:val="24"/>
          <w:szCs w:val="24"/>
        </w:rPr>
        <w:t xml:space="preserve"> both financial years</w:t>
      </w:r>
      <w:r w:rsidR="00DF5F75">
        <w:rPr>
          <w:rFonts w:eastAsia="Times New Roman"/>
          <w:sz w:val="24"/>
          <w:szCs w:val="24"/>
        </w:rPr>
        <w:t>, services</w:t>
      </w:r>
      <w:r w:rsidR="00895152" w:rsidRPr="00837F4F">
        <w:rPr>
          <w:rFonts w:eastAsia="Times New Roman"/>
          <w:sz w:val="24"/>
          <w:szCs w:val="24"/>
        </w:rPr>
        <w:t xml:space="preserve"> saw noticeably fewer clients in December and January</w:t>
      </w:r>
      <w:r w:rsidR="00837F4F">
        <w:rPr>
          <w:rFonts w:eastAsia="Times New Roman"/>
          <w:sz w:val="24"/>
          <w:szCs w:val="24"/>
        </w:rPr>
        <w:t xml:space="preserve"> which reflects the closedown of services over the Christmas and </w:t>
      </w:r>
      <w:r w:rsidR="00DF5F75">
        <w:rPr>
          <w:rFonts w:eastAsia="Times New Roman"/>
          <w:sz w:val="24"/>
          <w:szCs w:val="24"/>
        </w:rPr>
        <w:t>N</w:t>
      </w:r>
      <w:r w:rsidR="00837F4F">
        <w:rPr>
          <w:rFonts w:eastAsia="Times New Roman"/>
          <w:sz w:val="24"/>
          <w:szCs w:val="24"/>
        </w:rPr>
        <w:t xml:space="preserve">ew </w:t>
      </w:r>
      <w:r w:rsidR="00DF5F75">
        <w:rPr>
          <w:rFonts w:eastAsia="Times New Roman"/>
          <w:sz w:val="24"/>
          <w:szCs w:val="24"/>
        </w:rPr>
        <w:t>Y</w:t>
      </w:r>
      <w:r w:rsidR="00837F4F">
        <w:rPr>
          <w:rFonts w:eastAsia="Times New Roman"/>
          <w:sz w:val="24"/>
          <w:szCs w:val="24"/>
        </w:rPr>
        <w:t>ear period</w:t>
      </w:r>
      <w:r w:rsidR="00895152" w:rsidRPr="00837F4F">
        <w:rPr>
          <w:rFonts w:eastAsia="Times New Roman"/>
          <w:sz w:val="24"/>
          <w:szCs w:val="24"/>
        </w:rPr>
        <w:t>.</w:t>
      </w:r>
    </w:p>
    <w:p w:rsidR="00895152" w:rsidRPr="00895152" w:rsidRDefault="00793B68" w:rsidP="00895152">
      <w:pPr>
        <w:pStyle w:val="Heading4"/>
        <w:rPr>
          <w:rFonts w:eastAsia="Times New Roman"/>
          <w:lang w:eastAsia="en-AU"/>
        </w:rPr>
      </w:pPr>
      <w:bookmarkStart w:id="131" w:name="_Chart_2.1:_"/>
      <w:bookmarkStart w:id="132" w:name="_Chart_2.21:_"/>
      <w:bookmarkStart w:id="133" w:name="_Chart_2.15:_"/>
      <w:bookmarkStart w:id="134" w:name="_2.10:__Chart"/>
      <w:bookmarkEnd w:id="131"/>
      <w:bookmarkEnd w:id="132"/>
      <w:bookmarkEnd w:id="133"/>
      <w:bookmarkEnd w:id="134"/>
      <w:r>
        <w:rPr>
          <w:rFonts w:eastAsia="Times New Roman"/>
          <w:lang w:eastAsia="en-AU"/>
        </w:rPr>
        <w:t>2.1</w:t>
      </w:r>
      <w:r w:rsidR="00DA2404">
        <w:rPr>
          <w:rFonts w:eastAsia="Times New Roman"/>
          <w:lang w:eastAsia="en-AU"/>
        </w:rPr>
        <w:t>2</w:t>
      </w:r>
      <w:r w:rsidR="00895152" w:rsidRPr="00895152">
        <w:rPr>
          <w:rFonts w:eastAsia="Times New Roman"/>
          <w:lang w:eastAsia="en-AU"/>
        </w:rPr>
        <w:t>:  Chart - Number of FarS, SS and FLS clients by service type 2011-12</w:t>
      </w:r>
    </w:p>
    <w:p w:rsidR="00895152" w:rsidRPr="00895152" w:rsidRDefault="00895152" w:rsidP="00895152">
      <w:pPr>
        <w:spacing w:before="0" w:after="0" w:line="240" w:lineRule="auto"/>
        <w:rPr>
          <w:rFonts w:ascii="Arial" w:eastAsia="Times New Roman" w:hAnsi="Arial" w:cs="Arial"/>
          <w:sz w:val="18"/>
          <w:szCs w:val="18"/>
          <w:lang w:eastAsia="en-AU"/>
        </w:rPr>
      </w:pPr>
      <w:r>
        <w:rPr>
          <w:rFonts w:ascii="Calibri" w:eastAsia="Times New Roman" w:hAnsi="Calibri" w:cs="Times New Roman"/>
          <w:noProof/>
          <w:lang w:eastAsia="en-AU"/>
        </w:rPr>
        <w:drawing>
          <wp:inline distT="0" distB="0" distL="0" distR="0" wp14:anchorId="78DE025B" wp14:editId="780D486E">
            <wp:extent cx="5943600" cy="1466850"/>
            <wp:effectExtent l="0" t="0" r="0" b="0"/>
            <wp:docPr id="13" name="Picture 13" descr="The largest number of clients 175,822, was recorded for FaRS.  FLS recorded 146,920 clients; SS SFV recorded 10,573 clients; and KiF recorded 2,662 clients.  SS FRSHE recorded the lowest number of clients at 1,919." title="Total clients Family and Relationship Services, Specialist Services and Family Law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r w:rsidRPr="00895152">
        <w:rPr>
          <w:rFonts w:ascii="Arial" w:eastAsia="Times New Roman" w:hAnsi="Arial" w:cs="Arial"/>
          <w:sz w:val="18"/>
          <w:szCs w:val="18"/>
          <w:lang w:eastAsia="en-AU"/>
        </w:rPr>
        <w:br/>
      </w:r>
      <w:r w:rsidRPr="0092479E">
        <w:rPr>
          <w:lang w:eastAsia="en-AU"/>
        </w:rPr>
        <w:t>Note: Unregistered clients may be counted more than once where the individual attends a service on multiple occasions</w:t>
      </w:r>
      <w:r w:rsidRPr="00895152">
        <w:rPr>
          <w:rFonts w:ascii="Arial" w:eastAsia="Times New Roman" w:hAnsi="Arial" w:cs="Arial"/>
          <w:sz w:val="18"/>
          <w:szCs w:val="18"/>
          <w:lang w:eastAsia="en-AU"/>
        </w:rPr>
        <w:t>.</w:t>
      </w:r>
    </w:p>
    <w:p w:rsidR="00837F4F" w:rsidRDefault="00A0326E" w:rsidP="00837F4F">
      <w:pPr>
        <w:rPr>
          <w:rFonts w:eastAsia="Times New Roman"/>
          <w:sz w:val="24"/>
          <w:szCs w:val="24"/>
        </w:rPr>
      </w:pPr>
      <w:r w:rsidRPr="00A0326E">
        <w:rPr>
          <w:rFonts w:eastAsia="Times New Roman"/>
          <w:sz w:val="24"/>
          <w:szCs w:val="24"/>
          <w:lang w:eastAsia="en-AU"/>
        </w:rPr>
        <w:t>C</w:t>
      </w:r>
      <w:r w:rsidR="00895152" w:rsidRPr="00A0326E">
        <w:rPr>
          <w:rFonts w:eastAsia="Times New Roman"/>
          <w:sz w:val="24"/>
          <w:szCs w:val="24"/>
          <w:lang w:eastAsia="en-AU"/>
        </w:rPr>
        <w:t xml:space="preserve">hart </w:t>
      </w:r>
      <w:r w:rsidRPr="00A0326E">
        <w:rPr>
          <w:rFonts w:eastAsia="Times New Roman"/>
          <w:sz w:val="24"/>
          <w:szCs w:val="24"/>
          <w:lang w:eastAsia="en-AU"/>
        </w:rPr>
        <w:t xml:space="preserve">2.10 </w:t>
      </w:r>
      <w:r w:rsidR="00895152" w:rsidRPr="00A0326E">
        <w:rPr>
          <w:rFonts w:eastAsia="Times New Roman"/>
          <w:sz w:val="24"/>
          <w:szCs w:val="24"/>
          <w:lang w:eastAsia="en-AU"/>
        </w:rPr>
        <w:t>above shows total client numbers for FaRS, Specialist Services and Family Law Services.</w:t>
      </w:r>
    </w:p>
    <w:p w:rsidR="00A0326E" w:rsidRPr="00A0326E" w:rsidRDefault="00A0326E" w:rsidP="00837F4F">
      <w:pPr>
        <w:rPr>
          <w:rFonts w:eastAsia="Times New Roman"/>
          <w:sz w:val="24"/>
          <w:szCs w:val="24"/>
          <w:lang w:eastAsia="en-AU"/>
        </w:rPr>
      </w:pPr>
      <w:r>
        <w:rPr>
          <w:rFonts w:eastAsia="Times New Roman"/>
          <w:sz w:val="24"/>
          <w:szCs w:val="24"/>
        </w:rPr>
        <w:t xml:space="preserve">The relatively low client numbers for the Specialist Services reflect </w:t>
      </w:r>
      <w:r w:rsidR="00DF5F75">
        <w:rPr>
          <w:rFonts w:eastAsia="Times New Roman"/>
          <w:sz w:val="24"/>
          <w:szCs w:val="24"/>
        </w:rPr>
        <w:t xml:space="preserve">the fact that </w:t>
      </w:r>
      <w:r>
        <w:rPr>
          <w:rFonts w:eastAsia="Times New Roman"/>
          <w:sz w:val="24"/>
          <w:szCs w:val="24"/>
        </w:rPr>
        <w:t xml:space="preserve">these services </w:t>
      </w:r>
      <w:r w:rsidR="00DF5F75">
        <w:rPr>
          <w:rFonts w:eastAsia="Times New Roman"/>
          <w:sz w:val="24"/>
          <w:szCs w:val="24"/>
        </w:rPr>
        <w:t xml:space="preserve">exclusively support </w:t>
      </w:r>
      <w:r>
        <w:rPr>
          <w:rFonts w:eastAsia="Times New Roman"/>
          <w:sz w:val="24"/>
          <w:szCs w:val="24"/>
        </w:rPr>
        <w:t xml:space="preserve">complex clients with high needs </w:t>
      </w:r>
      <w:r w:rsidR="00DF5F75">
        <w:rPr>
          <w:rFonts w:eastAsia="Times New Roman"/>
          <w:sz w:val="24"/>
          <w:szCs w:val="24"/>
        </w:rPr>
        <w:t>requiring long term intervention</w:t>
      </w:r>
      <w:r>
        <w:rPr>
          <w:rFonts w:eastAsia="Times New Roman"/>
          <w:sz w:val="24"/>
          <w:szCs w:val="24"/>
        </w:rPr>
        <w:t>.</w:t>
      </w:r>
    </w:p>
    <w:p w:rsidR="00A0326E" w:rsidRPr="00793B68" w:rsidRDefault="00A0326E" w:rsidP="00A0326E">
      <w:pPr>
        <w:rPr>
          <w:rFonts w:eastAsia="Times New Roman"/>
          <w:sz w:val="24"/>
          <w:szCs w:val="24"/>
        </w:rPr>
      </w:pPr>
      <w:r w:rsidRPr="00A0326E">
        <w:rPr>
          <w:rFonts w:eastAsia="Times New Roman"/>
          <w:noProof/>
          <w:sz w:val="24"/>
          <w:szCs w:val="24"/>
          <w:lang w:eastAsia="en-AU"/>
        </w:rPr>
        <w:t>FaRS and FLS have more registe</w:t>
      </w:r>
      <w:r>
        <w:rPr>
          <w:rFonts w:eastAsia="Times New Roman"/>
          <w:noProof/>
          <w:sz w:val="24"/>
          <w:szCs w:val="24"/>
          <w:lang w:eastAsia="en-AU"/>
        </w:rPr>
        <w:t xml:space="preserve">red than unregistered clients while </w:t>
      </w:r>
      <w:r w:rsidRPr="00A0326E">
        <w:rPr>
          <w:rFonts w:eastAsia="Times New Roman"/>
          <w:noProof/>
          <w:sz w:val="24"/>
          <w:szCs w:val="24"/>
          <w:lang w:eastAsia="en-AU"/>
        </w:rPr>
        <w:t>SS services have more unregistered than registered clients.</w:t>
      </w:r>
      <w:r>
        <w:rPr>
          <w:rFonts w:eastAsia="Times New Roman"/>
          <w:noProof/>
          <w:sz w:val="24"/>
          <w:szCs w:val="24"/>
          <w:lang w:eastAsia="en-AU"/>
        </w:rPr>
        <w:t xml:space="preserve">  </w:t>
      </w:r>
      <w:r w:rsidRPr="00793B68">
        <w:rPr>
          <w:rFonts w:eastAsia="Times New Roman"/>
          <w:sz w:val="24"/>
          <w:szCs w:val="24"/>
        </w:rPr>
        <w:t>A registered client is a person who receives a service from a FSP funded organisation and has consented to provide his or her demographic det</w:t>
      </w:r>
      <w:r>
        <w:rPr>
          <w:rFonts w:eastAsia="Times New Roman"/>
          <w:sz w:val="24"/>
          <w:szCs w:val="24"/>
        </w:rPr>
        <w:t xml:space="preserve">ails for capture through FSPDS.  </w:t>
      </w:r>
      <w:r w:rsidRPr="00793B68">
        <w:rPr>
          <w:rFonts w:eastAsia="Times New Roman"/>
          <w:sz w:val="24"/>
          <w:szCs w:val="24"/>
        </w:rPr>
        <w:t xml:space="preserve">An unregistered client is a person who receives a service from a FSP funded organisation and has not consented to provide his or her demographic details for </w:t>
      </w:r>
      <w:r>
        <w:rPr>
          <w:rFonts w:eastAsia="Times New Roman"/>
          <w:sz w:val="24"/>
          <w:szCs w:val="24"/>
        </w:rPr>
        <w:t xml:space="preserve">capture through FSPDS.  </w:t>
      </w:r>
      <w:r w:rsidRPr="00793B68">
        <w:rPr>
          <w:rFonts w:eastAsia="Times New Roman"/>
          <w:sz w:val="24"/>
          <w:szCs w:val="24"/>
        </w:rPr>
        <w:t>Unregistered clients may be counted more than once where the individual attends</w:t>
      </w:r>
      <w:r>
        <w:rPr>
          <w:rFonts w:eastAsia="Times New Roman"/>
          <w:sz w:val="24"/>
          <w:szCs w:val="24"/>
        </w:rPr>
        <w:t xml:space="preserve"> a </w:t>
      </w:r>
      <w:proofErr w:type="gramStart"/>
      <w:r>
        <w:rPr>
          <w:rFonts w:eastAsia="Times New Roman"/>
          <w:sz w:val="24"/>
          <w:szCs w:val="24"/>
        </w:rPr>
        <w:t>service,</w:t>
      </w:r>
      <w:proofErr w:type="gramEnd"/>
      <w:r>
        <w:rPr>
          <w:rFonts w:eastAsia="Times New Roman"/>
          <w:sz w:val="24"/>
          <w:szCs w:val="24"/>
        </w:rPr>
        <w:t xml:space="preserve"> or a range of services on different occasions</w:t>
      </w:r>
      <w:r w:rsidRPr="00793B68">
        <w:rPr>
          <w:rFonts w:eastAsia="Times New Roman"/>
          <w:sz w:val="24"/>
          <w:szCs w:val="24"/>
        </w:rPr>
        <w:t>.</w:t>
      </w:r>
    </w:p>
    <w:p w:rsidR="00081CE9" w:rsidRPr="00793B68" w:rsidRDefault="00081CE9" w:rsidP="00081CE9">
      <w:pPr>
        <w:rPr>
          <w:rFonts w:eastAsia="Times New Roman"/>
          <w:sz w:val="24"/>
          <w:szCs w:val="24"/>
        </w:rPr>
      </w:pPr>
      <w:r w:rsidRPr="00793B68">
        <w:rPr>
          <w:rFonts w:eastAsia="Times New Roman"/>
          <w:sz w:val="24"/>
          <w:szCs w:val="24"/>
        </w:rPr>
        <w:t xml:space="preserve">FSP clients </w:t>
      </w:r>
      <w:r>
        <w:rPr>
          <w:rFonts w:eastAsia="Times New Roman"/>
          <w:sz w:val="24"/>
          <w:szCs w:val="24"/>
        </w:rPr>
        <w:t xml:space="preserve">may </w:t>
      </w:r>
      <w:r w:rsidRPr="00793B68">
        <w:rPr>
          <w:rFonts w:eastAsia="Times New Roman"/>
          <w:sz w:val="24"/>
          <w:szCs w:val="24"/>
        </w:rPr>
        <w:t>choose not to provide their demographic information to the Department for a number of reasons, such as cultural or privacy concerns or in some cases because the service setting does not readily allow for the collection of individual data (e.g. group work with a large number of participants).</w:t>
      </w:r>
    </w:p>
    <w:p w:rsidR="0092479E" w:rsidRPr="00A0326E" w:rsidRDefault="0092479E" w:rsidP="0092479E">
      <w:pPr>
        <w:rPr>
          <w:rFonts w:eastAsia="Times New Roman"/>
          <w:noProof/>
          <w:sz w:val="24"/>
          <w:szCs w:val="24"/>
          <w:lang w:eastAsia="en-AU"/>
        </w:rPr>
      </w:pPr>
      <w:r w:rsidRPr="00A0326E">
        <w:rPr>
          <w:rFonts w:eastAsia="Times New Roman"/>
          <w:noProof/>
          <w:sz w:val="24"/>
          <w:szCs w:val="24"/>
          <w:lang w:eastAsia="en-AU"/>
        </w:rPr>
        <w:lastRenderedPageBreak/>
        <w:t>In 2011-12 the number of registered vs unregistered clients were as follows:</w:t>
      </w:r>
    </w:p>
    <w:p w:rsidR="0092479E" w:rsidRPr="00A0326E" w:rsidRDefault="0092479E" w:rsidP="008E31EC">
      <w:pPr>
        <w:pStyle w:val="ListParagraph"/>
        <w:numPr>
          <w:ilvl w:val="0"/>
          <w:numId w:val="10"/>
        </w:numPr>
        <w:rPr>
          <w:rFonts w:eastAsia="Times New Roman"/>
          <w:noProof/>
          <w:sz w:val="24"/>
          <w:szCs w:val="24"/>
          <w:lang w:eastAsia="en-AU"/>
        </w:rPr>
      </w:pPr>
      <w:r w:rsidRPr="00A0326E">
        <w:rPr>
          <w:rFonts w:eastAsia="Times New Roman"/>
          <w:noProof/>
          <w:sz w:val="24"/>
          <w:szCs w:val="24"/>
          <w:lang w:eastAsia="en-AU"/>
        </w:rPr>
        <w:t>FaRS recorded the highest number of registered clients (92,757) and unregistered clients (83,065)</w:t>
      </w:r>
    </w:p>
    <w:p w:rsidR="0092479E" w:rsidRPr="00A0326E" w:rsidRDefault="0092479E" w:rsidP="008E31EC">
      <w:pPr>
        <w:pStyle w:val="ListParagraph"/>
        <w:numPr>
          <w:ilvl w:val="0"/>
          <w:numId w:val="10"/>
        </w:numPr>
        <w:rPr>
          <w:rFonts w:eastAsia="Times New Roman"/>
          <w:noProof/>
          <w:sz w:val="24"/>
          <w:szCs w:val="24"/>
          <w:lang w:eastAsia="en-AU"/>
        </w:rPr>
      </w:pPr>
      <w:r w:rsidRPr="00A0326E">
        <w:rPr>
          <w:rFonts w:eastAsia="Times New Roman"/>
          <w:noProof/>
          <w:sz w:val="24"/>
          <w:szCs w:val="24"/>
          <w:lang w:eastAsia="en-AU"/>
        </w:rPr>
        <w:t>FLS recorded the next highest number of clients (82,401) and unregistered clients (64,519)</w:t>
      </w:r>
    </w:p>
    <w:p w:rsidR="0092479E" w:rsidRPr="00A0326E" w:rsidRDefault="0092479E" w:rsidP="008E31EC">
      <w:pPr>
        <w:pStyle w:val="ListParagraph"/>
        <w:numPr>
          <w:ilvl w:val="0"/>
          <w:numId w:val="10"/>
        </w:numPr>
        <w:rPr>
          <w:rFonts w:eastAsia="Times New Roman"/>
          <w:noProof/>
          <w:sz w:val="24"/>
          <w:szCs w:val="24"/>
          <w:lang w:eastAsia="en-AU"/>
        </w:rPr>
      </w:pPr>
      <w:r w:rsidRPr="00A0326E">
        <w:rPr>
          <w:rFonts w:eastAsia="Times New Roman"/>
          <w:noProof/>
          <w:sz w:val="24"/>
          <w:szCs w:val="24"/>
          <w:lang w:eastAsia="en-AU"/>
        </w:rPr>
        <w:t>SS-SFV was next with 3,038 registered clients and 7,535 unregistered clients</w:t>
      </w:r>
    </w:p>
    <w:p w:rsidR="0092479E" w:rsidRPr="00A0326E" w:rsidRDefault="0092479E" w:rsidP="008E31EC">
      <w:pPr>
        <w:pStyle w:val="ListParagraph"/>
        <w:numPr>
          <w:ilvl w:val="0"/>
          <w:numId w:val="10"/>
        </w:numPr>
        <w:rPr>
          <w:rFonts w:eastAsia="Times New Roman"/>
          <w:noProof/>
          <w:sz w:val="24"/>
          <w:szCs w:val="24"/>
          <w:lang w:eastAsia="en-AU"/>
        </w:rPr>
      </w:pPr>
      <w:r w:rsidRPr="00A0326E">
        <w:rPr>
          <w:rFonts w:eastAsia="Times New Roman"/>
          <w:noProof/>
          <w:sz w:val="24"/>
          <w:szCs w:val="24"/>
          <w:lang w:eastAsia="en-AU"/>
        </w:rPr>
        <w:t xml:space="preserve">KiF followed with 756 registered clients and 1,906 unregistered clients </w:t>
      </w:r>
    </w:p>
    <w:p w:rsidR="003925E1" w:rsidRDefault="0092479E" w:rsidP="008E31EC">
      <w:pPr>
        <w:pStyle w:val="ListParagraph"/>
        <w:numPr>
          <w:ilvl w:val="0"/>
          <w:numId w:val="10"/>
        </w:numPr>
        <w:rPr>
          <w:rFonts w:eastAsia="Times New Roman"/>
          <w:noProof/>
          <w:sz w:val="24"/>
          <w:szCs w:val="24"/>
          <w:lang w:eastAsia="en-AU"/>
        </w:rPr>
      </w:pPr>
      <w:r w:rsidRPr="00A0326E">
        <w:rPr>
          <w:rFonts w:eastAsia="Times New Roman"/>
          <w:noProof/>
          <w:sz w:val="24"/>
          <w:szCs w:val="24"/>
          <w:lang w:eastAsia="en-AU"/>
        </w:rPr>
        <w:t>The lowest number of registered clients was recorded for SS-FRSHE with 750 and 1,169 unregistered</w:t>
      </w:r>
    </w:p>
    <w:p w:rsidR="0092479E" w:rsidRDefault="0092479E" w:rsidP="00417F06">
      <w:pPr>
        <w:pStyle w:val="ListParagraph"/>
        <w:ind w:left="360"/>
        <w:rPr>
          <w:rFonts w:eastAsia="Times New Roman"/>
          <w:noProof/>
          <w:sz w:val="24"/>
          <w:szCs w:val="24"/>
          <w:lang w:eastAsia="en-AU"/>
        </w:rPr>
      </w:pPr>
    </w:p>
    <w:p w:rsidR="0015028B" w:rsidRPr="00A0326E" w:rsidRDefault="0029544B" w:rsidP="00442A2E">
      <w:pPr>
        <w:pStyle w:val="ListParagraph"/>
        <w:ind w:left="0"/>
        <w:rPr>
          <w:rFonts w:eastAsia="Times New Roman"/>
          <w:noProof/>
          <w:sz w:val="24"/>
          <w:szCs w:val="24"/>
          <w:lang w:eastAsia="en-AU"/>
        </w:rPr>
      </w:pPr>
      <w:r w:rsidRPr="00442A2E">
        <w:rPr>
          <w:rFonts w:eastAsia="Times New Roman"/>
          <w:noProof/>
          <w:sz w:val="24"/>
          <w:szCs w:val="24"/>
          <w:lang w:eastAsia="en-AU"/>
        </w:rPr>
        <w:t xml:space="preserve">Having clients registered with a service is important to the Department because it </w:t>
      </w:r>
      <w:r w:rsidR="0044568F" w:rsidRPr="00442A2E">
        <w:rPr>
          <w:rFonts w:eastAsia="Times New Roman"/>
          <w:noProof/>
          <w:sz w:val="24"/>
          <w:szCs w:val="24"/>
          <w:lang w:eastAsia="en-AU"/>
        </w:rPr>
        <w:t>allows for the capture of client demographic data and identifies the characteristics of clients accessing services, i.e whether vulnerable and/or disadvantaged, and what type of services being accessed, which assists with Program planning.  It also allows for follow up surveys with clients in order to measure performance</w:t>
      </w:r>
      <w:r w:rsidR="00150676">
        <w:rPr>
          <w:rFonts w:eastAsia="Times New Roman"/>
          <w:noProof/>
          <w:sz w:val="24"/>
          <w:szCs w:val="24"/>
          <w:lang w:eastAsia="en-AU"/>
        </w:rPr>
        <w:t xml:space="preserve"> against Program objectives</w:t>
      </w:r>
      <w:r w:rsidR="0044568F" w:rsidRPr="00442A2E">
        <w:rPr>
          <w:rFonts w:eastAsia="Times New Roman"/>
          <w:noProof/>
          <w:sz w:val="24"/>
          <w:szCs w:val="24"/>
          <w:lang w:eastAsia="en-AU"/>
        </w:rPr>
        <w:t>.</w:t>
      </w:r>
    </w:p>
    <w:p w:rsidR="0092479E" w:rsidRPr="0092479E" w:rsidRDefault="00A0326E" w:rsidP="0092479E">
      <w:pPr>
        <w:pStyle w:val="Heading4"/>
        <w:rPr>
          <w:rFonts w:eastAsia="Times New Roman"/>
          <w:lang w:eastAsia="en-AU"/>
        </w:rPr>
      </w:pPr>
      <w:bookmarkStart w:id="135" w:name="_2.11:__Chart"/>
      <w:bookmarkEnd w:id="135"/>
      <w:r>
        <w:rPr>
          <w:rFonts w:eastAsia="Times New Roman"/>
          <w:lang w:eastAsia="en-AU"/>
        </w:rPr>
        <w:t>2.1</w:t>
      </w:r>
      <w:r w:rsidR="00DA2404">
        <w:rPr>
          <w:rFonts w:eastAsia="Times New Roman"/>
          <w:lang w:eastAsia="en-AU"/>
        </w:rPr>
        <w:t>3</w:t>
      </w:r>
      <w:r w:rsidR="0092479E" w:rsidRPr="0092479E">
        <w:rPr>
          <w:rFonts w:eastAsia="Times New Roman"/>
          <w:lang w:eastAsia="en-AU"/>
        </w:rPr>
        <w:t xml:space="preserve">:  Chart - Number of registered and unregistered clients by FaRS, SS and FLS service type from 2009-2012 </w:t>
      </w:r>
    </w:p>
    <w:p w:rsidR="0092479E" w:rsidRPr="0092479E" w:rsidRDefault="0092479E" w:rsidP="0092479E">
      <w:pPr>
        <w:spacing w:before="0" w:after="0" w:line="240" w:lineRule="auto"/>
        <w:rPr>
          <w:rFonts w:ascii="Calibri" w:eastAsia="Times New Roman" w:hAnsi="Calibri" w:cs="Times New Roman"/>
          <w:noProof/>
          <w:lang w:eastAsia="en-AU"/>
        </w:rPr>
      </w:pPr>
    </w:p>
    <w:p w:rsidR="0092479E" w:rsidRPr="0092479E" w:rsidRDefault="0092479E" w:rsidP="0092479E">
      <w:pPr>
        <w:spacing w:before="0" w:after="0" w:line="240" w:lineRule="auto"/>
        <w:rPr>
          <w:rFonts w:ascii="Calibri" w:eastAsia="Times New Roman" w:hAnsi="Calibri" w:cs="Times New Roman"/>
          <w:noProof/>
          <w:lang w:eastAsia="en-AU"/>
        </w:rPr>
      </w:pPr>
      <w:r>
        <w:rPr>
          <w:rFonts w:ascii="Calibri" w:eastAsia="Times New Roman" w:hAnsi="Calibri" w:cs="Times New Roman"/>
          <w:noProof/>
          <w:lang w:eastAsia="en-AU"/>
        </w:rPr>
        <w:drawing>
          <wp:inline distT="0" distB="0" distL="0" distR="0" wp14:anchorId="30A0890A" wp14:editId="19B61FD3">
            <wp:extent cx="5943600" cy="1447800"/>
            <wp:effectExtent l="0" t="0" r="0" b="0"/>
            <wp:docPr id="14" name="Picture 14" descr="In 2009-10 there was more registered (219,534) than unregistered clients (174,267).  In 2010-11 there was more unregistered (190,890) than registered clients (184,327).  In 2011-12 there was more registered (179,702) than unregistered clients (158,194)." title="Registered and unregistered FaRS, SS and FLS client numbers 2009-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447800"/>
                    </a:xfrm>
                    <a:prstGeom prst="rect">
                      <a:avLst/>
                    </a:prstGeom>
                    <a:noFill/>
                    <a:ln>
                      <a:noFill/>
                    </a:ln>
                  </pic:spPr>
                </pic:pic>
              </a:graphicData>
            </a:graphic>
          </wp:inline>
        </w:drawing>
      </w:r>
    </w:p>
    <w:p w:rsidR="0092479E" w:rsidRPr="0092479E" w:rsidRDefault="0092479E" w:rsidP="0092479E">
      <w:pPr>
        <w:spacing w:before="0" w:after="0" w:line="240" w:lineRule="auto"/>
        <w:rPr>
          <w:rFonts w:ascii="Calibri" w:eastAsia="Times New Roman" w:hAnsi="Calibri" w:cs="Times New Roman"/>
          <w:noProof/>
          <w:lang w:eastAsia="en-AU"/>
        </w:rPr>
      </w:pPr>
    </w:p>
    <w:p w:rsidR="006D7E12" w:rsidRPr="00081CE9" w:rsidRDefault="0092479E" w:rsidP="00D755F8">
      <w:pPr>
        <w:rPr>
          <w:rFonts w:eastAsia="Times New Roman"/>
          <w:noProof/>
          <w:sz w:val="24"/>
          <w:szCs w:val="24"/>
          <w:lang w:eastAsia="en-AU"/>
        </w:rPr>
      </w:pPr>
      <w:r w:rsidRPr="00081CE9">
        <w:rPr>
          <w:rFonts w:eastAsia="Times New Roman"/>
          <w:noProof/>
          <w:sz w:val="24"/>
          <w:szCs w:val="24"/>
          <w:lang w:eastAsia="en-AU"/>
        </w:rPr>
        <w:t>The chart above shows a comparison of the total registered and unregistered client numbers for FaRS, SS and FLS over the period 2009-10 to 2011-12.</w:t>
      </w:r>
    </w:p>
    <w:p w:rsidR="0092479E" w:rsidRPr="00081CE9" w:rsidRDefault="0092479E" w:rsidP="00D755F8">
      <w:pPr>
        <w:rPr>
          <w:rFonts w:eastAsia="Times New Roman"/>
          <w:noProof/>
          <w:sz w:val="24"/>
          <w:szCs w:val="24"/>
          <w:lang w:eastAsia="en-AU"/>
        </w:rPr>
      </w:pPr>
      <w:r w:rsidRPr="00081CE9">
        <w:rPr>
          <w:rFonts w:eastAsia="Times New Roman"/>
          <w:noProof/>
          <w:sz w:val="24"/>
          <w:szCs w:val="24"/>
          <w:lang w:eastAsia="en-AU"/>
        </w:rPr>
        <w:t xml:space="preserve">In 2009-10 there was </w:t>
      </w:r>
      <w:r w:rsidR="00D755F8" w:rsidRPr="00081CE9">
        <w:rPr>
          <w:rFonts w:eastAsia="Times New Roman"/>
          <w:noProof/>
          <w:sz w:val="24"/>
          <w:szCs w:val="24"/>
          <w:lang w:eastAsia="en-AU"/>
        </w:rPr>
        <w:t>a higher percentage of</w:t>
      </w:r>
      <w:r w:rsidRPr="00081CE9">
        <w:rPr>
          <w:rFonts w:eastAsia="Times New Roman"/>
          <w:noProof/>
          <w:sz w:val="24"/>
          <w:szCs w:val="24"/>
          <w:lang w:eastAsia="en-AU"/>
        </w:rPr>
        <w:t xml:space="preserve"> registered (</w:t>
      </w:r>
      <w:r w:rsidR="00D755F8" w:rsidRPr="00081CE9">
        <w:rPr>
          <w:rFonts w:eastAsia="Times New Roman"/>
          <w:noProof/>
          <w:sz w:val="24"/>
          <w:szCs w:val="24"/>
          <w:lang w:eastAsia="en-AU"/>
        </w:rPr>
        <w:t>55.75%</w:t>
      </w:r>
      <w:r w:rsidRPr="00081CE9">
        <w:rPr>
          <w:rFonts w:eastAsia="Times New Roman"/>
          <w:noProof/>
          <w:sz w:val="24"/>
          <w:szCs w:val="24"/>
          <w:lang w:eastAsia="en-AU"/>
        </w:rPr>
        <w:t>) than unregistered clients (</w:t>
      </w:r>
      <w:r w:rsidR="00D755F8" w:rsidRPr="00081CE9">
        <w:rPr>
          <w:rFonts w:eastAsia="Times New Roman"/>
          <w:noProof/>
          <w:sz w:val="24"/>
          <w:szCs w:val="24"/>
          <w:lang w:eastAsia="en-AU"/>
        </w:rPr>
        <w:t>44.25%</w:t>
      </w:r>
      <w:r w:rsidRPr="00081CE9">
        <w:rPr>
          <w:rFonts w:eastAsia="Times New Roman"/>
          <w:noProof/>
          <w:sz w:val="24"/>
          <w:szCs w:val="24"/>
          <w:lang w:eastAsia="en-AU"/>
        </w:rPr>
        <w:t xml:space="preserve">). </w:t>
      </w:r>
      <w:r w:rsidR="00D755F8" w:rsidRPr="00081CE9">
        <w:rPr>
          <w:rFonts w:eastAsia="Times New Roman"/>
          <w:noProof/>
          <w:sz w:val="24"/>
          <w:szCs w:val="24"/>
          <w:lang w:eastAsia="en-AU"/>
        </w:rPr>
        <w:t xml:space="preserve"> </w:t>
      </w:r>
      <w:r w:rsidR="006D7E12" w:rsidRPr="00081CE9">
        <w:rPr>
          <w:rFonts w:eastAsia="Times New Roman"/>
          <w:noProof/>
          <w:sz w:val="24"/>
          <w:szCs w:val="24"/>
          <w:lang w:eastAsia="en-AU"/>
        </w:rPr>
        <w:t>However</w:t>
      </w:r>
      <w:r w:rsidR="00D755F8" w:rsidRPr="00081CE9">
        <w:rPr>
          <w:rFonts w:eastAsia="Times New Roman"/>
          <w:noProof/>
          <w:sz w:val="24"/>
          <w:szCs w:val="24"/>
          <w:lang w:eastAsia="en-AU"/>
        </w:rPr>
        <w:t>, i</w:t>
      </w:r>
      <w:r w:rsidRPr="00081CE9">
        <w:rPr>
          <w:rFonts w:eastAsia="Times New Roman"/>
          <w:noProof/>
          <w:sz w:val="24"/>
          <w:szCs w:val="24"/>
          <w:lang w:eastAsia="en-AU"/>
        </w:rPr>
        <w:t>n 2010-11</w:t>
      </w:r>
      <w:r w:rsidR="00D755F8" w:rsidRPr="00081CE9">
        <w:rPr>
          <w:rFonts w:eastAsia="Times New Roman"/>
          <w:noProof/>
          <w:sz w:val="24"/>
          <w:szCs w:val="24"/>
          <w:lang w:eastAsia="en-AU"/>
        </w:rPr>
        <w:t xml:space="preserve"> the</w:t>
      </w:r>
      <w:r w:rsidR="006D7E12" w:rsidRPr="00081CE9">
        <w:rPr>
          <w:rFonts w:eastAsia="Times New Roman"/>
          <w:noProof/>
          <w:sz w:val="24"/>
          <w:szCs w:val="24"/>
          <w:lang w:eastAsia="en-AU"/>
        </w:rPr>
        <w:t xml:space="preserve"> percentage</w:t>
      </w:r>
      <w:r w:rsidR="00D755F8" w:rsidRPr="00081CE9">
        <w:rPr>
          <w:rFonts w:eastAsia="Times New Roman"/>
          <w:noProof/>
          <w:sz w:val="24"/>
          <w:szCs w:val="24"/>
          <w:lang w:eastAsia="en-AU"/>
        </w:rPr>
        <w:t xml:space="preserve"> of unregistered clients</w:t>
      </w:r>
      <w:r w:rsidRPr="00081CE9">
        <w:rPr>
          <w:rFonts w:eastAsia="Times New Roman"/>
          <w:noProof/>
          <w:sz w:val="24"/>
          <w:szCs w:val="24"/>
          <w:lang w:eastAsia="en-AU"/>
        </w:rPr>
        <w:t xml:space="preserve"> (</w:t>
      </w:r>
      <w:r w:rsidR="006D7E12" w:rsidRPr="00081CE9">
        <w:rPr>
          <w:rFonts w:eastAsia="Times New Roman"/>
          <w:noProof/>
          <w:sz w:val="24"/>
          <w:szCs w:val="24"/>
          <w:lang w:eastAsia="en-AU"/>
        </w:rPr>
        <w:t>50.87%</w:t>
      </w:r>
      <w:r w:rsidRPr="00081CE9">
        <w:rPr>
          <w:rFonts w:eastAsia="Times New Roman"/>
          <w:noProof/>
          <w:sz w:val="24"/>
          <w:szCs w:val="24"/>
          <w:lang w:eastAsia="en-AU"/>
        </w:rPr>
        <w:t xml:space="preserve">) </w:t>
      </w:r>
      <w:r w:rsidR="00D755F8" w:rsidRPr="00081CE9">
        <w:rPr>
          <w:rFonts w:eastAsia="Times New Roman"/>
          <w:noProof/>
          <w:sz w:val="24"/>
          <w:szCs w:val="24"/>
          <w:lang w:eastAsia="en-AU"/>
        </w:rPr>
        <w:t>exceeded the</w:t>
      </w:r>
      <w:r w:rsidR="006D7E12" w:rsidRPr="00081CE9">
        <w:rPr>
          <w:rFonts w:eastAsia="Times New Roman"/>
          <w:noProof/>
          <w:sz w:val="24"/>
          <w:szCs w:val="24"/>
          <w:lang w:eastAsia="en-AU"/>
        </w:rPr>
        <w:t xml:space="preserve"> percentage</w:t>
      </w:r>
      <w:r w:rsidR="00D755F8" w:rsidRPr="00081CE9">
        <w:rPr>
          <w:rFonts w:eastAsia="Times New Roman"/>
          <w:noProof/>
          <w:sz w:val="24"/>
          <w:szCs w:val="24"/>
          <w:lang w:eastAsia="en-AU"/>
        </w:rPr>
        <w:t xml:space="preserve"> of r</w:t>
      </w:r>
      <w:r w:rsidRPr="00081CE9">
        <w:rPr>
          <w:rFonts w:eastAsia="Times New Roman"/>
          <w:noProof/>
          <w:sz w:val="24"/>
          <w:szCs w:val="24"/>
          <w:lang w:eastAsia="en-AU"/>
        </w:rPr>
        <w:t>egistered clients (</w:t>
      </w:r>
      <w:r w:rsidR="006D7E12" w:rsidRPr="00081CE9">
        <w:rPr>
          <w:rFonts w:eastAsia="Times New Roman"/>
          <w:noProof/>
          <w:sz w:val="24"/>
          <w:szCs w:val="24"/>
          <w:lang w:eastAsia="en-AU"/>
        </w:rPr>
        <w:t>49.13%</w:t>
      </w:r>
      <w:r w:rsidRPr="00081CE9">
        <w:rPr>
          <w:rFonts w:eastAsia="Times New Roman"/>
          <w:noProof/>
          <w:sz w:val="24"/>
          <w:szCs w:val="24"/>
          <w:lang w:eastAsia="en-AU"/>
        </w:rPr>
        <w:t xml:space="preserve">).  </w:t>
      </w:r>
      <w:r w:rsidR="00D755F8" w:rsidRPr="00081CE9">
        <w:rPr>
          <w:rFonts w:eastAsia="Times New Roman"/>
          <w:noProof/>
          <w:sz w:val="24"/>
          <w:szCs w:val="24"/>
          <w:lang w:eastAsia="en-AU"/>
        </w:rPr>
        <w:t>But i</w:t>
      </w:r>
      <w:r w:rsidRPr="00081CE9">
        <w:rPr>
          <w:rFonts w:eastAsia="Times New Roman"/>
          <w:noProof/>
          <w:sz w:val="24"/>
          <w:szCs w:val="24"/>
          <w:lang w:eastAsia="en-AU"/>
        </w:rPr>
        <w:t xml:space="preserve">n 2011-12 </w:t>
      </w:r>
      <w:r w:rsidR="00D755F8" w:rsidRPr="00081CE9">
        <w:rPr>
          <w:rFonts w:eastAsia="Times New Roman"/>
          <w:noProof/>
          <w:sz w:val="24"/>
          <w:szCs w:val="24"/>
          <w:lang w:eastAsia="en-AU"/>
        </w:rPr>
        <w:t xml:space="preserve">the </w:t>
      </w:r>
      <w:r w:rsidR="006D7E12" w:rsidRPr="00081CE9">
        <w:rPr>
          <w:rFonts w:eastAsia="Times New Roman"/>
          <w:noProof/>
          <w:sz w:val="24"/>
          <w:szCs w:val="24"/>
          <w:lang w:eastAsia="en-AU"/>
        </w:rPr>
        <w:t>percentage</w:t>
      </w:r>
      <w:r w:rsidR="00D755F8" w:rsidRPr="00081CE9">
        <w:rPr>
          <w:rFonts w:eastAsia="Times New Roman"/>
          <w:noProof/>
          <w:sz w:val="24"/>
          <w:szCs w:val="24"/>
          <w:lang w:eastAsia="en-AU"/>
        </w:rPr>
        <w:t xml:space="preserve"> of</w:t>
      </w:r>
      <w:r w:rsidRPr="00081CE9">
        <w:rPr>
          <w:rFonts w:eastAsia="Times New Roman"/>
          <w:noProof/>
          <w:sz w:val="24"/>
          <w:szCs w:val="24"/>
          <w:lang w:eastAsia="en-AU"/>
        </w:rPr>
        <w:t xml:space="preserve"> registered </w:t>
      </w:r>
      <w:r w:rsidR="00D755F8" w:rsidRPr="00081CE9">
        <w:rPr>
          <w:rFonts w:eastAsia="Times New Roman"/>
          <w:noProof/>
          <w:sz w:val="24"/>
          <w:szCs w:val="24"/>
          <w:lang w:eastAsia="en-AU"/>
        </w:rPr>
        <w:t xml:space="preserve"> clients (</w:t>
      </w:r>
      <w:r w:rsidR="006D7E12" w:rsidRPr="00081CE9">
        <w:rPr>
          <w:rFonts w:eastAsia="Times New Roman"/>
          <w:noProof/>
          <w:sz w:val="24"/>
          <w:szCs w:val="24"/>
          <w:lang w:eastAsia="en-AU"/>
        </w:rPr>
        <w:t>53.18%</w:t>
      </w:r>
      <w:r w:rsidR="00D755F8" w:rsidRPr="00081CE9">
        <w:rPr>
          <w:rFonts w:eastAsia="Times New Roman"/>
          <w:noProof/>
          <w:sz w:val="24"/>
          <w:szCs w:val="24"/>
          <w:lang w:eastAsia="en-AU"/>
        </w:rPr>
        <w:t>) again exceeded</w:t>
      </w:r>
      <w:r w:rsidRPr="00081CE9">
        <w:rPr>
          <w:rFonts w:eastAsia="Times New Roman"/>
          <w:noProof/>
          <w:sz w:val="24"/>
          <w:szCs w:val="24"/>
          <w:lang w:eastAsia="en-AU"/>
        </w:rPr>
        <w:t xml:space="preserve"> </w:t>
      </w:r>
      <w:r w:rsidR="006D7E12" w:rsidRPr="00081CE9">
        <w:rPr>
          <w:rFonts w:eastAsia="Times New Roman"/>
          <w:noProof/>
          <w:sz w:val="24"/>
          <w:szCs w:val="24"/>
          <w:lang w:eastAsia="en-AU"/>
        </w:rPr>
        <w:t xml:space="preserve">the percentage of </w:t>
      </w:r>
      <w:r w:rsidRPr="00081CE9">
        <w:rPr>
          <w:rFonts w:eastAsia="Times New Roman"/>
          <w:noProof/>
          <w:sz w:val="24"/>
          <w:szCs w:val="24"/>
          <w:lang w:eastAsia="en-AU"/>
        </w:rPr>
        <w:t>unregistered clients (</w:t>
      </w:r>
      <w:r w:rsidR="006D7E12" w:rsidRPr="00081CE9">
        <w:rPr>
          <w:rFonts w:eastAsia="Times New Roman"/>
          <w:noProof/>
          <w:sz w:val="24"/>
          <w:szCs w:val="24"/>
          <w:lang w:eastAsia="en-AU"/>
        </w:rPr>
        <w:t>46.82%</w:t>
      </w:r>
      <w:r w:rsidRPr="00081CE9">
        <w:rPr>
          <w:rFonts w:eastAsia="Times New Roman"/>
          <w:noProof/>
          <w:sz w:val="24"/>
          <w:szCs w:val="24"/>
          <w:lang w:eastAsia="en-AU"/>
        </w:rPr>
        <w:t>).</w:t>
      </w:r>
    </w:p>
    <w:p w:rsidR="00081CE9" w:rsidRDefault="00474CE0" w:rsidP="00081CE9">
      <w:pPr>
        <w:rPr>
          <w:rFonts w:eastAsia="Times New Roman"/>
          <w:sz w:val="24"/>
          <w:szCs w:val="24"/>
        </w:rPr>
      </w:pPr>
      <w:bookmarkStart w:id="136" w:name="_Chart_2.4:__1"/>
      <w:bookmarkStart w:id="137" w:name="_Chart_2.18:_"/>
      <w:bookmarkEnd w:id="136"/>
      <w:bookmarkEnd w:id="137"/>
      <w:r w:rsidRPr="00793B68">
        <w:rPr>
          <w:rFonts w:eastAsia="Times New Roman"/>
          <w:sz w:val="24"/>
          <w:szCs w:val="24"/>
        </w:rPr>
        <w:t xml:space="preserve">Service providers across all three activity types reported difficulty in obtaining client consent to forward personal client data </w:t>
      </w:r>
      <w:r>
        <w:rPr>
          <w:rFonts w:eastAsia="Times New Roman"/>
          <w:sz w:val="24"/>
          <w:szCs w:val="24"/>
        </w:rPr>
        <w:t xml:space="preserve">to </w:t>
      </w:r>
      <w:r w:rsidRPr="00793B68">
        <w:rPr>
          <w:rFonts w:eastAsia="Times New Roman"/>
          <w:sz w:val="24"/>
          <w:szCs w:val="24"/>
        </w:rPr>
        <w:t>the Department.</w:t>
      </w:r>
      <w:r>
        <w:rPr>
          <w:rFonts w:eastAsia="Times New Roman"/>
          <w:sz w:val="24"/>
          <w:szCs w:val="24"/>
        </w:rPr>
        <w:t xml:space="preserve">  </w:t>
      </w:r>
      <w:r w:rsidR="00081CE9" w:rsidRPr="00793B68">
        <w:rPr>
          <w:rFonts w:eastAsia="Times New Roman"/>
          <w:sz w:val="24"/>
          <w:szCs w:val="24"/>
        </w:rPr>
        <w:t>The Department has been working with providers to try to reduce the incidence of unregistered clients, e</w:t>
      </w:r>
      <w:r w:rsidR="00081CE9">
        <w:rPr>
          <w:rFonts w:eastAsia="Times New Roman"/>
          <w:sz w:val="24"/>
          <w:szCs w:val="24"/>
        </w:rPr>
        <w:t>.</w:t>
      </w:r>
      <w:r w:rsidR="00081CE9" w:rsidRPr="00793B68">
        <w:rPr>
          <w:rFonts w:eastAsia="Times New Roman"/>
          <w:sz w:val="24"/>
          <w:szCs w:val="24"/>
        </w:rPr>
        <w:t>g</w:t>
      </w:r>
      <w:r w:rsidR="00081CE9">
        <w:rPr>
          <w:rFonts w:eastAsia="Times New Roman"/>
          <w:sz w:val="24"/>
          <w:szCs w:val="24"/>
        </w:rPr>
        <w:t>.</w:t>
      </w:r>
      <w:r w:rsidR="00081CE9" w:rsidRPr="00793B68">
        <w:rPr>
          <w:rFonts w:eastAsia="Times New Roman"/>
          <w:sz w:val="24"/>
          <w:szCs w:val="24"/>
        </w:rPr>
        <w:t xml:space="preserve"> by improving the consent form and introducing functionality to allow organisations to generate client IDs without sending client details to the Department.  As a result, the percentage of registered clients</w:t>
      </w:r>
      <w:r w:rsidR="00081CE9">
        <w:rPr>
          <w:rFonts w:eastAsia="Times New Roman"/>
          <w:sz w:val="24"/>
          <w:szCs w:val="24"/>
        </w:rPr>
        <w:t xml:space="preserve"> </w:t>
      </w:r>
      <w:r w:rsidR="00081CE9" w:rsidRPr="00793B68">
        <w:rPr>
          <w:rFonts w:eastAsia="Times New Roman"/>
          <w:sz w:val="24"/>
          <w:szCs w:val="24"/>
        </w:rPr>
        <w:t>increased by 4.05%</w:t>
      </w:r>
      <w:r w:rsidR="00081CE9">
        <w:rPr>
          <w:rFonts w:eastAsia="Times New Roman"/>
          <w:sz w:val="24"/>
          <w:szCs w:val="24"/>
        </w:rPr>
        <w:t>, from 49.13% in 2010-11 to</w:t>
      </w:r>
      <w:r w:rsidR="00081CE9" w:rsidRPr="00793B68">
        <w:rPr>
          <w:rFonts w:eastAsia="Times New Roman"/>
          <w:sz w:val="24"/>
          <w:szCs w:val="24"/>
        </w:rPr>
        <w:t xml:space="preserve"> 53.18%</w:t>
      </w:r>
      <w:r w:rsidR="00081CE9">
        <w:rPr>
          <w:rFonts w:eastAsia="Times New Roman"/>
          <w:sz w:val="24"/>
          <w:szCs w:val="24"/>
        </w:rPr>
        <w:t xml:space="preserve"> in 2011-12.</w:t>
      </w:r>
    </w:p>
    <w:p w:rsidR="00C52200" w:rsidRPr="00C52200" w:rsidRDefault="00C52200" w:rsidP="00C52200">
      <w:pPr>
        <w:pStyle w:val="Heading2"/>
        <w:rPr>
          <w:rFonts w:eastAsia="Times New Roman"/>
          <w:lang w:eastAsia="en-AU"/>
        </w:rPr>
      </w:pPr>
      <w:bookmarkStart w:id="138" w:name="_Toc338944768"/>
      <w:bookmarkStart w:id="139" w:name="_Toc338945059"/>
      <w:bookmarkStart w:id="140" w:name="_Toc338945386"/>
      <w:bookmarkStart w:id="141" w:name="_Toc338945639"/>
      <w:bookmarkStart w:id="142" w:name="_Toc341705909"/>
      <w:r w:rsidRPr="00C52200">
        <w:rPr>
          <w:rFonts w:eastAsia="Times New Roman"/>
          <w:lang w:eastAsia="en-AU"/>
        </w:rPr>
        <w:t>Communities for Children and Community Playgroups</w:t>
      </w:r>
      <w:bookmarkEnd w:id="138"/>
      <w:bookmarkEnd w:id="139"/>
      <w:bookmarkEnd w:id="140"/>
      <w:bookmarkEnd w:id="141"/>
      <w:bookmarkEnd w:id="142"/>
    </w:p>
    <w:p w:rsidR="00DF5F75" w:rsidRDefault="00C52200" w:rsidP="00C52200">
      <w:pPr>
        <w:rPr>
          <w:rFonts w:eastAsia="Times New Roman"/>
          <w:sz w:val="24"/>
          <w:szCs w:val="24"/>
        </w:rPr>
      </w:pPr>
      <w:r w:rsidRPr="00474CE0">
        <w:rPr>
          <w:rFonts w:eastAsia="Times New Roman"/>
          <w:sz w:val="24"/>
          <w:szCs w:val="24"/>
        </w:rPr>
        <w:t>C</w:t>
      </w:r>
      <w:r w:rsidR="00474CE0" w:rsidRPr="00474CE0">
        <w:rPr>
          <w:rFonts w:eastAsia="Times New Roman"/>
          <w:sz w:val="24"/>
          <w:szCs w:val="24"/>
        </w:rPr>
        <w:t>ommunities for Children s</w:t>
      </w:r>
      <w:r w:rsidRPr="00474CE0">
        <w:rPr>
          <w:rFonts w:eastAsia="Times New Roman"/>
          <w:sz w:val="24"/>
          <w:szCs w:val="24"/>
        </w:rPr>
        <w:t xml:space="preserve">ervices provide prevention and early intervention services </w:t>
      </w:r>
      <w:r w:rsidR="00DF5F75">
        <w:rPr>
          <w:rFonts w:eastAsia="Times New Roman"/>
          <w:sz w:val="24"/>
          <w:szCs w:val="24"/>
        </w:rPr>
        <w:t>for</w:t>
      </w:r>
      <w:r w:rsidRPr="00474CE0">
        <w:rPr>
          <w:rFonts w:eastAsia="Times New Roman"/>
          <w:sz w:val="24"/>
          <w:szCs w:val="24"/>
        </w:rPr>
        <w:t xml:space="preserve"> families with children up to age 12</w:t>
      </w:r>
      <w:r w:rsidR="00DF5F75">
        <w:rPr>
          <w:rFonts w:eastAsia="Times New Roman"/>
          <w:sz w:val="24"/>
          <w:szCs w:val="24"/>
        </w:rPr>
        <w:t xml:space="preserve"> with the aim of strengthening family wellbeing and community capacity.</w:t>
      </w:r>
      <w:r w:rsidR="00474CE0" w:rsidRPr="00474CE0">
        <w:rPr>
          <w:rFonts w:eastAsia="Times New Roman"/>
          <w:sz w:val="24"/>
          <w:szCs w:val="24"/>
        </w:rPr>
        <w:t xml:space="preserve">  </w:t>
      </w:r>
      <w:r w:rsidRPr="00474CE0">
        <w:rPr>
          <w:rFonts w:eastAsia="Times New Roman"/>
          <w:sz w:val="24"/>
          <w:szCs w:val="24"/>
        </w:rPr>
        <w:t xml:space="preserve">Community </w:t>
      </w:r>
      <w:r w:rsidRPr="00474CE0">
        <w:rPr>
          <w:rFonts w:eastAsia="Times New Roman"/>
          <w:sz w:val="24"/>
          <w:szCs w:val="24"/>
        </w:rPr>
        <w:lastRenderedPageBreak/>
        <w:t>Playgroup</w:t>
      </w:r>
      <w:r w:rsidR="00DF5F75">
        <w:rPr>
          <w:rFonts w:eastAsia="Times New Roman"/>
          <w:sz w:val="24"/>
          <w:szCs w:val="24"/>
        </w:rPr>
        <w:t xml:space="preserve"> Associations</w:t>
      </w:r>
      <w:r w:rsidRPr="00474CE0">
        <w:rPr>
          <w:rFonts w:eastAsia="Times New Roman"/>
          <w:sz w:val="24"/>
          <w:szCs w:val="24"/>
        </w:rPr>
        <w:t xml:space="preserve"> </w:t>
      </w:r>
      <w:r w:rsidR="00DF5F75">
        <w:rPr>
          <w:rFonts w:eastAsia="Times New Roman"/>
          <w:sz w:val="24"/>
          <w:szCs w:val="24"/>
        </w:rPr>
        <w:t>enable self-managed and self-funded playgroups to operate in all communities around Australia to promote positive parent-child play, social support and community cohesion.</w:t>
      </w:r>
    </w:p>
    <w:p w:rsidR="00C52200" w:rsidRPr="00474CE0" w:rsidRDefault="00C52200" w:rsidP="00C52200">
      <w:pPr>
        <w:rPr>
          <w:rFonts w:eastAsia="Times New Roman"/>
          <w:sz w:val="24"/>
          <w:szCs w:val="24"/>
        </w:rPr>
      </w:pPr>
      <w:r w:rsidRPr="00474CE0">
        <w:rPr>
          <w:rFonts w:eastAsia="Times New Roman"/>
          <w:sz w:val="24"/>
          <w:szCs w:val="24"/>
        </w:rPr>
        <w:t xml:space="preserve">State Community Playgroup Associations’ statistics on people identifying as </w:t>
      </w:r>
      <w:r w:rsidR="00DF5F75">
        <w:rPr>
          <w:rFonts w:eastAsia="Times New Roman"/>
          <w:sz w:val="24"/>
          <w:szCs w:val="24"/>
        </w:rPr>
        <w:t xml:space="preserve">Aboriginal and/or Torres Strait Islander, </w:t>
      </w:r>
      <w:r w:rsidRPr="00474CE0">
        <w:rPr>
          <w:rFonts w:eastAsia="Times New Roman"/>
          <w:sz w:val="24"/>
          <w:szCs w:val="24"/>
        </w:rPr>
        <w:t xml:space="preserve">Culturally and Linguistically Diverse </w:t>
      </w:r>
      <w:r w:rsidR="00DF5F75">
        <w:rPr>
          <w:rFonts w:eastAsia="Times New Roman"/>
          <w:sz w:val="24"/>
          <w:szCs w:val="24"/>
        </w:rPr>
        <w:t>or having</w:t>
      </w:r>
      <w:r w:rsidRPr="00474CE0">
        <w:rPr>
          <w:rFonts w:eastAsia="Times New Roman"/>
          <w:sz w:val="24"/>
          <w:szCs w:val="24"/>
        </w:rPr>
        <w:t xml:space="preserve"> a disability are underreported and should be considered as indicative only.</w:t>
      </w:r>
    </w:p>
    <w:p w:rsidR="00C52200" w:rsidRPr="00C52200" w:rsidRDefault="00C52200" w:rsidP="00C52200">
      <w:pPr>
        <w:pStyle w:val="Heading3"/>
        <w:rPr>
          <w:rFonts w:eastAsia="Times New Roman"/>
          <w:lang w:eastAsia="en-AU"/>
        </w:rPr>
      </w:pPr>
      <w:bookmarkStart w:id="143" w:name="_Toc338944769"/>
      <w:bookmarkStart w:id="144" w:name="_Toc338945060"/>
      <w:bookmarkStart w:id="145" w:name="_Toc338945387"/>
      <w:bookmarkStart w:id="146" w:name="_Toc338945640"/>
      <w:bookmarkStart w:id="147" w:name="_Toc341705910"/>
      <w:r w:rsidRPr="00C52200">
        <w:rPr>
          <w:rFonts w:eastAsia="Times New Roman"/>
          <w:lang w:eastAsia="en-AU"/>
        </w:rPr>
        <w:t>CfC and CP client numbers</w:t>
      </w:r>
      <w:bookmarkEnd w:id="143"/>
      <w:bookmarkEnd w:id="144"/>
      <w:bookmarkEnd w:id="145"/>
      <w:bookmarkEnd w:id="146"/>
      <w:bookmarkEnd w:id="147"/>
    </w:p>
    <w:p w:rsidR="00C52200" w:rsidRPr="00474CE0" w:rsidRDefault="00474CE0" w:rsidP="00C52200">
      <w:pPr>
        <w:rPr>
          <w:rFonts w:eastAsia="Times New Roman"/>
          <w:sz w:val="24"/>
          <w:szCs w:val="24"/>
        </w:rPr>
      </w:pPr>
      <w:r w:rsidRPr="00474CE0">
        <w:rPr>
          <w:rFonts w:eastAsia="Times New Roman"/>
          <w:sz w:val="24"/>
          <w:szCs w:val="24"/>
        </w:rPr>
        <w:t xml:space="preserve">A total of 566,860 clients participated in </w:t>
      </w:r>
      <w:proofErr w:type="gramStart"/>
      <w:r w:rsidRPr="00474CE0">
        <w:rPr>
          <w:rFonts w:eastAsia="Times New Roman"/>
          <w:sz w:val="24"/>
          <w:szCs w:val="24"/>
        </w:rPr>
        <w:t>CfC</w:t>
      </w:r>
      <w:proofErr w:type="gramEnd"/>
      <w:r w:rsidRPr="00474CE0">
        <w:rPr>
          <w:rFonts w:eastAsia="Times New Roman"/>
          <w:sz w:val="24"/>
          <w:szCs w:val="24"/>
        </w:rPr>
        <w:t xml:space="preserve"> an</w:t>
      </w:r>
      <w:r>
        <w:rPr>
          <w:rFonts w:eastAsia="Times New Roman"/>
          <w:sz w:val="24"/>
          <w:szCs w:val="24"/>
        </w:rPr>
        <w:t>d C</w:t>
      </w:r>
      <w:r w:rsidR="00DF5F75">
        <w:rPr>
          <w:rFonts w:eastAsia="Times New Roman"/>
          <w:sz w:val="24"/>
          <w:szCs w:val="24"/>
        </w:rPr>
        <w:t xml:space="preserve">ommunity </w:t>
      </w:r>
      <w:r>
        <w:rPr>
          <w:rFonts w:eastAsia="Times New Roman"/>
          <w:sz w:val="24"/>
          <w:szCs w:val="24"/>
        </w:rPr>
        <w:t>P</w:t>
      </w:r>
      <w:r w:rsidR="00DF5F75">
        <w:rPr>
          <w:rFonts w:eastAsia="Times New Roman"/>
          <w:sz w:val="24"/>
          <w:szCs w:val="24"/>
        </w:rPr>
        <w:t>laygroup</w:t>
      </w:r>
      <w:r>
        <w:rPr>
          <w:rFonts w:eastAsia="Times New Roman"/>
          <w:sz w:val="24"/>
          <w:szCs w:val="24"/>
        </w:rPr>
        <w:t xml:space="preserve"> Activities during 2011-12.  As shown in Chart 2.12</w:t>
      </w:r>
      <w:r w:rsidR="00DF5F75">
        <w:rPr>
          <w:rFonts w:eastAsia="Times New Roman"/>
          <w:sz w:val="24"/>
          <w:szCs w:val="24"/>
        </w:rPr>
        <w:t>,</w:t>
      </w:r>
      <w:r>
        <w:rPr>
          <w:rFonts w:eastAsia="Times New Roman"/>
          <w:sz w:val="24"/>
          <w:szCs w:val="24"/>
        </w:rPr>
        <w:t xml:space="preserve"> </w:t>
      </w:r>
      <w:proofErr w:type="gramStart"/>
      <w:r>
        <w:rPr>
          <w:rFonts w:eastAsia="Times New Roman"/>
          <w:sz w:val="24"/>
          <w:szCs w:val="24"/>
        </w:rPr>
        <w:t>CfC</w:t>
      </w:r>
      <w:proofErr w:type="gramEnd"/>
      <w:r>
        <w:rPr>
          <w:rFonts w:eastAsia="Times New Roman"/>
          <w:sz w:val="24"/>
          <w:szCs w:val="24"/>
        </w:rPr>
        <w:t> </w:t>
      </w:r>
      <w:r w:rsidR="00C52200" w:rsidRPr="00474CE0">
        <w:rPr>
          <w:rFonts w:eastAsia="Times New Roman"/>
          <w:sz w:val="24"/>
          <w:szCs w:val="24"/>
        </w:rPr>
        <w:t>FPs recorded the highest number of clients followed by Community Playgroups, CfC Direct and CfC IPS.</w:t>
      </w:r>
    </w:p>
    <w:p w:rsidR="00C52200" w:rsidRPr="00474CE0" w:rsidRDefault="00C52200" w:rsidP="00C52200">
      <w:pPr>
        <w:rPr>
          <w:rFonts w:eastAsia="Times New Roman"/>
          <w:sz w:val="24"/>
          <w:szCs w:val="24"/>
        </w:rPr>
      </w:pPr>
      <w:r w:rsidRPr="00474CE0">
        <w:rPr>
          <w:rFonts w:eastAsia="Times New Roman"/>
          <w:sz w:val="24"/>
          <w:szCs w:val="24"/>
        </w:rPr>
        <w:t>The highest percentage of clients for Community Playgroups was recorded in the children 0 to 4 years age cohort (55.21%), followed by adults 18 years plus (49.49%).  This result is as expected as</w:t>
      </w:r>
      <w:r w:rsidR="00DF5F75">
        <w:rPr>
          <w:rFonts w:eastAsia="Times New Roman"/>
          <w:sz w:val="24"/>
          <w:szCs w:val="24"/>
        </w:rPr>
        <w:t xml:space="preserve"> Community Playgroups</w:t>
      </w:r>
      <w:r w:rsidR="00F032A5">
        <w:rPr>
          <w:rFonts w:eastAsia="Times New Roman"/>
          <w:sz w:val="24"/>
          <w:szCs w:val="24"/>
        </w:rPr>
        <w:t xml:space="preserve"> target</w:t>
      </w:r>
      <w:r w:rsidRPr="00474CE0">
        <w:rPr>
          <w:rFonts w:eastAsia="Times New Roman"/>
          <w:sz w:val="24"/>
          <w:szCs w:val="24"/>
        </w:rPr>
        <w:t xml:space="preserve"> adults with preschool age</w:t>
      </w:r>
      <w:r w:rsidR="00DF5F75">
        <w:rPr>
          <w:rFonts w:eastAsia="Times New Roman"/>
          <w:sz w:val="24"/>
          <w:szCs w:val="24"/>
        </w:rPr>
        <w:t>d</w:t>
      </w:r>
      <w:r w:rsidRPr="00474CE0">
        <w:rPr>
          <w:rFonts w:eastAsia="Times New Roman"/>
          <w:sz w:val="24"/>
          <w:szCs w:val="24"/>
        </w:rPr>
        <w:t xml:space="preserve"> children.</w:t>
      </w:r>
    </w:p>
    <w:p w:rsidR="00C52200" w:rsidRPr="00474CE0" w:rsidRDefault="00C52200" w:rsidP="00C52200">
      <w:pPr>
        <w:rPr>
          <w:rFonts w:eastAsia="Times New Roman"/>
          <w:sz w:val="24"/>
          <w:szCs w:val="24"/>
        </w:rPr>
      </w:pPr>
      <w:r w:rsidRPr="00474CE0">
        <w:rPr>
          <w:rFonts w:eastAsia="Times New Roman"/>
          <w:sz w:val="24"/>
          <w:szCs w:val="24"/>
        </w:rPr>
        <w:t>The highest percentage of clients for CfC FP was recorded in the adults 18 years plus cohort, followed by children 0 to 4 years, children 5 to under 13 years and</w:t>
      </w:r>
      <w:r w:rsidR="00DF5F75">
        <w:rPr>
          <w:rFonts w:eastAsia="Times New Roman"/>
          <w:sz w:val="24"/>
          <w:szCs w:val="24"/>
        </w:rPr>
        <w:t>,</w:t>
      </w:r>
      <w:r w:rsidRPr="00474CE0">
        <w:rPr>
          <w:rFonts w:eastAsia="Times New Roman"/>
          <w:sz w:val="24"/>
          <w:szCs w:val="24"/>
        </w:rPr>
        <w:t xml:space="preserve"> finally</w:t>
      </w:r>
      <w:r w:rsidR="00DF5F75">
        <w:rPr>
          <w:rFonts w:eastAsia="Times New Roman"/>
          <w:sz w:val="24"/>
          <w:szCs w:val="24"/>
        </w:rPr>
        <w:t>,</w:t>
      </w:r>
      <w:r w:rsidRPr="00474CE0">
        <w:rPr>
          <w:rFonts w:eastAsia="Times New Roman"/>
          <w:sz w:val="24"/>
          <w:szCs w:val="24"/>
        </w:rPr>
        <w:t xml:space="preserve"> a small percentage of clients in the youth 13 to 18 years age cohort</w:t>
      </w:r>
      <w:r w:rsidR="00DF5F75">
        <w:rPr>
          <w:rFonts w:eastAsia="Times New Roman"/>
          <w:sz w:val="24"/>
          <w:szCs w:val="24"/>
        </w:rPr>
        <w:t>.</w:t>
      </w:r>
    </w:p>
    <w:p w:rsidR="00C52200" w:rsidRPr="00474CE0" w:rsidRDefault="00C52200" w:rsidP="00C52200">
      <w:pPr>
        <w:rPr>
          <w:rFonts w:eastAsia="Times New Roman"/>
          <w:sz w:val="24"/>
          <w:szCs w:val="24"/>
        </w:rPr>
      </w:pPr>
      <w:r w:rsidRPr="00474CE0">
        <w:rPr>
          <w:rFonts w:eastAsia="Times New Roman"/>
          <w:sz w:val="24"/>
          <w:szCs w:val="24"/>
        </w:rPr>
        <w:t>The highest percentage of clients for CfC IPS was recorded in the adults 18 years plus cohort, followed by children 0 to 4 years, children 5 to under 13 years and finally a small percentage of clients in the youth 13 to 18 years age cohort</w:t>
      </w:r>
      <w:r w:rsidR="00DF5F75">
        <w:rPr>
          <w:rFonts w:eastAsia="Times New Roman"/>
          <w:sz w:val="24"/>
          <w:szCs w:val="24"/>
        </w:rPr>
        <w:t>.</w:t>
      </w:r>
    </w:p>
    <w:p w:rsidR="00474CE0" w:rsidRPr="00474CE0" w:rsidRDefault="00C52200" w:rsidP="00C52200">
      <w:pPr>
        <w:rPr>
          <w:rFonts w:eastAsia="Times New Roman"/>
          <w:sz w:val="24"/>
          <w:szCs w:val="24"/>
        </w:rPr>
      </w:pPr>
      <w:r w:rsidRPr="00474CE0">
        <w:rPr>
          <w:rFonts w:eastAsia="Times New Roman"/>
          <w:sz w:val="24"/>
          <w:szCs w:val="24"/>
        </w:rPr>
        <w:t>Over 50% of clients for CfC Direct w</w:t>
      </w:r>
      <w:r w:rsidR="00DF5F75">
        <w:rPr>
          <w:rFonts w:eastAsia="Times New Roman"/>
          <w:sz w:val="24"/>
          <w:szCs w:val="24"/>
        </w:rPr>
        <w:t>ere</w:t>
      </w:r>
      <w:r w:rsidRPr="00474CE0">
        <w:rPr>
          <w:rFonts w:eastAsia="Times New Roman"/>
          <w:sz w:val="24"/>
          <w:szCs w:val="24"/>
        </w:rPr>
        <w:t xml:space="preserve"> recorded in the </w:t>
      </w:r>
      <w:r w:rsidR="004C2516">
        <w:rPr>
          <w:rFonts w:eastAsia="Times New Roman"/>
          <w:sz w:val="24"/>
          <w:szCs w:val="24"/>
        </w:rPr>
        <w:t xml:space="preserve">adults </w:t>
      </w:r>
      <w:r w:rsidRPr="00474CE0">
        <w:rPr>
          <w:rFonts w:eastAsia="Times New Roman"/>
          <w:sz w:val="24"/>
          <w:szCs w:val="24"/>
        </w:rPr>
        <w:t>18 years plus cohort, followed by children 5 to under 13 years, children 0 to 4 years and</w:t>
      </w:r>
      <w:r w:rsidR="00251168">
        <w:rPr>
          <w:rFonts w:eastAsia="Times New Roman"/>
          <w:sz w:val="24"/>
          <w:szCs w:val="24"/>
        </w:rPr>
        <w:t>,</w:t>
      </w:r>
      <w:r w:rsidRPr="00474CE0">
        <w:rPr>
          <w:rFonts w:eastAsia="Times New Roman"/>
          <w:sz w:val="24"/>
          <w:szCs w:val="24"/>
        </w:rPr>
        <w:t xml:space="preserve"> finally</w:t>
      </w:r>
      <w:r w:rsidR="00251168">
        <w:rPr>
          <w:rFonts w:eastAsia="Times New Roman"/>
          <w:sz w:val="24"/>
          <w:szCs w:val="24"/>
        </w:rPr>
        <w:t>,</w:t>
      </w:r>
      <w:r w:rsidRPr="00474CE0">
        <w:rPr>
          <w:rFonts w:eastAsia="Times New Roman"/>
          <w:sz w:val="24"/>
          <w:szCs w:val="24"/>
        </w:rPr>
        <w:t xml:space="preserve"> a small percentage of clients in the y</w:t>
      </w:r>
      <w:r w:rsidR="00474CE0">
        <w:rPr>
          <w:rFonts w:eastAsia="Times New Roman"/>
          <w:sz w:val="24"/>
          <w:szCs w:val="24"/>
        </w:rPr>
        <w:t>outh 13 to 18 years age cohort.</w:t>
      </w:r>
    </w:p>
    <w:p w:rsidR="00C52200" w:rsidRDefault="00474CE0" w:rsidP="00442A2E">
      <w:pPr>
        <w:pStyle w:val="Heading4"/>
        <w:rPr>
          <w:rFonts w:ascii="Calibri" w:eastAsia="Times New Roman" w:hAnsi="Calibri" w:cs="Times New Roman"/>
          <w:noProof/>
          <w:lang w:eastAsia="en-AU"/>
        </w:rPr>
      </w:pPr>
      <w:bookmarkStart w:id="148" w:name="_2.12:__Chart"/>
      <w:bookmarkStart w:id="149" w:name="_Toc292120518"/>
      <w:bookmarkStart w:id="150" w:name="_Toc292355075"/>
      <w:bookmarkStart w:id="151" w:name="_Toc292808459"/>
      <w:bookmarkEnd w:id="148"/>
      <w:r>
        <w:rPr>
          <w:rFonts w:eastAsia="Times New Roman"/>
          <w:lang w:eastAsia="en-AU"/>
        </w:rPr>
        <w:t>2.1</w:t>
      </w:r>
      <w:r w:rsidR="00DA2404">
        <w:rPr>
          <w:rFonts w:eastAsia="Times New Roman"/>
          <w:lang w:eastAsia="en-AU"/>
        </w:rPr>
        <w:t>4</w:t>
      </w:r>
      <w:r w:rsidR="00C52200" w:rsidRPr="00C52200">
        <w:rPr>
          <w:rFonts w:eastAsia="Times New Roman"/>
          <w:lang w:eastAsia="en-AU"/>
        </w:rPr>
        <w:t xml:space="preserve">:  </w:t>
      </w:r>
      <w:bookmarkEnd w:id="149"/>
      <w:bookmarkEnd w:id="150"/>
      <w:bookmarkEnd w:id="151"/>
      <w:r w:rsidR="00C52200" w:rsidRPr="00C52200">
        <w:rPr>
          <w:rFonts w:eastAsia="Times New Roman"/>
          <w:lang w:eastAsia="en-AU"/>
        </w:rPr>
        <w:t>Chart - Number of CfC and CP clients by service type 2011-12</w:t>
      </w:r>
      <w:r w:rsidR="00C52200" w:rsidRPr="00C52200">
        <w:rPr>
          <w:rFonts w:ascii="Calibri" w:eastAsia="Times New Roman" w:hAnsi="Calibri" w:cs="Times New Roman"/>
          <w:noProof/>
          <w:lang w:eastAsia="en-AU"/>
        </w:rPr>
        <w:t xml:space="preserve">  </w:t>
      </w:r>
    </w:p>
    <w:p w:rsidR="00251168" w:rsidRPr="00C52200" w:rsidRDefault="00251168" w:rsidP="00C52200">
      <w:pPr>
        <w:rPr>
          <w:rFonts w:ascii="Calibri" w:eastAsia="Times New Roman" w:hAnsi="Calibri" w:cs="Times New Roman"/>
          <w:lang w:eastAsia="en-AU"/>
        </w:rPr>
      </w:pPr>
      <w:r>
        <w:rPr>
          <w:noProof/>
          <w:lang w:eastAsia="en-AU"/>
        </w:rPr>
        <w:drawing>
          <wp:inline distT="0" distB="0" distL="0" distR="0" wp14:anchorId="1EAB092F" wp14:editId="228C1C0E">
            <wp:extent cx="5943600" cy="1864360"/>
            <wp:effectExtent l="0" t="0" r="0" b="2540"/>
            <wp:docPr id="51" name="Picture 51" descr="The chart shows the total number of clients for CfC and CP in 2011-12 by service type.   The highest number of clients was recorded for CfC FP (225,816); the next highest number was for CP (189,439); followed by CfC Direct (112,416) and CfC IPS with 38,189." title="Number of CfC and CP cl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1864360"/>
                    </a:xfrm>
                    <a:prstGeom prst="rect">
                      <a:avLst/>
                    </a:prstGeom>
                  </pic:spPr>
                </pic:pic>
              </a:graphicData>
            </a:graphic>
          </wp:inline>
        </w:drawing>
      </w:r>
    </w:p>
    <w:p w:rsidR="00C52200" w:rsidRPr="00C52200" w:rsidRDefault="00C52200" w:rsidP="00C52200">
      <w:pPr>
        <w:spacing w:before="0" w:after="0" w:line="240" w:lineRule="auto"/>
        <w:rPr>
          <w:rFonts w:ascii="Arial" w:eastAsia="Times New Roman" w:hAnsi="Arial" w:cs="Arial"/>
          <w:sz w:val="18"/>
          <w:szCs w:val="18"/>
          <w:lang w:eastAsia="en-AU"/>
        </w:rPr>
      </w:pPr>
      <w:r w:rsidRPr="00C52200">
        <w:rPr>
          <w:rFonts w:ascii="Arial" w:eastAsia="Times New Roman" w:hAnsi="Arial" w:cs="Arial"/>
          <w:sz w:val="18"/>
          <w:szCs w:val="18"/>
          <w:lang w:eastAsia="en-AU"/>
        </w:rPr>
        <w:t xml:space="preserve">Note: Communities for Children – Indigenous Parenting Services include services delivered under </w:t>
      </w:r>
      <w:proofErr w:type="gramStart"/>
      <w:r w:rsidRPr="00C52200">
        <w:rPr>
          <w:rFonts w:ascii="Arial" w:eastAsia="Times New Roman" w:hAnsi="Arial" w:cs="Arial"/>
          <w:sz w:val="18"/>
          <w:szCs w:val="18"/>
          <w:lang w:eastAsia="en-AU"/>
        </w:rPr>
        <w:t>Closing</w:t>
      </w:r>
      <w:proofErr w:type="gramEnd"/>
      <w:r w:rsidRPr="00C52200">
        <w:rPr>
          <w:rFonts w:ascii="Arial" w:eastAsia="Times New Roman" w:hAnsi="Arial" w:cs="Arial"/>
          <w:sz w:val="18"/>
          <w:szCs w:val="18"/>
          <w:lang w:eastAsia="en-AU"/>
        </w:rPr>
        <w:t xml:space="preserve"> the Gap in the Northern Territory.</w:t>
      </w:r>
    </w:p>
    <w:p w:rsidR="00C50F6B" w:rsidRDefault="00C50F6B" w:rsidP="00C52200">
      <w:pPr>
        <w:spacing w:before="0" w:after="0" w:line="240" w:lineRule="auto"/>
        <w:rPr>
          <w:rFonts w:ascii="Arial" w:eastAsia="Times New Roman" w:hAnsi="Arial" w:cs="Arial"/>
          <w:sz w:val="18"/>
          <w:szCs w:val="18"/>
          <w:lang w:eastAsia="en-AU"/>
        </w:rPr>
        <w:sectPr w:rsidR="00C50F6B" w:rsidSect="000630B7">
          <w:pgSz w:w="11906" w:h="16838"/>
          <w:pgMar w:top="567" w:right="566" w:bottom="993" w:left="851" w:header="709" w:footer="709" w:gutter="0"/>
          <w:cols w:space="708"/>
          <w:docGrid w:linePitch="360"/>
        </w:sectPr>
      </w:pPr>
    </w:p>
    <w:p w:rsidR="00C52200" w:rsidRPr="00C52200" w:rsidRDefault="00C52200" w:rsidP="00C52200">
      <w:pPr>
        <w:spacing w:before="0" w:after="0" w:line="240" w:lineRule="auto"/>
        <w:rPr>
          <w:rFonts w:ascii="Arial" w:eastAsia="Times New Roman" w:hAnsi="Arial" w:cs="Arial"/>
          <w:sz w:val="18"/>
          <w:szCs w:val="18"/>
          <w:lang w:eastAsia="en-AU"/>
        </w:rPr>
      </w:pPr>
    </w:p>
    <w:p w:rsidR="00C50F6B" w:rsidRPr="00C50F6B" w:rsidRDefault="00C50F6B" w:rsidP="00C50F6B">
      <w:pPr>
        <w:pStyle w:val="Heading1"/>
        <w:rPr>
          <w:rFonts w:eastAsia="Times New Roman"/>
          <w:lang w:eastAsia="en-AU"/>
        </w:rPr>
      </w:pPr>
      <w:bookmarkStart w:id="152" w:name="_Toc338944770"/>
      <w:bookmarkStart w:id="153" w:name="_Toc338945061"/>
      <w:bookmarkStart w:id="154" w:name="_Toc338945388"/>
      <w:bookmarkStart w:id="155" w:name="_Toc338945641"/>
      <w:bookmarkStart w:id="156" w:name="_Toc341705911"/>
      <w:r w:rsidRPr="00C50F6B">
        <w:rPr>
          <w:rFonts w:eastAsia="Times New Roman"/>
          <w:lang w:eastAsia="en-AU"/>
        </w:rPr>
        <w:t xml:space="preserve">Section </w:t>
      </w:r>
      <w:r w:rsidR="000F4F3B">
        <w:rPr>
          <w:rFonts w:eastAsia="Times New Roman"/>
          <w:lang w:eastAsia="en-AU"/>
        </w:rPr>
        <w:t>three</w:t>
      </w:r>
      <w:r w:rsidRPr="00C50F6B">
        <w:rPr>
          <w:rFonts w:eastAsia="Times New Roman"/>
          <w:lang w:eastAsia="en-AU"/>
        </w:rPr>
        <w:t>:  Activity Information</w:t>
      </w:r>
      <w:bookmarkEnd w:id="152"/>
      <w:bookmarkEnd w:id="153"/>
      <w:bookmarkEnd w:id="154"/>
      <w:bookmarkEnd w:id="155"/>
      <w:bookmarkEnd w:id="156"/>
    </w:p>
    <w:p w:rsidR="00C50F6B" w:rsidRPr="00C50F6B" w:rsidRDefault="00C50F6B" w:rsidP="00C50F6B">
      <w:pPr>
        <w:pStyle w:val="Heading2"/>
        <w:rPr>
          <w:rFonts w:eastAsia="Times New Roman"/>
          <w:lang w:eastAsia="en-AU"/>
        </w:rPr>
      </w:pPr>
      <w:bookmarkStart w:id="157" w:name="_Toc338944771"/>
      <w:bookmarkStart w:id="158" w:name="_Toc338945062"/>
      <w:bookmarkStart w:id="159" w:name="_Toc338945389"/>
      <w:bookmarkStart w:id="160" w:name="_Toc338945642"/>
      <w:bookmarkStart w:id="161" w:name="_Toc341705912"/>
      <w:r w:rsidRPr="00C50F6B">
        <w:rPr>
          <w:rFonts w:eastAsia="Times New Roman"/>
          <w:lang w:eastAsia="en-AU"/>
        </w:rPr>
        <w:t>Ranking of eligible activities</w:t>
      </w:r>
      <w:bookmarkEnd w:id="157"/>
      <w:bookmarkEnd w:id="158"/>
      <w:bookmarkEnd w:id="159"/>
      <w:bookmarkEnd w:id="160"/>
      <w:bookmarkEnd w:id="161"/>
    </w:p>
    <w:p w:rsidR="00C50F6B" w:rsidRPr="00C46BB5" w:rsidRDefault="00C50F6B" w:rsidP="00C50F6B">
      <w:pPr>
        <w:rPr>
          <w:rFonts w:eastAsia="Times New Roman"/>
          <w:sz w:val="24"/>
          <w:szCs w:val="24"/>
          <w:lang w:eastAsia="en-AU"/>
        </w:rPr>
      </w:pPr>
      <w:r w:rsidRPr="00C46BB5">
        <w:rPr>
          <w:rFonts w:eastAsia="Times New Roman"/>
          <w:sz w:val="24"/>
          <w:szCs w:val="24"/>
          <w:lang w:eastAsia="en-AU"/>
        </w:rPr>
        <w:t>Communities for Children service p</w:t>
      </w:r>
      <w:r w:rsidR="00C46BB5" w:rsidRPr="00C46BB5">
        <w:rPr>
          <w:rFonts w:eastAsia="Times New Roman"/>
          <w:sz w:val="24"/>
          <w:szCs w:val="24"/>
          <w:lang w:eastAsia="en-AU"/>
        </w:rPr>
        <w:t>roviders deliver a range of activities as part of service delivery</w:t>
      </w:r>
      <w:r w:rsidRPr="00C46BB5">
        <w:rPr>
          <w:rFonts w:eastAsia="Times New Roman"/>
          <w:sz w:val="24"/>
          <w:szCs w:val="24"/>
          <w:lang w:eastAsia="en-AU"/>
        </w:rPr>
        <w:t xml:space="preserve">.  </w:t>
      </w:r>
      <w:r w:rsidR="00251168">
        <w:rPr>
          <w:rFonts w:eastAsia="Times New Roman"/>
          <w:sz w:val="24"/>
          <w:szCs w:val="24"/>
          <w:lang w:eastAsia="en-AU"/>
        </w:rPr>
        <w:t>S</w:t>
      </w:r>
      <w:r w:rsidRPr="00C46BB5">
        <w:rPr>
          <w:rFonts w:eastAsia="Times New Roman"/>
          <w:sz w:val="24"/>
          <w:szCs w:val="24"/>
          <w:lang w:eastAsia="en-AU"/>
        </w:rPr>
        <w:t xml:space="preserve">ervices </w:t>
      </w:r>
      <w:r w:rsidR="00251168">
        <w:rPr>
          <w:rFonts w:eastAsia="Times New Roman"/>
          <w:sz w:val="24"/>
          <w:szCs w:val="24"/>
          <w:lang w:eastAsia="en-AU"/>
        </w:rPr>
        <w:t>include</w:t>
      </w:r>
      <w:r w:rsidRPr="00C46BB5">
        <w:rPr>
          <w:rFonts w:eastAsia="Times New Roman"/>
          <w:sz w:val="24"/>
          <w:szCs w:val="24"/>
          <w:lang w:eastAsia="en-AU"/>
        </w:rPr>
        <w:t>:</w:t>
      </w:r>
    </w:p>
    <w:p w:rsidR="00C50F6B" w:rsidRPr="00C46BB5" w:rsidRDefault="00C50F6B" w:rsidP="00C50F6B">
      <w:pPr>
        <w:rPr>
          <w:rFonts w:eastAsia="Times New Roman"/>
          <w:color w:val="4F6228"/>
          <w:sz w:val="24"/>
          <w:szCs w:val="24"/>
          <w:u w:val="single"/>
          <w:lang w:eastAsia="en-AU"/>
        </w:rPr>
      </w:pPr>
      <w:r w:rsidRPr="00C46BB5">
        <w:rPr>
          <w:rFonts w:eastAsia="Times New Roman"/>
          <w:color w:val="4F6228"/>
          <w:sz w:val="24"/>
          <w:szCs w:val="24"/>
          <w:u w:val="single"/>
          <w:lang w:eastAsia="en-AU"/>
        </w:rPr>
        <w:t>Information and Referral</w:t>
      </w:r>
    </w:p>
    <w:p w:rsidR="0079662F" w:rsidRPr="00C46BB5" w:rsidRDefault="0079662F" w:rsidP="0079662F">
      <w:pPr>
        <w:rPr>
          <w:rFonts w:eastAsia="Times New Roman"/>
          <w:sz w:val="24"/>
          <w:szCs w:val="24"/>
          <w:lang w:eastAsia="en-AU"/>
        </w:rPr>
      </w:pPr>
      <w:r w:rsidRPr="00C46BB5">
        <w:rPr>
          <w:rFonts w:eastAsia="Times New Roman"/>
          <w:sz w:val="24"/>
          <w:szCs w:val="24"/>
          <w:lang w:eastAsia="en-AU"/>
        </w:rPr>
        <w:t xml:space="preserve">6% of CfC FP service providers ranked Information and Referral as the eligible activity that they spent most time delivering. Across all </w:t>
      </w:r>
      <w:proofErr w:type="gramStart"/>
      <w:r w:rsidRPr="00C46BB5">
        <w:rPr>
          <w:rFonts w:eastAsia="Times New Roman"/>
          <w:sz w:val="24"/>
          <w:szCs w:val="24"/>
          <w:lang w:eastAsia="en-AU"/>
        </w:rPr>
        <w:t>CfC</w:t>
      </w:r>
      <w:proofErr w:type="gramEnd"/>
      <w:r w:rsidRPr="00C46BB5">
        <w:rPr>
          <w:rFonts w:eastAsia="Times New Roman"/>
          <w:sz w:val="24"/>
          <w:szCs w:val="24"/>
          <w:lang w:eastAsia="en-AU"/>
        </w:rPr>
        <w:t xml:space="preserve"> services</w:t>
      </w:r>
      <w:r w:rsidR="00251168">
        <w:rPr>
          <w:rFonts w:eastAsia="Times New Roman"/>
          <w:sz w:val="24"/>
          <w:szCs w:val="24"/>
          <w:lang w:eastAsia="en-AU"/>
        </w:rPr>
        <w:t>,</w:t>
      </w:r>
      <w:r w:rsidRPr="00C46BB5">
        <w:rPr>
          <w:rFonts w:eastAsia="Times New Roman"/>
          <w:sz w:val="24"/>
          <w:szCs w:val="24"/>
          <w:lang w:eastAsia="en-AU"/>
        </w:rPr>
        <w:t xml:space="preserve"> 3.3% ranked this activity as first, 15.2% cent as second, 27% as third, 26.7 % as fourth, 1</w:t>
      </w:r>
      <w:r w:rsidR="00C46BB5">
        <w:rPr>
          <w:rFonts w:eastAsia="Times New Roman"/>
          <w:sz w:val="24"/>
          <w:szCs w:val="24"/>
          <w:lang w:eastAsia="en-AU"/>
        </w:rPr>
        <w:t xml:space="preserve">4.6% as fifth, 8.8% as sixth. </w:t>
      </w:r>
      <w:r w:rsidRPr="00C46BB5">
        <w:rPr>
          <w:rFonts w:eastAsia="Times New Roman"/>
          <w:sz w:val="24"/>
          <w:szCs w:val="24"/>
          <w:lang w:eastAsia="en-AU"/>
        </w:rPr>
        <w:t xml:space="preserve"> 4.4% of </w:t>
      </w:r>
      <w:proofErr w:type="gramStart"/>
      <w:r w:rsidRPr="00C46BB5">
        <w:rPr>
          <w:rFonts w:eastAsia="Times New Roman"/>
          <w:sz w:val="24"/>
          <w:szCs w:val="24"/>
          <w:lang w:eastAsia="en-AU"/>
        </w:rPr>
        <w:t>CfC</w:t>
      </w:r>
      <w:proofErr w:type="gramEnd"/>
      <w:r w:rsidRPr="00C46BB5">
        <w:rPr>
          <w:rFonts w:eastAsia="Times New Roman"/>
          <w:sz w:val="24"/>
          <w:szCs w:val="24"/>
          <w:lang w:eastAsia="en-AU"/>
        </w:rPr>
        <w:t xml:space="preserve"> services reported delivering no Information and Referral activities.</w:t>
      </w:r>
    </w:p>
    <w:p w:rsidR="00C50F6B" w:rsidRPr="00C46BB5" w:rsidRDefault="00C50F6B" w:rsidP="00C50F6B">
      <w:pPr>
        <w:rPr>
          <w:rFonts w:eastAsia="Times New Roman"/>
          <w:color w:val="4F6228"/>
          <w:sz w:val="24"/>
          <w:szCs w:val="24"/>
          <w:u w:val="single"/>
          <w:lang w:eastAsia="en-AU"/>
        </w:rPr>
      </w:pPr>
      <w:r w:rsidRPr="00C46BB5">
        <w:rPr>
          <w:rFonts w:eastAsia="Times New Roman"/>
          <w:color w:val="4F6228"/>
          <w:sz w:val="24"/>
          <w:szCs w:val="24"/>
          <w:u w:val="single"/>
          <w:lang w:eastAsia="en-AU"/>
        </w:rPr>
        <w:t>Resource Development</w:t>
      </w:r>
    </w:p>
    <w:p w:rsidR="00C50F6B" w:rsidRPr="00C46BB5" w:rsidRDefault="00C50F6B" w:rsidP="00C50F6B">
      <w:pPr>
        <w:rPr>
          <w:rFonts w:eastAsia="Times New Roman"/>
          <w:sz w:val="24"/>
          <w:szCs w:val="24"/>
          <w:lang w:eastAsia="en-AU"/>
        </w:rPr>
      </w:pPr>
      <w:proofErr w:type="gramStart"/>
      <w:r w:rsidRPr="00C46BB5">
        <w:rPr>
          <w:rFonts w:eastAsia="Times New Roman"/>
          <w:sz w:val="24"/>
          <w:szCs w:val="24"/>
          <w:lang w:eastAsia="en-AU"/>
        </w:rPr>
        <w:t>Development of information and advice to assist parents and families, child care workers, family and child professionals and community members.</w:t>
      </w:r>
      <w:proofErr w:type="gramEnd"/>
      <w:r w:rsidRPr="00C46BB5">
        <w:rPr>
          <w:rFonts w:eastAsia="Times New Roman"/>
          <w:sz w:val="24"/>
          <w:szCs w:val="24"/>
          <w:lang w:eastAsia="en-AU"/>
        </w:rPr>
        <w:t xml:space="preserve">  This may include resources such as brochures and posters, videos, DVD’s, booklets, training resources and websites.</w:t>
      </w:r>
    </w:p>
    <w:p w:rsidR="008B534E" w:rsidRPr="00C46BB5" w:rsidRDefault="008B534E" w:rsidP="008B534E">
      <w:pPr>
        <w:rPr>
          <w:rFonts w:eastAsia="Times New Roman"/>
          <w:sz w:val="24"/>
          <w:szCs w:val="24"/>
          <w:lang w:eastAsia="en-AU"/>
        </w:rPr>
      </w:pPr>
      <w:r w:rsidRPr="00C46BB5">
        <w:rPr>
          <w:rFonts w:eastAsia="Times New Roman"/>
          <w:sz w:val="24"/>
          <w:szCs w:val="24"/>
          <w:lang w:eastAsia="en-AU"/>
        </w:rPr>
        <w:t xml:space="preserve">4% of CfC FP service providers ranked Resource Development as the eligible activity that they spent most time delivering. Across all </w:t>
      </w:r>
      <w:proofErr w:type="gramStart"/>
      <w:r w:rsidRPr="00C46BB5">
        <w:rPr>
          <w:rFonts w:eastAsia="Times New Roman"/>
          <w:sz w:val="24"/>
          <w:szCs w:val="24"/>
          <w:lang w:eastAsia="en-AU"/>
        </w:rPr>
        <w:t>CfC</w:t>
      </w:r>
      <w:proofErr w:type="gramEnd"/>
      <w:r w:rsidRPr="00C46BB5">
        <w:rPr>
          <w:rFonts w:eastAsia="Times New Roman"/>
          <w:sz w:val="24"/>
          <w:szCs w:val="24"/>
          <w:lang w:eastAsia="en-AU"/>
        </w:rPr>
        <w:t xml:space="preserve"> services</w:t>
      </w:r>
      <w:r w:rsidR="00251168">
        <w:rPr>
          <w:rFonts w:eastAsia="Times New Roman"/>
          <w:sz w:val="24"/>
          <w:szCs w:val="24"/>
          <w:lang w:eastAsia="en-AU"/>
        </w:rPr>
        <w:t>,</w:t>
      </w:r>
      <w:r w:rsidRPr="00C46BB5">
        <w:rPr>
          <w:rFonts w:eastAsia="Times New Roman"/>
          <w:sz w:val="24"/>
          <w:szCs w:val="24"/>
          <w:lang w:eastAsia="en-AU"/>
        </w:rPr>
        <w:t xml:space="preserve"> 2.5% ranked this activity as first, 3.9% cent as second, 6.9% as third, 14.3% as fourth, 27.</w:t>
      </w:r>
      <w:r w:rsidR="0063777E">
        <w:rPr>
          <w:rFonts w:eastAsia="Times New Roman"/>
          <w:sz w:val="24"/>
          <w:szCs w:val="24"/>
          <w:lang w:eastAsia="en-AU"/>
        </w:rPr>
        <w:t xml:space="preserve">8% as fifth, 33.9% as sixth.  </w:t>
      </w:r>
      <w:r w:rsidRPr="00C46BB5">
        <w:rPr>
          <w:rFonts w:eastAsia="Times New Roman"/>
          <w:sz w:val="24"/>
          <w:szCs w:val="24"/>
          <w:lang w:eastAsia="en-AU"/>
        </w:rPr>
        <w:t xml:space="preserve">10.7% of </w:t>
      </w:r>
      <w:proofErr w:type="gramStart"/>
      <w:r w:rsidRPr="00C46BB5">
        <w:rPr>
          <w:rFonts w:eastAsia="Times New Roman"/>
          <w:sz w:val="24"/>
          <w:szCs w:val="24"/>
          <w:lang w:eastAsia="en-AU"/>
        </w:rPr>
        <w:t>CfC</w:t>
      </w:r>
      <w:proofErr w:type="gramEnd"/>
      <w:r w:rsidRPr="00C46BB5">
        <w:rPr>
          <w:rFonts w:eastAsia="Times New Roman"/>
          <w:sz w:val="24"/>
          <w:szCs w:val="24"/>
          <w:lang w:eastAsia="en-AU"/>
        </w:rPr>
        <w:t xml:space="preserve"> services reported delivering no Resource Development activities.</w:t>
      </w:r>
    </w:p>
    <w:p w:rsidR="00C50F6B" w:rsidRPr="00C46BB5" w:rsidRDefault="00C50F6B" w:rsidP="00C50F6B">
      <w:pPr>
        <w:rPr>
          <w:rFonts w:eastAsia="Times New Roman"/>
          <w:color w:val="4F6228"/>
          <w:sz w:val="24"/>
          <w:szCs w:val="24"/>
          <w:u w:val="single"/>
          <w:lang w:eastAsia="en-AU"/>
        </w:rPr>
      </w:pPr>
      <w:r w:rsidRPr="00C46BB5">
        <w:rPr>
          <w:rFonts w:eastAsia="Times New Roman"/>
          <w:color w:val="4F6228"/>
          <w:sz w:val="24"/>
          <w:szCs w:val="24"/>
          <w:u w:val="single"/>
          <w:lang w:eastAsia="en-AU"/>
        </w:rPr>
        <w:t>Support</w:t>
      </w:r>
    </w:p>
    <w:p w:rsidR="0079662F" w:rsidRPr="00C46BB5" w:rsidRDefault="0079662F" w:rsidP="0079662F">
      <w:pPr>
        <w:rPr>
          <w:rFonts w:eastAsia="Times New Roman"/>
          <w:sz w:val="24"/>
          <w:szCs w:val="24"/>
          <w:lang w:eastAsia="en-AU"/>
        </w:rPr>
      </w:pPr>
      <w:r w:rsidRPr="00C46BB5">
        <w:rPr>
          <w:rFonts w:eastAsia="Times New Roman"/>
          <w:sz w:val="24"/>
          <w:szCs w:val="24"/>
          <w:lang w:eastAsia="en-AU"/>
        </w:rPr>
        <w:t xml:space="preserve">45.2% of CfC IPS service providers ranked Support as the eligible activity that they spent most time delivering. Across all </w:t>
      </w:r>
      <w:proofErr w:type="gramStart"/>
      <w:r w:rsidRPr="00C46BB5">
        <w:rPr>
          <w:rFonts w:eastAsia="Times New Roman"/>
          <w:sz w:val="24"/>
          <w:szCs w:val="24"/>
          <w:lang w:eastAsia="en-AU"/>
        </w:rPr>
        <w:t>CfC</w:t>
      </w:r>
      <w:proofErr w:type="gramEnd"/>
      <w:r w:rsidRPr="00C46BB5">
        <w:rPr>
          <w:rFonts w:eastAsia="Times New Roman"/>
          <w:sz w:val="24"/>
          <w:szCs w:val="24"/>
          <w:lang w:eastAsia="en-AU"/>
        </w:rPr>
        <w:t xml:space="preserve"> services</w:t>
      </w:r>
      <w:r w:rsidR="00251168">
        <w:rPr>
          <w:rFonts w:eastAsia="Times New Roman"/>
          <w:sz w:val="24"/>
          <w:szCs w:val="24"/>
          <w:lang w:eastAsia="en-AU"/>
        </w:rPr>
        <w:t>,</w:t>
      </w:r>
      <w:r w:rsidRPr="00C46BB5">
        <w:rPr>
          <w:rFonts w:eastAsia="Times New Roman"/>
          <w:sz w:val="24"/>
          <w:szCs w:val="24"/>
          <w:lang w:eastAsia="en-AU"/>
        </w:rPr>
        <w:t xml:space="preserve"> 39.9% ranked this activity as first, 28.1% as second, 14.6% as third, 7.4% as fourth, 4</w:t>
      </w:r>
      <w:r w:rsidR="003B4C4F">
        <w:rPr>
          <w:rFonts w:eastAsia="Times New Roman"/>
          <w:sz w:val="24"/>
          <w:szCs w:val="24"/>
          <w:lang w:eastAsia="en-AU"/>
        </w:rPr>
        <w:t xml:space="preserve">.4% as fifth, 1.7% as sixth.  </w:t>
      </w:r>
      <w:r w:rsidRPr="00C46BB5">
        <w:rPr>
          <w:rFonts w:eastAsia="Times New Roman"/>
          <w:sz w:val="24"/>
          <w:szCs w:val="24"/>
          <w:lang w:eastAsia="en-AU"/>
        </w:rPr>
        <w:t xml:space="preserve">3.9% of </w:t>
      </w:r>
      <w:proofErr w:type="gramStart"/>
      <w:r w:rsidRPr="00C46BB5">
        <w:rPr>
          <w:rFonts w:eastAsia="Times New Roman"/>
          <w:sz w:val="24"/>
          <w:szCs w:val="24"/>
          <w:lang w:eastAsia="en-AU"/>
        </w:rPr>
        <w:t>CfC</w:t>
      </w:r>
      <w:proofErr w:type="gramEnd"/>
      <w:r w:rsidRPr="00C46BB5">
        <w:rPr>
          <w:rFonts w:eastAsia="Times New Roman"/>
          <w:sz w:val="24"/>
          <w:szCs w:val="24"/>
          <w:lang w:eastAsia="en-AU"/>
        </w:rPr>
        <w:t xml:space="preserve"> services reported delivering no Support activities.</w:t>
      </w:r>
    </w:p>
    <w:p w:rsidR="00C50F6B" w:rsidRPr="00C46BB5" w:rsidRDefault="00C50F6B" w:rsidP="00C50F6B">
      <w:pPr>
        <w:rPr>
          <w:rFonts w:eastAsia="Times New Roman"/>
          <w:color w:val="4F6228"/>
          <w:sz w:val="24"/>
          <w:szCs w:val="24"/>
          <w:u w:val="single"/>
          <w:lang w:eastAsia="en-AU"/>
        </w:rPr>
      </w:pPr>
      <w:r w:rsidRPr="00C46BB5">
        <w:rPr>
          <w:rFonts w:eastAsia="Times New Roman"/>
          <w:color w:val="4F6228"/>
          <w:sz w:val="24"/>
          <w:szCs w:val="24"/>
          <w:u w:val="single"/>
          <w:lang w:eastAsia="en-AU"/>
        </w:rPr>
        <w:t xml:space="preserve">Education </w:t>
      </w:r>
    </w:p>
    <w:p w:rsidR="00C50F6B" w:rsidRPr="00C46BB5" w:rsidRDefault="00C50F6B" w:rsidP="00C50F6B">
      <w:pPr>
        <w:rPr>
          <w:rFonts w:eastAsia="Times New Roman"/>
          <w:sz w:val="24"/>
          <w:szCs w:val="24"/>
          <w:lang w:eastAsia="en-AU"/>
        </w:rPr>
      </w:pPr>
      <w:r w:rsidRPr="00C46BB5">
        <w:rPr>
          <w:rFonts w:eastAsia="Times New Roman"/>
          <w:sz w:val="24"/>
          <w:szCs w:val="24"/>
          <w:lang w:eastAsia="en-AU"/>
        </w:rPr>
        <w:t>Examples include</w:t>
      </w:r>
      <w:r w:rsidR="00251168">
        <w:rPr>
          <w:rFonts w:eastAsia="Times New Roman"/>
          <w:sz w:val="24"/>
          <w:szCs w:val="24"/>
          <w:lang w:eastAsia="en-AU"/>
        </w:rPr>
        <w:t>,</w:t>
      </w:r>
      <w:r w:rsidRPr="00C46BB5">
        <w:rPr>
          <w:rFonts w:eastAsia="Times New Roman"/>
          <w:sz w:val="24"/>
          <w:szCs w:val="24"/>
          <w:lang w:eastAsia="en-AU"/>
        </w:rPr>
        <w:t xml:space="preserve"> but are not limited</w:t>
      </w:r>
      <w:r w:rsidR="004C2516">
        <w:rPr>
          <w:rFonts w:eastAsia="Times New Roman"/>
          <w:sz w:val="24"/>
          <w:szCs w:val="24"/>
          <w:lang w:eastAsia="en-AU"/>
        </w:rPr>
        <w:t xml:space="preserve"> to</w:t>
      </w:r>
      <w:r w:rsidR="00251168">
        <w:rPr>
          <w:rFonts w:eastAsia="Times New Roman"/>
          <w:sz w:val="24"/>
          <w:szCs w:val="24"/>
          <w:lang w:eastAsia="en-AU"/>
        </w:rPr>
        <w:t>,</w:t>
      </w:r>
      <w:r w:rsidRPr="00C46BB5">
        <w:rPr>
          <w:rFonts w:eastAsia="Times New Roman"/>
          <w:sz w:val="24"/>
          <w:szCs w:val="24"/>
          <w:lang w:eastAsia="en-AU"/>
        </w:rPr>
        <w:t xml:space="preserve"> pre-marriage courses, conflict management</w:t>
      </w:r>
      <w:r w:rsidR="00251168">
        <w:rPr>
          <w:rFonts w:eastAsia="Times New Roman"/>
          <w:sz w:val="24"/>
          <w:szCs w:val="24"/>
          <w:lang w:eastAsia="en-AU"/>
        </w:rPr>
        <w:t xml:space="preserve"> and</w:t>
      </w:r>
      <w:r w:rsidRPr="00C46BB5">
        <w:rPr>
          <w:rFonts w:eastAsia="Times New Roman"/>
          <w:sz w:val="24"/>
          <w:szCs w:val="24"/>
          <w:lang w:eastAsia="en-AU"/>
        </w:rPr>
        <w:t xml:space="preserve"> parenting</w:t>
      </w:r>
      <w:r w:rsidR="00251168">
        <w:rPr>
          <w:rFonts w:eastAsia="Times New Roman"/>
          <w:sz w:val="24"/>
          <w:szCs w:val="24"/>
          <w:lang w:eastAsia="en-AU"/>
        </w:rPr>
        <w:t xml:space="preserve"> programs.</w:t>
      </w:r>
      <w:r w:rsidRPr="00C46BB5">
        <w:rPr>
          <w:rFonts w:eastAsia="Times New Roman"/>
          <w:sz w:val="24"/>
          <w:szCs w:val="24"/>
          <w:lang w:eastAsia="en-AU"/>
        </w:rPr>
        <w:t xml:space="preserve">  The term</w:t>
      </w:r>
      <w:r w:rsidR="00251168">
        <w:rPr>
          <w:rFonts w:eastAsia="Times New Roman"/>
          <w:sz w:val="24"/>
          <w:szCs w:val="24"/>
          <w:lang w:eastAsia="en-AU"/>
        </w:rPr>
        <w:t xml:space="preserve"> education</w:t>
      </w:r>
      <w:r w:rsidRPr="00C46BB5">
        <w:rPr>
          <w:rFonts w:eastAsia="Times New Roman"/>
          <w:sz w:val="24"/>
          <w:szCs w:val="24"/>
          <w:lang w:eastAsia="en-AU"/>
        </w:rPr>
        <w:t xml:space="preserve"> is often used interchangeably with Skills Training.</w:t>
      </w:r>
    </w:p>
    <w:p w:rsidR="008E31EC" w:rsidRPr="00C46BB5" w:rsidRDefault="008E31EC" w:rsidP="008E31EC">
      <w:pPr>
        <w:rPr>
          <w:rFonts w:eastAsia="Times New Roman"/>
          <w:sz w:val="24"/>
          <w:szCs w:val="24"/>
          <w:lang w:eastAsia="en-AU"/>
        </w:rPr>
      </w:pPr>
      <w:r w:rsidRPr="00C46BB5">
        <w:rPr>
          <w:rFonts w:eastAsia="Times New Roman"/>
          <w:sz w:val="24"/>
          <w:szCs w:val="24"/>
          <w:lang w:eastAsia="en-AU"/>
        </w:rPr>
        <w:t xml:space="preserve">27.8% of </w:t>
      </w:r>
      <w:proofErr w:type="gramStart"/>
      <w:r w:rsidRPr="00C46BB5">
        <w:rPr>
          <w:rFonts w:eastAsia="Times New Roman"/>
          <w:sz w:val="24"/>
          <w:szCs w:val="24"/>
          <w:lang w:eastAsia="en-AU"/>
        </w:rPr>
        <w:t>CfC</w:t>
      </w:r>
      <w:proofErr w:type="gramEnd"/>
      <w:r w:rsidRPr="00C46BB5">
        <w:rPr>
          <w:rFonts w:eastAsia="Times New Roman"/>
          <w:sz w:val="24"/>
          <w:szCs w:val="24"/>
          <w:lang w:eastAsia="en-AU"/>
        </w:rPr>
        <w:t xml:space="preserve"> Direct service providers ranked Education and Training as the eligible activity that they spent most time delivering. Across all </w:t>
      </w:r>
      <w:proofErr w:type="gramStart"/>
      <w:r w:rsidRPr="00C46BB5">
        <w:rPr>
          <w:rFonts w:eastAsia="Times New Roman"/>
          <w:sz w:val="24"/>
          <w:szCs w:val="24"/>
          <w:lang w:eastAsia="en-AU"/>
        </w:rPr>
        <w:t>CfC</w:t>
      </w:r>
      <w:proofErr w:type="gramEnd"/>
      <w:r w:rsidRPr="00C46BB5">
        <w:rPr>
          <w:rFonts w:eastAsia="Times New Roman"/>
          <w:sz w:val="24"/>
          <w:szCs w:val="24"/>
          <w:lang w:eastAsia="en-AU"/>
        </w:rPr>
        <w:t xml:space="preserve"> services</w:t>
      </w:r>
      <w:r w:rsidR="00251168">
        <w:rPr>
          <w:rFonts w:eastAsia="Times New Roman"/>
          <w:sz w:val="24"/>
          <w:szCs w:val="24"/>
          <w:lang w:eastAsia="en-AU"/>
        </w:rPr>
        <w:t>,</w:t>
      </w:r>
      <w:r w:rsidRPr="00C46BB5">
        <w:rPr>
          <w:rFonts w:eastAsia="Times New Roman"/>
          <w:sz w:val="24"/>
          <w:szCs w:val="24"/>
          <w:lang w:eastAsia="en-AU"/>
        </w:rPr>
        <w:t xml:space="preserve"> 23.1% ranked this activity as first, 22% as second, 16.5% as third, 15.2% as fourth,</w:t>
      </w:r>
      <w:r w:rsidR="0063777E">
        <w:rPr>
          <w:rFonts w:eastAsia="Times New Roman"/>
          <w:sz w:val="24"/>
          <w:szCs w:val="24"/>
          <w:lang w:eastAsia="en-AU"/>
        </w:rPr>
        <w:t xml:space="preserve"> 11% as fifth, 7.4% as sixth. </w:t>
      </w:r>
      <w:r w:rsidRPr="00C46BB5">
        <w:rPr>
          <w:rFonts w:eastAsia="Times New Roman"/>
          <w:sz w:val="24"/>
          <w:szCs w:val="24"/>
          <w:lang w:eastAsia="en-AU"/>
        </w:rPr>
        <w:t xml:space="preserve"> 4.7% of </w:t>
      </w:r>
      <w:proofErr w:type="gramStart"/>
      <w:r w:rsidRPr="00C46BB5">
        <w:rPr>
          <w:rFonts w:eastAsia="Times New Roman"/>
          <w:sz w:val="24"/>
          <w:szCs w:val="24"/>
          <w:lang w:eastAsia="en-AU"/>
        </w:rPr>
        <w:t>CfC</w:t>
      </w:r>
      <w:proofErr w:type="gramEnd"/>
      <w:r w:rsidRPr="00C46BB5">
        <w:rPr>
          <w:rFonts w:eastAsia="Times New Roman"/>
          <w:sz w:val="24"/>
          <w:szCs w:val="24"/>
          <w:lang w:eastAsia="en-AU"/>
        </w:rPr>
        <w:t xml:space="preserve"> services reported delivering no Education and Training activities.</w:t>
      </w:r>
    </w:p>
    <w:p w:rsidR="00C50F6B" w:rsidRPr="00C46BB5" w:rsidRDefault="00C50F6B" w:rsidP="00C50F6B">
      <w:pPr>
        <w:rPr>
          <w:rFonts w:eastAsia="Times New Roman"/>
          <w:color w:val="4F6228"/>
          <w:sz w:val="24"/>
          <w:szCs w:val="24"/>
          <w:u w:val="single"/>
          <w:lang w:eastAsia="en-AU"/>
        </w:rPr>
      </w:pPr>
      <w:r w:rsidRPr="00C46BB5">
        <w:rPr>
          <w:rFonts w:eastAsia="Times New Roman"/>
          <w:color w:val="4F6228"/>
          <w:sz w:val="24"/>
          <w:szCs w:val="24"/>
          <w:u w:val="single"/>
          <w:lang w:eastAsia="en-AU"/>
        </w:rPr>
        <w:t xml:space="preserve">Outreach </w:t>
      </w:r>
      <w:r w:rsidR="00251168">
        <w:rPr>
          <w:rFonts w:eastAsia="Times New Roman"/>
          <w:color w:val="4F6228"/>
          <w:sz w:val="24"/>
          <w:szCs w:val="24"/>
          <w:u w:val="single"/>
          <w:lang w:eastAsia="en-AU"/>
        </w:rPr>
        <w:t>and Home Visits</w:t>
      </w:r>
    </w:p>
    <w:p w:rsidR="0015028B" w:rsidRPr="00C46BB5" w:rsidRDefault="00C50F6B" w:rsidP="00E3491E">
      <w:pPr>
        <w:rPr>
          <w:rFonts w:eastAsia="Times New Roman"/>
          <w:sz w:val="24"/>
          <w:szCs w:val="24"/>
          <w:lang w:eastAsia="en-AU"/>
        </w:rPr>
      </w:pPr>
      <w:r w:rsidRPr="00C46BB5">
        <w:rPr>
          <w:rFonts w:eastAsia="Times New Roman"/>
          <w:sz w:val="24"/>
          <w:szCs w:val="24"/>
          <w:lang w:eastAsia="en-AU"/>
        </w:rPr>
        <w:t xml:space="preserve">Outreach </w:t>
      </w:r>
      <w:r w:rsidR="00FB3AD6">
        <w:rPr>
          <w:rFonts w:eastAsia="Times New Roman"/>
          <w:sz w:val="24"/>
          <w:szCs w:val="24"/>
          <w:lang w:eastAsia="en-AU"/>
        </w:rPr>
        <w:t>targets</w:t>
      </w:r>
      <w:r w:rsidRPr="00C46BB5">
        <w:rPr>
          <w:rFonts w:eastAsia="Times New Roman"/>
          <w:sz w:val="24"/>
          <w:szCs w:val="24"/>
          <w:lang w:eastAsia="en-AU"/>
        </w:rPr>
        <w:t xml:space="preserve"> families </w:t>
      </w:r>
      <w:r w:rsidR="00FB3AD6" w:rsidRPr="00C46BB5">
        <w:rPr>
          <w:rFonts w:eastAsia="Times New Roman"/>
          <w:sz w:val="24"/>
          <w:szCs w:val="24"/>
          <w:lang w:eastAsia="en-AU"/>
        </w:rPr>
        <w:t>w</w:t>
      </w:r>
      <w:r w:rsidR="00FB3AD6">
        <w:rPr>
          <w:rFonts w:eastAsia="Times New Roman"/>
          <w:sz w:val="24"/>
          <w:szCs w:val="24"/>
          <w:lang w:eastAsia="en-AU"/>
        </w:rPr>
        <w:t>ho have</w:t>
      </w:r>
      <w:r w:rsidR="00FB3AD6" w:rsidRPr="00C46BB5">
        <w:rPr>
          <w:rFonts w:eastAsia="Times New Roman"/>
          <w:sz w:val="24"/>
          <w:szCs w:val="24"/>
          <w:lang w:eastAsia="en-AU"/>
        </w:rPr>
        <w:t xml:space="preserve"> </w:t>
      </w:r>
      <w:r w:rsidRPr="00C46BB5">
        <w:rPr>
          <w:rFonts w:eastAsia="Times New Roman"/>
          <w:sz w:val="24"/>
          <w:szCs w:val="24"/>
          <w:lang w:eastAsia="en-AU"/>
        </w:rPr>
        <w:t>difficulty accessing services</w:t>
      </w:r>
      <w:r w:rsidR="00FB3AD6">
        <w:rPr>
          <w:rFonts w:eastAsia="Times New Roman"/>
          <w:sz w:val="24"/>
          <w:szCs w:val="24"/>
          <w:lang w:eastAsia="en-AU"/>
        </w:rPr>
        <w:t xml:space="preserve"> or who are unlikely to proactively engage with a service.  Outreach is a particularly important strategy to engaging highly vulnerable families.</w:t>
      </w:r>
    </w:p>
    <w:p w:rsidR="00E72FC5" w:rsidRPr="00C46BB5" w:rsidRDefault="00E72FC5" w:rsidP="00E72FC5">
      <w:pPr>
        <w:rPr>
          <w:rFonts w:eastAsia="Times New Roman"/>
          <w:sz w:val="24"/>
          <w:szCs w:val="24"/>
          <w:lang w:eastAsia="en-AU"/>
        </w:rPr>
      </w:pPr>
      <w:r w:rsidRPr="00C46BB5">
        <w:rPr>
          <w:rFonts w:eastAsia="Times New Roman"/>
          <w:sz w:val="24"/>
          <w:szCs w:val="24"/>
          <w:lang w:eastAsia="en-AU"/>
        </w:rPr>
        <w:lastRenderedPageBreak/>
        <w:t xml:space="preserve">15.4% of CfC IPS service providers ranked Outreach and Home Visits as the eligible activity that they spent most time delivering. Across all </w:t>
      </w:r>
      <w:proofErr w:type="gramStart"/>
      <w:r w:rsidRPr="00C46BB5">
        <w:rPr>
          <w:rFonts w:eastAsia="Times New Roman"/>
          <w:sz w:val="24"/>
          <w:szCs w:val="24"/>
          <w:lang w:eastAsia="en-AU"/>
        </w:rPr>
        <w:t>CfC</w:t>
      </w:r>
      <w:proofErr w:type="gramEnd"/>
      <w:r w:rsidRPr="00C46BB5">
        <w:rPr>
          <w:rFonts w:eastAsia="Times New Roman"/>
          <w:sz w:val="24"/>
          <w:szCs w:val="24"/>
          <w:lang w:eastAsia="en-AU"/>
        </w:rPr>
        <w:t xml:space="preserve"> services</w:t>
      </w:r>
      <w:r w:rsidR="00FB3AD6">
        <w:rPr>
          <w:rFonts w:eastAsia="Times New Roman"/>
          <w:sz w:val="24"/>
          <w:szCs w:val="24"/>
          <w:lang w:eastAsia="en-AU"/>
        </w:rPr>
        <w:t>,</w:t>
      </w:r>
      <w:r w:rsidRPr="00C46BB5">
        <w:rPr>
          <w:rFonts w:eastAsia="Times New Roman"/>
          <w:sz w:val="24"/>
          <w:szCs w:val="24"/>
          <w:lang w:eastAsia="en-AU"/>
        </w:rPr>
        <w:t xml:space="preserve"> 13.2% ranked this activity as first, 14% as second, 14.6% as third, 12.1% as fourth, </w:t>
      </w:r>
      <w:r w:rsidR="00802845">
        <w:rPr>
          <w:rFonts w:eastAsia="Times New Roman"/>
          <w:sz w:val="24"/>
          <w:szCs w:val="24"/>
          <w:lang w:eastAsia="en-AU"/>
        </w:rPr>
        <w:t xml:space="preserve">10.5% as fifth, 20.4% as sixth.  </w:t>
      </w:r>
      <w:r w:rsidRPr="00C46BB5">
        <w:rPr>
          <w:rFonts w:eastAsia="Times New Roman"/>
          <w:sz w:val="24"/>
          <w:szCs w:val="24"/>
          <w:lang w:eastAsia="en-AU"/>
        </w:rPr>
        <w:t xml:space="preserve">15.2% of </w:t>
      </w:r>
      <w:proofErr w:type="gramStart"/>
      <w:r w:rsidRPr="00C46BB5">
        <w:rPr>
          <w:rFonts w:eastAsia="Times New Roman"/>
          <w:sz w:val="24"/>
          <w:szCs w:val="24"/>
          <w:lang w:eastAsia="en-AU"/>
        </w:rPr>
        <w:t>CfC</w:t>
      </w:r>
      <w:proofErr w:type="gramEnd"/>
      <w:r w:rsidRPr="00C46BB5">
        <w:rPr>
          <w:rFonts w:eastAsia="Times New Roman"/>
          <w:sz w:val="24"/>
          <w:szCs w:val="24"/>
          <w:lang w:eastAsia="en-AU"/>
        </w:rPr>
        <w:t xml:space="preserve"> services reported delivering no Outreach </w:t>
      </w:r>
      <w:r w:rsidR="00FB3AD6">
        <w:rPr>
          <w:rFonts w:eastAsia="Times New Roman"/>
          <w:sz w:val="24"/>
          <w:szCs w:val="24"/>
          <w:lang w:eastAsia="en-AU"/>
        </w:rPr>
        <w:t>or</w:t>
      </w:r>
      <w:r w:rsidR="00FB3AD6" w:rsidRPr="00C46BB5">
        <w:rPr>
          <w:rFonts w:eastAsia="Times New Roman"/>
          <w:sz w:val="24"/>
          <w:szCs w:val="24"/>
          <w:lang w:eastAsia="en-AU"/>
        </w:rPr>
        <w:t xml:space="preserve"> </w:t>
      </w:r>
      <w:r w:rsidRPr="00C46BB5">
        <w:rPr>
          <w:rFonts w:eastAsia="Times New Roman"/>
          <w:sz w:val="24"/>
          <w:szCs w:val="24"/>
          <w:lang w:eastAsia="en-AU"/>
        </w:rPr>
        <w:t>Home Visits</w:t>
      </w:r>
      <w:r w:rsidR="00FB3AD6">
        <w:rPr>
          <w:rFonts w:eastAsia="Times New Roman"/>
          <w:sz w:val="24"/>
          <w:szCs w:val="24"/>
          <w:lang w:eastAsia="en-AU"/>
        </w:rPr>
        <w:t xml:space="preserve"> services</w:t>
      </w:r>
      <w:r w:rsidRPr="00C46BB5">
        <w:rPr>
          <w:rFonts w:eastAsia="Times New Roman"/>
          <w:sz w:val="24"/>
          <w:szCs w:val="24"/>
          <w:lang w:eastAsia="en-AU"/>
        </w:rPr>
        <w:t>.</w:t>
      </w:r>
    </w:p>
    <w:p w:rsidR="00C50F6B" w:rsidRPr="00C46BB5" w:rsidRDefault="00C50F6B" w:rsidP="00C50F6B">
      <w:pPr>
        <w:rPr>
          <w:rFonts w:eastAsia="Times New Roman"/>
          <w:color w:val="4F6228"/>
          <w:sz w:val="24"/>
          <w:szCs w:val="24"/>
          <w:u w:val="single"/>
          <w:lang w:eastAsia="en-AU"/>
        </w:rPr>
      </w:pPr>
      <w:proofErr w:type="gramStart"/>
      <w:r w:rsidRPr="00C46BB5">
        <w:rPr>
          <w:rFonts w:eastAsia="Times New Roman"/>
          <w:color w:val="4F6228"/>
          <w:sz w:val="24"/>
          <w:szCs w:val="24"/>
          <w:u w:val="single"/>
          <w:lang w:eastAsia="en-AU"/>
        </w:rPr>
        <w:t>Community Capacity Building and Development.</w:t>
      </w:r>
      <w:proofErr w:type="gramEnd"/>
    </w:p>
    <w:p w:rsidR="0045024F" w:rsidRDefault="0045024F" w:rsidP="0045024F">
      <w:pPr>
        <w:rPr>
          <w:rFonts w:eastAsia="Times New Roman"/>
          <w:sz w:val="24"/>
          <w:szCs w:val="24"/>
          <w:lang w:eastAsia="en-AU"/>
        </w:rPr>
      </w:pPr>
      <w:r w:rsidRPr="00C46BB5">
        <w:rPr>
          <w:rFonts w:eastAsia="Times New Roman"/>
          <w:sz w:val="24"/>
          <w:szCs w:val="24"/>
          <w:lang w:eastAsia="en-AU"/>
        </w:rPr>
        <w:t xml:space="preserve">32% of CfC FP service providers ranked Community Capacity Building and Development as the eligible activity that they spent most time delivering. Across all </w:t>
      </w:r>
      <w:proofErr w:type="gramStart"/>
      <w:r w:rsidRPr="00C46BB5">
        <w:rPr>
          <w:rFonts w:eastAsia="Times New Roman"/>
          <w:sz w:val="24"/>
          <w:szCs w:val="24"/>
          <w:lang w:eastAsia="en-AU"/>
        </w:rPr>
        <w:t>CfC</w:t>
      </w:r>
      <w:proofErr w:type="gramEnd"/>
      <w:r w:rsidRPr="00C46BB5">
        <w:rPr>
          <w:rFonts w:eastAsia="Times New Roman"/>
          <w:sz w:val="24"/>
          <w:szCs w:val="24"/>
          <w:lang w:eastAsia="en-AU"/>
        </w:rPr>
        <w:t xml:space="preserve"> services</w:t>
      </w:r>
      <w:r w:rsidR="00FB3AD6">
        <w:rPr>
          <w:rFonts w:eastAsia="Times New Roman"/>
          <w:sz w:val="24"/>
          <w:szCs w:val="24"/>
          <w:lang w:eastAsia="en-AU"/>
        </w:rPr>
        <w:t>,</w:t>
      </w:r>
      <w:r w:rsidRPr="00C46BB5">
        <w:rPr>
          <w:rFonts w:eastAsia="Times New Roman"/>
          <w:sz w:val="24"/>
          <w:szCs w:val="24"/>
          <w:lang w:eastAsia="en-AU"/>
        </w:rPr>
        <w:t xml:space="preserve"> 15.4% ranked this activity as first, 14.3% as second, 17.1% as third, 19.3 % as fourth, 21.2% as fifth, 7.4% as sixth</w:t>
      </w:r>
      <w:r w:rsidR="00FB3AD6">
        <w:rPr>
          <w:rFonts w:eastAsia="Times New Roman"/>
          <w:sz w:val="24"/>
          <w:szCs w:val="24"/>
          <w:lang w:eastAsia="en-AU"/>
        </w:rPr>
        <w:t xml:space="preserve">.  </w:t>
      </w:r>
      <w:r w:rsidRPr="00C46BB5">
        <w:rPr>
          <w:rFonts w:eastAsia="Times New Roman"/>
          <w:sz w:val="24"/>
          <w:szCs w:val="24"/>
          <w:lang w:eastAsia="en-AU"/>
        </w:rPr>
        <w:t xml:space="preserve">5.2% of </w:t>
      </w:r>
      <w:proofErr w:type="gramStart"/>
      <w:r w:rsidRPr="00C46BB5">
        <w:rPr>
          <w:rFonts w:eastAsia="Times New Roman"/>
          <w:sz w:val="24"/>
          <w:szCs w:val="24"/>
          <w:lang w:eastAsia="en-AU"/>
        </w:rPr>
        <w:t>CfC</w:t>
      </w:r>
      <w:proofErr w:type="gramEnd"/>
      <w:r w:rsidRPr="00C46BB5">
        <w:rPr>
          <w:rFonts w:eastAsia="Times New Roman"/>
          <w:sz w:val="24"/>
          <w:szCs w:val="24"/>
          <w:lang w:eastAsia="en-AU"/>
        </w:rPr>
        <w:t xml:space="preserve"> services reported delivering no Community Capacity Building and Development activities.</w:t>
      </w:r>
    </w:p>
    <w:p w:rsidR="00A7064F" w:rsidRPr="00A7064F" w:rsidRDefault="00A7064F" w:rsidP="00A7064F">
      <w:pPr>
        <w:pStyle w:val="Heading2"/>
        <w:rPr>
          <w:rFonts w:eastAsia="Times New Roman"/>
          <w:lang w:eastAsia="en-AU"/>
        </w:rPr>
      </w:pPr>
      <w:bookmarkStart w:id="162" w:name="_Toc318188740"/>
      <w:bookmarkStart w:id="163" w:name="_Toc338944772"/>
      <w:bookmarkStart w:id="164" w:name="_Toc338945063"/>
      <w:bookmarkStart w:id="165" w:name="_Toc338945390"/>
      <w:bookmarkStart w:id="166" w:name="_Toc338945643"/>
      <w:bookmarkStart w:id="167" w:name="_Toc341705913"/>
      <w:r w:rsidRPr="00A7064F">
        <w:rPr>
          <w:rFonts w:eastAsia="Times New Roman"/>
          <w:lang w:eastAsia="en-AU"/>
        </w:rPr>
        <w:t>Family Relationship Advice Line (the Advice Line) – 1800 050 321</w:t>
      </w:r>
      <w:bookmarkEnd w:id="162"/>
      <w:bookmarkEnd w:id="163"/>
      <w:bookmarkEnd w:id="164"/>
      <w:bookmarkEnd w:id="165"/>
      <w:bookmarkEnd w:id="166"/>
      <w:bookmarkEnd w:id="167"/>
    </w:p>
    <w:p w:rsidR="00A7064F" w:rsidRPr="004B5A07" w:rsidRDefault="00A7064F" w:rsidP="00A7064F">
      <w:pPr>
        <w:rPr>
          <w:rFonts w:eastAsia="Times New Roman"/>
          <w:sz w:val="24"/>
          <w:szCs w:val="24"/>
          <w:lang w:eastAsia="en-AU"/>
        </w:rPr>
      </w:pPr>
      <w:r w:rsidRPr="004B5A07">
        <w:rPr>
          <w:rFonts w:eastAsia="Times New Roman"/>
          <w:sz w:val="24"/>
          <w:szCs w:val="24"/>
          <w:lang w:eastAsia="en-AU"/>
        </w:rPr>
        <w:t xml:space="preserve">The Family Relationship Advice Line is a national </w:t>
      </w:r>
      <w:r w:rsidR="001258CF">
        <w:rPr>
          <w:rFonts w:eastAsia="Times New Roman"/>
          <w:sz w:val="24"/>
          <w:szCs w:val="24"/>
          <w:lang w:eastAsia="en-AU"/>
        </w:rPr>
        <w:t>telephone service that provides</w:t>
      </w:r>
      <w:r w:rsidRPr="004B5A07">
        <w:rPr>
          <w:rFonts w:eastAsia="Times New Roman"/>
          <w:sz w:val="24"/>
          <w:szCs w:val="24"/>
          <w:lang w:eastAsia="en-AU"/>
        </w:rPr>
        <w:t xml:space="preserve"> information and referral</w:t>
      </w:r>
      <w:r w:rsidR="00FB3AD6">
        <w:rPr>
          <w:rFonts w:eastAsia="Times New Roman"/>
          <w:sz w:val="24"/>
          <w:szCs w:val="24"/>
          <w:lang w:eastAsia="en-AU"/>
        </w:rPr>
        <w:t xml:space="preserve"> for callers</w:t>
      </w:r>
      <w:r w:rsidRPr="004B5A07">
        <w:rPr>
          <w:rFonts w:eastAsia="Times New Roman"/>
          <w:sz w:val="24"/>
          <w:szCs w:val="24"/>
          <w:lang w:eastAsia="en-AU"/>
        </w:rPr>
        <w:t xml:space="preserve"> to </w:t>
      </w:r>
      <w:r w:rsidR="00FB3AD6">
        <w:rPr>
          <w:rFonts w:eastAsia="Times New Roman"/>
          <w:sz w:val="24"/>
          <w:szCs w:val="24"/>
          <w:lang w:eastAsia="en-AU"/>
        </w:rPr>
        <w:t xml:space="preserve">enable them to connect with </w:t>
      </w:r>
      <w:r w:rsidRPr="004B5A07">
        <w:rPr>
          <w:rFonts w:eastAsia="Times New Roman"/>
          <w:sz w:val="24"/>
          <w:szCs w:val="24"/>
          <w:lang w:eastAsia="en-AU"/>
        </w:rPr>
        <w:t xml:space="preserve">services that help </w:t>
      </w:r>
      <w:r w:rsidR="00FB3AD6">
        <w:rPr>
          <w:rFonts w:eastAsia="Times New Roman"/>
          <w:sz w:val="24"/>
          <w:szCs w:val="24"/>
          <w:lang w:eastAsia="en-AU"/>
        </w:rPr>
        <w:t>address</w:t>
      </w:r>
      <w:r w:rsidRPr="004B5A07">
        <w:rPr>
          <w:rFonts w:eastAsia="Times New Roman"/>
          <w:sz w:val="24"/>
          <w:szCs w:val="24"/>
          <w:lang w:eastAsia="en-AU"/>
        </w:rPr>
        <w:t xml:space="preserve"> relationship difficulties or deal with separation. During 2011-12 the Advice Line comprised:</w:t>
      </w:r>
    </w:p>
    <w:p w:rsidR="00A7064F" w:rsidRPr="004B5A07" w:rsidRDefault="00A7064F" w:rsidP="00A7064F">
      <w:pPr>
        <w:pStyle w:val="ListParagraph"/>
        <w:numPr>
          <w:ilvl w:val="0"/>
          <w:numId w:val="23"/>
        </w:numPr>
        <w:rPr>
          <w:rFonts w:eastAsia="Times New Roman"/>
          <w:sz w:val="24"/>
          <w:szCs w:val="24"/>
          <w:lang w:eastAsia="en-AU"/>
        </w:rPr>
      </w:pPr>
      <w:r w:rsidRPr="004B5A07">
        <w:rPr>
          <w:rFonts w:eastAsia="Times New Roman"/>
          <w:sz w:val="24"/>
          <w:szCs w:val="24"/>
          <w:lang w:eastAsia="en-AU"/>
        </w:rPr>
        <w:t>Information</w:t>
      </w:r>
      <w:r w:rsidR="007A7192">
        <w:rPr>
          <w:rFonts w:eastAsia="Times New Roman"/>
          <w:sz w:val="24"/>
          <w:szCs w:val="24"/>
          <w:lang w:eastAsia="en-AU"/>
        </w:rPr>
        <w:t xml:space="preserve"> Officer Services</w:t>
      </w:r>
    </w:p>
    <w:p w:rsidR="00A7064F" w:rsidRPr="004B5A07" w:rsidRDefault="00A7064F" w:rsidP="00A7064F">
      <w:pPr>
        <w:pStyle w:val="ListParagraph"/>
        <w:numPr>
          <w:ilvl w:val="0"/>
          <w:numId w:val="23"/>
        </w:numPr>
        <w:rPr>
          <w:rFonts w:eastAsia="Times New Roman"/>
          <w:sz w:val="24"/>
          <w:szCs w:val="24"/>
          <w:lang w:eastAsia="en-AU"/>
        </w:rPr>
      </w:pPr>
      <w:r w:rsidRPr="004B5A07">
        <w:rPr>
          <w:rFonts w:eastAsia="Times New Roman"/>
          <w:sz w:val="24"/>
          <w:szCs w:val="24"/>
          <w:lang w:eastAsia="en-AU"/>
        </w:rPr>
        <w:t>Parentin</w:t>
      </w:r>
      <w:r w:rsidR="007A7192">
        <w:rPr>
          <w:rFonts w:eastAsia="Times New Roman"/>
          <w:sz w:val="24"/>
          <w:szCs w:val="24"/>
          <w:lang w:eastAsia="en-AU"/>
        </w:rPr>
        <w:t>g Advice Services</w:t>
      </w:r>
    </w:p>
    <w:p w:rsidR="00A7064F" w:rsidRPr="004B5A07" w:rsidRDefault="00A7064F" w:rsidP="00A7064F">
      <w:pPr>
        <w:pStyle w:val="ListParagraph"/>
        <w:numPr>
          <w:ilvl w:val="0"/>
          <w:numId w:val="23"/>
        </w:numPr>
        <w:rPr>
          <w:rFonts w:eastAsia="Times New Roman"/>
          <w:sz w:val="24"/>
          <w:szCs w:val="24"/>
          <w:lang w:eastAsia="en-AU"/>
        </w:rPr>
      </w:pPr>
      <w:r w:rsidRPr="004B5A07">
        <w:rPr>
          <w:rFonts w:eastAsia="Times New Roman"/>
          <w:sz w:val="24"/>
          <w:szCs w:val="24"/>
          <w:lang w:eastAsia="en-AU"/>
        </w:rPr>
        <w:t>Telephone and Online Dispute Resolution Ser</w:t>
      </w:r>
      <w:r w:rsidR="007A7192">
        <w:rPr>
          <w:rFonts w:eastAsia="Times New Roman"/>
          <w:sz w:val="24"/>
          <w:szCs w:val="24"/>
          <w:lang w:eastAsia="en-AU"/>
        </w:rPr>
        <w:t>vice</w:t>
      </w:r>
    </w:p>
    <w:p w:rsidR="00A7064F" w:rsidRPr="004B5A07" w:rsidRDefault="00A7064F" w:rsidP="00A7064F">
      <w:pPr>
        <w:pStyle w:val="ListParagraph"/>
        <w:numPr>
          <w:ilvl w:val="0"/>
          <w:numId w:val="23"/>
        </w:numPr>
        <w:rPr>
          <w:rFonts w:eastAsia="Times New Roman"/>
          <w:sz w:val="24"/>
          <w:szCs w:val="24"/>
          <w:lang w:eastAsia="en-AU"/>
        </w:rPr>
      </w:pPr>
      <w:r w:rsidRPr="004B5A07">
        <w:rPr>
          <w:rFonts w:eastAsia="Times New Roman"/>
          <w:sz w:val="24"/>
          <w:szCs w:val="24"/>
          <w:lang w:eastAsia="en-AU"/>
        </w:rPr>
        <w:t>Lega</w:t>
      </w:r>
      <w:r w:rsidR="007A7192">
        <w:rPr>
          <w:rFonts w:eastAsia="Times New Roman"/>
          <w:sz w:val="24"/>
          <w:szCs w:val="24"/>
          <w:lang w:eastAsia="en-AU"/>
        </w:rPr>
        <w:t>l Advice Services</w:t>
      </w:r>
    </w:p>
    <w:p w:rsidR="00A7064F" w:rsidRPr="004B5A07" w:rsidRDefault="00A7064F" w:rsidP="00A7064F">
      <w:pPr>
        <w:rPr>
          <w:rFonts w:eastAsia="Times New Roman"/>
          <w:sz w:val="24"/>
          <w:szCs w:val="24"/>
          <w:lang w:eastAsia="en-AU"/>
        </w:rPr>
      </w:pPr>
      <w:r w:rsidRPr="004B5A07">
        <w:rPr>
          <w:rFonts w:eastAsia="Times New Roman"/>
          <w:sz w:val="24"/>
          <w:szCs w:val="24"/>
          <w:lang w:eastAsia="en-AU"/>
        </w:rPr>
        <w:t>The Advice Line is available from 8am to 8pm Monday</w:t>
      </w:r>
      <w:r w:rsidRPr="004B5A07">
        <w:rPr>
          <w:rFonts w:eastAsia="Times New Roman"/>
          <w:strike/>
          <w:sz w:val="24"/>
          <w:szCs w:val="24"/>
          <w:lang w:eastAsia="en-AU"/>
        </w:rPr>
        <w:t>s</w:t>
      </w:r>
      <w:r w:rsidRPr="004B5A07">
        <w:rPr>
          <w:rFonts w:eastAsia="Times New Roman"/>
          <w:sz w:val="24"/>
          <w:szCs w:val="24"/>
          <w:lang w:eastAsia="en-AU"/>
        </w:rPr>
        <w:t xml:space="preserve"> to Friday</w:t>
      </w:r>
      <w:r w:rsidRPr="004B5A07">
        <w:rPr>
          <w:rFonts w:eastAsia="Times New Roman"/>
          <w:strike/>
          <w:sz w:val="24"/>
          <w:szCs w:val="24"/>
          <w:lang w:eastAsia="en-AU"/>
        </w:rPr>
        <w:t>s</w:t>
      </w:r>
      <w:r w:rsidRPr="004B5A07">
        <w:rPr>
          <w:rFonts w:eastAsia="Times New Roman"/>
          <w:sz w:val="24"/>
          <w:szCs w:val="24"/>
          <w:lang w:eastAsia="en-AU"/>
        </w:rPr>
        <w:t xml:space="preserve"> and 10am to 4pm on Saturdays (except on national public holidays).</w:t>
      </w:r>
    </w:p>
    <w:p w:rsidR="00FB3AD6" w:rsidRDefault="00A7064F" w:rsidP="00A7064F">
      <w:pPr>
        <w:rPr>
          <w:rFonts w:eastAsia="Times New Roman"/>
          <w:sz w:val="24"/>
          <w:szCs w:val="24"/>
          <w:lang w:eastAsia="en-AU"/>
        </w:rPr>
      </w:pPr>
      <w:r w:rsidRPr="004B5A07">
        <w:rPr>
          <w:rFonts w:eastAsia="Times New Roman"/>
          <w:sz w:val="24"/>
          <w:szCs w:val="24"/>
          <w:lang w:eastAsia="en-AU"/>
        </w:rPr>
        <w:t>The Advice Line complements the services offered by Family Relationship Centres.</w:t>
      </w:r>
    </w:p>
    <w:p w:rsidR="00A7064F" w:rsidRPr="004B5A07" w:rsidRDefault="00A7064F" w:rsidP="00A7064F">
      <w:pPr>
        <w:rPr>
          <w:rFonts w:eastAsia="Times New Roman"/>
          <w:sz w:val="24"/>
          <w:szCs w:val="24"/>
          <w:lang w:eastAsia="en-AU"/>
        </w:rPr>
      </w:pPr>
      <w:r w:rsidRPr="004B5A07">
        <w:rPr>
          <w:rFonts w:eastAsia="Times New Roman"/>
          <w:sz w:val="24"/>
          <w:szCs w:val="24"/>
          <w:lang w:eastAsia="en-AU"/>
        </w:rPr>
        <w:t>The numbers of calls in 2011-12 has reduced by 3,639 over those recorded last year.  In 2010-11 the advice line answered 65,959 calls and the total number of calls per month ranged between 4,223 and 6,625.</w:t>
      </w:r>
    </w:p>
    <w:p w:rsidR="001B1C9D" w:rsidRDefault="00A7064F" w:rsidP="00A7064F">
      <w:pPr>
        <w:rPr>
          <w:rFonts w:eastAsia="Times New Roman"/>
          <w:sz w:val="24"/>
          <w:szCs w:val="24"/>
          <w:lang w:eastAsia="en-AU"/>
        </w:rPr>
      </w:pPr>
      <w:r w:rsidRPr="004B5A07">
        <w:rPr>
          <w:rFonts w:eastAsia="Times New Roman"/>
          <w:sz w:val="24"/>
          <w:szCs w:val="24"/>
          <w:lang w:eastAsia="en-AU"/>
        </w:rPr>
        <w:t>The number of c</w:t>
      </w:r>
      <w:r w:rsidR="00EA0D90">
        <w:rPr>
          <w:rFonts w:eastAsia="Times New Roman"/>
          <w:sz w:val="24"/>
          <w:szCs w:val="24"/>
          <w:lang w:eastAsia="en-AU"/>
        </w:rPr>
        <w:t>alls that received Information Officer S</w:t>
      </w:r>
      <w:r w:rsidRPr="004B5A07">
        <w:rPr>
          <w:rFonts w:eastAsia="Times New Roman"/>
          <w:sz w:val="24"/>
          <w:szCs w:val="24"/>
          <w:lang w:eastAsia="en-AU"/>
        </w:rPr>
        <w:t>ervices increased by 13,910 in 2011-12 from a total of 48,410 in 2010-11.  The number of</w:t>
      </w:r>
      <w:r w:rsidR="00EA0D90">
        <w:rPr>
          <w:rFonts w:eastAsia="Times New Roman"/>
          <w:sz w:val="24"/>
          <w:szCs w:val="24"/>
          <w:lang w:eastAsia="en-AU"/>
        </w:rPr>
        <w:t xml:space="preserve"> calls that received Parenting Advice S</w:t>
      </w:r>
      <w:r w:rsidRPr="004B5A07">
        <w:rPr>
          <w:rFonts w:eastAsia="Times New Roman"/>
          <w:sz w:val="24"/>
          <w:szCs w:val="24"/>
          <w:lang w:eastAsia="en-AU"/>
        </w:rPr>
        <w:t xml:space="preserve">ervices reduced by 3,490 in 2011-12 from a total of 15,611 in 2010-11.  The number of calls that received Telephone and Online Dispute Resolution Services also reduced by 2,970 in 2011-12 from a total of 19,758 in 2010-11 and the number of calls that received Legal </w:t>
      </w:r>
      <w:r w:rsidR="00FB3AD6">
        <w:rPr>
          <w:rFonts w:eastAsia="Times New Roman"/>
          <w:sz w:val="24"/>
          <w:szCs w:val="24"/>
          <w:lang w:eastAsia="en-AU"/>
        </w:rPr>
        <w:t>A</w:t>
      </w:r>
      <w:r w:rsidRPr="004B5A07">
        <w:rPr>
          <w:rFonts w:eastAsia="Times New Roman"/>
          <w:sz w:val="24"/>
          <w:szCs w:val="24"/>
          <w:lang w:eastAsia="en-AU"/>
        </w:rPr>
        <w:t xml:space="preserve">dvice </w:t>
      </w:r>
      <w:r w:rsidR="00FB3AD6">
        <w:rPr>
          <w:rFonts w:eastAsia="Times New Roman"/>
          <w:sz w:val="24"/>
          <w:szCs w:val="24"/>
          <w:lang w:eastAsia="en-AU"/>
        </w:rPr>
        <w:t>S</w:t>
      </w:r>
      <w:r w:rsidRPr="004B5A07">
        <w:rPr>
          <w:rFonts w:eastAsia="Times New Roman"/>
          <w:sz w:val="24"/>
          <w:szCs w:val="24"/>
          <w:lang w:eastAsia="en-AU"/>
        </w:rPr>
        <w:t>ervices increased by 2,279 in 2011-12 from a total of 3,022 in 2010-11.</w:t>
      </w:r>
    </w:p>
    <w:p w:rsidR="001B1C9D" w:rsidRDefault="001B1C9D">
      <w:pPr>
        <w:rPr>
          <w:rFonts w:eastAsia="Times New Roman"/>
          <w:sz w:val="24"/>
          <w:szCs w:val="24"/>
          <w:lang w:eastAsia="en-AU"/>
        </w:rPr>
      </w:pPr>
      <w:r>
        <w:rPr>
          <w:rFonts w:eastAsia="Times New Roman"/>
          <w:sz w:val="24"/>
          <w:szCs w:val="24"/>
          <w:lang w:eastAsia="en-AU"/>
        </w:rPr>
        <w:br w:type="page"/>
      </w:r>
    </w:p>
    <w:p w:rsidR="00A7064F" w:rsidRPr="004B5A07" w:rsidRDefault="00A7064F" w:rsidP="00A7064F">
      <w:pPr>
        <w:rPr>
          <w:rFonts w:eastAsia="Times New Roman"/>
          <w:noProof/>
          <w:sz w:val="24"/>
          <w:szCs w:val="24"/>
          <w:lang w:eastAsia="en-AU"/>
        </w:rPr>
      </w:pPr>
    </w:p>
    <w:p w:rsidR="00A7064F" w:rsidRPr="00A7064F" w:rsidRDefault="00EA0D90" w:rsidP="00A7064F">
      <w:pPr>
        <w:pStyle w:val="Heading4"/>
        <w:rPr>
          <w:rFonts w:eastAsia="Times New Roman"/>
          <w:lang w:eastAsia="en-AU"/>
        </w:rPr>
      </w:pPr>
      <w:bookmarkStart w:id="168" w:name="_Table_3.10:_Calls"/>
      <w:bookmarkStart w:id="169" w:name="_2.13:__Table"/>
      <w:bookmarkEnd w:id="168"/>
      <w:bookmarkEnd w:id="169"/>
      <w:r>
        <w:rPr>
          <w:rFonts w:eastAsia="Times New Roman"/>
          <w:lang w:eastAsia="en-AU"/>
        </w:rPr>
        <w:t>2.1</w:t>
      </w:r>
      <w:r w:rsidR="00DA2404">
        <w:rPr>
          <w:rFonts w:eastAsia="Times New Roman"/>
          <w:lang w:eastAsia="en-AU"/>
        </w:rPr>
        <w:t>5</w:t>
      </w:r>
      <w:r w:rsidR="00A7064F" w:rsidRPr="00A7064F">
        <w:rPr>
          <w:rFonts w:eastAsia="Times New Roman"/>
          <w:lang w:eastAsia="en-AU"/>
        </w:rPr>
        <w:t>:  Table - Calls to the Family Relationship Advice Line 2011-12</w:t>
      </w:r>
    </w:p>
    <w:tbl>
      <w:tblPr>
        <w:tblW w:w="0" w:type="auto"/>
        <w:tblBorders>
          <w:top w:val="single" w:sz="8" w:space="0" w:color="9BBB59"/>
          <w:bottom w:val="single" w:sz="8" w:space="0" w:color="9BBB59"/>
        </w:tblBorders>
        <w:tblLook w:val="04A0" w:firstRow="1" w:lastRow="0" w:firstColumn="1" w:lastColumn="0" w:noHBand="0" w:noVBand="1"/>
        <w:tblCaption w:val="Calls to the Family Relationship Advice Line 2011-12"/>
        <w:tblDescription w:val="The table shows the Family Relationship Advice Line received 69,910 incoming calls during 2011-12, and answered 62,320.  The total number of calls per month ranged between 4,211 and 6,242."/>
      </w:tblPr>
      <w:tblGrid>
        <w:gridCol w:w="5920"/>
        <w:gridCol w:w="4621"/>
      </w:tblGrid>
      <w:tr w:rsidR="00A7064F" w:rsidRPr="00A7064F" w:rsidTr="00A7064F">
        <w:trPr>
          <w:tblHeader/>
        </w:trPr>
        <w:tc>
          <w:tcPr>
            <w:tcW w:w="5920" w:type="dxa"/>
            <w:tcBorders>
              <w:top w:val="single" w:sz="8" w:space="0" w:color="9BBB59"/>
              <w:left w:val="nil"/>
              <w:bottom w:val="single" w:sz="8" w:space="0" w:color="9BBB59"/>
              <w:right w:val="nil"/>
            </w:tcBorders>
            <w:shd w:val="clear" w:color="auto" w:fill="auto"/>
          </w:tcPr>
          <w:p w:rsidR="00A7064F" w:rsidRPr="00A7064F" w:rsidRDefault="00A7064F" w:rsidP="00A7064F">
            <w:pPr>
              <w:spacing w:before="120" w:after="0" w:line="240" w:lineRule="auto"/>
              <w:rPr>
                <w:rFonts w:ascii="Arial Narrow" w:eastAsia="Calibri" w:hAnsi="Arial Narrow" w:cs="Times New Roman"/>
                <w:b/>
                <w:smallCaps/>
                <w:spacing w:val="9"/>
              </w:rPr>
            </w:pPr>
          </w:p>
        </w:tc>
        <w:tc>
          <w:tcPr>
            <w:tcW w:w="4621" w:type="dxa"/>
            <w:tcBorders>
              <w:top w:val="single" w:sz="8" w:space="0" w:color="9BBB59"/>
              <w:left w:val="nil"/>
              <w:bottom w:val="single" w:sz="8" w:space="0" w:color="9BBB59"/>
              <w:right w:val="nil"/>
            </w:tcBorders>
            <w:shd w:val="clear" w:color="auto" w:fill="auto"/>
          </w:tcPr>
          <w:p w:rsidR="00A7064F" w:rsidRPr="00A7064F" w:rsidRDefault="00A7064F" w:rsidP="00A7064F">
            <w:pPr>
              <w:spacing w:before="120" w:after="0" w:line="240" w:lineRule="auto"/>
              <w:jc w:val="center"/>
              <w:rPr>
                <w:rFonts w:ascii="Arial Narrow" w:eastAsia="Calibri" w:hAnsi="Arial Narrow" w:cs="Times New Roman"/>
                <w:b/>
                <w:spacing w:val="9"/>
              </w:rPr>
            </w:pPr>
            <w:r w:rsidRPr="00A7064F">
              <w:rPr>
                <w:rFonts w:ascii="Arial Narrow" w:eastAsia="Calibri" w:hAnsi="Arial Narrow" w:cs="Times New Roman"/>
                <w:b/>
                <w:spacing w:val="9"/>
              </w:rPr>
              <w:t>Number of calls</w:t>
            </w:r>
          </w:p>
        </w:tc>
      </w:tr>
      <w:tr w:rsidR="00A7064F" w:rsidRPr="00A7064F" w:rsidTr="001F7607">
        <w:tc>
          <w:tcPr>
            <w:tcW w:w="5920" w:type="dxa"/>
            <w:shd w:val="clear" w:color="auto" w:fill="E6EED5"/>
          </w:tcPr>
          <w:p w:rsidR="00A7064F" w:rsidRPr="00A7064F" w:rsidRDefault="00A7064F" w:rsidP="00A7064F">
            <w:pPr>
              <w:spacing w:before="120" w:after="0" w:line="240" w:lineRule="auto"/>
              <w:rPr>
                <w:rFonts w:ascii="Arial Narrow" w:eastAsia="Calibri" w:hAnsi="Arial Narrow" w:cs="Times New Roman"/>
                <w:spacing w:val="9"/>
              </w:rPr>
            </w:pPr>
            <w:r w:rsidRPr="00A7064F">
              <w:rPr>
                <w:rFonts w:ascii="Arial Narrow" w:eastAsia="Calibri" w:hAnsi="Arial Narrow" w:cs="Times New Roman"/>
                <w:spacing w:val="9"/>
              </w:rPr>
              <w:t>Incoming Telephone Calls</w:t>
            </w:r>
          </w:p>
        </w:tc>
        <w:tc>
          <w:tcPr>
            <w:tcW w:w="4621" w:type="dxa"/>
            <w:shd w:val="clear" w:color="auto" w:fill="E6EED5"/>
          </w:tcPr>
          <w:p w:rsidR="00A7064F" w:rsidRPr="00A7064F" w:rsidRDefault="00A7064F" w:rsidP="00A7064F">
            <w:pPr>
              <w:spacing w:before="120" w:after="0" w:line="240" w:lineRule="auto"/>
              <w:jc w:val="center"/>
              <w:rPr>
                <w:rFonts w:ascii="Arial Narrow" w:eastAsia="Calibri" w:hAnsi="Arial Narrow" w:cs="Times New Roman"/>
                <w:bCs/>
                <w:spacing w:val="9"/>
              </w:rPr>
            </w:pPr>
            <w:r w:rsidRPr="00A7064F">
              <w:rPr>
                <w:rFonts w:ascii="Arial Narrow" w:eastAsia="Calibri" w:hAnsi="Arial Narrow" w:cs="Times New Roman"/>
                <w:bCs/>
                <w:spacing w:val="9"/>
              </w:rPr>
              <w:t>69,910</w:t>
            </w:r>
          </w:p>
        </w:tc>
      </w:tr>
      <w:tr w:rsidR="00A7064F" w:rsidRPr="00A7064F" w:rsidTr="001F7607">
        <w:tc>
          <w:tcPr>
            <w:tcW w:w="5920" w:type="dxa"/>
            <w:shd w:val="clear" w:color="auto" w:fill="auto"/>
          </w:tcPr>
          <w:p w:rsidR="00A7064F" w:rsidRPr="00A7064F" w:rsidRDefault="00A7064F" w:rsidP="00A7064F">
            <w:pPr>
              <w:spacing w:before="120" w:after="0" w:line="240" w:lineRule="auto"/>
              <w:rPr>
                <w:rFonts w:ascii="Arial Narrow" w:eastAsia="Calibri" w:hAnsi="Arial Narrow" w:cs="Times New Roman"/>
                <w:spacing w:val="9"/>
              </w:rPr>
            </w:pPr>
            <w:r w:rsidRPr="00A7064F">
              <w:rPr>
                <w:rFonts w:ascii="Arial Narrow" w:eastAsia="Calibri" w:hAnsi="Arial Narrow" w:cs="Times New Roman"/>
                <w:spacing w:val="9"/>
              </w:rPr>
              <w:t>Telephone calls answered</w:t>
            </w:r>
          </w:p>
        </w:tc>
        <w:tc>
          <w:tcPr>
            <w:tcW w:w="4621" w:type="dxa"/>
            <w:shd w:val="clear" w:color="auto" w:fill="auto"/>
          </w:tcPr>
          <w:p w:rsidR="00A7064F" w:rsidRPr="00A7064F" w:rsidRDefault="00A7064F" w:rsidP="00A7064F">
            <w:pPr>
              <w:spacing w:before="120" w:after="0" w:line="240" w:lineRule="auto"/>
              <w:jc w:val="center"/>
              <w:rPr>
                <w:rFonts w:ascii="Arial Narrow" w:eastAsia="Calibri" w:hAnsi="Arial Narrow" w:cs="Times New Roman"/>
                <w:bCs/>
                <w:spacing w:val="9"/>
              </w:rPr>
            </w:pPr>
            <w:r w:rsidRPr="00A7064F">
              <w:rPr>
                <w:rFonts w:ascii="Arial Narrow" w:eastAsia="Calibri" w:hAnsi="Arial Narrow" w:cs="Times New Roman"/>
                <w:bCs/>
                <w:spacing w:val="9"/>
              </w:rPr>
              <w:t>62,320</w:t>
            </w:r>
          </w:p>
        </w:tc>
      </w:tr>
      <w:tr w:rsidR="00A7064F" w:rsidRPr="00A7064F" w:rsidTr="001F7607">
        <w:tc>
          <w:tcPr>
            <w:tcW w:w="5920" w:type="dxa"/>
            <w:shd w:val="clear" w:color="auto" w:fill="E6EED5"/>
          </w:tcPr>
          <w:p w:rsidR="00A7064F" w:rsidRPr="00A7064F" w:rsidRDefault="00A7064F" w:rsidP="00A7064F">
            <w:pPr>
              <w:spacing w:before="120" w:after="0" w:line="240" w:lineRule="auto"/>
              <w:rPr>
                <w:rFonts w:ascii="Arial Narrow" w:eastAsia="Calibri" w:hAnsi="Arial Narrow" w:cs="Times New Roman"/>
                <w:spacing w:val="9"/>
              </w:rPr>
            </w:pPr>
            <w:r w:rsidRPr="00A7064F">
              <w:rPr>
                <w:rFonts w:ascii="Arial Narrow" w:eastAsia="Calibri" w:hAnsi="Arial Narrow" w:cs="Times New Roman"/>
                <w:spacing w:val="9"/>
              </w:rPr>
              <w:t>Total number of calls per month ranged between</w:t>
            </w:r>
          </w:p>
        </w:tc>
        <w:tc>
          <w:tcPr>
            <w:tcW w:w="4621" w:type="dxa"/>
            <w:shd w:val="clear" w:color="auto" w:fill="E6EED5"/>
          </w:tcPr>
          <w:p w:rsidR="00A7064F" w:rsidRPr="00A7064F" w:rsidRDefault="00A7064F" w:rsidP="00A7064F">
            <w:pPr>
              <w:spacing w:before="120" w:after="0" w:line="240" w:lineRule="auto"/>
              <w:jc w:val="center"/>
              <w:rPr>
                <w:rFonts w:ascii="Arial Narrow" w:eastAsia="Calibri" w:hAnsi="Arial Narrow" w:cs="Times New Roman"/>
                <w:bCs/>
                <w:spacing w:val="9"/>
              </w:rPr>
            </w:pPr>
            <w:r w:rsidRPr="00A7064F">
              <w:rPr>
                <w:rFonts w:ascii="Arial Narrow" w:eastAsia="Calibri" w:hAnsi="Arial Narrow" w:cs="Times New Roman"/>
                <w:bCs/>
                <w:spacing w:val="9"/>
              </w:rPr>
              <w:t>4,211 and 6,242</w:t>
            </w:r>
          </w:p>
        </w:tc>
      </w:tr>
    </w:tbl>
    <w:p w:rsidR="00A7064F" w:rsidRPr="00A7064F" w:rsidRDefault="00A7064F" w:rsidP="00A7064F">
      <w:pPr>
        <w:spacing w:before="0" w:after="0" w:line="240" w:lineRule="auto"/>
        <w:rPr>
          <w:rFonts w:ascii="Arial" w:eastAsia="Times New Roman" w:hAnsi="Arial" w:cs="Arial"/>
          <w:color w:val="000000"/>
          <w:sz w:val="16"/>
          <w:szCs w:val="16"/>
        </w:rPr>
      </w:pPr>
      <w:r w:rsidRPr="00A7064F">
        <w:rPr>
          <w:rFonts w:ascii="Arial" w:eastAsia="Times New Roman" w:hAnsi="Arial" w:cs="Arial"/>
          <w:color w:val="000000"/>
          <w:sz w:val="16"/>
          <w:szCs w:val="16"/>
        </w:rPr>
        <w:t>Source: Centrelink Telephony System.</w:t>
      </w:r>
    </w:p>
    <w:p w:rsidR="00A7064F" w:rsidRDefault="00A7064F" w:rsidP="00A7064F">
      <w:pPr>
        <w:spacing w:before="0" w:after="0" w:line="240" w:lineRule="auto"/>
        <w:rPr>
          <w:rFonts w:ascii="Arial" w:eastAsia="Times New Roman" w:hAnsi="Arial" w:cs="Arial"/>
          <w:noProof/>
          <w:sz w:val="18"/>
          <w:szCs w:val="18"/>
          <w:highlight w:val="yellow"/>
          <w:lang w:eastAsia="en-AU"/>
        </w:rPr>
      </w:pPr>
    </w:p>
    <w:p w:rsidR="00A7064F" w:rsidRPr="00A7064F" w:rsidRDefault="00EA0D90" w:rsidP="009841DE">
      <w:pPr>
        <w:pStyle w:val="Heading4"/>
        <w:rPr>
          <w:rFonts w:eastAsia="Times New Roman"/>
          <w:lang w:eastAsia="en-AU"/>
        </w:rPr>
      </w:pPr>
      <w:bookmarkStart w:id="170" w:name="_Table_3.11:_Type"/>
      <w:bookmarkStart w:id="171" w:name="_2.14:__Table"/>
      <w:bookmarkStart w:id="172" w:name="_Toc292120596"/>
      <w:bookmarkStart w:id="173" w:name="_Toc292355151"/>
      <w:bookmarkStart w:id="174" w:name="_Toc292808529"/>
      <w:bookmarkEnd w:id="170"/>
      <w:bookmarkEnd w:id="171"/>
      <w:r>
        <w:rPr>
          <w:rFonts w:eastAsia="Times New Roman"/>
          <w:lang w:eastAsia="en-AU"/>
        </w:rPr>
        <w:t>2.1</w:t>
      </w:r>
      <w:r w:rsidR="00DA2404">
        <w:rPr>
          <w:rFonts w:eastAsia="Times New Roman"/>
          <w:lang w:eastAsia="en-AU"/>
        </w:rPr>
        <w:t>6</w:t>
      </w:r>
      <w:r w:rsidR="00A7064F" w:rsidRPr="00A7064F">
        <w:rPr>
          <w:rFonts w:eastAsia="Times New Roman"/>
          <w:lang w:eastAsia="en-AU"/>
        </w:rPr>
        <w:t xml:space="preserve">:  Table - Type of assistance </w:t>
      </w:r>
      <w:bookmarkEnd w:id="172"/>
      <w:bookmarkEnd w:id="173"/>
      <w:bookmarkEnd w:id="174"/>
      <w:r w:rsidR="00A7064F" w:rsidRPr="00A7064F">
        <w:rPr>
          <w:rFonts w:eastAsia="Times New Roman"/>
          <w:lang w:eastAsia="en-AU"/>
        </w:rPr>
        <w:t>provided 2011-12</w:t>
      </w:r>
    </w:p>
    <w:tbl>
      <w:tblPr>
        <w:tblW w:w="10541" w:type="dxa"/>
        <w:tblBorders>
          <w:top w:val="single" w:sz="8" w:space="0" w:color="9BBB59"/>
          <w:bottom w:val="single" w:sz="8" w:space="0" w:color="9BBB59"/>
        </w:tblBorders>
        <w:tblLook w:val="04A0" w:firstRow="1" w:lastRow="0" w:firstColumn="1" w:lastColumn="0" w:noHBand="0" w:noVBand="1"/>
        <w:tblCaption w:val="Type of assistance provided 2011-12"/>
        <w:tblDescription w:val="The table shows the type of assistance provided in 2011-12.  62,320 calls were provided  with Information officer services, 12,121 calls were provided with  Parenting advice services, 16,788 calls were provided with Telephone and Online Dispute Resolution Services and 5,301 calls were provided with legal advice services."/>
      </w:tblPr>
      <w:tblGrid>
        <w:gridCol w:w="5920"/>
        <w:gridCol w:w="4621"/>
      </w:tblGrid>
      <w:tr w:rsidR="00A7064F" w:rsidRPr="00A7064F" w:rsidTr="009841DE">
        <w:trPr>
          <w:tblHeader/>
        </w:trPr>
        <w:tc>
          <w:tcPr>
            <w:tcW w:w="5920" w:type="dxa"/>
            <w:tcBorders>
              <w:top w:val="single" w:sz="8" w:space="0" w:color="9BBB59"/>
              <w:left w:val="nil"/>
              <w:bottom w:val="single" w:sz="8" w:space="0" w:color="9BBB59"/>
              <w:right w:val="nil"/>
            </w:tcBorders>
            <w:shd w:val="clear" w:color="auto" w:fill="auto"/>
          </w:tcPr>
          <w:p w:rsidR="00A7064F" w:rsidRPr="00A7064F" w:rsidRDefault="00A7064F" w:rsidP="00A7064F">
            <w:pPr>
              <w:spacing w:before="120" w:after="0" w:line="240" w:lineRule="auto"/>
              <w:rPr>
                <w:rFonts w:ascii="Arial Narrow" w:eastAsia="Calibri" w:hAnsi="Arial Narrow" w:cs="Times New Roman"/>
                <w:b/>
                <w:bCs/>
                <w:spacing w:val="5"/>
              </w:rPr>
            </w:pPr>
          </w:p>
        </w:tc>
        <w:tc>
          <w:tcPr>
            <w:tcW w:w="4621" w:type="dxa"/>
            <w:tcBorders>
              <w:top w:val="single" w:sz="8" w:space="0" w:color="9BBB59"/>
              <w:left w:val="nil"/>
              <w:bottom w:val="single" w:sz="8" w:space="0" w:color="9BBB59"/>
              <w:right w:val="nil"/>
            </w:tcBorders>
            <w:shd w:val="clear" w:color="auto" w:fill="auto"/>
          </w:tcPr>
          <w:p w:rsidR="00A7064F" w:rsidRPr="00A7064F" w:rsidRDefault="00A7064F" w:rsidP="00A7064F">
            <w:pPr>
              <w:spacing w:before="120" w:after="0" w:line="240" w:lineRule="auto"/>
              <w:jc w:val="center"/>
              <w:rPr>
                <w:rFonts w:ascii="Arial Narrow" w:eastAsia="Calibri" w:hAnsi="Arial Narrow" w:cs="Times New Roman"/>
                <w:b/>
                <w:bCs/>
                <w:spacing w:val="5"/>
              </w:rPr>
            </w:pPr>
            <w:r w:rsidRPr="00A7064F">
              <w:rPr>
                <w:rFonts w:ascii="Arial Narrow" w:eastAsia="Calibri" w:hAnsi="Arial Narrow" w:cs="Times New Roman"/>
                <w:b/>
                <w:bCs/>
                <w:spacing w:val="5"/>
              </w:rPr>
              <w:t>Number of calls</w:t>
            </w:r>
          </w:p>
        </w:tc>
      </w:tr>
      <w:tr w:rsidR="00A7064F" w:rsidRPr="00A7064F" w:rsidTr="001F7607">
        <w:tc>
          <w:tcPr>
            <w:tcW w:w="5920" w:type="dxa"/>
            <w:tcBorders>
              <w:left w:val="nil"/>
              <w:right w:val="nil"/>
            </w:tcBorders>
            <w:shd w:val="clear" w:color="auto" w:fill="E6EED5"/>
          </w:tcPr>
          <w:p w:rsidR="00A7064F" w:rsidRPr="00A7064F" w:rsidRDefault="00A7064F" w:rsidP="00A7064F">
            <w:pPr>
              <w:spacing w:before="120" w:after="0" w:line="240" w:lineRule="auto"/>
              <w:rPr>
                <w:rFonts w:ascii="Arial Narrow" w:eastAsia="Calibri" w:hAnsi="Arial Narrow" w:cs="Arial"/>
                <w:bCs/>
              </w:rPr>
            </w:pPr>
            <w:r w:rsidRPr="00A7064F">
              <w:rPr>
                <w:rFonts w:ascii="Arial Narrow" w:eastAsia="Calibri" w:hAnsi="Arial Narrow" w:cs="Arial"/>
                <w:bCs/>
              </w:rPr>
              <w:t xml:space="preserve">Family Relationship Advice Line – Information </w:t>
            </w:r>
            <w:r w:rsidR="00E53366">
              <w:rPr>
                <w:rFonts w:ascii="Arial Narrow" w:eastAsia="Calibri" w:hAnsi="Arial Narrow" w:cs="Arial"/>
                <w:bCs/>
              </w:rPr>
              <w:t>O</w:t>
            </w:r>
            <w:r w:rsidRPr="00A7064F">
              <w:rPr>
                <w:rFonts w:ascii="Arial Narrow" w:eastAsia="Calibri" w:hAnsi="Arial Narrow" w:cs="Arial"/>
                <w:bCs/>
              </w:rPr>
              <w:t xml:space="preserve">fficer </w:t>
            </w:r>
            <w:r w:rsidR="00E53366">
              <w:rPr>
                <w:rFonts w:ascii="Arial Narrow" w:eastAsia="Calibri" w:hAnsi="Arial Narrow" w:cs="Arial"/>
                <w:bCs/>
              </w:rPr>
              <w:t>S</w:t>
            </w:r>
            <w:r w:rsidRPr="00A7064F">
              <w:rPr>
                <w:rFonts w:ascii="Arial Narrow" w:eastAsia="Calibri" w:hAnsi="Arial Narrow" w:cs="Arial"/>
                <w:bCs/>
              </w:rPr>
              <w:t>ervice</w:t>
            </w:r>
          </w:p>
        </w:tc>
        <w:tc>
          <w:tcPr>
            <w:tcW w:w="4621" w:type="dxa"/>
            <w:tcBorders>
              <w:left w:val="nil"/>
              <w:right w:val="nil"/>
            </w:tcBorders>
            <w:shd w:val="clear" w:color="auto" w:fill="E6EED5"/>
            <w:vAlign w:val="center"/>
          </w:tcPr>
          <w:p w:rsidR="00A7064F" w:rsidRPr="00A7064F" w:rsidRDefault="00A7064F" w:rsidP="00A7064F">
            <w:pPr>
              <w:spacing w:before="120" w:after="0" w:line="240" w:lineRule="auto"/>
              <w:ind w:right="308" w:hanging="85"/>
              <w:jc w:val="center"/>
              <w:rPr>
                <w:rFonts w:ascii="Arial Narrow" w:eastAsia="Calibri" w:hAnsi="Arial Narrow" w:cs="Arial"/>
              </w:rPr>
            </w:pPr>
            <w:r w:rsidRPr="00A7064F">
              <w:rPr>
                <w:rFonts w:ascii="Arial Narrow" w:eastAsia="Calibri" w:hAnsi="Arial Narrow" w:cs="Arial"/>
              </w:rPr>
              <w:t>62,320</w:t>
            </w:r>
          </w:p>
        </w:tc>
      </w:tr>
      <w:tr w:rsidR="00A7064F" w:rsidRPr="00A7064F" w:rsidTr="001F7607">
        <w:tc>
          <w:tcPr>
            <w:tcW w:w="5920" w:type="dxa"/>
            <w:shd w:val="clear" w:color="auto" w:fill="auto"/>
          </w:tcPr>
          <w:p w:rsidR="00A7064F" w:rsidRPr="00A7064F" w:rsidRDefault="00A7064F" w:rsidP="00A7064F">
            <w:pPr>
              <w:spacing w:before="120" w:after="0" w:line="240" w:lineRule="auto"/>
              <w:rPr>
                <w:rFonts w:ascii="Arial Narrow" w:eastAsia="Calibri" w:hAnsi="Arial Narrow" w:cs="Arial"/>
                <w:bCs/>
              </w:rPr>
            </w:pPr>
            <w:r w:rsidRPr="00A7064F">
              <w:rPr>
                <w:rFonts w:ascii="Arial Narrow" w:eastAsia="Calibri" w:hAnsi="Arial Narrow" w:cs="Arial"/>
                <w:bCs/>
              </w:rPr>
              <w:t xml:space="preserve">Family Relationship Advice Line – Parenting </w:t>
            </w:r>
            <w:r w:rsidR="00E53366">
              <w:rPr>
                <w:rFonts w:ascii="Arial Narrow" w:eastAsia="Calibri" w:hAnsi="Arial Narrow" w:cs="Arial"/>
                <w:bCs/>
              </w:rPr>
              <w:t>A</w:t>
            </w:r>
            <w:r w:rsidRPr="00A7064F">
              <w:rPr>
                <w:rFonts w:ascii="Arial Narrow" w:eastAsia="Calibri" w:hAnsi="Arial Narrow" w:cs="Arial"/>
                <w:bCs/>
              </w:rPr>
              <w:t xml:space="preserve">dvice </w:t>
            </w:r>
            <w:r w:rsidR="00E53366">
              <w:rPr>
                <w:rFonts w:ascii="Arial Narrow" w:eastAsia="Calibri" w:hAnsi="Arial Narrow" w:cs="Arial"/>
                <w:bCs/>
              </w:rPr>
              <w:t>S</w:t>
            </w:r>
            <w:r w:rsidRPr="00A7064F">
              <w:rPr>
                <w:rFonts w:ascii="Arial Narrow" w:eastAsia="Calibri" w:hAnsi="Arial Narrow" w:cs="Arial"/>
                <w:bCs/>
              </w:rPr>
              <w:t xml:space="preserve">ervice </w:t>
            </w:r>
          </w:p>
        </w:tc>
        <w:tc>
          <w:tcPr>
            <w:tcW w:w="4621" w:type="dxa"/>
            <w:shd w:val="clear" w:color="auto" w:fill="auto"/>
            <w:vAlign w:val="center"/>
          </w:tcPr>
          <w:p w:rsidR="00A7064F" w:rsidRPr="00A7064F" w:rsidRDefault="00A7064F" w:rsidP="00A7064F">
            <w:pPr>
              <w:spacing w:before="120" w:after="0" w:line="240" w:lineRule="auto"/>
              <w:ind w:right="308"/>
              <w:jc w:val="center"/>
              <w:rPr>
                <w:rFonts w:ascii="Arial Narrow" w:eastAsia="Calibri" w:hAnsi="Arial Narrow" w:cs="Arial"/>
              </w:rPr>
            </w:pPr>
            <w:r w:rsidRPr="00A7064F">
              <w:rPr>
                <w:rFonts w:ascii="Arial Narrow" w:eastAsia="Calibri" w:hAnsi="Arial Narrow" w:cs="Arial"/>
              </w:rPr>
              <w:t>12,121</w:t>
            </w:r>
          </w:p>
        </w:tc>
      </w:tr>
      <w:tr w:rsidR="00A7064F" w:rsidRPr="00A7064F" w:rsidTr="001F7607">
        <w:tc>
          <w:tcPr>
            <w:tcW w:w="5920" w:type="dxa"/>
            <w:tcBorders>
              <w:left w:val="nil"/>
              <w:right w:val="nil"/>
            </w:tcBorders>
            <w:shd w:val="clear" w:color="auto" w:fill="E6EED5"/>
          </w:tcPr>
          <w:p w:rsidR="00A7064F" w:rsidRPr="00A7064F" w:rsidRDefault="00A7064F" w:rsidP="00A7064F">
            <w:pPr>
              <w:spacing w:before="120" w:after="0" w:line="240" w:lineRule="auto"/>
              <w:rPr>
                <w:rFonts w:ascii="Arial Narrow" w:eastAsia="Calibri" w:hAnsi="Arial Narrow" w:cs="Arial"/>
                <w:bCs/>
              </w:rPr>
            </w:pPr>
            <w:r w:rsidRPr="00A7064F">
              <w:rPr>
                <w:rFonts w:ascii="Arial Narrow" w:eastAsia="Calibri" w:hAnsi="Arial Narrow" w:cs="Arial"/>
                <w:bCs/>
              </w:rPr>
              <w:t xml:space="preserve">Family Relationship Advice Line – Telephone and Online Dispute Resolution Service </w:t>
            </w:r>
          </w:p>
        </w:tc>
        <w:tc>
          <w:tcPr>
            <w:tcW w:w="4621" w:type="dxa"/>
            <w:tcBorders>
              <w:left w:val="nil"/>
              <w:right w:val="nil"/>
            </w:tcBorders>
            <w:shd w:val="clear" w:color="auto" w:fill="E6EED5"/>
            <w:vAlign w:val="center"/>
          </w:tcPr>
          <w:p w:rsidR="00A7064F" w:rsidRPr="00A7064F" w:rsidRDefault="00A7064F" w:rsidP="00A7064F">
            <w:pPr>
              <w:spacing w:before="120" w:after="0" w:line="240" w:lineRule="auto"/>
              <w:ind w:right="308"/>
              <w:jc w:val="center"/>
              <w:rPr>
                <w:rFonts w:ascii="Arial Narrow" w:eastAsia="Calibri" w:hAnsi="Arial Narrow" w:cs="Arial"/>
              </w:rPr>
            </w:pPr>
            <w:r w:rsidRPr="00A7064F">
              <w:rPr>
                <w:rFonts w:ascii="Arial Narrow" w:eastAsia="Calibri" w:hAnsi="Arial Narrow" w:cs="Arial"/>
              </w:rPr>
              <w:t>16,788</w:t>
            </w:r>
          </w:p>
        </w:tc>
      </w:tr>
      <w:tr w:rsidR="00A7064F" w:rsidRPr="00A7064F" w:rsidTr="001F7607">
        <w:tc>
          <w:tcPr>
            <w:tcW w:w="5920" w:type="dxa"/>
            <w:shd w:val="clear" w:color="auto" w:fill="auto"/>
          </w:tcPr>
          <w:p w:rsidR="00A7064F" w:rsidRPr="00A7064F" w:rsidRDefault="00A7064F" w:rsidP="00A7064F">
            <w:pPr>
              <w:spacing w:before="120" w:after="0" w:line="240" w:lineRule="auto"/>
              <w:rPr>
                <w:rFonts w:ascii="Arial Narrow" w:eastAsia="Calibri" w:hAnsi="Arial Narrow" w:cs="Arial"/>
                <w:bCs/>
              </w:rPr>
            </w:pPr>
            <w:r w:rsidRPr="00A7064F">
              <w:rPr>
                <w:rFonts w:ascii="Arial Narrow" w:eastAsia="Calibri" w:hAnsi="Arial Narrow" w:cs="Arial"/>
                <w:bCs/>
              </w:rPr>
              <w:t xml:space="preserve">Family Relationship Advice Line – Legal advice service </w:t>
            </w:r>
          </w:p>
        </w:tc>
        <w:tc>
          <w:tcPr>
            <w:tcW w:w="4621" w:type="dxa"/>
            <w:shd w:val="clear" w:color="auto" w:fill="auto"/>
            <w:vAlign w:val="center"/>
          </w:tcPr>
          <w:p w:rsidR="00A7064F" w:rsidRPr="00A7064F" w:rsidRDefault="00A7064F" w:rsidP="00A7064F">
            <w:pPr>
              <w:spacing w:before="120" w:after="0" w:line="240" w:lineRule="auto"/>
              <w:ind w:right="308"/>
              <w:jc w:val="center"/>
              <w:rPr>
                <w:rFonts w:ascii="Arial Narrow" w:eastAsia="Calibri" w:hAnsi="Arial Narrow" w:cs="Arial"/>
              </w:rPr>
            </w:pPr>
            <w:r w:rsidRPr="00A7064F">
              <w:rPr>
                <w:rFonts w:ascii="Arial Narrow" w:eastAsia="Calibri" w:hAnsi="Arial Narrow" w:cs="Arial"/>
              </w:rPr>
              <w:t>5,301</w:t>
            </w:r>
          </w:p>
        </w:tc>
      </w:tr>
    </w:tbl>
    <w:p w:rsidR="00A7064F" w:rsidRPr="00A7064F" w:rsidRDefault="00A7064F" w:rsidP="00A7064F">
      <w:pPr>
        <w:spacing w:before="0" w:after="0" w:line="240" w:lineRule="auto"/>
        <w:rPr>
          <w:rFonts w:ascii="Arial" w:eastAsia="Times New Roman" w:hAnsi="Arial" w:cs="Arial"/>
          <w:color w:val="000000"/>
          <w:sz w:val="16"/>
          <w:szCs w:val="16"/>
        </w:rPr>
      </w:pPr>
      <w:r w:rsidRPr="00A7064F">
        <w:rPr>
          <w:rFonts w:ascii="Arial" w:eastAsia="Times New Roman" w:hAnsi="Arial" w:cs="Arial"/>
          <w:color w:val="000000"/>
          <w:sz w:val="16"/>
          <w:szCs w:val="16"/>
        </w:rPr>
        <w:t>Note: Callers to the FRAL can receive more than one type of assistance.</w:t>
      </w:r>
    </w:p>
    <w:p w:rsidR="00A7064F" w:rsidRDefault="00A7064F" w:rsidP="00F67123">
      <w:pPr>
        <w:spacing w:before="0" w:after="0" w:line="240" w:lineRule="auto"/>
        <w:rPr>
          <w:rFonts w:ascii="Arial" w:eastAsia="Times New Roman" w:hAnsi="Arial" w:cs="Arial"/>
          <w:color w:val="000000"/>
          <w:sz w:val="16"/>
          <w:szCs w:val="16"/>
          <w:lang w:eastAsia="en-AU"/>
        </w:rPr>
      </w:pPr>
      <w:r w:rsidRPr="00A7064F">
        <w:rPr>
          <w:rFonts w:ascii="Arial" w:eastAsia="Times New Roman" w:hAnsi="Arial" w:cs="Arial"/>
          <w:color w:val="000000"/>
          <w:sz w:val="16"/>
          <w:szCs w:val="16"/>
          <w:lang w:eastAsia="en-AU"/>
        </w:rPr>
        <w:t>Source:</w:t>
      </w:r>
      <w:r w:rsidR="00F67123">
        <w:rPr>
          <w:rFonts w:ascii="Arial" w:eastAsia="Times New Roman" w:hAnsi="Arial" w:cs="Arial"/>
          <w:color w:val="000000"/>
          <w:sz w:val="16"/>
          <w:szCs w:val="16"/>
          <w:lang w:eastAsia="en-AU"/>
        </w:rPr>
        <w:br/>
      </w:r>
      <w:r w:rsidRPr="00A7064F">
        <w:rPr>
          <w:rFonts w:ascii="Arial" w:eastAsia="Times New Roman" w:hAnsi="Arial" w:cs="Arial"/>
          <w:color w:val="000000"/>
          <w:sz w:val="16"/>
          <w:szCs w:val="16"/>
          <w:lang w:eastAsia="en-AU"/>
        </w:rPr>
        <w:t xml:space="preserve">* </w:t>
      </w:r>
      <w:proofErr w:type="spellStart"/>
      <w:r w:rsidRPr="00A7064F">
        <w:rPr>
          <w:rFonts w:ascii="Arial" w:eastAsia="Times New Roman" w:hAnsi="Arial" w:cs="Arial"/>
          <w:color w:val="000000"/>
          <w:sz w:val="16"/>
          <w:szCs w:val="16"/>
          <w:lang w:eastAsia="en-AU"/>
        </w:rPr>
        <w:t>Centrelink</w:t>
      </w:r>
      <w:proofErr w:type="spellEnd"/>
      <w:r w:rsidRPr="00A7064F">
        <w:rPr>
          <w:rFonts w:ascii="Arial" w:eastAsia="Times New Roman" w:hAnsi="Arial" w:cs="Arial"/>
          <w:color w:val="000000"/>
          <w:sz w:val="16"/>
          <w:szCs w:val="16"/>
          <w:lang w:eastAsia="en-AU"/>
        </w:rPr>
        <w:t xml:space="preserve"> Telephony System</w:t>
      </w:r>
      <w:r w:rsidR="00F67123">
        <w:rPr>
          <w:rFonts w:ascii="Arial" w:eastAsia="Times New Roman" w:hAnsi="Arial" w:cs="Arial"/>
          <w:color w:val="000000"/>
          <w:sz w:val="16"/>
          <w:szCs w:val="16"/>
          <w:lang w:eastAsia="en-AU"/>
        </w:rPr>
        <w:br/>
      </w:r>
      <w:r w:rsidRPr="00A7064F">
        <w:rPr>
          <w:rFonts w:ascii="Arial" w:eastAsia="Times New Roman" w:hAnsi="Arial" w:cs="Arial"/>
          <w:color w:val="000000"/>
          <w:sz w:val="16"/>
          <w:szCs w:val="16"/>
          <w:lang w:eastAsia="en-AU"/>
        </w:rPr>
        <w:t xml:space="preserve">** </w:t>
      </w:r>
      <w:proofErr w:type="gramStart"/>
      <w:r w:rsidRPr="00A7064F">
        <w:rPr>
          <w:rFonts w:ascii="Arial" w:eastAsia="Times New Roman" w:hAnsi="Arial" w:cs="Arial"/>
          <w:color w:val="000000"/>
          <w:sz w:val="16"/>
          <w:szCs w:val="16"/>
          <w:lang w:eastAsia="en-AU"/>
        </w:rPr>
        <w:t>Provided</w:t>
      </w:r>
      <w:proofErr w:type="gramEnd"/>
      <w:r w:rsidRPr="00A7064F">
        <w:rPr>
          <w:rFonts w:ascii="Arial" w:eastAsia="Times New Roman" w:hAnsi="Arial" w:cs="Arial"/>
          <w:color w:val="000000"/>
          <w:sz w:val="16"/>
          <w:szCs w:val="16"/>
          <w:lang w:eastAsia="en-AU"/>
        </w:rPr>
        <w:t xml:space="preserve"> by the Attorney-General’s </w:t>
      </w:r>
      <w:r w:rsidR="00CB6F90">
        <w:rPr>
          <w:rFonts w:ascii="Arial" w:eastAsia="Times New Roman" w:hAnsi="Arial" w:cs="Arial"/>
          <w:color w:val="000000"/>
          <w:sz w:val="16"/>
          <w:szCs w:val="16"/>
          <w:lang w:eastAsia="en-AU"/>
        </w:rPr>
        <w:t>Department</w:t>
      </w:r>
      <w:r w:rsidR="00F67123">
        <w:rPr>
          <w:rFonts w:ascii="Arial" w:eastAsia="Times New Roman" w:hAnsi="Arial" w:cs="Arial"/>
          <w:color w:val="000000"/>
          <w:sz w:val="16"/>
          <w:szCs w:val="16"/>
          <w:lang w:eastAsia="en-AU"/>
        </w:rPr>
        <w:br/>
      </w:r>
      <w:r w:rsidRPr="00A7064F">
        <w:rPr>
          <w:rFonts w:ascii="Arial" w:eastAsia="Times New Roman" w:hAnsi="Arial" w:cs="Arial"/>
          <w:color w:val="000000"/>
          <w:sz w:val="16"/>
          <w:szCs w:val="16"/>
          <w:lang w:eastAsia="en-AU"/>
        </w:rPr>
        <w:t xml:space="preserve">*** RAQ Telephony System </w:t>
      </w:r>
    </w:p>
    <w:p w:rsidR="00A7064F" w:rsidRPr="00A7064F" w:rsidRDefault="00A7064F" w:rsidP="009841DE">
      <w:pPr>
        <w:pStyle w:val="Heading2"/>
        <w:rPr>
          <w:rFonts w:eastAsia="Times New Roman"/>
          <w:lang w:eastAsia="en-AU"/>
        </w:rPr>
      </w:pPr>
      <w:bookmarkStart w:id="175" w:name="_Toc318188741"/>
      <w:bookmarkStart w:id="176" w:name="_Toc338944773"/>
      <w:bookmarkStart w:id="177" w:name="_Toc338945064"/>
      <w:bookmarkStart w:id="178" w:name="_Toc338945391"/>
      <w:bookmarkStart w:id="179" w:name="_Toc338945644"/>
      <w:bookmarkStart w:id="180" w:name="_Toc341705914"/>
      <w:r w:rsidRPr="00A7064F">
        <w:rPr>
          <w:rFonts w:eastAsia="Times New Roman"/>
          <w:lang w:eastAsia="en-AU"/>
        </w:rPr>
        <w:t>MensLine Australia - 1300 78 99 78</w:t>
      </w:r>
      <w:bookmarkEnd w:id="175"/>
      <w:bookmarkEnd w:id="176"/>
      <w:bookmarkEnd w:id="177"/>
      <w:bookmarkEnd w:id="178"/>
      <w:bookmarkEnd w:id="179"/>
      <w:bookmarkEnd w:id="180"/>
    </w:p>
    <w:p w:rsidR="00A7064F" w:rsidRPr="00EA0D90" w:rsidRDefault="00A7064F" w:rsidP="009841DE">
      <w:pPr>
        <w:rPr>
          <w:rFonts w:eastAsia="Times New Roman"/>
          <w:sz w:val="24"/>
          <w:szCs w:val="24"/>
          <w:lang w:eastAsia="en-AU"/>
        </w:rPr>
      </w:pPr>
      <w:r w:rsidRPr="00EA0D90">
        <w:rPr>
          <w:rFonts w:eastAsia="Times New Roman"/>
          <w:sz w:val="24"/>
          <w:szCs w:val="24"/>
          <w:lang w:eastAsia="en-AU"/>
        </w:rPr>
        <w:t>Mens</w:t>
      </w:r>
      <w:r w:rsidR="00E53366">
        <w:rPr>
          <w:rFonts w:eastAsia="Times New Roman"/>
          <w:sz w:val="24"/>
          <w:szCs w:val="24"/>
          <w:lang w:eastAsia="en-AU"/>
        </w:rPr>
        <w:t>l</w:t>
      </w:r>
      <w:r w:rsidRPr="00EA0D90">
        <w:rPr>
          <w:rFonts w:eastAsia="Times New Roman"/>
          <w:sz w:val="24"/>
          <w:szCs w:val="24"/>
          <w:lang w:eastAsia="en-AU"/>
        </w:rPr>
        <w:t xml:space="preserve">ine Australia is an Australia wide 24-hour-a-day, seven-day-a-week telephone </w:t>
      </w:r>
      <w:r w:rsidR="00FB3AD6">
        <w:rPr>
          <w:rFonts w:eastAsia="Times New Roman"/>
          <w:sz w:val="24"/>
          <w:szCs w:val="24"/>
          <w:lang w:eastAsia="en-AU"/>
        </w:rPr>
        <w:t xml:space="preserve">and online </w:t>
      </w:r>
      <w:r w:rsidRPr="00EA0D90">
        <w:rPr>
          <w:rFonts w:eastAsia="Times New Roman"/>
          <w:sz w:val="24"/>
          <w:szCs w:val="24"/>
          <w:lang w:eastAsia="en-AU"/>
        </w:rPr>
        <w:t>service providing family relationship counselling, information and referral.  MensLine also provide a Call Back Service and a website for men and professionals working with men.</w:t>
      </w:r>
    </w:p>
    <w:p w:rsidR="00A7064F" w:rsidRPr="00EA0D90" w:rsidRDefault="00A7064F" w:rsidP="009841DE">
      <w:pPr>
        <w:rPr>
          <w:rFonts w:eastAsia="Times New Roman"/>
          <w:sz w:val="24"/>
          <w:szCs w:val="24"/>
          <w:lang w:eastAsia="en-AU"/>
        </w:rPr>
      </w:pPr>
      <w:proofErr w:type="gramStart"/>
      <w:r w:rsidRPr="00EA0D90">
        <w:rPr>
          <w:rFonts w:eastAsia="Times New Roman"/>
          <w:sz w:val="24"/>
          <w:szCs w:val="24"/>
          <w:lang w:eastAsia="en-AU"/>
        </w:rPr>
        <w:t>The number of incoming calls increased by 5,833 in 201</w:t>
      </w:r>
      <w:r w:rsidR="00FB3AD6">
        <w:rPr>
          <w:rFonts w:eastAsia="Times New Roman"/>
          <w:sz w:val="24"/>
          <w:szCs w:val="24"/>
          <w:lang w:eastAsia="en-AU"/>
        </w:rPr>
        <w:t>1</w:t>
      </w:r>
      <w:r w:rsidRPr="00EA0D90">
        <w:rPr>
          <w:rFonts w:eastAsia="Times New Roman"/>
          <w:sz w:val="24"/>
          <w:szCs w:val="24"/>
          <w:lang w:eastAsia="en-AU"/>
        </w:rPr>
        <w:t>-1</w:t>
      </w:r>
      <w:r w:rsidR="00FB3AD6">
        <w:rPr>
          <w:rFonts w:eastAsia="Times New Roman"/>
          <w:sz w:val="24"/>
          <w:szCs w:val="24"/>
          <w:lang w:eastAsia="en-AU"/>
        </w:rPr>
        <w:t>2 to the previous years.</w:t>
      </w:r>
      <w:proofErr w:type="gramEnd"/>
      <w:r w:rsidRPr="00EA0D90">
        <w:rPr>
          <w:rFonts w:eastAsia="Times New Roman"/>
          <w:sz w:val="24"/>
          <w:szCs w:val="24"/>
          <w:lang w:eastAsia="en-AU"/>
        </w:rPr>
        <w:t xml:space="preserve">  The number of calls answered decreased by 2,279.  The number of outgoing calls has dropped slightly over the last year by 731.  The number of calls recorded for the MensLine Australia Call Back Service has decreased by 2,416 over the total in 2010-11.  95,693 more page views were recorded in 2011-12 and 29,798 more visitors to the website were recorded in 2011-12 than in 2010-11.</w:t>
      </w:r>
    </w:p>
    <w:p w:rsidR="00A7064F" w:rsidRPr="00EA0D90" w:rsidRDefault="00A7064F" w:rsidP="009841DE">
      <w:pPr>
        <w:rPr>
          <w:rFonts w:eastAsia="Times New Roman"/>
          <w:sz w:val="24"/>
          <w:szCs w:val="24"/>
          <w:lang w:eastAsia="en-AU"/>
        </w:rPr>
      </w:pPr>
      <w:r w:rsidRPr="00EA0D90">
        <w:rPr>
          <w:rFonts w:eastAsia="Times New Roman"/>
          <w:sz w:val="24"/>
          <w:szCs w:val="24"/>
          <w:lang w:eastAsia="en-AU"/>
        </w:rPr>
        <w:t xml:space="preserve">The number of calls that received counselling services in 2011-12 has reduced slightly (by 1,585) over last year.  The number of calls that received information and referral services in 2011-12 has also reduced by 1,127 </w:t>
      </w:r>
      <w:r w:rsidR="00FB3AD6">
        <w:rPr>
          <w:rFonts w:eastAsia="Times New Roman"/>
          <w:sz w:val="24"/>
          <w:szCs w:val="24"/>
          <w:lang w:eastAsia="en-AU"/>
        </w:rPr>
        <w:t>from 2010-11</w:t>
      </w:r>
      <w:r w:rsidRPr="00EA0D90">
        <w:rPr>
          <w:rFonts w:eastAsia="Times New Roman"/>
          <w:sz w:val="24"/>
          <w:szCs w:val="24"/>
          <w:lang w:eastAsia="en-AU"/>
        </w:rPr>
        <w:t>.</w:t>
      </w:r>
    </w:p>
    <w:p w:rsidR="00A7064F" w:rsidRPr="00A7064F" w:rsidRDefault="00EA0D90" w:rsidP="00E07496">
      <w:pPr>
        <w:pStyle w:val="Heading4"/>
        <w:rPr>
          <w:rFonts w:eastAsia="Times New Roman"/>
          <w:lang w:eastAsia="en-AU"/>
        </w:rPr>
      </w:pPr>
      <w:bookmarkStart w:id="181" w:name="_Table_3.12:_"/>
      <w:bookmarkStart w:id="182" w:name="_2.15:__Table"/>
      <w:bookmarkStart w:id="183" w:name="_Toc245884742"/>
      <w:bookmarkStart w:id="184" w:name="_Toc292120608"/>
      <w:bookmarkStart w:id="185" w:name="_Toc292355163"/>
      <w:bookmarkStart w:id="186" w:name="_Toc292808541"/>
      <w:bookmarkEnd w:id="181"/>
      <w:bookmarkEnd w:id="182"/>
      <w:r>
        <w:rPr>
          <w:rFonts w:eastAsia="Times New Roman"/>
          <w:lang w:eastAsia="en-AU"/>
        </w:rPr>
        <w:t>2.1</w:t>
      </w:r>
      <w:r w:rsidR="00DA2404">
        <w:rPr>
          <w:rFonts w:eastAsia="Times New Roman"/>
          <w:lang w:eastAsia="en-AU"/>
        </w:rPr>
        <w:t>7</w:t>
      </w:r>
      <w:r w:rsidR="00A7064F" w:rsidRPr="00A7064F">
        <w:rPr>
          <w:rFonts w:eastAsia="Times New Roman"/>
          <w:lang w:eastAsia="en-AU"/>
        </w:rPr>
        <w:t xml:space="preserve">:  Table - MensLine service statistics in 2011-12 </w:t>
      </w:r>
      <w:bookmarkEnd w:id="183"/>
      <w:bookmarkEnd w:id="184"/>
      <w:bookmarkEnd w:id="185"/>
      <w:bookmarkEnd w:id="186"/>
    </w:p>
    <w:p w:rsidR="00A7064F" w:rsidRPr="00E07496" w:rsidRDefault="00A7064F" w:rsidP="00E07496">
      <w:pPr>
        <w:rPr>
          <w:rFonts w:eastAsia="Times New Roman"/>
          <w:lang w:eastAsia="en-AU"/>
        </w:rPr>
      </w:pPr>
      <w:r w:rsidRPr="00E07496">
        <w:rPr>
          <w:rFonts w:eastAsia="Times New Roman"/>
          <w:lang w:eastAsia="en-AU"/>
        </w:rPr>
        <w:t xml:space="preserve">Notes for table </w:t>
      </w:r>
      <w:r w:rsidR="001B1C9D">
        <w:rPr>
          <w:rFonts w:eastAsia="Times New Roman"/>
          <w:lang w:eastAsia="en-AU"/>
        </w:rPr>
        <w:t>below</w:t>
      </w:r>
      <w:r w:rsidRPr="00E07496">
        <w:rPr>
          <w:rFonts w:eastAsia="Times New Roman"/>
          <w:lang w:eastAsia="en-AU"/>
        </w:rPr>
        <w:t>:</w:t>
      </w:r>
    </w:p>
    <w:p w:rsidR="00A7064F" w:rsidRPr="00E07496" w:rsidRDefault="00A7064F" w:rsidP="00E07496">
      <w:pPr>
        <w:pStyle w:val="ListParagraph"/>
        <w:numPr>
          <w:ilvl w:val="0"/>
          <w:numId w:val="25"/>
        </w:numPr>
        <w:rPr>
          <w:rFonts w:eastAsia="Times New Roman"/>
          <w:lang w:eastAsia="en-AU"/>
        </w:rPr>
      </w:pPr>
      <w:r w:rsidRPr="00E07496">
        <w:rPr>
          <w:rFonts w:eastAsia="Times New Roman"/>
          <w:lang w:eastAsia="en-AU"/>
        </w:rPr>
        <w:t>A page view is defined as the number of times the Mensline website has been viewed</w:t>
      </w:r>
      <w:r w:rsidR="00FB3AD6">
        <w:rPr>
          <w:rFonts w:eastAsia="Times New Roman"/>
          <w:lang w:eastAsia="en-AU"/>
        </w:rPr>
        <w:t>.</w:t>
      </w:r>
    </w:p>
    <w:p w:rsidR="00A7064F" w:rsidRPr="00E07496" w:rsidRDefault="00A7064F" w:rsidP="00E07496">
      <w:pPr>
        <w:pStyle w:val="ListParagraph"/>
        <w:numPr>
          <w:ilvl w:val="0"/>
          <w:numId w:val="25"/>
        </w:numPr>
        <w:rPr>
          <w:rFonts w:eastAsia="Times New Roman"/>
          <w:lang w:eastAsia="en-AU"/>
        </w:rPr>
      </w:pPr>
      <w:r w:rsidRPr="00E07496">
        <w:rPr>
          <w:rFonts w:eastAsia="Times New Roman"/>
          <w:lang w:eastAsia="en-AU"/>
        </w:rPr>
        <w:t>Mensline always report on outbound calls as they provide</w:t>
      </w:r>
      <w:r w:rsidR="00EA0D90">
        <w:rPr>
          <w:rFonts w:eastAsia="Times New Roman"/>
          <w:lang w:eastAsia="en-AU"/>
        </w:rPr>
        <w:t xml:space="preserve"> call back to some callers.  T</w:t>
      </w:r>
      <w:r w:rsidRPr="00E07496">
        <w:rPr>
          <w:rFonts w:eastAsia="Times New Roman"/>
          <w:lang w:eastAsia="en-AU"/>
        </w:rPr>
        <w:t>his provides a full description of the service being provided.</w:t>
      </w:r>
    </w:p>
    <w:p w:rsidR="00A7064F" w:rsidRPr="00E07496" w:rsidRDefault="00A7064F" w:rsidP="00E07496">
      <w:pPr>
        <w:pStyle w:val="ListParagraph"/>
        <w:numPr>
          <w:ilvl w:val="0"/>
          <w:numId w:val="25"/>
        </w:numPr>
        <w:rPr>
          <w:rFonts w:eastAsia="Times New Roman"/>
          <w:lang w:eastAsia="en-AU"/>
        </w:rPr>
      </w:pPr>
      <w:r w:rsidRPr="00E07496">
        <w:rPr>
          <w:rFonts w:eastAsia="Times New Roman"/>
          <w:lang w:eastAsia="en-AU"/>
        </w:rPr>
        <w:t>By showing incoming and answered calls the table below shows the number of callers attempting to contact the service.  The demand is higher than the number of calls being answered.</w:t>
      </w:r>
    </w:p>
    <w:p w:rsidR="00A7064F" w:rsidRPr="00E07496" w:rsidRDefault="00A7064F" w:rsidP="00E07496">
      <w:pPr>
        <w:pStyle w:val="ListParagraph"/>
        <w:numPr>
          <w:ilvl w:val="0"/>
          <w:numId w:val="25"/>
        </w:numPr>
        <w:rPr>
          <w:rFonts w:eastAsia="Times New Roman"/>
          <w:lang w:eastAsia="en-AU"/>
        </w:rPr>
      </w:pPr>
      <w:r w:rsidRPr="00E07496">
        <w:rPr>
          <w:rFonts w:eastAsia="Times New Roman"/>
          <w:lang w:eastAsia="en-AU"/>
        </w:rPr>
        <w:lastRenderedPageBreak/>
        <w:t xml:space="preserve">Inappropriate calls are calls made to the service which do not fit into </w:t>
      </w:r>
      <w:proofErr w:type="spellStart"/>
      <w:r w:rsidRPr="00E07496">
        <w:rPr>
          <w:rFonts w:eastAsia="Times New Roman"/>
          <w:lang w:eastAsia="en-AU"/>
        </w:rPr>
        <w:t>Mensline’s</w:t>
      </w:r>
      <w:proofErr w:type="spellEnd"/>
      <w:r w:rsidRPr="00E07496">
        <w:rPr>
          <w:rFonts w:eastAsia="Times New Roman"/>
          <w:lang w:eastAsia="en-AU"/>
        </w:rPr>
        <w:t xml:space="preserve"> service delivery model e</w:t>
      </w:r>
      <w:r w:rsidR="001B1C9D">
        <w:rPr>
          <w:rFonts w:eastAsia="Times New Roman"/>
          <w:lang w:eastAsia="en-AU"/>
        </w:rPr>
        <w:t>.</w:t>
      </w:r>
      <w:r w:rsidRPr="00E07496">
        <w:rPr>
          <w:rFonts w:eastAsia="Times New Roman"/>
          <w:lang w:eastAsia="en-AU"/>
        </w:rPr>
        <w:t>g. crank calls, abusive calls etc.</w:t>
      </w:r>
    </w:p>
    <w:tbl>
      <w:tblPr>
        <w:tblW w:w="10622" w:type="dxa"/>
        <w:tblBorders>
          <w:top w:val="single" w:sz="8" w:space="0" w:color="9BBB59"/>
          <w:bottom w:val="single" w:sz="8" w:space="0" w:color="9BBB59"/>
        </w:tblBorders>
        <w:tblLook w:val="04A0" w:firstRow="1" w:lastRow="0" w:firstColumn="1" w:lastColumn="0" w:noHBand="0" w:noVBand="1"/>
        <w:tblCaption w:val="Mensline service statistics 2011-12"/>
        <w:tblDescription w:val="The table shows the number of calls, views or visits recorded by Mensline in 2011-12.  MensLine received 52,104 incoming calls and answered 33,890.  4,342 outgoing calls were recorded and 1,392 calls were recorded for MensLine Australia Call Back Service.  The number of page views was 353,734 and the number of visotors to the website was 114,075"/>
      </w:tblPr>
      <w:tblGrid>
        <w:gridCol w:w="7338"/>
        <w:gridCol w:w="3284"/>
      </w:tblGrid>
      <w:tr w:rsidR="00A7064F" w:rsidRPr="00A7064F" w:rsidTr="00E07496">
        <w:trPr>
          <w:tblHeader/>
        </w:trPr>
        <w:tc>
          <w:tcPr>
            <w:tcW w:w="7338" w:type="dxa"/>
            <w:tcBorders>
              <w:top w:val="single" w:sz="8" w:space="0" w:color="9BBB59"/>
              <w:left w:val="nil"/>
              <w:bottom w:val="single" w:sz="8" w:space="0" w:color="9BBB59"/>
              <w:right w:val="nil"/>
            </w:tcBorders>
            <w:shd w:val="clear" w:color="auto" w:fill="auto"/>
            <w:vAlign w:val="center"/>
          </w:tcPr>
          <w:p w:rsidR="00A7064F" w:rsidRPr="00A7064F" w:rsidRDefault="00A7064F" w:rsidP="00A7064F">
            <w:pPr>
              <w:spacing w:after="0" w:line="240" w:lineRule="auto"/>
              <w:rPr>
                <w:rFonts w:ascii="Arial Narrow" w:eastAsia="Calibri" w:hAnsi="Arial Narrow" w:cs="Arial"/>
                <w:b/>
                <w:bCs/>
                <w:color w:val="000000"/>
              </w:rPr>
            </w:pPr>
            <w:r w:rsidRPr="00A7064F">
              <w:rPr>
                <w:rFonts w:ascii="Arial Narrow" w:eastAsia="Calibri" w:hAnsi="Arial Narrow" w:cs="Arial"/>
                <w:b/>
                <w:bCs/>
                <w:color w:val="000000"/>
              </w:rPr>
              <w:t>Type of calls/views/visits</w:t>
            </w:r>
          </w:p>
        </w:tc>
        <w:tc>
          <w:tcPr>
            <w:tcW w:w="3284" w:type="dxa"/>
            <w:tcBorders>
              <w:top w:val="single" w:sz="8" w:space="0" w:color="9BBB59"/>
              <w:left w:val="nil"/>
              <w:bottom w:val="single" w:sz="8" w:space="0" w:color="9BBB59"/>
              <w:right w:val="nil"/>
            </w:tcBorders>
            <w:shd w:val="clear" w:color="auto" w:fill="auto"/>
            <w:vAlign w:val="center"/>
          </w:tcPr>
          <w:p w:rsidR="00A7064F" w:rsidRPr="00A7064F" w:rsidRDefault="00A7064F" w:rsidP="00A7064F">
            <w:pPr>
              <w:spacing w:after="0" w:line="240" w:lineRule="auto"/>
              <w:ind w:right="207"/>
              <w:jc w:val="center"/>
              <w:rPr>
                <w:rFonts w:ascii="Arial Narrow" w:eastAsia="Calibri" w:hAnsi="Arial Narrow" w:cs="Arial"/>
                <w:b/>
                <w:bCs/>
                <w:color w:val="000000"/>
                <w:lang w:eastAsia="en-AU"/>
              </w:rPr>
            </w:pPr>
            <w:r w:rsidRPr="00A7064F">
              <w:rPr>
                <w:rFonts w:ascii="Arial Narrow" w:eastAsia="Calibri" w:hAnsi="Arial Narrow" w:cs="Arial"/>
                <w:b/>
                <w:bCs/>
                <w:color w:val="000000"/>
                <w:lang w:eastAsia="en-AU"/>
              </w:rPr>
              <w:t>Number of calls/views/visits</w:t>
            </w:r>
          </w:p>
        </w:tc>
      </w:tr>
      <w:tr w:rsidR="00A7064F" w:rsidRPr="00A7064F" w:rsidTr="001F7607">
        <w:tc>
          <w:tcPr>
            <w:tcW w:w="7338" w:type="dxa"/>
            <w:tcBorders>
              <w:left w:val="nil"/>
              <w:right w:val="nil"/>
            </w:tcBorders>
            <w:shd w:val="clear" w:color="auto" w:fill="E6EED5"/>
            <w:vAlign w:val="center"/>
          </w:tcPr>
          <w:p w:rsidR="00A7064F" w:rsidRPr="00A7064F" w:rsidRDefault="00A7064F" w:rsidP="00A7064F">
            <w:pPr>
              <w:spacing w:after="0" w:line="240" w:lineRule="auto"/>
              <w:rPr>
                <w:rFonts w:ascii="Arial Narrow" w:eastAsia="Calibri" w:hAnsi="Arial Narrow" w:cs="Arial"/>
                <w:bCs/>
                <w:color w:val="000000"/>
              </w:rPr>
            </w:pPr>
            <w:r w:rsidRPr="00A7064F">
              <w:rPr>
                <w:rFonts w:ascii="Arial Narrow" w:eastAsia="Calibri" w:hAnsi="Arial Narrow" w:cs="Arial"/>
                <w:bCs/>
                <w:color w:val="000000"/>
              </w:rPr>
              <w:t>Incoming telephone calls</w:t>
            </w:r>
          </w:p>
        </w:tc>
        <w:tc>
          <w:tcPr>
            <w:tcW w:w="3284" w:type="dxa"/>
            <w:tcBorders>
              <w:left w:val="nil"/>
              <w:right w:val="nil"/>
            </w:tcBorders>
            <w:shd w:val="clear" w:color="auto" w:fill="E6EED5"/>
            <w:vAlign w:val="center"/>
          </w:tcPr>
          <w:p w:rsidR="00A7064F" w:rsidRPr="00A7064F" w:rsidRDefault="00A7064F" w:rsidP="00A7064F">
            <w:pPr>
              <w:spacing w:after="0" w:line="240" w:lineRule="auto"/>
              <w:ind w:right="207"/>
              <w:jc w:val="center"/>
              <w:rPr>
                <w:rFonts w:ascii="Arial Narrow" w:eastAsia="Calibri" w:hAnsi="Arial Narrow" w:cs="Arial"/>
                <w:color w:val="000000"/>
              </w:rPr>
            </w:pPr>
            <w:r w:rsidRPr="00A7064F">
              <w:rPr>
                <w:rFonts w:ascii="Arial Narrow" w:eastAsia="Calibri" w:hAnsi="Arial Narrow" w:cs="Arial"/>
                <w:color w:val="000000"/>
              </w:rPr>
              <w:t xml:space="preserve">  52,104</w:t>
            </w:r>
          </w:p>
        </w:tc>
      </w:tr>
      <w:tr w:rsidR="00A7064F" w:rsidRPr="00A7064F" w:rsidTr="001F7607">
        <w:tc>
          <w:tcPr>
            <w:tcW w:w="7338" w:type="dxa"/>
            <w:shd w:val="clear" w:color="auto" w:fill="auto"/>
            <w:vAlign w:val="center"/>
          </w:tcPr>
          <w:p w:rsidR="00A7064F" w:rsidRPr="00A7064F" w:rsidRDefault="00A7064F" w:rsidP="00A7064F">
            <w:pPr>
              <w:spacing w:after="0" w:line="240" w:lineRule="auto"/>
              <w:rPr>
                <w:rFonts w:ascii="Arial Narrow" w:eastAsia="Calibri" w:hAnsi="Arial Narrow" w:cs="Arial"/>
                <w:bCs/>
                <w:color w:val="000000"/>
              </w:rPr>
            </w:pPr>
            <w:r w:rsidRPr="00A7064F">
              <w:rPr>
                <w:rFonts w:ascii="Arial Narrow" w:eastAsia="Calibri" w:hAnsi="Arial Narrow" w:cs="Arial"/>
                <w:bCs/>
                <w:color w:val="000000"/>
              </w:rPr>
              <w:t>Telephone calls answered</w:t>
            </w:r>
          </w:p>
        </w:tc>
        <w:tc>
          <w:tcPr>
            <w:tcW w:w="3284" w:type="dxa"/>
            <w:shd w:val="clear" w:color="auto" w:fill="auto"/>
            <w:vAlign w:val="center"/>
          </w:tcPr>
          <w:p w:rsidR="00A7064F" w:rsidRPr="00A7064F" w:rsidRDefault="00A7064F" w:rsidP="00A7064F">
            <w:pPr>
              <w:spacing w:after="0" w:line="240" w:lineRule="auto"/>
              <w:ind w:right="207"/>
              <w:jc w:val="center"/>
              <w:rPr>
                <w:rFonts w:ascii="Arial Narrow" w:eastAsia="Calibri" w:hAnsi="Arial Narrow" w:cs="Arial"/>
                <w:color w:val="000000"/>
                <w:lang w:eastAsia="en-AU"/>
              </w:rPr>
            </w:pPr>
            <w:r w:rsidRPr="00A7064F">
              <w:rPr>
                <w:rFonts w:ascii="Arial Narrow" w:eastAsia="Calibri" w:hAnsi="Arial Narrow" w:cs="Arial"/>
                <w:color w:val="000000"/>
                <w:lang w:eastAsia="en-AU"/>
              </w:rPr>
              <w:t xml:space="preserve">   33,890</w:t>
            </w:r>
          </w:p>
        </w:tc>
      </w:tr>
      <w:tr w:rsidR="00A7064F" w:rsidRPr="00A7064F" w:rsidTr="001F7607">
        <w:tc>
          <w:tcPr>
            <w:tcW w:w="7338" w:type="dxa"/>
            <w:tcBorders>
              <w:left w:val="nil"/>
              <w:right w:val="nil"/>
            </w:tcBorders>
            <w:shd w:val="clear" w:color="auto" w:fill="E6EED5"/>
            <w:vAlign w:val="center"/>
          </w:tcPr>
          <w:p w:rsidR="00A7064F" w:rsidRPr="00A7064F" w:rsidRDefault="00A7064F" w:rsidP="00A7064F">
            <w:pPr>
              <w:spacing w:after="0" w:line="240" w:lineRule="auto"/>
              <w:rPr>
                <w:rFonts w:ascii="Arial Narrow" w:eastAsia="Calibri" w:hAnsi="Arial Narrow" w:cs="Arial"/>
                <w:bCs/>
                <w:color w:val="000000"/>
              </w:rPr>
            </w:pPr>
            <w:r w:rsidRPr="00A7064F">
              <w:rPr>
                <w:rFonts w:ascii="Arial Narrow" w:eastAsia="Calibri" w:hAnsi="Arial Narrow" w:cs="Arial"/>
                <w:bCs/>
                <w:color w:val="000000"/>
              </w:rPr>
              <w:t>Telephone (outgoing) calls</w:t>
            </w:r>
          </w:p>
        </w:tc>
        <w:tc>
          <w:tcPr>
            <w:tcW w:w="3284" w:type="dxa"/>
            <w:tcBorders>
              <w:left w:val="nil"/>
              <w:right w:val="nil"/>
            </w:tcBorders>
            <w:shd w:val="clear" w:color="auto" w:fill="E6EED5"/>
            <w:vAlign w:val="center"/>
          </w:tcPr>
          <w:p w:rsidR="00A7064F" w:rsidRPr="00A7064F" w:rsidRDefault="00F67123" w:rsidP="00A7064F">
            <w:pPr>
              <w:spacing w:after="0" w:line="240" w:lineRule="auto"/>
              <w:ind w:right="207"/>
              <w:jc w:val="center"/>
              <w:rPr>
                <w:rFonts w:ascii="Arial Narrow" w:eastAsia="Calibri" w:hAnsi="Arial Narrow" w:cs="Arial"/>
                <w:color w:val="000000"/>
                <w:lang w:eastAsia="en-AU"/>
              </w:rPr>
            </w:pPr>
            <w:r>
              <w:rPr>
                <w:rFonts w:ascii="Arial Narrow" w:eastAsia="Calibri" w:hAnsi="Arial Narrow" w:cs="Arial"/>
                <w:color w:val="000000"/>
                <w:lang w:eastAsia="en-AU"/>
              </w:rPr>
              <w:t xml:space="preserve"> </w:t>
            </w:r>
            <w:r w:rsidR="00A7064F" w:rsidRPr="00A7064F">
              <w:rPr>
                <w:rFonts w:ascii="Arial Narrow" w:eastAsia="Calibri" w:hAnsi="Arial Narrow" w:cs="Arial"/>
                <w:color w:val="000000"/>
                <w:lang w:eastAsia="en-AU"/>
              </w:rPr>
              <w:t>4,342</w:t>
            </w:r>
          </w:p>
        </w:tc>
      </w:tr>
      <w:tr w:rsidR="00A7064F" w:rsidRPr="00A7064F" w:rsidTr="001F7607">
        <w:tc>
          <w:tcPr>
            <w:tcW w:w="7338" w:type="dxa"/>
            <w:shd w:val="clear" w:color="auto" w:fill="auto"/>
            <w:vAlign w:val="center"/>
          </w:tcPr>
          <w:p w:rsidR="00A7064F" w:rsidRPr="00A7064F" w:rsidRDefault="00A7064F" w:rsidP="00D675A5">
            <w:pPr>
              <w:spacing w:after="0" w:line="240" w:lineRule="auto"/>
              <w:rPr>
                <w:rFonts w:ascii="Arial Narrow" w:eastAsia="Calibri" w:hAnsi="Arial Narrow" w:cs="Arial"/>
                <w:bCs/>
                <w:color w:val="000000"/>
              </w:rPr>
            </w:pPr>
            <w:r w:rsidRPr="00A7064F">
              <w:rPr>
                <w:rFonts w:ascii="Arial Narrow" w:eastAsia="Calibri" w:hAnsi="Arial Narrow" w:cs="Arial"/>
                <w:bCs/>
                <w:color w:val="000000"/>
              </w:rPr>
              <w:t xml:space="preserve">MensLine Australia Call Back Service </w:t>
            </w:r>
          </w:p>
        </w:tc>
        <w:tc>
          <w:tcPr>
            <w:tcW w:w="3284" w:type="dxa"/>
            <w:shd w:val="clear" w:color="auto" w:fill="auto"/>
            <w:vAlign w:val="center"/>
          </w:tcPr>
          <w:p w:rsidR="00A7064F" w:rsidRPr="00A7064F" w:rsidRDefault="00A7064F" w:rsidP="00A7064F">
            <w:pPr>
              <w:spacing w:after="0" w:line="240" w:lineRule="auto"/>
              <w:ind w:right="207"/>
              <w:jc w:val="center"/>
              <w:rPr>
                <w:rFonts w:ascii="Arial Narrow" w:eastAsia="Calibri" w:hAnsi="Arial Narrow" w:cs="Arial"/>
                <w:color w:val="000000"/>
                <w:lang w:eastAsia="en-AU"/>
              </w:rPr>
            </w:pPr>
            <w:r w:rsidRPr="00A7064F">
              <w:rPr>
                <w:rFonts w:ascii="Arial Narrow" w:eastAsia="Calibri" w:hAnsi="Arial Narrow" w:cs="Arial"/>
                <w:color w:val="000000"/>
                <w:lang w:eastAsia="en-AU"/>
              </w:rPr>
              <w:t>1,392</w:t>
            </w:r>
          </w:p>
        </w:tc>
      </w:tr>
      <w:tr w:rsidR="00A7064F" w:rsidRPr="00A7064F" w:rsidTr="001F7607">
        <w:tc>
          <w:tcPr>
            <w:tcW w:w="7338" w:type="dxa"/>
            <w:tcBorders>
              <w:left w:val="nil"/>
              <w:right w:val="nil"/>
            </w:tcBorders>
            <w:shd w:val="clear" w:color="auto" w:fill="E6EED5"/>
            <w:vAlign w:val="center"/>
          </w:tcPr>
          <w:p w:rsidR="00A7064F" w:rsidRPr="00A7064F" w:rsidRDefault="00A7064F" w:rsidP="00A7064F">
            <w:pPr>
              <w:spacing w:after="0" w:line="240" w:lineRule="auto"/>
              <w:rPr>
                <w:rFonts w:ascii="Arial Narrow" w:eastAsia="Calibri" w:hAnsi="Arial Narrow" w:cs="Arial"/>
                <w:bCs/>
                <w:color w:val="000000"/>
              </w:rPr>
            </w:pPr>
            <w:r w:rsidRPr="00A7064F">
              <w:rPr>
                <w:rFonts w:ascii="Arial Narrow" w:eastAsia="Calibri" w:hAnsi="Arial Narrow" w:cs="Arial"/>
                <w:bCs/>
                <w:color w:val="000000"/>
              </w:rPr>
              <w:t>Number of page views</w:t>
            </w:r>
          </w:p>
        </w:tc>
        <w:tc>
          <w:tcPr>
            <w:tcW w:w="3284" w:type="dxa"/>
            <w:tcBorders>
              <w:left w:val="nil"/>
              <w:right w:val="nil"/>
            </w:tcBorders>
            <w:shd w:val="clear" w:color="auto" w:fill="E6EED5"/>
            <w:vAlign w:val="center"/>
          </w:tcPr>
          <w:p w:rsidR="00A7064F" w:rsidRPr="00A7064F" w:rsidRDefault="00A7064F" w:rsidP="00A7064F">
            <w:pPr>
              <w:spacing w:after="0" w:line="240" w:lineRule="auto"/>
              <w:ind w:right="207"/>
              <w:jc w:val="center"/>
              <w:rPr>
                <w:rFonts w:ascii="Arial Narrow" w:eastAsia="Calibri" w:hAnsi="Arial Narrow" w:cs="Arial"/>
                <w:color w:val="000000"/>
                <w:lang w:eastAsia="en-AU"/>
              </w:rPr>
            </w:pPr>
            <w:r w:rsidRPr="00A7064F">
              <w:rPr>
                <w:rFonts w:ascii="Arial Narrow" w:eastAsia="Calibri" w:hAnsi="Arial Narrow" w:cs="Arial"/>
                <w:color w:val="000000"/>
                <w:lang w:eastAsia="en-AU"/>
              </w:rPr>
              <w:t>353,734</w:t>
            </w:r>
          </w:p>
        </w:tc>
      </w:tr>
      <w:tr w:rsidR="00A7064F" w:rsidRPr="00A7064F" w:rsidTr="001F7607">
        <w:tc>
          <w:tcPr>
            <w:tcW w:w="7338" w:type="dxa"/>
            <w:shd w:val="clear" w:color="auto" w:fill="auto"/>
            <w:vAlign w:val="center"/>
          </w:tcPr>
          <w:p w:rsidR="00A7064F" w:rsidRPr="00A7064F" w:rsidRDefault="00A7064F" w:rsidP="00A7064F">
            <w:pPr>
              <w:spacing w:after="0" w:line="240" w:lineRule="auto"/>
              <w:rPr>
                <w:rFonts w:ascii="Arial Narrow" w:eastAsia="Calibri" w:hAnsi="Arial Narrow" w:cs="Arial"/>
                <w:bCs/>
                <w:color w:val="000000"/>
              </w:rPr>
            </w:pPr>
            <w:r w:rsidRPr="00A7064F">
              <w:rPr>
                <w:rFonts w:ascii="Arial Narrow" w:eastAsia="Calibri" w:hAnsi="Arial Narrow" w:cs="Arial"/>
                <w:bCs/>
                <w:color w:val="000000"/>
              </w:rPr>
              <w:t>Number of visitors to website</w:t>
            </w:r>
          </w:p>
        </w:tc>
        <w:tc>
          <w:tcPr>
            <w:tcW w:w="3284" w:type="dxa"/>
            <w:shd w:val="clear" w:color="auto" w:fill="auto"/>
            <w:vAlign w:val="center"/>
          </w:tcPr>
          <w:p w:rsidR="00A7064F" w:rsidRPr="00A7064F" w:rsidRDefault="00A7064F" w:rsidP="00A7064F">
            <w:pPr>
              <w:spacing w:after="0" w:line="240" w:lineRule="auto"/>
              <w:ind w:right="207"/>
              <w:jc w:val="center"/>
              <w:rPr>
                <w:rFonts w:ascii="Arial Narrow" w:eastAsia="Calibri" w:hAnsi="Arial Narrow" w:cs="Arial"/>
                <w:color w:val="000000"/>
                <w:lang w:eastAsia="en-AU"/>
              </w:rPr>
            </w:pPr>
            <w:r w:rsidRPr="00A7064F">
              <w:rPr>
                <w:rFonts w:ascii="Arial Narrow" w:eastAsia="Calibri" w:hAnsi="Arial Narrow" w:cs="Arial"/>
                <w:color w:val="000000"/>
                <w:lang w:eastAsia="en-AU"/>
              </w:rPr>
              <w:t>114,075</w:t>
            </w:r>
          </w:p>
        </w:tc>
      </w:tr>
    </w:tbl>
    <w:p w:rsidR="00A7064F" w:rsidRPr="00A7064F" w:rsidRDefault="00A7064F" w:rsidP="00A7064F">
      <w:pPr>
        <w:spacing w:before="0" w:after="0" w:line="240" w:lineRule="auto"/>
        <w:rPr>
          <w:rFonts w:ascii="Arial" w:eastAsia="Times New Roman" w:hAnsi="Arial" w:cs="Arial"/>
          <w:color w:val="000000"/>
          <w:sz w:val="16"/>
          <w:szCs w:val="16"/>
        </w:rPr>
      </w:pPr>
      <w:bookmarkStart w:id="187" w:name="_Toc280194918"/>
      <w:bookmarkStart w:id="188" w:name="_Toc292120609"/>
      <w:bookmarkStart w:id="189" w:name="_Toc292355164"/>
      <w:bookmarkStart w:id="190" w:name="_Toc292808542"/>
      <w:r w:rsidRPr="00A7064F">
        <w:rPr>
          <w:rFonts w:ascii="Arial" w:eastAsia="Times New Roman" w:hAnsi="Arial" w:cs="Arial"/>
          <w:color w:val="000000"/>
          <w:sz w:val="16"/>
          <w:szCs w:val="16"/>
        </w:rPr>
        <w:t>Source: MensLine Australia Annual Statistical Report July 2011 – June 201</w:t>
      </w:r>
      <w:bookmarkEnd w:id="187"/>
      <w:bookmarkEnd w:id="188"/>
      <w:bookmarkEnd w:id="189"/>
      <w:bookmarkEnd w:id="190"/>
      <w:r w:rsidRPr="00A7064F">
        <w:rPr>
          <w:rFonts w:ascii="Arial" w:eastAsia="Times New Roman" w:hAnsi="Arial" w:cs="Arial"/>
          <w:color w:val="000000"/>
          <w:sz w:val="16"/>
          <w:szCs w:val="16"/>
        </w:rPr>
        <w:t>2</w:t>
      </w:r>
    </w:p>
    <w:p w:rsidR="00A7064F" w:rsidRPr="00A7064F" w:rsidRDefault="00EA0D90" w:rsidP="00D675A5">
      <w:pPr>
        <w:pStyle w:val="Heading4"/>
        <w:rPr>
          <w:rFonts w:eastAsia="Times New Roman"/>
          <w:lang w:eastAsia="en-AU"/>
        </w:rPr>
      </w:pPr>
      <w:bookmarkStart w:id="191" w:name="_Table_3.13:_Types"/>
      <w:bookmarkStart w:id="192" w:name="_2.16:__Table"/>
      <w:bookmarkEnd w:id="191"/>
      <w:bookmarkEnd w:id="192"/>
      <w:r>
        <w:rPr>
          <w:rFonts w:eastAsia="Times New Roman"/>
          <w:lang w:eastAsia="en-AU"/>
        </w:rPr>
        <w:t>2.1</w:t>
      </w:r>
      <w:r w:rsidR="00DA2404">
        <w:rPr>
          <w:rFonts w:eastAsia="Times New Roman"/>
          <w:lang w:eastAsia="en-AU"/>
        </w:rPr>
        <w:t>8</w:t>
      </w:r>
      <w:r w:rsidR="00A7064F" w:rsidRPr="00A7064F">
        <w:rPr>
          <w:rFonts w:eastAsia="Times New Roman"/>
          <w:lang w:eastAsia="en-AU"/>
        </w:rPr>
        <w:t>:  Table - Types of assistance provided for MensLine telephone service in 2011-12</w:t>
      </w:r>
    </w:p>
    <w:tbl>
      <w:tblPr>
        <w:tblW w:w="0" w:type="auto"/>
        <w:tblBorders>
          <w:top w:val="single" w:sz="8" w:space="0" w:color="9BBB59"/>
          <w:bottom w:val="single" w:sz="8" w:space="0" w:color="9BBB59"/>
        </w:tblBorders>
        <w:tblLook w:val="04A0" w:firstRow="1" w:lastRow="0" w:firstColumn="1" w:lastColumn="0" w:noHBand="0" w:noVBand="1"/>
        <w:tblCaption w:val="Types of assistance provided for mensline telehone service in 2011-12"/>
        <w:tblDescription w:val="The table shows the number of calls by type of assistance provided for MensLine Telephone Service in 2011-12.  21,405 calls were provided with counselling, and 5,869 were provided with information and referral. 1,008 calls were recorded as inappropriate and 5,244 were recorded as non-engaged calls (calls that hang up)."/>
      </w:tblPr>
      <w:tblGrid>
        <w:gridCol w:w="5920"/>
        <w:gridCol w:w="4621"/>
      </w:tblGrid>
      <w:tr w:rsidR="00A7064F" w:rsidRPr="00A7064F" w:rsidTr="001F7607">
        <w:tc>
          <w:tcPr>
            <w:tcW w:w="5920" w:type="dxa"/>
            <w:tcBorders>
              <w:top w:val="single" w:sz="8" w:space="0" w:color="9BBB59"/>
              <w:left w:val="nil"/>
              <w:bottom w:val="single" w:sz="8" w:space="0" w:color="9BBB59"/>
              <w:right w:val="nil"/>
            </w:tcBorders>
            <w:shd w:val="clear" w:color="auto" w:fill="auto"/>
          </w:tcPr>
          <w:p w:rsidR="00A7064F" w:rsidRPr="00A7064F" w:rsidRDefault="00A7064F" w:rsidP="00A7064F">
            <w:pPr>
              <w:spacing w:after="0" w:line="240" w:lineRule="auto"/>
              <w:rPr>
                <w:rFonts w:ascii="Arial Narrow" w:eastAsia="Calibri" w:hAnsi="Arial Narrow" w:cs="Times New Roman"/>
                <w:b/>
                <w:spacing w:val="9"/>
              </w:rPr>
            </w:pPr>
            <w:r w:rsidRPr="00A7064F">
              <w:rPr>
                <w:rFonts w:ascii="Arial Narrow" w:eastAsia="Calibri" w:hAnsi="Arial Narrow" w:cs="Times New Roman"/>
                <w:b/>
                <w:spacing w:val="9"/>
              </w:rPr>
              <w:t>Call Type</w:t>
            </w:r>
          </w:p>
        </w:tc>
        <w:tc>
          <w:tcPr>
            <w:tcW w:w="4621" w:type="dxa"/>
            <w:tcBorders>
              <w:top w:val="single" w:sz="8" w:space="0" w:color="9BBB59"/>
              <w:left w:val="nil"/>
              <w:bottom w:val="single" w:sz="8" w:space="0" w:color="9BBB59"/>
              <w:right w:val="nil"/>
            </w:tcBorders>
            <w:shd w:val="clear" w:color="auto" w:fill="auto"/>
          </w:tcPr>
          <w:p w:rsidR="00A7064F" w:rsidRPr="00A7064F" w:rsidRDefault="00A7064F" w:rsidP="00A7064F">
            <w:pPr>
              <w:spacing w:after="0" w:line="240" w:lineRule="auto"/>
              <w:ind w:left="175" w:hanging="175"/>
              <w:jc w:val="center"/>
              <w:rPr>
                <w:rFonts w:ascii="Arial Narrow" w:eastAsia="Calibri" w:hAnsi="Arial Narrow" w:cs="Times New Roman"/>
                <w:b/>
                <w:spacing w:val="9"/>
              </w:rPr>
            </w:pPr>
            <w:r w:rsidRPr="00A7064F">
              <w:rPr>
                <w:rFonts w:ascii="Arial Narrow" w:eastAsia="Calibri" w:hAnsi="Arial Narrow" w:cs="Times New Roman"/>
                <w:b/>
                <w:spacing w:val="9"/>
              </w:rPr>
              <w:t>Number of Calls</w:t>
            </w:r>
          </w:p>
        </w:tc>
      </w:tr>
      <w:tr w:rsidR="00A7064F" w:rsidRPr="00A7064F" w:rsidTr="001F7607">
        <w:tc>
          <w:tcPr>
            <w:tcW w:w="5920" w:type="dxa"/>
            <w:tcBorders>
              <w:left w:val="nil"/>
              <w:right w:val="nil"/>
            </w:tcBorders>
            <w:shd w:val="clear" w:color="auto" w:fill="E6EED5"/>
          </w:tcPr>
          <w:p w:rsidR="00A7064F" w:rsidRPr="00A7064F" w:rsidRDefault="00A7064F" w:rsidP="00A7064F">
            <w:pPr>
              <w:spacing w:after="0" w:line="240" w:lineRule="auto"/>
              <w:rPr>
                <w:rFonts w:ascii="Arial Narrow" w:eastAsia="Calibri" w:hAnsi="Arial Narrow" w:cs="Times New Roman"/>
                <w:bCs/>
              </w:rPr>
            </w:pPr>
            <w:r w:rsidRPr="00A7064F">
              <w:rPr>
                <w:rFonts w:ascii="Arial Narrow" w:eastAsia="Calibri" w:hAnsi="Arial Narrow" w:cs="Times New Roman"/>
                <w:bCs/>
              </w:rPr>
              <w:t>Counselling</w:t>
            </w:r>
          </w:p>
        </w:tc>
        <w:tc>
          <w:tcPr>
            <w:tcW w:w="4621" w:type="dxa"/>
            <w:tcBorders>
              <w:left w:val="nil"/>
              <w:right w:val="nil"/>
            </w:tcBorders>
            <w:shd w:val="clear" w:color="auto" w:fill="E6EED5"/>
          </w:tcPr>
          <w:p w:rsidR="00A7064F" w:rsidRPr="00A7064F" w:rsidRDefault="00A7064F" w:rsidP="00A7064F">
            <w:pPr>
              <w:spacing w:after="0" w:line="240" w:lineRule="auto"/>
              <w:jc w:val="center"/>
              <w:rPr>
                <w:rFonts w:ascii="Arial Narrow" w:eastAsia="Calibri" w:hAnsi="Arial Narrow" w:cs="Times New Roman"/>
                <w:bCs/>
                <w:smallCaps/>
                <w:spacing w:val="9"/>
              </w:rPr>
            </w:pPr>
            <w:r w:rsidRPr="00A7064F">
              <w:rPr>
                <w:rFonts w:ascii="Arial Narrow" w:eastAsia="Calibri" w:hAnsi="Arial Narrow" w:cs="Times New Roman"/>
                <w:bCs/>
                <w:smallCaps/>
                <w:spacing w:val="9"/>
              </w:rPr>
              <w:t>21,405</w:t>
            </w:r>
          </w:p>
        </w:tc>
      </w:tr>
      <w:tr w:rsidR="00A7064F" w:rsidRPr="00A7064F" w:rsidTr="001F7607">
        <w:tc>
          <w:tcPr>
            <w:tcW w:w="5920" w:type="dxa"/>
            <w:shd w:val="clear" w:color="auto" w:fill="auto"/>
          </w:tcPr>
          <w:p w:rsidR="00A7064F" w:rsidRPr="00A7064F" w:rsidRDefault="00A7064F" w:rsidP="00A7064F">
            <w:pPr>
              <w:spacing w:after="0" w:line="240" w:lineRule="auto"/>
              <w:rPr>
                <w:rFonts w:ascii="Arial Narrow" w:eastAsia="Calibri" w:hAnsi="Arial Narrow" w:cs="Times New Roman"/>
                <w:bCs/>
              </w:rPr>
            </w:pPr>
            <w:r w:rsidRPr="00A7064F">
              <w:rPr>
                <w:rFonts w:ascii="Arial Narrow" w:eastAsia="Calibri" w:hAnsi="Arial Narrow" w:cs="Times New Roman"/>
                <w:bCs/>
              </w:rPr>
              <w:t>Information and referral</w:t>
            </w:r>
          </w:p>
        </w:tc>
        <w:tc>
          <w:tcPr>
            <w:tcW w:w="4621" w:type="dxa"/>
            <w:shd w:val="clear" w:color="auto" w:fill="auto"/>
          </w:tcPr>
          <w:p w:rsidR="00A7064F" w:rsidRPr="00A7064F" w:rsidRDefault="00A7064F" w:rsidP="00A7064F">
            <w:pPr>
              <w:spacing w:after="0" w:line="240" w:lineRule="auto"/>
              <w:jc w:val="center"/>
              <w:rPr>
                <w:rFonts w:ascii="Arial Narrow" w:eastAsia="Calibri" w:hAnsi="Arial Narrow" w:cs="Times New Roman"/>
                <w:bCs/>
                <w:smallCaps/>
                <w:spacing w:val="9"/>
              </w:rPr>
            </w:pPr>
            <w:r w:rsidRPr="00A7064F">
              <w:rPr>
                <w:rFonts w:ascii="Arial Narrow" w:eastAsia="Calibri" w:hAnsi="Arial Narrow" w:cs="Times New Roman"/>
                <w:bCs/>
                <w:smallCaps/>
                <w:spacing w:val="9"/>
              </w:rPr>
              <w:t>5,869</w:t>
            </w:r>
          </w:p>
        </w:tc>
      </w:tr>
      <w:tr w:rsidR="00A7064F" w:rsidRPr="00A7064F" w:rsidTr="001F7607">
        <w:tc>
          <w:tcPr>
            <w:tcW w:w="5920" w:type="dxa"/>
            <w:tcBorders>
              <w:left w:val="nil"/>
              <w:right w:val="nil"/>
            </w:tcBorders>
            <w:shd w:val="clear" w:color="auto" w:fill="E6EED5"/>
          </w:tcPr>
          <w:p w:rsidR="00A7064F" w:rsidRPr="00A7064F" w:rsidRDefault="00A7064F" w:rsidP="00A7064F">
            <w:pPr>
              <w:spacing w:after="0" w:line="240" w:lineRule="auto"/>
              <w:rPr>
                <w:rFonts w:ascii="Arial Narrow" w:eastAsia="Calibri" w:hAnsi="Arial Narrow" w:cs="Times New Roman"/>
                <w:bCs/>
              </w:rPr>
            </w:pPr>
            <w:r w:rsidRPr="00A7064F">
              <w:rPr>
                <w:rFonts w:ascii="Arial Narrow" w:eastAsia="Calibri" w:hAnsi="Arial Narrow" w:cs="Times New Roman"/>
                <w:bCs/>
              </w:rPr>
              <w:t>Inappropriate calls</w:t>
            </w:r>
          </w:p>
        </w:tc>
        <w:tc>
          <w:tcPr>
            <w:tcW w:w="4621" w:type="dxa"/>
            <w:tcBorders>
              <w:left w:val="nil"/>
              <w:right w:val="nil"/>
            </w:tcBorders>
            <w:shd w:val="clear" w:color="auto" w:fill="E6EED5"/>
          </w:tcPr>
          <w:p w:rsidR="00A7064F" w:rsidRPr="00A7064F" w:rsidRDefault="00A7064F" w:rsidP="00A7064F">
            <w:pPr>
              <w:spacing w:after="0" w:line="240" w:lineRule="auto"/>
              <w:jc w:val="center"/>
              <w:rPr>
                <w:rFonts w:ascii="Arial Narrow" w:eastAsia="Calibri" w:hAnsi="Arial Narrow" w:cs="Times New Roman"/>
                <w:bCs/>
                <w:smallCaps/>
                <w:spacing w:val="9"/>
              </w:rPr>
            </w:pPr>
            <w:r w:rsidRPr="00A7064F">
              <w:rPr>
                <w:rFonts w:ascii="Arial Narrow" w:eastAsia="Calibri" w:hAnsi="Arial Narrow" w:cs="Times New Roman"/>
                <w:bCs/>
                <w:smallCaps/>
                <w:spacing w:val="9"/>
              </w:rPr>
              <w:t>1,008</w:t>
            </w:r>
          </w:p>
        </w:tc>
      </w:tr>
      <w:tr w:rsidR="00A7064F" w:rsidRPr="00A7064F" w:rsidTr="001F7607">
        <w:tc>
          <w:tcPr>
            <w:tcW w:w="5920" w:type="dxa"/>
            <w:shd w:val="clear" w:color="auto" w:fill="auto"/>
          </w:tcPr>
          <w:p w:rsidR="00A7064F" w:rsidRPr="00A7064F" w:rsidRDefault="00A7064F" w:rsidP="00A7064F">
            <w:pPr>
              <w:spacing w:after="0" w:line="240" w:lineRule="auto"/>
              <w:rPr>
                <w:rFonts w:ascii="Arial Narrow" w:eastAsia="Calibri" w:hAnsi="Arial Narrow" w:cs="Times New Roman"/>
                <w:b/>
                <w:smallCaps/>
                <w:spacing w:val="9"/>
              </w:rPr>
            </w:pPr>
            <w:r w:rsidRPr="00A7064F">
              <w:rPr>
                <w:rFonts w:ascii="Arial Narrow" w:eastAsia="Calibri" w:hAnsi="Arial Narrow" w:cs="Times New Roman"/>
                <w:bCs/>
              </w:rPr>
              <w:t xml:space="preserve">Non-engaged calls (for example hang –up, caller didn’t engage </w:t>
            </w:r>
            <w:proofErr w:type="spellStart"/>
            <w:r w:rsidRPr="00A7064F">
              <w:rPr>
                <w:rFonts w:ascii="Arial Narrow" w:eastAsia="Calibri" w:hAnsi="Arial Narrow" w:cs="Times New Roman"/>
                <w:bCs/>
              </w:rPr>
              <w:t>etc</w:t>
            </w:r>
            <w:proofErr w:type="spellEnd"/>
            <w:r w:rsidRPr="00A7064F">
              <w:rPr>
                <w:rFonts w:ascii="Arial Narrow" w:eastAsia="Calibri" w:hAnsi="Arial Narrow" w:cs="Times New Roman"/>
                <w:bCs/>
              </w:rPr>
              <w:t>)</w:t>
            </w:r>
          </w:p>
        </w:tc>
        <w:tc>
          <w:tcPr>
            <w:tcW w:w="4621" w:type="dxa"/>
            <w:shd w:val="clear" w:color="auto" w:fill="auto"/>
          </w:tcPr>
          <w:p w:rsidR="00A7064F" w:rsidRPr="00A7064F" w:rsidRDefault="00A7064F" w:rsidP="00A7064F">
            <w:pPr>
              <w:spacing w:after="0" w:line="240" w:lineRule="auto"/>
              <w:jc w:val="center"/>
              <w:rPr>
                <w:rFonts w:ascii="Arial Narrow" w:eastAsia="Calibri" w:hAnsi="Arial Narrow" w:cs="Times New Roman"/>
                <w:bCs/>
                <w:smallCaps/>
                <w:spacing w:val="9"/>
              </w:rPr>
            </w:pPr>
            <w:r w:rsidRPr="00A7064F">
              <w:rPr>
                <w:rFonts w:ascii="Arial Narrow" w:eastAsia="Calibri" w:hAnsi="Arial Narrow" w:cs="Times New Roman"/>
                <w:bCs/>
                <w:smallCaps/>
                <w:spacing w:val="9"/>
              </w:rPr>
              <w:t>5,224</w:t>
            </w:r>
          </w:p>
        </w:tc>
      </w:tr>
    </w:tbl>
    <w:p w:rsidR="00A7064F" w:rsidRPr="00A7064F" w:rsidRDefault="00A7064F" w:rsidP="00A7064F">
      <w:pPr>
        <w:spacing w:before="0" w:after="0" w:line="240" w:lineRule="auto"/>
        <w:rPr>
          <w:rFonts w:ascii="Arial" w:eastAsia="Times New Roman" w:hAnsi="Arial" w:cs="Arial"/>
          <w:color w:val="000000"/>
          <w:sz w:val="16"/>
          <w:szCs w:val="16"/>
        </w:rPr>
      </w:pPr>
      <w:r w:rsidRPr="00A7064F">
        <w:rPr>
          <w:rFonts w:ascii="Arial" w:eastAsia="Times New Roman" w:hAnsi="Arial" w:cs="Arial"/>
          <w:color w:val="000000"/>
          <w:sz w:val="16"/>
          <w:szCs w:val="16"/>
        </w:rPr>
        <w:t>Source: MensLine Australia Annual Statistical Report July 2011 – June 2012.</w:t>
      </w:r>
    </w:p>
    <w:p w:rsidR="00A7064F" w:rsidRPr="00A7064F" w:rsidRDefault="00A7064F" w:rsidP="00A7064F">
      <w:pPr>
        <w:spacing w:before="0" w:after="0" w:line="240" w:lineRule="auto"/>
        <w:rPr>
          <w:rFonts w:ascii="Arial" w:eastAsia="Times New Roman" w:hAnsi="Arial" w:cs="Arial"/>
          <w:color w:val="000000"/>
          <w:sz w:val="16"/>
          <w:szCs w:val="16"/>
          <w:lang w:eastAsia="en-AU"/>
        </w:rPr>
      </w:pPr>
      <w:r w:rsidRPr="00A7064F">
        <w:rPr>
          <w:rFonts w:ascii="Arial" w:eastAsia="Times New Roman" w:hAnsi="Arial" w:cs="Arial"/>
          <w:color w:val="000000"/>
          <w:sz w:val="16"/>
          <w:szCs w:val="16"/>
          <w:lang w:eastAsia="en-AU"/>
        </w:rPr>
        <w:t>Note:  Includes calls answered and outgoing calls. The introduction of the new data base resulted in 1,470 call types not recorded. This error is being rectified.</w:t>
      </w:r>
    </w:p>
    <w:p w:rsidR="00A7064F" w:rsidRPr="00A7064F" w:rsidRDefault="00A7064F" w:rsidP="00A7064F">
      <w:pPr>
        <w:spacing w:before="0" w:after="0" w:line="240" w:lineRule="auto"/>
        <w:rPr>
          <w:rFonts w:ascii="Arial" w:eastAsia="Times New Roman" w:hAnsi="Arial" w:cs="Arial"/>
          <w:color w:val="000000"/>
          <w:sz w:val="16"/>
          <w:szCs w:val="16"/>
        </w:rPr>
      </w:pPr>
    </w:p>
    <w:p w:rsidR="00A7064F" w:rsidRPr="00A7064F" w:rsidRDefault="00A7064F" w:rsidP="00D675A5">
      <w:pPr>
        <w:pStyle w:val="Heading2"/>
        <w:rPr>
          <w:rFonts w:eastAsia="Times New Roman"/>
          <w:lang w:eastAsia="en-AU"/>
        </w:rPr>
      </w:pPr>
      <w:bookmarkStart w:id="193" w:name="_Toc338944774"/>
      <w:bookmarkStart w:id="194" w:name="_Toc338945065"/>
      <w:bookmarkStart w:id="195" w:name="_Toc338945392"/>
      <w:bookmarkStart w:id="196" w:name="_Toc338945645"/>
      <w:bookmarkStart w:id="197" w:name="_Toc341705915"/>
      <w:r w:rsidRPr="00A7064F">
        <w:rPr>
          <w:rFonts w:eastAsia="Times New Roman"/>
          <w:lang w:eastAsia="en-AU"/>
        </w:rPr>
        <w:t>Raising Children Network</w:t>
      </w:r>
      <w:bookmarkEnd w:id="193"/>
      <w:bookmarkEnd w:id="194"/>
      <w:bookmarkEnd w:id="195"/>
      <w:bookmarkEnd w:id="196"/>
      <w:bookmarkEnd w:id="197"/>
    </w:p>
    <w:p w:rsidR="00A7064F" w:rsidRPr="00EA6D54" w:rsidRDefault="00A7064F" w:rsidP="009B579C">
      <w:pPr>
        <w:rPr>
          <w:rFonts w:eastAsia="Times New Roman"/>
          <w:sz w:val="24"/>
          <w:szCs w:val="24"/>
          <w:lang w:eastAsia="en-AU"/>
        </w:rPr>
      </w:pPr>
      <w:r w:rsidRPr="00EA6D54">
        <w:rPr>
          <w:rFonts w:eastAsia="Times New Roman"/>
          <w:sz w:val="24"/>
          <w:szCs w:val="24"/>
          <w:lang w:eastAsia="en-AU"/>
        </w:rPr>
        <w:t>The Raising Children Network (RCN) provides Australian focussed, evidence based information and activities for parents with children aged 0 – 15 years, including children with special needs.  It also has information for other groups including grandparents, carers and professionals who work with families.</w:t>
      </w:r>
    </w:p>
    <w:p w:rsidR="00A7064F" w:rsidRPr="00A7064F" w:rsidRDefault="00EA6D54" w:rsidP="009B579C">
      <w:pPr>
        <w:pStyle w:val="Heading4"/>
        <w:rPr>
          <w:rFonts w:eastAsia="Times New Roman"/>
          <w:lang w:eastAsia="en-AU"/>
        </w:rPr>
      </w:pPr>
      <w:bookmarkStart w:id="198" w:name="_Table_3.14:_"/>
      <w:bookmarkStart w:id="199" w:name="_2.17:__Table"/>
      <w:bookmarkEnd w:id="198"/>
      <w:bookmarkEnd w:id="199"/>
      <w:r>
        <w:rPr>
          <w:rFonts w:eastAsia="Times New Roman"/>
          <w:lang w:eastAsia="en-AU"/>
        </w:rPr>
        <w:t>2.1</w:t>
      </w:r>
      <w:r w:rsidR="00DA2404">
        <w:rPr>
          <w:rFonts w:eastAsia="Times New Roman"/>
          <w:lang w:eastAsia="en-AU"/>
        </w:rPr>
        <w:t>9</w:t>
      </w:r>
      <w:r w:rsidR="00A7064F" w:rsidRPr="00A7064F">
        <w:rPr>
          <w:rFonts w:eastAsia="Times New Roman"/>
          <w:lang w:eastAsia="en-AU"/>
        </w:rPr>
        <w:t>:  Table - Raising Children Network statistics in 2011-12</w:t>
      </w:r>
    </w:p>
    <w:p w:rsidR="00A7064F" w:rsidRPr="00A7064F" w:rsidRDefault="00A7064F" w:rsidP="00A7064F">
      <w:pPr>
        <w:tabs>
          <w:tab w:val="left" w:pos="5940"/>
        </w:tabs>
        <w:spacing w:before="0" w:after="0" w:line="240" w:lineRule="auto"/>
        <w:rPr>
          <w:rFonts w:ascii="Calibri" w:eastAsia="Times New Roman" w:hAnsi="Calibri" w:cs="Times New Roman"/>
          <w:lang w:eastAsia="en-AU"/>
        </w:rPr>
      </w:pPr>
      <w:r w:rsidRPr="00A7064F">
        <w:rPr>
          <w:rFonts w:ascii="Calibri" w:eastAsia="Times New Roman" w:hAnsi="Calibri" w:cs="Times New Roman"/>
          <w:lang w:eastAsia="en-AU"/>
        </w:rPr>
        <w:tab/>
      </w:r>
    </w:p>
    <w:tbl>
      <w:tblPr>
        <w:tblW w:w="0" w:type="auto"/>
        <w:tblBorders>
          <w:top w:val="single" w:sz="8" w:space="0" w:color="9BBB59"/>
          <w:bottom w:val="single" w:sz="8" w:space="0" w:color="9BBB59"/>
        </w:tblBorders>
        <w:tblLook w:val="04A0" w:firstRow="1" w:lastRow="0" w:firstColumn="1" w:lastColumn="0" w:noHBand="0" w:noVBand="1"/>
        <w:tblCaption w:val="Raising Children Network statistics in 2011-12"/>
        <w:tblDescription w:val="The table shows the number of page views  of 10,278,548 and visitors to the Raising Children Network in 2011-12 totalling 2,543,626. "/>
      </w:tblPr>
      <w:tblGrid>
        <w:gridCol w:w="5920"/>
        <w:gridCol w:w="4621"/>
      </w:tblGrid>
      <w:tr w:rsidR="00A7064F" w:rsidRPr="00A7064F" w:rsidTr="006822A7">
        <w:trPr>
          <w:tblHeader/>
        </w:trPr>
        <w:tc>
          <w:tcPr>
            <w:tcW w:w="5920" w:type="dxa"/>
            <w:tcBorders>
              <w:top w:val="single" w:sz="8" w:space="0" w:color="9BBB59"/>
              <w:left w:val="nil"/>
              <w:bottom w:val="single" w:sz="8" w:space="0" w:color="9BBB59"/>
              <w:right w:val="nil"/>
            </w:tcBorders>
            <w:shd w:val="clear" w:color="auto" w:fill="auto"/>
          </w:tcPr>
          <w:p w:rsidR="00A7064F" w:rsidRPr="006822A7" w:rsidRDefault="00A7064F" w:rsidP="006822A7">
            <w:pPr>
              <w:tabs>
                <w:tab w:val="left" w:pos="930"/>
              </w:tabs>
              <w:spacing w:after="0" w:line="240" w:lineRule="auto"/>
              <w:rPr>
                <w:rFonts w:ascii="Calibri" w:eastAsia="Calibri" w:hAnsi="Calibri" w:cs="Times New Roman"/>
                <w:b/>
                <w:spacing w:val="9"/>
                <w:sz w:val="22"/>
                <w:szCs w:val="22"/>
              </w:rPr>
            </w:pPr>
            <w:r w:rsidRPr="006822A7">
              <w:rPr>
                <w:rFonts w:ascii="Calibri" w:eastAsia="Calibri" w:hAnsi="Calibri" w:cs="Times New Roman"/>
                <w:b/>
                <w:spacing w:val="9"/>
                <w:sz w:val="22"/>
                <w:szCs w:val="22"/>
              </w:rPr>
              <w:t>Type</w:t>
            </w:r>
            <w:r w:rsidR="006822A7" w:rsidRPr="006822A7">
              <w:rPr>
                <w:rFonts w:ascii="Calibri" w:eastAsia="Calibri" w:hAnsi="Calibri" w:cs="Times New Roman"/>
                <w:b/>
                <w:spacing w:val="9"/>
                <w:sz w:val="22"/>
                <w:szCs w:val="22"/>
              </w:rPr>
              <w:tab/>
            </w:r>
          </w:p>
        </w:tc>
        <w:tc>
          <w:tcPr>
            <w:tcW w:w="4621" w:type="dxa"/>
            <w:tcBorders>
              <w:top w:val="single" w:sz="8" w:space="0" w:color="9BBB59"/>
              <w:left w:val="nil"/>
              <w:bottom w:val="single" w:sz="8" w:space="0" w:color="9BBB59"/>
              <w:right w:val="nil"/>
            </w:tcBorders>
            <w:shd w:val="clear" w:color="auto" w:fill="auto"/>
          </w:tcPr>
          <w:p w:rsidR="00A7064F" w:rsidRPr="006822A7" w:rsidRDefault="00A7064F" w:rsidP="00A7064F">
            <w:pPr>
              <w:spacing w:after="0" w:line="240" w:lineRule="auto"/>
              <w:ind w:left="175" w:hanging="175"/>
              <w:jc w:val="center"/>
              <w:rPr>
                <w:rFonts w:ascii="Calibri" w:eastAsia="Calibri" w:hAnsi="Calibri" w:cs="Times New Roman"/>
                <w:b/>
                <w:spacing w:val="9"/>
                <w:sz w:val="22"/>
                <w:szCs w:val="22"/>
              </w:rPr>
            </w:pPr>
            <w:r w:rsidRPr="006822A7">
              <w:rPr>
                <w:rFonts w:ascii="Calibri" w:eastAsia="Calibri" w:hAnsi="Calibri" w:cs="Times New Roman"/>
                <w:b/>
                <w:spacing w:val="9"/>
                <w:sz w:val="22"/>
                <w:szCs w:val="22"/>
              </w:rPr>
              <w:t>Number</w:t>
            </w:r>
          </w:p>
        </w:tc>
      </w:tr>
      <w:tr w:rsidR="00A7064F" w:rsidRPr="00A7064F" w:rsidTr="001F7607">
        <w:tc>
          <w:tcPr>
            <w:tcW w:w="5920" w:type="dxa"/>
            <w:tcBorders>
              <w:left w:val="nil"/>
              <w:right w:val="nil"/>
            </w:tcBorders>
            <w:shd w:val="clear" w:color="auto" w:fill="E6EED5"/>
          </w:tcPr>
          <w:p w:rsidR="00A7064F" w:rsidRPr="00A7064F" w:rsidRDefault="00A7064F" w:rsidP="00A7064F">
            <w:pPr>
              <w:spacing w:after="0" w:line="240" w:lineRule="auto"/>
              <w:rPr>
                <w:rFonts w:ascii="Arial Narrow" w:eastAsia="Calibri" w:hAnsi="Arial Narrow" w:cs="Times New Roman"/>
                <w:bCs/>
              </w:rPr>
            </w:pPr>
            <w:r w:rsidRPr="00A7064F">
              <w:rPr>
                <w:rFonts w:ascii="Arial Narrow" w:eastAsia="Calibri" w:hAnsi="Arial Narrow" w:cs="Times New Roman"/>
                <w:bCs/>
              </w:rPr>
              <w:t>Page views</w:t>
            </w:r>
          </w:p>
        </w:tc>
        <w:tc>
          <w:tcPr>
            <w:tcW w:w="4621" w:type="dxa"/>
            <w:tcBorders>
              <w:left w:val="nil"/>
              <w:right w:val="nil"/>
            </w:tcBorders>
            <w:shd w:val="clear" w:color="auto" w:fill="E6EED5"/>
          </w:tcPr>
          <w:p w:rsidR="00A7064F" w:rsidRPr="00A7064F" w:rsidRDefault="00A7064F" w:rsidP="00A7064F">
            <w:pPr>
              <w:spacing w:after="0" w:line="240" w:lineRule="auto"/>
              <w:jc w:val="center"/>
              <w:rPr>
                <w:rFonts w:ascii="Arial Narrow" w:eastAsia="Calibri" w:hAnsi="Arial Narrow" w:cs="Times New Roman"/>
                <w:bCs/>
                <w:smallCaps/>
                <w:spacing w:val="9"/>
              </w:rPr>
            </w:pPr>
            <w:r w:rsidRPr="00A7064F">
              <w:rPr>
                <w:rFonts w:ascii="Arial Narrow" w:eastAsia="Calibri" w:hAnsi="Arial Narrow" w:cs="Times New Roman"/>
                <w:bCs/>
                <w:smallCaps/>
                <w:spacing w:val="9"/>
              </w:rPr>
              <w:t>10,278,548</w:t>
            </w:r>
          </w:p>
        </w:tc>
      </w:tr>
      <w:tr w:rsidR="00A7064F" w:rsidRPr="00A7064F" w:rsidTr="001F7607">
        <w:tc>
          <w:tcPr>
            <w:tcW w:w="5920" w:type="dxa"/>
            <w:shd w:val="clear" w:color="auto" w:fill="auto"/>
          </w:tcPr>
          <w:p w:rsidR="00A7064F" w:rsidRPr="00A7064F" w:rsidRDefault="00A7064F" w:rsidP="00A7064F">
            <w:pPr>
              <w:spacing w:after="0" w:line="240" w:lineRule="auto"/>
              <w:rPr>
                <w:rFonts w:ascii="Arial Narrow" w:eastAsia="Calibri" w:hAnsi="Arial Narrow" w:cs="Times New Roman"/>
                <w:bCs/>
              </w:rPr>
            </w:pPr>
            <w:r w:rsidRPr="00A7064F">
              <w:rPr>
                <w:rFonts w:ascii="Arial Narrow" w:eastAsia="Calibri" w:hAnsi="Arial Narrow" w:cs="Times New Roman"/>
                <w:bCs/>
              </w:rPr>
              <w:t>Visitors to website</w:t>
            </w:r>
          </w:p>
        </w:tc>
        <w:tc>
          <w:tcPr>
            <w:tcW w:w="4621" w:type="dxa"/>
            <w:shd w:val="clear" w:color="auto" w:fill="auto"/>
          </w:tcPr>
          <w:p w:rsidR="00A7064F" w:rsidRPr="00A7064F" w:rsidRDefault="00A7064F" w:rsidP="00A7064F">
            <w:pPr>
              <w:spacing w:after="0" w:line="240" w:lineRule="auto"/>
              <w:jc w:val="center"/>
              <w:rPr>
                <w:rFonts w:ascii="Arial Narrow" w:eastAsia="Calibri" w:hAnsi="Arial Narrow" w:cs="Times New Roman"/>
                <w:bCs/>
                <w:smallCaps/>
                <w:spacing w:val="9"/>
              </w:rPr>
            </w:pPr>
            <w:r w:rsidRPr="00A7064F">
              <w:rPr>
                <w:rFonts w:ascii="Arial Narrow" w:eastAsia="Calibri" w:hAnsi="Arial Narrow" w:cs="Times New Roman"/>
                <w:bCs/>
                <w:smallCaps/>
                <w:spacing w:val="9"/>
              </w:rPr>
              <w:t>2,543,626</w:t>
            </w:r>
          </w:p>
        </w:tc>
      </w:tr>
    </w:tbl>
    <w:p w:rsidR="00A7064F" w:rsidRPr="00A7064F" w:rsidRDefault="00A7064F" w:rsidP="00A7064F">
      <w:pPr>
        <w:spacing w:before="0" w:after="0" w:line="240" w:lineRule="auto"/>
        <w:rPr>
          <w:rFonts w:ascii="Arial" w:eastAsia="Times New Roman" w:hAnsi="Arial" w:cs="Arial"/>
          <w:color w:val="000000"/>
          <w:sz w:val="16"/>
          <w:szCs w:val="16"/>
        </w:rPr>
      </w:pPr>
    </w:p>
    <w:p w:rsidR="00A7064F" w:rsidRPr="00A7064F" w:rsidRDefault="00A7064F" w:rsidP="00A7064F">
      <w:pPr>
        <w:spacing w:before="0" w:after="0" w:line="240" w:lineRule="auto"/>
        <w:rPr>
          <w:rFonts w:ascii="Arial" w:eastAsia="Times New Roman" w:hAnsi="Arial" w:cs="Arial"/>
          <w:color w:val="000000"/>
          <w:sz w:val="16"/>
          <w:szCs w:val="16"/>
        </w:rPr>
      </w:pPr>
      <w:r w:rsidRPr="00A7064F">
        <w:rPr>
          <w:rFonts w:ascii="Arial" w:eastAsia="Times New Roman" w:hAnsi="Arial" w:cs="Arial"/>
          <w:color w:val="000000"/>
          <w:sz w:val="16"/>
          <w:szCs w:val="16"/>
        </w:rPr>
        <w:t>Source: Raising Children Network – Google Analytics</w:t>
      </w:r>
    </w:p>
    <w:p w:rsidR="00A7064F" w:rsidRPr="00A7064F" w:rsidRDefault="00A7064F" w:rsidP="00A7064F">
      <w:pPr>
        <w:spacing w:before="0" w:after="0" w:line="240" w:lineRule="auto"/>
        <w:rPr>
          <w:rFonts w:ascii="Arial" w:eastAsia="Times New Roman" w:hAnsi="Arial" w:cs="Arial"/>
          <w:color w:val="000000"/>
          <w:sz w:val="16"/>
          <w:szCs w:val="16"/>
        </w:rPr>
      </w:pPr>
    </w:p>
    <w:p w:rsidR="00A7064F" w:rsidRPr="00A7064F" w:rsidRDefault="00A7064F" w:rsidP="00B119CB">
      <w:pPr>
        <w:pStyle w:val="Heading2"/>
        <w:rPr>
          <w:rFonts w:eastAsia="Times New Roman"/>
          <w:lang w:eastAsia="en-AU"/>
        </w:rPr>
      </w:pPr>
      <w:bookmarkStart w:id="200" w:name="_Toc318188742"/>
      <w:bookmarkStart w:id="201" w:name="_Toc338944775"/>
      <w:bookmarkStart w:id="202" w:name="_Toc338945066"/>
      <w:bookmarkStart w:id="203" w:name="_Toc338945393"/>
      <w:bookmarkStart w:id="204" w:name="_Toc338945646"/>
      <w:bookmarkStart w:id="205" w:name="_Toc341705916"/>
      <w:r w:rsidRPr="00A7064F">
        <w:rPr>
          <w:rFonts w:eastAsia="Times New Roman"/>
          <w:lang w:eastAsia="en-AU"/>
        </w:rPr>
        <w:t>Family Relationships Online (FRO)</w:t>
      </w:r>
      <w:bookmarkEnd w:id="200"/>
      <w:bookmarkEnd w:id="201"/>
      <w:bookmarkEnd w:id="202"/>
      <w:bookmarkEnd w:id="203"/>
      <w:bookmarkEnd w:id="204"/>
      <w:bookmarkEnd w:id="205"/>
    </w:p>
    <w:p w:rsidR="00A7064F" w:rsidRPr="00EA6D54" w:rsidRDefault="00F67123" w:rsidP="001F7607">
      <w:pPr>
        <w:rPr>
          <w:rFonts w:eastAsia="Times New Roman"/>
          <w:sz w:val="24"/>
          <w:szCs w:val="24"/>
          <w:lang w:eastAsia="en-AU"/>
        </w:rPr>
      </w:pPr>
      <w:hyperlink r:id="rId27" w:history="1">
        <w:r w:rsidR="00A7064F" w:rsidRPr="00EA6D54">
          <w:rPr>
            <w:rFonts w:eastAsia="Times New Roman"/>
            <w:color w:val="0000FF"/>
            <w:sz w:val="24"/>
            <w:szCs w:val="24"/>
            <w:u w:val="single"/>
            <w:lang w:eastAsia="en-AU"/>
          </w:rPr>
          <w:t>Family Relationships Online (FRO)</w:t>
        </w:r>
      </w:hyperlink>
      <w:r w:rsidR="00A7064F" w:rsidRPr="00EA6D54">
        <w:rPr>
          <w:rFonts w:eastAsia="Times New Roman"/>
          <w:sz w:val="24"/>
          <w:szCs w:val="24"/>
          <w:lang w:eastAsia="en-AU"/>
        </w:rPr>
        <w:t xml:space="preserve"> is an Australian Government website managed by FaHCSIA. </w:t>
      </w:r>
      <w:r w:rsidR="00A7064F" w:rsidRPr="00EA6D54">
        <w:rPr>
          <w:rFonts w:eastAsia="Times New Roman"/>
          <w:color w:val="000000"/>
          <w:sz w:val="24"/>
          <w:szCs w:val="24"/>
          <w:lang w:eastAsia="en-AU"/>
        </w:rPr>
        <w:t xml:space="preserve">Its URL is </w:t>
      </w:r>
      <w:hyperlink r:id="rId28" w:history="1">
        <w:r w:rsidR="00A7064F" w:rsidRPr="00EA6D54">
          <w:rPr>
            <w:rFonts w:eastAsia="Times New Roman"/>
            <w:color w:val="0000FF"/>
            <w:sz w:val="24"/>
            <w:szCs w:val="24"/>
            <w:u w:val="single"/>
            <w:lang w:eastAsia="en-AU"/>
          </w:rPr>
          <w:t>www.familyrelationships.gov.au</w:t>
        </w:r>
      </w:hyperlink>
    </w:p>
    <w:p w:rsidR="001B1C9D" w:rsidRDefault="001B1C9D">
      <w:pPr>
        <w:rPr>
          <w:rFonts w:eastAsia="Times New Roman"/>
          <w:sz w:val="24"/>
          <w:szCs w:val="24"/>
          <w:lang w:eastAsia="en-AU"/>
        </w:rPr>
      </w:pPr>
      <w:r>
        <w:rPr>
          <w:rFonts w:eastAsia="Times New Roman"/>
          <w:sz w:val="24"/>
          <w:szCs w:val="24"/>
          <w:lang w:eastAsia="en-AU"/>
        </w:rPr>
        <w:br w:type="page"/>
      </w:r>
    </w:p>
    <w:p w:rsidR="00A7064F" w:rsidRPr="00EA6D54" w:rsidRDefault="00A7064F" w:rsidP="001F7607">
      <w:pPr>
        <w:rPr>
          <w:rFonts w:eastAsia="Times New Roman"/>
          <w:sz w:val="24"/>
          <w:szCs w:val="24"/>
          <w:lang w:eastAsia="en-AU"/>
        </w:rPr>
      </w:pPr>
      <w:r w:rsidRPr="00EA6D54">
        <w:rPr>
          <w:rFonts w:eastAsia="Times New Roman"/>
          <w:sz w:val="24"/>
          <w:szCs w:val="24"/>
          <w:lang w:eastAsia="en-AU"/>
        </w:rPr>
        <w:lastRenderedPageBreak/>
        <w:t>FRO’s purpose is to provide the general public with access to information about family relationship issues, ranging from building better relationships to dispute resolution. People are able to locate a range of services available by either accessing individual FRO pages or by conducting a topic-based search with the choice of nominating locality details or not.</w:t>
      </w:r>
    </w:p>
    <w:p w:rsidR="00A7064F" w:rsidRPr="00EA6D54" w:rsidRDefault="00A7064F" w:rsidP="001F7607">
      <w:pPr>
        <w:rPr>
          <w:rFonts w:eastAsia="Times New Roman"/>
          <w:sz w:val="24"/>
          <w:szCs w:val="24"/>
          <w:lang w:eastAsia="en-AU"/>
        </w:rPr>
      </w:pPr>
      <w:r w:rsidRPr="00EA6D54">
        <w:rPr>
          <w:rFonts w:eastAsia="Times New Roman"/>
          <w:sz w:val="24"/>
          <w:szCs w:val="24"/>
          <w:lang w:eastAsia="en-AU"/>
        </w:rPr>
        <w:t>The total number of visits to FRO in 2010-11 was 257,009.  The total number of visits to FRO in 2011-12 has increased by 21,221 to 278,230.</w:t>
      </w:r>
    </w:p>
    <w:p w:rsidR="00A7064F" w:rsidRPr="00EA6D54" w:rsidRDefault="00A7064F" w:rsidP="001F7607">
      <w:pPr>
        <w:rPr>
          <w:rFonts w:eastAsia="Times New Roman"/>
          <w:sz w:val="24"/>
          <w:szCs w:val="24"/>
          <w:lang w:eastAsia="en-AU"/>
        </w:rPr>
      </w:pPr>
      <w:r w:rsidRPr="00EA6D54">
        <w:rPr>
          <w:rFonts w:eastAsia="Times New Roman"/>
          <w:sz w:val="24"/>
          <w:szCs w:val="24"/>
          <w:lang w:eastAsia="en-AU"/>
        </w:rPr>
        <w:t>The top five pages visited on FRO were:</w:t>
      </w:r>
    </w:p>
    <w:p w:rsidR="00A7064F" w:rsidRPr="00EA6D54" w:rsidRDefault="00A7064F" w:rsidP="001F7607">
      <w:pPr>
        <w:pStyle w:val="ListParagraph"/>
        <w:numPr>
          <w:ilvl w:val="0"/>
          <w:numId w:val="26"/>
        </w:numPr>
        <w:rPr>
          <w:rFonts w:eastAsia="Times New Roman"/>
          <w:sz w:val="24"/>
          <w:szCs w:val="24"/>
          <w:lang w:eastAsia="en-AU"/>
        </w:rPr>
      </w:pPr>
      <w:r w:rsidRPr="00EA6D54">
        <w:rPr>
          <w:rFonts w:eastAsia="Times New Roman"/>
          <w:sz w:val="24"/>
          <w:szCs w:val="24"/>
          <w:lang w:eastAsia="en-AU"/>
        </w:rPr>
        <w:t>FRO Home Page</w:t>
      </w:r>
    </w:p>
    <w:p w:rsidR="00A7064F" w:rsidRPr="00EA6D54" w:rsidRDefault="00A7064F" w:rsidP="001F7607">
      <w:pPr>
        <w:pStyle w:val="ListParagraph"/>
        <w:numPr>
          <w:ilvl w:val="0"/>
          <w:numId w:val="26"/>
        </w:numPr>
        <w:rPr>
          <w:rFonts w:eastAsia="Times New Roman"/>
          <w:sz w:val="24"/>
          <w:szCs w:val="24"/>
          <w:lang w:eastAsia="en-AU"/>
        </w:rPr>
      </w:pPr>
      <w:r w:rsidRPr="00EA6D54">
        <w:rPr>
          <w:rFonts w:eastAsia="Times New Roman"/>
          <w:sz w:val="24"/>
          <w:szCs w:val="24"/>
          <w:lang w:eastAsia="en-AU"/>
        </w:rPr>
        <w:t>Brochures and Publications page</w:t>
      </w:r>
    </w:p>
    <w:p w:rsidR="00A7064F" w:rsidRPr="00EA6D54" w:rsidRDefault="00A7064F" w:rsidP="001F7607">
      <w:pPr>
        <w:pStyle w:val="ListParagraph"/>
        <w:numPr>
          <w:ilvl w:val="0"/>
          <w:numId w:val="26"/>
        </w:numPr>
        <w:rPr>
          <w:rFonts w:eastAsia="Times New Roman"/>
          <w:sz w:val="24"/>
          <w:szCs w:val="24"/>
          <w:lang w:eastAsia="en-AU"/>
        </w:rPr>
      </w:pPr>
      <w:r w:rsidRPr="00EA6D54">
        <w:rPr>
          <w:rFonts w:eastAsia="Times New Roman"/>
          <w:sz w:val="24"/>
          <w:szCs w:val="24"/>
          <w:lang w:eastAsia="en-AU"/>
        </w:rPr>
        <w:t>Services – Family Relationship Centres page</w:t>
      </w:r>
    </w:p>
    <w:p w:rsidR="00A7064F" w:rsidRPr="00EA6D54" w:rsidRDefault="00A7064F" w:rsidP="001F7607">
      <w:pPr>
        <w:pStyle w:val="ListParagraph"/>
        <w:numPr>
          <w:ilvl w:val="0"/>
          <w:numId w:val="26"/>
        </w:numPr>
        <w:rPr>
          <w:rFonts w:eastAsia="Times New Roman"/>
          <w:sz w:val="24"/>
          <w:szCs w:val="24"/>
          <w:lang w:eastAsia="en-AU"/>
        </w:rPr>
      </w:pPr>
      <w:r w:rsidRPr="00EA6D54">
        <w:rPr>
          <w:rFonts w:eastAsia="Times New Roman"/>
          <w:sz w:val="24"/>
          <w:szCs w:val="24"/>
          <w:lang w:eastAsia="en-AU"/>
        </w:rPr>
        <w:t>Search page KEYWORD=</w:t>
      </w:r>
      <w:proofErr w:type="spellStart"/>
      <w:r w:rsidRPr="00EA6D54">
        <w:rPr>
          <w:rFonts w:eastAsia="Times New Roman"/>
          <w:sz w:val="24"/>
          <w:szCs w:val="24"/>
          <w:lang w:eastAsia="en-AU"/>
        </w:rPr>
        <w:t>frc</w:t>
      </w:r>
      <w:proofErr w:type="spellEnd"/>
      <w:r w:rsidRPr="00EA6D54">
        <w:rPr>
          <w:rFonts w:eastAsia="Times New Roman"/>
          <w:sz w:val="24"/>
          <w:szCs w:val="24"/>
          <w:lang w:eastAsia="en-AU"/>
        </w:rPr>
        <w:t xml:space="preserve"> (Family Relationship Centre) NOT pop (Parenting Order Program) – this was used to locate a client’s local FRC</w:t>
      </w:r>
    </w:p>
    <w:p w:rsidR="00A7064F" w:rsidRPr="00EA6D54" w:rsidRDefault="00A7064F" w:rsidP="001F7607">
      <w:pPr>
        <w:pStyle w:val="ListParagraph"/>
        <w:numPr>
          <w:ilvl w:val="0"/>
          <w:numId w:val="26"/>
        </w:numPr>
        <w:rPr>
          <w:rFonts w:eastAsia="Times New Roman"/>
          <w:sz w:val="24"/>
          <w:szCs w:val="24"/>
          <w:lang w:eastAsia="en-AU"/>
        </w:rPr>
      </w:pPr>
      <w:r w:rsidRPr="00EA6D54">
        <w:rPr>
          <w:rFonts w:eastAsia="Times New Roman"/>
          <w:sz w:val="24"/>
          <w:szCs w:val="24"/>
          <w:lang w:eastAsia="en-AU"/>
        </w:rPr>
        <w:t>Search page</w:t>
      </w:r>
    </w:p>
    <w:p w:rsidR="00A7064F" w:rsidRPr="00EA6D54" w:rsidRDefault="00A7064F" w:rsidP="001F7607">
      <w:pPr>
        <w:rPr>
          <w:rFonts w:eastAsia="Times New Roman"/>
          <w:sz w:val="24"/>
          <w:szCs w:val="24"/>
          <w:lang w:eastAsia="en-AU"/>
        </w:rPr>
      </w:pPr>
      <w:r w:rsidRPr="00EA6D54">
        <w:rPr>
          <w:rFonts w:eastAsia="Times New Roman"/>
          <w:sz w:val="24"/>
          <w:szCs w:val="24"/>
          <w:lang w:eastAsia="en-AU"/>
        </w:rPr>
        <w:t>The average number of countries accessing FRO every month was 122.  The top five foreign countries visiting FRO were:</w:t>
      </w:r>
    </w:p>
    <w:p w:rsidR="00A7064F" w:rsidRPr="00EA6D54" w:rsidRDefault="00A7064F" w:rsidP="001F7607">
      <w:pPr>
        <w:pStyle w:val="ListParagraph"/>
        <w:numPr>
          <w:ilvl w:val="0"/>
          <w:numId w:val="27"/>
        </w:numPr>
        <w:rPr>
          <w:rFonts w:eastAsia="Times New Roman"/>
          <w:sz w:val="24"/>
          <w:szCs w:val="24"/>
          <w:lang w:eastAsia="en-AU"/>
        </w:rPr>
      </w:pPr>
      <w:r w:rsidRPr="00EA6D54">
        <w:rPr>
          <w:rFonts w:eastAsia="Times New Roman"/>
          <w:sz w:val="24"/>
          <w:szCs w:val="24"/>
          <w:lang w:eastAsia="en-AU"/>
        </w:rPr>
        <w:t>United States of America</w:t>
      </w:r>
    </w:p>
    <w:p w:rsidR="00A7064F" w:rsidRPr="00EA6D54" w:rsidRDefault="00A7064F" w:rsidP="001F7607">
      <w:pPr>
        <w:pStyle w:val="ListParagraph"/>
        <w:numPr>
          <w:ilvl w:val="0"/>
          <w:numId w:val="27"/>
        </w:numPr>
        <w:rPr>
          <w:rFonts w:eastAsia="Times New Roman"/>
          <w:sz w:val="24"/>
          <w:szCs w:val="24"/>
          <w:lang w:eastAsia="en-AU"/>
        </w:rPr>
      </w:pPr>
      <w:r w:rsidRPr="00EA6D54">
        <w:rPr>
          <w:rFonts w:eastAsia="Times New Roman"/>
          <w:sz w:val="24"/>
          <w:szCs w:val="24"/>
          <w:lang w:eastAsia="en-AU"/>
        </w:rPr>
        <w:t>United Kingdom</w:t>
      </w:r>
    </w:p>
    <w:p w:rsidR="00A7064F" w:rsidRPr="00EA6D54" w:rsidRDefault="00A7064F" w:rsidP="001F7607">
      <w:pPr>
        <w:pStyle w:val="ListParagraph"/>
        <w:numPr>
          <w:ilvl w:val="0"/>
          <w:numId w:val="27"/>
        </w:numPr>
        <w:rPr>
          <w:rFonts w:eastAsia="Times New Roman"/>
          <w:sz w:val="24"/>
          <w:szCs w:val="24"/>
          <w:lang w:eastAsia="en-AU"/>
        </w:rPr>
      </w:pPr>
      <w:r w:rsidRPr="00EA6D54">
        <w:rPr>
          <w:rFonts w:eastAsia="Times New Roman"/>
          <w:sz w:val="24"/>
          <w:szCs w:val="24"/>
          <w:lang w:eastAsia="en-AU"/>
        </w:rPr>
        <w:t>Canada</w:t>
      </w:r>
    </w:p>
    <w:p w:rsidR="00A7064F" w:rsidRPr="00EA6D54" w:rsidRDefault="00A7064F" w:rsidP="001F7607">
      <w:pPr>
        <w:pStyle w:val="ListParagraph"/>
        <w:numPr>
          <w:ilvl w:val="0"/>
          <w:numId w:val="27"/>
        </w:numPr>
        <w:rPr>
          <w:rFonts w:eastAsia="Times New Roman"/>
          <w:sz w:val="24"/>
          <w:szCs w:val="24"/>
          <w:lang w:eastAsia="en-AU"/>
        </w:rPr>
      </w:pPr>
      <w:r w:rsidRPr="00EA6D54">
        <w:rPr>
          <w:rFonts w:eastAsia="Times New Roman"/>
          <w:sz w:val="24"/>
          <w:szCs w:val="24"/>
          <w:lang w:eastAsia="en-AU"/>
        </w:rPr>
        <w:t>Philippines</w:t>
      </w:r>
    </w:p>
    <w:p w:rsidR="00EA6D54" w:rsidRPr="00EA6D54" w:rsidRDefault="00A7064F" w:rsidP="001F7607">
      <w:pPr>
        <w:pStyle w:val="ListParagraph"/>
        <w:numPr>
          <w:ilvl w:val="0"/>
          <w:numId w:val="27"/>
        </w:numPr>
        <w:rPr>
          <w:rFonts w:eastAsia="Times New Roman"/>
          <w:lang w:eastAsia="en-AU"/>
        </w:rPr>
      </w:pPr>
      <w:r w:rsidRPr="00EA6D54">
        <w:rPr>
          <w:rFonts w:eastAsia="Times New Roman"/>
          <w:sz w:val="24"/>
          <w:szCs w:val="24"/>
          <w:lang w:eastAsia="en-AU"/>
        </w:rPr>
        <w:t>India</w:t>
      </w:r>
      <w:bookmarkStart w:id="206" w:name="_Table_3.14:_Family"/>
      <w:bookmarkStart w:id="207" w:name="_Table_3.15:_FRO"/>
      <w:bookmarkEnd w:id="206"/>
      <w:bookmarkEnd w:id="207"/>
    </w:p>
    <w:p w:rsidR="00A7064F" w:rsidRPr="00EA6D54" w:rsidRDefault="00EA6D54" w:rsidP="00EA6D54">
      <w:pPr>
        <w:pStyle w:val="Heading4"/>
        <w:rPr>
          <w:rFonts w:eastAsia="Times New Roman"/>
          <w:lang w:eastAsia="en-AU"/>
        </w:rPr>
      </w:pPr>
      <w:bookmarkStart w:id="208" w:name="_2.18:__Table"/>
      <w:bookmarkEnd w:id="208"/>
      <w:r>
        <w:rPr>
          <w:rFonts w:eastAsia="Times New Roman"/>
          <w:lang w:eastAsia="en-AU"/>
        </w:rPr>
        <w:t>2.</w:t>
      </w:r>
      <w:r w:rsidR="00DA2404">
        <w:rPr>
          <w:rFonts w:eastAsia="Times New Roman"/>
          <w:lang w:eastAsia="en-AU"/>
        </w:rPr>
        <w:t>20</w:t>
      </w:r>
      <w:r w:rsidR="00A7064F" w:rsidRPr="00EA6D54">
        <w:rPr>
          <w:rFonts w:eastAsia="Times New Roman"/>
          <w:lang w:eastAsia="en-AU"/>
        </w:rPr>
        <w:t>:  Table - FRO statistics for 2011-12</w:t>
      </w:r>
    </w:p>
    <w:p w:rsidR="00A7064F" w:rsidRPr="00A7064F" w:rsidRDefault="00A7064F" w:rsidP="00A7064F">
      <w:pPr>
        <w:spacing w:before="0" w:after="0" w:line="240" w:lineRule="auto"/>
        <w:rPr>
          <w:rFonts w:ascii="Calibri" w:eastAsia="Times New Roman" w:hAnsi="Calibri" w:cs="Times New Roman"/>
          <w:lang w:eastAsia="en-AU"/>
        </w:rPr>
      </w:pPr>
    </w:p>
    <w:tbl>
      <w:tblPr>
        <w:tblW w:w="4950" w:type="pct"/>
        <w:tblBorders>
          <w:top w:val="single" w:sz="8" w:space="0" w:color="9BBB59"/>
          <w:bottom w:val="single" w:sz="8" w:space="0" w:color="9BBB59"/>
        </w:tblBorders>
        <w:tblLook w:val="01E0" w:firstRow="1" w:lastRow="1" w:firstColumn="1" w:lastColumn="1" w:noHBand="0" w:noVBand="0"/>
        <w:tblCaption w:val="Family Relationships Online statstics for 2011-12"/>
        <w:tblDescription w:val="The table shows  the statistics for 2011-12 for Family Relationships Online including 278,230 visits to the website,  which is an average of 23,186 visits per month and an average of 760 visits per day."/>
      </w:tblPr>
      <w:tblGrid>
        <w:gridCol w:w="6062"/>
        <w:gridCol w:w="4536"/>
      </w:tblGrid>
      <w:tr w:rsidR="00A7064F" w:rsidRPr="00A7064F" w:rsidTr="001F7607">
        <w:trPr>
          <w:trHeight w:val="284"/>
        </w:trPr>
        <w:tc>
          <w:tcPr>
            <w:tcW w:w="2860" w:type="pct"/>
            <w:tcBorders>
              <w:top w:val="single" w:sz="8" w:space="0" w:color="9BBB59"/>
              <w:left w:val="nil"/>
              <w:bottom w:val="single" w:sz="8" w:space="0" w:color="9BBB59"/>
              <w:right w:val="nil"/>
            </w:tcBorders>
            <w:shd w:val="clear" w:color="auto" w:fill="auto"/>
          </w:tcPr>
          <w:p w:rsidR="00A7064F" w:rsidRPr="00A7064F" w:rsidRDefault="00A7064F" w:rsidP="00A7064F">
            <w:pPr>
              <w:spacing w:after="0" w:line="240" w:lineRule="auto"/>
              <w:rPr>
                <w:rFonts w:ascii="Arial Narrow" w:eastAsia="Times New Roman" w:hAnsi="Arial Narrow" w:cs="Arial"/>
                <w:bCs/>
                <w:color w:val="000000"/>
                <w:lang w:eastAsia="en-AU"/>
              </w:rPr>
            </w:pPr>
            <w:r w:rsidRPr="00A7064F">
              <w:rPr>
                <w:rFonts w:ascii="Arial Narrow" w:eastAsia="Times New Roman" w:hAnsi="Arial Narrow" w:cs="Arial"/>
                <w:bCs/>
                <w:color w:val="000000"/>
                <w:lang w:eastAsia="en-AU"/>
              </w:rPr>
              <w:t>Number of visits to website</w:t>
            </w:r>
          </w:p>
        </w:tc>
        <w:tc>
          <w:tcPr>
            <w:tcW w:w="2140" w:type="pct"/>
            <w:tcBorders>
              <w:top w:val="single" w:sz="8" w:space="0" w:color="9BBB59"/>
              <w:left w:val="nil"/>
              <w:bottom w:val="single" w:sz="8" w:space="0" w:color="9BBB59"/>
              <w:right w:val="nil"/>
            </w:tcBorders>
            <w:shd w:val="clear" w:color="auto" w:fill="auto"/>
          </w:tcPr>
          <w:p w:rsidR="00A7064F" w:rsidRPr="00A7064F" w:rsidRDefault="00A7064F" w:rsidP="00A7064F">
            <w:pPr>
              <w:spacing w:after="0" w:line="240" w:lineRule="auto"/>
              <w:ind w:right="459"/>
              <w:jc w:val="center"/>
              <w:rPr>
                <w:rFonts w:ascii="Arial Narrow" w:eastAsia="Times New Roman" w:hAnsi="Arial Narrow" w:cs="Arial"/>
                <w:bCs/>
                <w:color w:val="000000"/>
                <w:lang w:eastAsia="en-AU"/>
              </w:rPr>
            </w:pPr>
            <w:r w:rsidRPr="00A7064F">
              <w:rPr>
                <w:rFonts w:ascii="Arial Narrow" w:eastAsia="Times New Roman" w:hAnsi="Arial Narrow" w:cs="Arial"/>
                <w:bCs/>
                <w:color w:val="000000"/>
                <w:lang w:eastAsia="en-AU"/>
              </w:rPr>
              <w:t>278,230</w:t>
            </w:r>
          </w:p>
        </w:tc>
      </w:tr>
      <w:tr w:rsidR="00A7064F" w:rsidRPr="00A7064F" w:rsidTr="001F7607">
        <w:trPr>
          <w:trHeight w:val="284"/>
        </w:trPr>
        <w:tc>
          <w:tcPr>
            <w:tcW w:w="2860" w:type="pct"/>
            <w:tcBorders>
              <w:left w:val="nil"/>
              <w:right w:val="nil"/>
            </w:tcBorders>
            <w:shd w:val="clear" w:color="auto" w:fill="E6EED5"/>
          </w:tcPr>
          <w:p w:rsidR="00A7064F" w:rsidRPr="00A7064F" w:rsidRDefault="00A7064F" w:rsidP="00A7064F">
            <w:pPr>
              <w:spacing w:after="0" w:line="240" w:lineRule="auto"/>
              <w:rPr>
                <w:rFonts w:ascii="Arial Narrow" w:eastAsia="Times New Roman" w:hAnsi="Arial Narrow" w:cs="Arial"/>
                <w:bCs/>
                <w:color w:val="000000"/>
                <w:lang w:eastAsia="en-AU"/>
              </w:rPr>
            </w:pPr>
            <w:r w:rsidRPr="00A7064F">
              <w:rPr>
                <w:rFonts w:ascii="Arial Narrow" w:eastAsia="Times New Roman" w:hAnsi="Arial Narrow" w:cs="Arial"/>
                <w:bCs/>
                <w:color w:val="000000"/>
                <w:lang w:eastAsia="en-AU"/>
              </w:rPr>
              <w:t>Average visits per month</w:t>
            </w:r>
          </w:p>
        </w:tc>
        <w:tc>
          <w:tcPr>
            <w:tcW w:w="2140" w:type="pct"/>
            <w:tcBorders>
              <w:left w:val="nil"/>
              <w:right w:val="nil"/>
            </w:tcBorders>
            <w:shd w:val="clear" w:color="auto" w:fill="E6EED5"/>
          </w:tcPr>
          <w:p w:rsidR="00A7064F" w:rsidRPr="00A7064F" w:rsidRDefault="00A7064F" w:rsidP="00A7064F">
            <w:pPr>
              <w:spacing w:after="0" w:line="240" w:lineRule="auto"/>
              <w:ind w:right="459"/>
              <w:jc w:val="center"/>
              <w:rPr>
                <w:rFonts w:ascii="Arial Narrow" w:eastAsia="Times New Roman" w:hAnsi="Arial Narrow" w:cs="Arial"/>
                <w:bCs/>
                <w:color w:val="000000"/>
                <w:lang w:eastAsia="en-AU"/>
              </w:rPr>
            </w:pPr>
            <w:r w:rsidRPr="00A7064F">
              <w:rPr>
                <w:rFonts w:ascii="Arial Narrow" w:eastAsia="Times New Roman" w:hAnsi="Arial Narrow" w:cs="Arial"/>
                <w:bCs/>
                <w:color w:val="000000"/>
                <w:lang w:eastAsia="en-AU"/>
              </w:rPr>
              <w:t>23,186</w:t>
            </w:r>
          </w:p>
        </w:tc>
      </w:tr>
      <w:tr w:rsidR="00A7064F" w:rsidRPr="00A7064F" w:rsidTr="001F7607">
        <w:trPr>
          <w:trHeight w:val="284"/>
        </w:trPr>
        <w:tc>
          <w:tcPr>
            <w:tcW w:w="2860" w:type="pct"/>
            <w:tcBorders>
              <w:top w:val="single" w:sz="8" w:space="0" w:color="9BBB59"/>
              <w:left w:val="nil"/>
              <w:bottom w:val="single" w:sz="8" w:space="0" w:color="9BBB59"/>
              <w:right w:val="nil"/>
            </w:tcBorders>
            <w:shd w:val="clear" w:color="auto" w:fill="auto"/>
          </w:tcPr>
          <w:p w:rsidR="00A7064F" w:rsidRPr="00A7064F" w:rsidRDefault="00A7064F" w:rsidP="00A7064F">
            <w:pPr>
              <w:spacing w:after="0" w:line="240" w:lineRule="auto"/>
              <w:rPr>
                <w:rFonts w:ascii="Arial Narrow" w:eastAsia="Times New Roman" w:hAnsi="Arial Narrow" w:cs="Arial"/>
                <w:bCs/>
                <w:color w:val="000000"/>
                <w:lang w:eastAsia="en-AU"/>
              </w:rPr>
            </w:pPr>
            <w:r w:rsidRPr="00A7064F">
              <w:rPr>
                <w:rFonts w:ascii="Arial Narrow" w:eastAsia="Times New Roman" w:hAnsi="Arial Narrow" w:cs="Arial"/>
                <w:bCs/>
                <w:color w:val="000000"/>
                <w:lang w:eastAsia="en-AU"/>
              </w:rPr>
              <w:t>Average visits per day</w:t>
            </w:r>
          </w:p>
        </w:tc>
        <w:tc>
          <w:tcPr>
            <w:tcW w:w="2140" w:type="pct"/>
            <w:tcBorders>
              <w:top w:val="single" w:sz="8" w:space="0" w:color="9BBB59"/>
              <w:left w:val="nil"/>
              <w:bottom w:val="single" w:sz="8" w:space="0" w:color="9BBB59"/>
              <w:right w:val="nil"/>
            </w:tcBorders>
            <w:shd w:val="clear" w:color="auto" w:fill="auto"/>
          </w:tcPr>
          <w:p w:rsidR="00A7064F" w:rsidRPr="00A7064F" w:rsidRDefault="00A7064F" w:rsidP="00A7064F">
            <w:pPr>
              <w:spacing w:after="0" w:line="240" w:lineRule="auto"/>
              <w:ind w:right="459"/>
              <w:jc w:val="center"/>
              <w:rPr>
                <w:rFonts w:ascii="Arial Narrow" w:eastAsia="Times New Roman" w:hAnsi="Arial Narrow" w:cs="Arial"/>
                <w:bCs/>
                <w:color w:val="000000"/>
                <w:lang w:eastAsia="en-AU"/>
              </w:rPr>
            </w:pPr>
            <w:r w:rsidRPr="00A7064F">
              <w:rPr>
                <w:rFonts w:ascii="Arial Narrow" w:eastAsia="Times New Roman" w:hAnsi="Arial Narrow" w:cs="Arial"/>
                <w:bCs/>
                <w:color w:val="000000"/>
                <w:lang w:eastAsia="en-AU"/>
              </w:rPr>
              <w:t>760</w:t>
            </w:r>
          </w:p>
        </w:tc>
      </w:tr>
    </w:tbl>
    <w:p w:rsidR="00A7064F" w:rsidRPr="00A7064F" w:rsidRDefault="00A7064F" w:rsidP="00A7064F">
      <w:pPr>
        <w:spacing w:before="0" w:after="0" w:line="240" w:lineRule="auto"/>
        <w:rPr>
          <w:rFonts w:ascii="Arial" w:eastAsia="Times New Roman" w:hAnsi="Arial" w:cs="Arial"/>
          <w:noProof/>
          <w:color w:val="4F6228"/>
          <w:sz w:val="18"/>
          <w:szCs w:val="18"/>
          <w:lang w:eastAsia="en-AU"/>
        </w:rPr>
      </w:pPr>
    </w:p>
    <w:p w:rsidR="005B6826" w:rsidRDefault="005B6826" w:rsidP="005B09F5">
      <w:pPr>
        <w:spacing w:before="0" w:after="0" w:line="240" w:lineRule="auto"/>
        <w:rPr>
          <w:rFonts w:ascii="Arial" w:eastAsia="Times New Roman" w:hAnsi="Arial" w:cs="Arial"/>
          <w:noProof/>
          <w:color w:val="4F6228"/>
          <w:sz w:val="18"/>
          <w:szCs w:val="18"/>
          <w:lang w:eastAsia="en-AU"/>
        </w:rPr>
        <w:sectPr w:rsidR="005B6826" w:rsidSect="000630B7">
          <w:pgSz w:w="11906" w:h="16838"/>
          <w:pgMar w:top="567" w:right="566" w:bottom="993" w:left="851" w:header="709" w:footer="709" w:gutter="0"/>
          <w:cols w:space="708"/>
          <w:docGrid w:linePitch="360"/>
        </w:sectPr>
      </w:pPr>
    </w:p>
    <w:p w:rsidR="00835CD1" w:rsidRDefault="00835CD1" w:rsidP="005B09F5">
      <w:pPr>
        <w:spacing w:before="0" w:after="0" w:line="240" w:lineRule="auto"/>
        <w:rPr>
          <w:rFonts w:ascii="Arial" w:eastAsia="Times New Roman" w:hAnsi="Arial" w:cs="Arial"/>
          <w:noProof/>
          <w:color w:val="4F6228"/>
          <w:sz w:val="18"/>
          <w:szCs w:val="18"/>
          <w:lang w:eastAsia="en-AU"/>
        </w:rPr>
      </w:pPr>
    </w:p>
    <w:p w:rsidR="005B6826" w:rsidRPr="005B6826" w:rsidRDefault="005B6826" w:rsidP="005B6826">
      <w:pPr>
        <w:pStyle w:val="Heading1"/>
        <w:rPr>
          <w:rFonts w:eastAsia="Times New Roman"/>
          <w:lang w:eastAsia="en-AU"/>
        </w:rPr>
      </w:pPr>
      <w:bookmarkStart w:id="209" w:name="_Toc338944776"/>
      <w:bookmarkStart w:id="210" w:name="_Toc338945067"/>
      <w:bookmarkStart w:id="211" w:name="_Toc338945394"/>
      <w:bookmarkStart w:id="212" w:name="_Toc338945647"/>
      <w:bookmarkStart w:id="213" w:name="_Toc341705917"/>
      <w:r w:rsidRPr="005B6826">
        <w:rPr>
          <w:rFonts w:eastAsia="Times New Roman"/>
          <w:lang w:eastAsia="en-AU"/>
        </w:rPr>
        <w:t xml:space="preserve">Section </w:t>
      </w:r>
      <w:r w:rsidR="000F4F3B">
        <w:rPr>
          <w:rFonts w:eastAsia="Times New Roman"/>
          <w:lang w:eastAsia="en-AU"/>
        </w:rPr>
        <w:t>FOUR</w:t>
      </w:r>
      <w:r w:rsidRPr="005B6826">
        <w:rPr>
          <w:rFonts w:eastAsia="Times New Roman"/>
          <w:lang w:eastAsia="en-AU"/>
        </w:rPr>
        <w:t>:  Performance Data</w:t>
      </w:r>
      <w:bookmarkEnd w:id="209"/>
      <w:bookmarkEnd w:id="210"/>
      <w:bookmarkEnd w:id="211"/>
      <w:bookmarkEnd w:id="212"/>
      <w:bookmarkEnd w:id="213"/>
    </w:p>
    <w:p w:rsidR="005B6826" w:rsidRPr="005B6826" w:rsidRDefault="005B6826" w:rsidP="005B6826">
      <w:pPr>
        <w:pStyle w:val="Heading2"/>
        <w:rPr>
          <w:rFonts w:eastAsia="Times New Roman"/>
          <w:lang w:eastAsia="en-AU"/>
        </w:rPr>
      </w:pPr>
      <w:bookmarkStart w:id="214" w:name="_Toc338944777"/>
      <w:bookmarkStart w:id="215" w:name="_Toc338945068"/>
      <w:bookmarkStart w:id="216" w:name="_Toc338945395"/>
      <w:bookmarkStart w:id="217" w:name="_Toc338945648"/>
      <w:bookmarkStart w:id="218" w:name="_Toc341705918"/>
      <w:r w:rsidRPr="005B6826">
        <w:rPr>
          <w:rFonts w:eastAsia="Times New Roman"/>
          <w:lang w:eastAsia="en-AU"/>
        </w:rPr>
        <w:t>FaHCSIA 2011-12 Annual Report Data</w:t>
      </w:r>
      <w:bookmarkEnd w:id="214"/>
      <w:bookmarkEnd w:id="215"/>
      <w:bookmarkEnd w:id="216"/>
      <w:bookmarkEnd w:id="217"/>
      <w:bookmarkEnd w:id="218"/>
    </w:p>
    <w:p w:rsidR="00EC28A1" w:rsidRPr="00442A2E" w:rsidRDefault="000523F0" w:rsidP="00442A2E">
      <w:pPr>
        <w:spacing w:after="120"/>
        <w:rPr>
          <w:rFonts w:eastAsia="Times New Roman"/>
          <w:sz w:val="24"/>
          <w:szCs w:val="24"/>
          <w:lang w:eastAsia="en-AU"/>
        </w:rPr>
      </w:pPr>
      <w:r w:rsidRPr="00442A2E">
        <w:rPr>
          <w:rFonts w:eastAsia="Times New Roman"/>
          <w:sz w:val="24"/>
          <w:szCs w:val="24"/>
          <w:lang w:eastAsia="en-AU"/>
        </w:rPr>
        <w:t xml:space="preserve">The </w:t>
      </w:r>
      <w:r w:rsidR="00EC28A1" w:rsidRPr="00442A2E">
        <w:rPr>
          <w:rFonts w:eastAsia="Times New Roman"/>
          <w:sz w:val="24"/>
          <w:szCs w:val="24"/>
          <w:lang w:eastAsia="en-AU"/>
        </w:rPr>
        <w:t xml:space="preserve">FaHCSIA </w:t>
      </w:r>
      <w:r w:rsidRPr="00442A2E">
        <w:rPr>
          <w:rFonts w:eastAsia="Times New Roman"/>
          <w:sz w:val="24"/>
          <w:szCs w:val="24"/>
          <w:lang w:eastAsia="en-AU"/>
        </w:rPr>
        <w:t xml:space="preserve">Annual Report </w:t>
      </w:r>
      <w:r w:rsidR="00EC28A1" w:rsidRPr="00442A2E">
        <w:rPr>
          <w:rFonts w:eastAsia="Times New Roman"/>
          <w:sz w:val="24"/>
          <w:szCs w:val="24"/>
          <w:lang w:eastAsia="en-AU"/>
        </w:rPr>
        <w:t xml:space="preserve">2011-2012 which </w:t>
      </w:r>
      <w:r w:rsidRPr="00442A2E">
        <w:rPr>
          <w:rFonts w:eastAsia="Times New Roman"/>
          <w:sz w:val="24"/>
          <w:szCs w:val="24"/>
          <w:lang w:eastAsia="en-AU"/>
        </w:rPr>
        <w:t xml:space="preserve">is tabled in </w:t>
      </w:r>
      <w:r w:rsidR="0081140D" w:rsidRPr="0081140D">
        <w:rPr>
          <w:rFonts w:eastAsia="Times New Roman"/>
          <w:sz w:val="24"/>
          <w:szCs w:val="24"/>
          <w:lang w:eastAsia="en-AU"/>
        </w:rPr>
        <w:t>Parliament</w:t>
      </w:r>
      <w:r w:rsidRPr="00442A2E">
        <w:rPr>
          <w:rFonts w:eastAsia="Times New Roman"/>
          <w:sz w:val="24"/>
          <w:szCs w:val="24"/>
          <w:lang w:eastAsia="en-AU"/>
        </w:rPr>
        <w:t xml:space="preserve"> provides a summary of performance against key performance indicators</w:t>
      </w:r>
      <w:r w:rsidR="00EC28A1" w:rsidRPr="00442A2E">
        <w:rPr>
          <w:rFonts w:eastAsia="Times New Roman"/>
          <w:sz w:val="24"/>
          <w:szCs w:val="24"/>
          <w:lang w:eastAsia="en-AU"/>
        </w:rPr>
        <w:t xml:space="preserve"> and actual results against set targets. </w:t>
      </w:r>
      <w:r w:rsidRPr="00442A2E">
        <w:rPr>
          <w:rFonts w:eastAsia="Times New Roman"/>
          <w:sz w:val="24"/>
          <w:szCs w:val="24"/>
          <w:lang w:eastAsia="en-AU"/>
        </w:rPr>
        <w:t xml:space="preserve"> </w:t>
      </w:r>
      <w:r w:rsidR="00EC28A1" w:rsidRPr="00442A2E">
        <w:rPr>
          <w:rFonts w:eastAsia="Times New Roman"/>
          <w:sz w:val="24"/>
          <w:szCs w:val="24"/>
          <w:lang w:eastAsia="en-AU"/>
        </w:rPr>
        <w:t>For Program 1.1 Family Support the key performance indicators and targets for 2011-12 were:</w:t>
      </w:r>
    </w:p>
    <w:p w:rsidR="0081140D" w:rsidRPr="00442A2E" w:rsidRDefault="00EC28A1" w:rsidP="00442A2E">
      <w:pPr>
        <w:pStyle w:val="ListParagraph"/>
        <w:numPr>
          <w:ilvl w:val="0"/>
          <w:numId w:val="49"/>
        </w:numPr>
        <w:spacing w:after="120"/>
        <w:rPr>
          <w:rFonts w:eastAsia="Times New Roman"/>
          <w:sz w:val="24"/>
          <w:szCs w:val="24"/>
          <w:lang w:eastAsia="en-AU"/>
        </w:rPr>
      </w:pPr>
      <w:r w:rsidRPr="00442A2E">
        <w:rPr>
          <w:rFonts w:eastAsia="Times New Roman"/>
          <w:sz w:val="24"/>
          <w:szCs w:val="24"/>
          <w:lang w:eastAsia="en-AU"/>
        </w:rPr>
        <w:t>Percentage of clients reporting improved child wellbeing and development</w:t>
      </w:r>
      <w:r w:rsidR="0081140D" w:rsidRPr="00442A2E">
        <w:rPr>
          <w:rFonts w:eastAsia="Times New Roman"/>
          <w:sz w:val="24"/>
          <w:szCs w:val="24"/>
          <w:lang w:eastAsia="en-AU"/>
        </w:rPr>
        <w:t>, safety and family functioning</w:t>
      </w:r>
      <w:r w:rsidR="0081140D">
        <w:rPr>
          <w:rFonts w:eastAsia="Times New Roman"/>
          <w:sz w:val="24"/>
          <w:szCs w:val="24"/>
          <w:lang w:eastAsia="en-AU"/>
        </w:rPr>
        <w:t>.  Target: 70%</w:t>
      </w:r>
    </w:p>
    <w:p w:rsidR="0081140D" w:rsidRDefault="0081140D" w:rsidP="00442A2E">
      <w:pPr>
        <w:pStyle w:val="ListParagraph"/>
        <w:numPr>
          <w:ilvl w:val="0"/>
          <w:numId w:val="49"/>
        </w:numPr>
        <w:spacing w:after="120"/>
        <w:rPr>
          <w:rFonts w:eastAsia="Times New Roman"/>
          <w:sz w:val="24"/>
          <w:szCs w:val="24"/>
          <w:lang w:eastAsia="en-AU"/>
        </w:rPr>
      </w:pPr>
      <w:r w:rsidRPr="00442A2E">
        <w:rPr>
          <w:rFonts w:eastAsia="Times New Roman"/>
          <w:sz w:val="24"/>
          <w:szCs w:val="24"/>
          <w:lang w:eastAsia="en-AU"/>
        </w:rPr>
        <w:t xml:space="preserve">Percentage of clients with increased knowledge and skills related to child wellbeing and development, </w:t>
      </w:r>
      <w:r>
        <w:rPr>
          <w:rFonts w:eastAsia="Times New Roman"/>
          <w:sz w:val="24"/>
          <w:szCs w:val="24"/>
          <w:lang w:eastAsia="en-AU"/>
        </w:rPr>
        <w:t>safety or family functioning.  Target: 80%</w:t>
      </w:r>
    </w:p>
    <w:p w:rsidR="0081140D" w:rsidRDefault="0081140D" w:rsidP="00442A2E">
      <w:pPr>
        <w:pStyle w:val="ListParagraph"/>
        <w:numPr>
          <w:ilvl w:val="0"/>
          <w:numId w:val="49"/>
        </w:numPr>
        <w:spacing w:after="120"/>
        <w:rPr>
          <w:rFonts w:eastAsia="Times New Roman"/>
          <w:sz w:val="24"/>
          <w:szCs w:val="24"/>
          <w:lang w:eastAsia="en-AU"/>
        </w:rPr>
      </w:pPr>
      <w:r>
        <w:rPr>
          <w:rFonts w:eastAsia="Times New Roman"/>
          <w:sz w:val="24"/>
          <w:szCs w:val="24"/>
          <w:lang w:eastAsia="en-AU"/>
        </w:rPr>
        <w:t>Percentage of clients satisfied with the assistance received.  Target: 80%</w:t>
      </w:r>
    </w:p>
    <w:p w:rsidR="0081140D" w:rsidRDefault="0081140D" w:rsidP="00442A2E">
      <w:pPr>
        <w:pStyle w:val="ListParagraph"/>
        <w:numPr>
          <w:ilvl w:val="0"/>
          <w:numId w:val="49"/>
        </w:numPr>
        <w:spacing w:after="120"/>
        <w:rPr>
          <w:rFonts w:eastAsia="Times New Roman"/>
          <w:sz w:val="24"/>
          <w:szCs w:val="24"/>
          <w:lang w:eastAsia="en-AU"/>
        </w:rPr>
      </w:pPr>
      <w:r>
        <w:rPr>
          <w:rFonts w:eastAsia="Times New Roman"/>
          <w:sz w:val="24"/>
          <w:szCs w:val="24"/>
          <w:lang w:eastAsia="en-AU"/>
        </w:rPr>
        <w:t>Percentage of clients assisted from priority groups</w:t>
      </w:r>
    </w:p>
    <w:p w:rsidR="0081140D" w:rsidRDefault="0081140D" w:rsidP="00442A2E">
      <w:pPr>
        <w:pStyle w:val="ListParagraph"/>
        <w:numPr>
          <w:ilvl w:val="1"/>
          <w:numId w:val="49"/>
        </w:numPr>
        <w:spacing w:after="120"/>
        <w:rPr>
          <w:rFonts w:eastAsia="Times New Roman"/>
          <w:sz w:val="24"/>
          <w:szCs w:val="24"/>
          <w:lang w:eastAsia="en-AU"/>
        </w:rPr>
      </w:pPr>
      <w:r>
        <w:rPr>
          <w:rFonts w:eastAsia="Times New Roman"/>
          <w:sz w:val="24"/>
          <w:szCs w:val="24"/>
          <w:lang w:eastAsia="en-AU"/>
        </w:rPr>
        <w:t>Aboriginal and Torres Strait Islander.  Target: 8%</w:t>
      </w:r>
    </w:p>
    <w:p w:rsidR="0081140D" w:rsidRDefault="0081140D" w:rsidP="00442A2E">
      <w:pPr>
        <w:pStyle w:val="ListParagraph"/>
        <w:numPr>
          <w:ilvl w:val="1"/>
          <w:numId w:val="49"/>
        </w:numPr>
        <w:spacing w:after="120"/>
        <w:rPr>
          <w:rFonts w:eastAsia="Times New Roman"/>
          <w:sz w:val="24"/>
          <w:szCs w:val="24"/>
          <w:lang w:eastAsia="en-AU"/>
        </w:rPr>
      </w:pPr>
      <w:r>
        <w:rPr>
          <w:rFonts w:eastAsia="Times New Roman"/>
          <w:sz w:val="24"/>
          <w:szCs w:val="24"/>
          <w:lang w:eastAsia="en-AU"/>
        </w:rPr>
        <w:t>Culturally and linguistically diverse.  Target: 9%</w:t>
      </w:r>
    </w:p>
    <w:p w:rsidR="0081140D" w:rsidRDefault="0081140D" w:rsidP="00442A2E">
      <w:pPr>
        <w:pStyle w:val="ListParagraph"/>
        <w:numPr>
          <w:ilvl w:val="1"/>
          <w:numId w:val="49"/>
        </w:numPr>
        <w:spacing w:after="120"/>
        <w:rPr>
          <w:rFonts w:eastAsia="Times New Roman"/>
          <w:sz w:val="24"/>
          <w:szCs w:val="24"/>
          <w:lang w:eastAsia="en-AU"/>
        </w:rPr>
      </w:pPr>
      <w:r>
        <w:rPr>
          <w:rFonts w:eastAsia="Times New Roman"/>
          <w:sz w:val="24"/>
          <w:szCs w:val="24"/>
          <w:lang w:eastAsia="en-AU"/>
        </w:rPr>
        <w:t>Children.  Target: Not applicable</w:t>
      </w:r>
    </w:p>
    <w:p w:rsidR="00FB3AD6" w:rsidRPr="00442A2E" w:rsidRDefault="0081140D" w:rsidP="00442A2E">
      <w:pPr>
        <w:pStyle w:val="ListParagraph"/>
        <w:numPr>
          <w:ilvl w:val="0"/>
          <w:numId w:val="49"/>
        </w:numPr>
        <w:spacing w:after="120"/>
        <w:rPr>
          <w:rFonts w:eastAsia="Times New Roman"/>
          <w:sz w:val="24"/>
          <w:szCs w:val="24"/>
          <w:lang w:eastAsia="en-AU"/>
        </w:rPr>
      </w:pPr>
      <w:r>
        <w:rPr>
          <w:rFonts w:eastAsia="Times New Roman"/>
          <w:sz w:val="24"/>
          <w:szCs w:val="24"/>
          <w:lang w:eastAsia="en-AU"/>
        </w:rPr>
        <w:t>Percentage of service sites in the most disadvantaged or targeted communities.  Target: 25%</w:t>
      </w:r>
    </w:p>
    <w:p w:rsidR="00FB3AD6" w:rsidRPr="005B6826" w:rsidRDefault="00FB3AD6" w:rsidP="005B6826">
      <w:pPr>
        <w:spacing w:after="120"/>
        <w:rPr>
          <w:rFonts w:ascii="Arial" w:eastAsia="Times New Roman" w:hAnsi="Arial" w:cs="Arial"/>
          <w:sz w:val="22"/>
          <w:szCs w:val="22"/>
          <w:lang w:eastAsia="en-AU"/>
        </w:rPr>
      </w:pPr>
      <w:r w:rsidRPr="00072829">
        <w:rPr>
          <w:rFonts w:eastAsia="Times New Roman"/>
          <w:sz w:val="24"/>
          <w:szCs w:val="24"/>
          <w:lang w:eastAsia="en-AU"/>
        </w:rPr>
        <w:t>Th</w:t>
      </w:r>
      <w:r>
        <w:rPr>
          <w:rFonts w:eastAsia="Times New Roman"/>
          <w:sz w:val="24"/>
          <w:szCs w:val="24"/>
          <w:lang w:eastAsia="en-AU"/>
        </w:rPr>
        <w:t>e following</w:t>
      </w:r>
      <w:r w:rsidRPr="00072829">
        <w:rPr>
          <w:rFonts w:eastAsia="Times New Roman"/>
          <w:sz w:val="24"/>
          <w:szCs w:val="24"/>
          <w:lang w:eastAsia="en-AU"/>
        </w:rPr>
        <w:t xml:space="preserve"> result</w:t>
      </w:r>
      <w:r>
        <w:rPr>
          <w:rFonts w:eastAsia="Times New Roman"/>
          <w:sz w:val="24"/>
          <w:szCs w:val="24"/>
          <w:lang w:eastAsia="en-AU"/>
        </w:rPr>
        <w:t>s</w:t>
      </w:r>
      <w:r w:rsidRPr="00072829">
        <w:rPr>
          <w:rFonts w:eastAsia="Times New Roman"/>
          <w:sz w:val="24"/>
          <w:szCs w:val="24"/>
          <w:lang w:eastAsia="en-AU"/>
        </w:rPr>
        <w:t xml:space="preserve"> ha</w:t>
      </w:r>
      <w:r>
        <w:rPr>
          <w:rFonts w:eastAsia="Times New Roman"/>
          <w:sz w:val="24"/>
          <w:szCs w:val="24"/>
          <w:lang w:eastAsia="en-AU"/>
        </w:rPr>
        <w:t>ve</w:t>
      </w:r>
      <w:r w:rsidRPr="00072829">
        <w:rPr>
          <w:rFonts w:eastAsia="Times New Roman"/>
          <w:sz w:val="24"/>
          <w:szCs w:val="24"/>
          <w:lang w:eastAsia="en-AU"/>
        </w:rPr>
        <w:t xml:space="preserve"> been calculated based on 2</w:t>
      </w:r>
      <w:r>
        <w:rPr>
          <w:rFonts w:eastAsia="Times New Roman"/>
          <w:sz w:val="24"/>
          <w:szCs w:val="24"/>
          <w:lang w:eastAsia="en-AU"/>
        </w:rPr>
        <w:t>,</w:t>
      </w:r>
      <w:r w:rsidRPr="00072829">
        <w:rPr>
          <w:rFonts w:eastAsia="Times New Roman"/>
          <w:sz w:val="24"/>
          <w:szCs w:val="24"/>
          <w:lang w:eastAsia="en-AU"/>
        </w:rPr>
        <w:t>401 responses collected by a representative sample of 120 providers delivering 200 Activities.  The sample includes all states and territories and all FSP service types.  From 1 July 2011, all FSP funded services were required to report against the FSP Performance Framework</w:t>
      </w:r>
      <w:r w:rsidR="00E3491E">
        <w:rPr>
          <w:rFonts w:eastAsia="Times New Roman"/>
          <w:sz w:val="24"/>
          <w:szCs w:val="24"/>
          <w:lang w:eastAsia="en-AU"/>
        </w:rPr>
        <w:t>:</w:t>
      </w:r>
    </w:p>
    <w:p w:rsidR="00FB3AD6" w:rsidRPr="00442A2E" w:rsidRDefault="001B1C9D" w:rsidP="00442A2E">
      <w:pPr>
        <w:pStyle w:val="ListParagraph"/>
        <w:numPr>
          <w:ilvl w:val="0"/>
          <w:numId w:val="48"/>
        </w:numPr>
        <w:rPr>
          <w:rFonts w:eastAsia="Times New Roman"/>
          <w:sz w:val="24"/>
          <w:szCs w:val="24"/>
          <w:lang w:eastAsia="en-AU"/>
        </w:rPr>
      </w:pPr>
      <w:r>
        <w:rPr>
          <w:rFonts w:eastAsia="Times New Roman"/>
          <w:sz w:val="24"/>
          <w:szCs w:val="24"/>
          <w:lang w:eastAsia="en-AU"/>
        </w:rPr>
        <w:t>t</w:t>
      </w:r>
      <w:r w:rsidR="005B6826" w:rsidRPr="00442A2E">
        <w:rPr>
          <w:rFonts w:eastAsia="Times New Roman"/>
          <w:sz w:val="24"/>
          <w:szCs w:val="24"/>
          <w:lang w:eastAsia="en-AU"/>
        </w:rPr>
        <w:t>he percentage of FSP clients reporting improved child wellbeing and development, safety and family functioning of 84.8% exceeded the target of 70%</w:t>
      </w:r>
    </w:p>
    <w:p w:rsidR="00E3491E" w:rsidRDefault="001B1C9D" w:rsidP="00442A2E">
      <w:pPr>
        <w:pStyle w:val="ListParagraph"/>
        <w:numPr>
          <w:ilvl w:val="0"/>
          <w:numId w:val="48"/>
        </w:numPr>
        <w:rPr>
          <w:rFonts w:eastAsia="Times New Roman"/>
          <w:sz w:val="24"/>
          <w:szCs w:val="24"/>
          <w:lang w:eastAsia="en-AU"/>
        </w:rPr>
      </w:pPr>
      <w:proofErr w:type="gramStart"/>
      <w:r>
        <w:rPr>
          <w:rFonts w:eastAsia="Times New Roman"/>
          <w:sz w:val="24"/>
          <w:szCs w:val="24"/>
          <w:lang w:eastAsia="en-AU"/>
        </w:rPr>
        <w:t>t</w:t>
      </w:r>
      <w:r w:rsidR="005B6826" w:rsidRPr="00E3491E">
        <w:rPr>
          <w:rFonts w:eastAsia="Times New Roman"/>
          <w:sz w:val="24"/>
          <w:szCs w:val="24"/>
          <w:lang w:eastAsia="en-AU"/>
        </w:rPr>
        <w:t>h</w:t>
      </w:r>
      <w:r w:rsidR="00F218E0" w:rsidRPr="00E3491E">
        <w:rPr>
          <w:rFonts w:eastAsia="Times New Roman"/>
          <w:sz w:val="24"/>
          <w:szCs w:val="24"/>
          <w:lang w:eastAsia="en-AU"/>
        </w:rPr>
        <w:t>e</w:t>
      </w:r>
      <w:proofErr w:type="gramEnd"/>
      <w:r w:rsidR="00F218E0" w:rsidRPr="00E3491E">
        <w:rPr>
          <w:rFonts w:eastAsia="Times New Roman"/>
          <w:sz w:val="24"/>
          <w:szCs w:val="24"/>
          <w:lang w:eastAsia="en-AU"/>
        </w:rPr>
        <w:t xml:space="preserve"> percentage of FSP clients reporting</w:t>
      </w:r>
      <w:r w:rsidR="005B6826" w:rsidRPr="00E3491E">
        <w:rPr>
          <w:rFonts w:eastAsia="Times New Roman"/>
          <w:sz w:val="24"/>
          <w:szCs w:val="24"/>
          <w:lang w:eastAsia="en-AU"/>
        </w:rPr>
        <w:t xml:space="preserve"> increased knowledge and skills related to child wellbeing and development, safety and family functioning of 86.8% exceeded</w:t>
      </w:r>
      <w:r w:rsidR="00F218E0" w:rsidRPr="00E3491E">
        <w:rPr>
          <w:rFonts w:eastAsia="Times New Roman"/>
          <w:sz w:val="24"/>
          <w:szCs w:val="24"/>
          <w:lang w:eastAsia="en-AU"/>
        </w:rPr>
        <w:t xml:space="preserve"> the target of 80%</w:t>
      </w:r>
      <w:r w:rsidR="00E3491E" w:rsidRPr="00E3491E">
        <w:rPr>
          <w:rFonts w:eastAsia="Times New Roman"/>
          <w:sz w:val="24"/>
          <w:szCs w:val="24"/>
          <w:lang w:eastAsia="en-AU"/>
        </w:rPr>
        <w:t>.</w:t>
      </w:r>
      <w:r w:rsidR="00F218E0" w:rsidRPr="00E3491E">
        <w:rPr>
          <w:rFonts w:eastAsia="Times New Roman"/>
          <w:sz w:val="24"/>
          <w:szCs w:val="24"/>
          <w:lang w:eastAsia="en-AU"/>
        </w:rPr>
        <w:t xml:space="preserve">  The information was extracted from the same sample of clients mentioned above</w:t>
      </w:r>
    </w:p>
    <w:p w:rsidR="005B6826" w:rsidRPr="00442A2E" w:rsidRDefault="001B1C9D" w:rsidP="00442A2E">
      <w:pPr>
        <w:pStyle w:val="ListParagraph"/>
        <w:numPr>
          <w:ilvl w:val="0"/>
          <w:numId w:val="48"/>
        </w:numPr>
        <w:rPr>
          <w:rFonts w:eastAsia="Times New Roman"/>
          <w:sz w:val="24"/>
          <w:szCs w:val="24"/>
          <w:lang w:eastAsia="en-AU"/>
        </w:rPr>
      </w:pPr>
      <w:r>
        <w:rPr>
          <w:rFonts w:eastAsia="Times New Roman"/>
          <w:sz w:val="24"/>
          <w:szCs w:val="24"/>
          <w:lang w:eastAsia="en-AU"/>
        </w:rPr>
        <w:t>t</w:t>
      </w:r>
      <w:r w:rsidR="005B6826" w:rsidRPr="00442A2E">
        <w:rPr>
          <w:rFonts w:eastAsia="Times New Roman"/>
          <w:sz w:val="24"/>
          <w:szCs w:val="24"/>
          <w:lang w:eastAsia="en-AU"/>
        </w:rPr>
        <w:t xml:space="preserve">he percentage of clients satisfied with the assistance received </w:t>
      </w:r>
      <w:r w:rsidR="00E3491E" w:rsidRPr="00442A2E">
        <w:rPr>
          <w:rFonts w:eastAsia="Times New Roman"/>
          <w:sz w:val="24"/>
          <w:szCs w:val="24"/>
          <w:lang w:eastAsia="en-AU"/>
        </w:rPr>
        <w:t>through FSP was</w:t>
      </w:r>
      <w:r w:rsidR="005B6826" w:rsidRPr="00442A2E">
        <w:rPr>
          <w:rFonts w:eastAsia="Times New Roman"/>
          <w:sz w:val="24"/>
          <w:szCs w:val="24"/>
          <w:lang w:eastAsia="en-AU"/>
        </w:rPr>
        <w:t xml:space="preserve"> 95.7% </w:t>
      </w:r>
      <w:r w:rsidR="00E3491E" w:rsidRPr="00442A2E">
        <w:rPr>
          <w:rFonts w:eastAsia="Times New Roman"/>
          <w:sz w:val="24"/>
          <w:szCs w:val="24"/>
          <w:lang w:eastAsia="en-AU"/>
        </w:rPr>
        <w:t xml:space="preserve">and </w:t>
      </w:r>
      <w:r w:rsidR="005B6826" w:rsidRPr="00442A2E">
        <w:rPr>
          <w:rFonts w:eastAsia="Times New Roman"/>
          <w:sz w:val="24"/>
          <w:szCs w:val="24"/>
          <w:lang w:eastAsia="en-AU"/>
        </w:rPr>
        <w:t>exceeded the targe</w:t>
      </w:r>
      <w:r w:rsidR="00F218E0" w:rsidRPr="00442A2E">
        <w:rPr>
          <w:rFonts w:eastAsia="Times New Roman"/>
          <w:sz w:val="24"/>
          <w:szCs w:val="24"/>
          <w:lang w:eastAsia="en-AU"/>
        </w:rPr>
        <w:t>t of 80%</w:t>
      </w:r>
    </w:p>
    <w:p w:rsidR="001D037B" w:rsidRPr="00E3491E" w:rsidRDefault="001B1C9D" w:rsidP="00E3491E">
      <w:pPr>
        <w:pStyle w:val="ListParagraph"/>
        <w:numPr>
          <w:ilvl w:val="0"/>
          <w:numId w:val="44"/>
        </w:numPr>
        <w:rPr>
          <w:rFonts w:eastAsia="Times New Roman"/>
          <w:sz w:val="24"/>
          <w:szCs w:val="24"/>
          <w:lang w:eastAsia="en-AU"/>
        </w:rPr>
      </w:pPr>
      <w:r>
        <w:rPr>
          <w:rFonts w:eastAsia="Times New Roman"/>
          <w:sz w:val="24"/>
          <w:szCs w:val="24"/>
          <w:lang w:eastAsia="en-AU"/>
        </w:rPr>
        <w:t>t</w:t>
      </w:r>
      <w:r w:rsidR="005B6826" w:rsidRPr="00E3491E">
        <w:rPr>
          <w:rFonts w:eastAsia="Times New Roman"/>
          <w:sz w:val="24"/>
          <w:szCs w:val="24"/>
          <w:lang w:eastAsia="en-AU"/>
        </w:rPr>
        <w:t xml:space="preserve">he percentage of FSP clients </w:t>
      </w:r>
      <w:r w:rsidR="00F218E0" w:rsidRPr="00E3491E">
        <w:rPr>
          <w:rFonts w:eastAsia="Times New Roman"/>
          <w:sz w:val="24"/>
          <w:szCs w:val="24"/>
          <w:lang w:eastAsia="en-AU"/>
        </w:rPr>
        <w:t xml:space="preserve">assisted from priority groups - </w:t>
      </w:r>
      <w:r w:rsidR="005B6826" w:rsidRPr="00E3491E">
        <w:rPr>
          <w:rFonts w:eastAsia="Times New Roman"/>
          <w:sz w:val="24"/>
          <w:szCs w:val="24"/>
          <w:lang w:eastAsia="en-AU"/>
        </w:rPr>
        <w:t xml:space="preserve">9.7% </w:t>
      </w:r>
      <w:r w:rsidR="00E3491E" w:rsidRPr="00E3491E">
        <w:rPr>
          <w:rFonts w:eastAsia="Times New Roman"/>
          <w:sz w:val="24"/>
          <w:szCs w:val="24"/>
          <w:lang w:eastAsia="en-AU"/>
        </w:rPr>
        <w:t xml:space="preserve">from ATSI </w:t>
      </w:r>
      <w:r w:rsidR="005B6826" w:rsidRPr="00E3491E">
        <w:rPr>
          <w:rFonts w:eastAsia="Times New Roman"/>
          <w:sz w:val="24"/>
          <w:szCs w:val="24"/>
          <w:lang w:eastAsia="en-AU"/>
        </w:rPr>
        <w:t>exceeded the target of 8%</w:t>
      </w:r>
      <w:r w:rsidR="00E3491E" w:rsidRPr="00E3491E">
        <w:rPr>
          <w:rFonts w:eastAsia="Times New Roman"/>
          <w:sz w:val="24"/>
          <w:szCs w:val="24"/>
          <w:lang w:eastAsia="en-AU"/>
        </w:rPr>
        <w:t>;</w:t>
      </w:r>
      <w:r w:rsidR="00B43065">
        <w:rPr>
          <w:rFonts w:eastAsia="Times New Roman"/>
          <w:sz w:val="24"/>
          <w:szCs w:val="24"/>
          <w:lang w:eastAsia="en-AU"/>
        </w:rPr>
        <w:t xml:space="preserve"> </w:t>
      </w:r>
      <w:r w:rsidR="00F218E0" w:rsidRPr="00E3491E">
        <w:rPr>
          <w:rFonts w:eastAsia="Times New Roman"/>
          <w:sz w:val="24"/>
          <w:szCs w:val="24"/>
          <w:lang w:eastAsia="en-AU"/>
        </w:rPr>
        <w:t>11.3%</w:t>
      </w:r>
      <w:r w:rsidR="00E3491E">
        <w:rPr>
          <w:rFonts w:eastAsia="Times New Roman"/>
          <w:sz w:val="24"/>
          <w:szCs w:val="24"/>
          <w:lang w:eastAsia="en-AU"/>
        </w:rPr>
        <w:t xml:space="preserve"> from </w:t>
      </w:r>
      <w:proofErr w:type="spellStart"/>
      <w:r w:rsidR="00E3491E">
        <w:rPr>
          <w:rFonts w:eastAsia="Times New Roman"/>
          <w:sz w:val="24"/>
          <w:szCs w:val="24"/>
          <w:lang w:eastAsia="en-AU"/>
        </w:rPr>
        <w:t>CaLD</w:t>
      </w:r>
      <w:proofErr w:type="spellEnd"/>
      <w:r w:rsidR="00F218E0" w:rsidRPr="00E3491E">
        <w:rPr>
          <w:rFonts w:eastAsia="Times New Roman"/>
          <w:sz w:val="24"/>
          <w:szCs w:val="24"/>
          <w:lang w:eastAsia="en-AU"/>
        </w:rPr>
        <w:t xml:space="preserve"> exceeded the target of 9%</w:t>
      </w:r>
      <w:r w:rsidR="00E3491E">
        <w:rPr>
          <w:rFonts w:eastAsia="Times New Roman"/>
          <w:sz w:val="24"/>
          <w:szCs w:val="24"/>
          <w:lang w:eastAsia="en-AU"/>
        </w:rPr>
        <w:t xml:space="preserve">; and 45% from </w:t>
      </w:r>
      <w:r w:rsidR="001D037B" w:rsidRPr="00E3491E">
        <w:rPr>
          <w:rFonts w:eastAsia="Times New Roman"/>
          <w:sz w:val="24"/>
          <w:szCs w:val="24"/>
          <w:lang w:eastAsia="en-AU"/>
        </w:rPr>
        <w:t xml:space="preserve">the priority group </w:t>
      </w:r>
      <w:r w:rsidR="00E3491E">
        <w:rPr>
          <w:rFonts w:eastAsia="Times New Roman"/>
          <w:sz w:val="24"/>
          <w:szCs w:val="24"/>
          <w:lang w:eastAsia="en-AU"/>
        </w:rPr>
        <w:t xml:space="preserve">of </w:t>
      </w:r>
      <w:r w:rsidR="001D037B" w:rsidRPr="00E3491E">
        <w:rPr>
          <w:rFonts w:eastAsia="Times New Roman"/>
          <w:sz w:val="24"/>
          <w:szCs w:val="24"/>
          <w:lang w:eastAsia="en-AU"/>
        </w:rPr>
        <w:t>children</w:t>
      </w:r>
      <w:r w:rsidR="00E3491E">
        <w:rPr>
          <w:rFonts w:eastAsia="Times New Roman"/>
          <w:sz w:val="24"/>
          <w:szCs w:val="24"/>
          <w:lang w:eastAsia="en-AU"/>
        </w:rPr>
        <w:t xml:space="preserve"> </w:t>
      </w:r>
      <w:r w:rsidR="00F032A5">
        <w:rPr>
          <w:rFonts w:eastAsia="Times New Roman"/>
          <w:sz w:val="24"/>
          <w:szCs w:val="24"/>
          <w:lang w:eastAsia="en-AU"/>
        </w:rPr>
        <w:t xml:space="preserve">for which there was no target set for </w:t>
      </w:r>
      <w:r w:rsidR="000523F0">
        <w:rPr>
          <w:rFonts w:eastAsia="Times New Roman"/>
          <w:sz w:val="24"/>
          <w:szCs w:val="24"/>
          <w:lang w:eastAsia="en-AU"/>
        </w:rPr>
        <w:t>2011-12</w:t>
      </w:r>
    </w:p>
    <w:p w:rsidR="005B6826" w:rsidRPr="00F218E0" w:rsidRDefault="001D037B" w:rsidP="005B6826">
      <w:pPr>
        <w:rPr>
          <w:rFonts w:eastAsia="Times New Roman"/>
          <w:sz w:val="24"/>
          <w:szCs w:val="24"/>
          <w:lang w:eastAsia="en-AU"/>
        </w:rPr>
      </w:pPr>
      <w:r>
        <w:rPr>
          <w:rFonts w:eastAsia="Times New Roman"/>
          <w:sz w:val="24"/>
          <w:szCs w:val="24"/>
          <w:lang w:eastAsia="en-AU"/>
        </w:rPr>
        <w:t>In previous years, ATSI, CALD and child clients</w:t>
      </w:r>
      <w:r w:rsidR="005B6826" w:rsidRPr="00F218E0">
        <w:rPr>
          <w:rFonts w:eastAsia="Times New Roman"/>
          <w:sz w:val="24"/>
          <w:szCs w:val="24"/>
          <w:lang w:eastAsia="en-AU"/>
        </w:rPr>
        <w:t xml:space="preserve"> were reported separately for Family Relationship Services and Children and Parenting Services.  From 2011-12, percentages are reported FSP wide, and therefore cann</w:t>
      </w:r>
      <w:r>
        <w:rPr>
          <w:rFonts w:eastAsia="Times New Roman"/>
          <w:sz w:val="24"/>
          <w:szCs w:val="24"/>
          <w:lang w:eastAsia="en-AU"/>
        </w:rPr>
        <w:t>ot be compared to past years.</w:t>
      </w:r>
    </w:p>
    <w:p w:rsidR="005B6826" w:rsidRPr="00F218E0" w:rsidRDefault="005B6826" w:rsidP="005B6826">
      <w:pPr>
        <w:rPr>
          <w:rFonts w:eastAsia="Times New Roman"/>
          <w:sz w:val="24"/>
          <w:szCs w:val="24"/>
          <w:lang w:eastAsia="en-AU"/>
        </w:rPr>
      </w:pPr>
      <w:r w:rsidRPr="00F218E0">
        <w:rPr>
          <w:rFonts w:eastAsia="Times New Roman"/>
          <w:sz w:val="24"/>
          <w:szCs w:val="24"/>
          <w:lang w:eastAsia="en-AU"/>
        </w:rPr>
        <w:t>Fifty</w:t>
      </w:r>
      <w:r w:rsidR="00E3491E">
        <w:rPr>
          <w:rFonts w:eastAsia="Times New Roman"/>
          <w:sz w:val="24"/>
          <w:szCs w:val="24"/>
          <w:lang w:eastAsia="en-AU"/>
        </w:rPr>
        <w:t>-f</w:t>
      </w:r>
      <w:r w:rsidRPr="00F218E0">
        <w:rPr>
          <w:rFonts w:eastAsia="Times New Roman"/>
          <w:sz w:val="24"/>
          <w:szCs w:val="24"/>
          <w:lang w:eastAsia="en-AU"/>
        </w:rPr>
        <w:t>our per cent of FSP clients assisted were from the priority group</w:t>
      </w:r>
      <w:r w:rsidR="00E3491E">
        <w:rPr>
          <w:rFonts w:eastAsia="Times New Roman"/>
          <w:sz w:val="24"/>
          <w:szCs w:val="24"/>
          <w:lang w:eastAsia="en-AU"/>
        </w:rPr>
        <w:t xml:space="preserve">, </w:t>
      </w:r>
      <w:r w:rsidRPr="00F218E0">
        <w:rPr>
          <w:rFonts w:eastAsia="Times New Roman"/>
          <w:sz w:val="24"/>
          <w:szCs w:val="24"/>
          <w:lang w:eastAsia="en-AU"/>
        </w:rPr>
        <w:t xml:space="preserve">men.  The percentage of men is recorded for Family and Relationship Services, Specialist Services </w:t>
      </w:r>
      <w:r w:rsidR="00AB7F1E">
        <w:rPr>
          <w:rFonts w:eastAsia="Times New Roman"/>
          <w:sz w:val="24"/>
          <w:szCs w:val="24"/>
          <w:lang w:eastAsia="en-AU"/>
        </w:rPr>
        <w:t>r</w:t>
      </w:r>
      <w:r w:rsidRPr="00F218E0">
        <w:rPr>
          <w:rFonts w:eastAsia="Times New Roman"/>
          <w:sz w:val="24"/>
          <w:szCs w:val="24"/>
          <w:lang w:eastAsia="en-AU"/>
        </w:rPr>
        <w:t xml:space="preserve">egistered clients and Mensline only.  This data </w:t>
      </w:r>
      <w:r w:rsidR="00F02E3E">
        <w:rPr>
          <w:rFonts w:eastAsia="Times New Roman"/>
          <w:sz w:val="24"/>
          <w:szCs w:val="24"/>
          <w:lang w:eastAsia="en-AU"/>
        </w:rPr>
        <w:t xml:space="preserve">is </w:t>
      </w:r>
      <w:r w:rsidRPr="00F218E0">
        <w:rPr>
          <w:rFonts w:eastAsia="Times New Roman"/>
          <w:sz w:val="24"/>
          <w:szCs w:val="24"/>
          <w:lang w:eastAsia="en-AU"/>
        </w:rPr>
        <w:t xml:space="preserve">not collected for Community Playgroups, Indigenous </w:t>
      </w:r>
      <w:r w:rsidR="00E3491E">
        <w:rPr>
          <w:rFonts w:eastAsia="Times New Roman"/>
          <w:sz w:val="24"/>
          <w:szCs w:val="24"/>
          <w:lang w:eastAsia="en-AU"/>
        </w:rPr>
        <w:t>Parenting Services</w:t>
      </w:r>
      <w:r w:rsidRPr="00F218E0">
        <w:rPr>
          <w:rFonts w:eastAsia="Times New Roman"/>
          <w:sz w:val="24"/>
          <w:szCs w:val="24"/>
          <w:lang w:eastAsia="en-AU"/>
        </w:rPr>
        <w:t xml:space="preserve"> or Communities for Children.</w:t>
      </w:r>
    </w:p>
    <w:p w:rsidR="005B6826" w:rsidRDefault="005B6826" w:rsidP="005B6826">
      <w:pPr>
        <w:rPr>
          <w:rFonts w:eastAsia="Times New Roman"/>
          <w:sz w:val="24"/>
          <w:szCs w:val="24"/>
          <w:lang w:eastAsia="en-AU"/>
        </w:rPr>
      </w:pPr>
      <w:r w:rsidRPr="00F218E0">
        <w:rPr>
          <w:rFonts w:eastAsia="Times New Roman"/>
          <w:sz w:val="24"/>
          <w:szCs w:val="24"/>
          <w:lang w:eastAsia="en-AU"/>
        </w:rPr>
        <w:lastRenderedPageBreak/>
        <w:t xml:space="preserve">The percentage of FSP service sites in the most disadvantaged or </w:t>
      </w:r>
      <w:proofErr w:type="gramStart"/>
      <w:r w:rsidRPr="00F218E0">
        <w:rPr>
          <w:rFonts w:eastAsia="Times New Roman"/>
          <w:sz w:val="24"/>
          <w:szCs w:val="24"/>
          <w:lang w:eastAsia="en-AU"/>
        </w:rPr>
        <w:t>targeted communities was</w:t>
      </w:r>
      <w:proofErr w:type="gramEnd"/>
      <w:r w:rsidRPr="00F218E0">
        <w:rPr>
          <w:rFonts w:eastAsia="Times New Roman"/>
          <w:sz w:val="24"/>
          <w:szCs w:val="24"/>
          <w:lang w:eastAsia="en-AU"/>
        </w:rPr>
        <w:t xml:space="preserve"> </w:t>
      </w:r>
      <w:r w:rsidR="007641E1">
        <w:rPr>
          <w:rFonts w:eastAsia="Times New Roman"/>
          <w:sz w:val="24"/>
          <w:szCs w:val="24"/>
          <w:lang w:eastAsia="en-AU"/>
        </w:rPr>
        <w:t>40.2</w:t>
      </w:r>
      <w:r w:rsidRPr="00F218E0">
        <w:rPr>
          <w:rFonts w:eastAsia="Times New Roman"/>
          <w:sz w:val="24"/>
          <w:szCs w:val="24"/>
          <w:lang w:eastAsia="en-AU"/>
        </w:rPr>
        <w:t>%.  The target figure for this indicator was incorrectly published in FaHCSIA’s 2011 Annual Report</w:t>
      </w:r>
      <w:r w:rsidR="00E3491E">
        <w:rPr>
          <w:rFonts w:eastAsia="Times New Roman"/>
          <w:sz w:val="24"/>
          <w:szCs w:val="24"/>
          <w:lang w:eastAsia="en-AU"/>
        </w:rPr>
        <w:t xml:space="preserve"> as </w:t>
      </w:r>
      <w:r w:rsidRPr="00F218E0">
        <w:rPr>
          <w:rFonts w:eastAsia="Times New Roman"/>
          <w:sz w:val="24"/>
          <w:szCs w:val="24"/>
          <w:lang w:eastAsia="en-AU"/>
        </w:rPr>
        <w:t>75%</w:t>
      </w:r>
      <w:r w:rsidR="007641E1">
        <w:rPr>
          <w:rFonts w:eastAsia="Times New Roman"/>
          <w:sz w:val="24"/>
          <w:szCs w:val="24"/>
          <w:lang w:eastAsia="en-AU"/>
        </w:rPr>
        <w:t xml:space="preserve"> and was correct</w:t>
      </w:r>
      <w:r w:rsidR="00EB3945">
        <w:rPr>
          <w:rFonts w:eastAsia="Times New Roman"/>
          <w:sz w:val="24"/>
          <w:szCs w:val="24"/>
          <w:lang w:eastAsia="en-AU"/>
        </w:rPr>
        <w:t xml:space="preserve">ed to read </w:t>
      </w:r>
      <w:r w:rsidR="007641E1">
        <w:rPr>
          <w:rFonts w:eastAsia="Times New Roman"/>
          <w:sz w:val="24"/>
          <w:szCs w:val="24"/>
          <w:lang w:eastAsia="en-AU"/>
        </w:rPr>
        <w:t>as 25% for the 2012 Annual Report.</w:t>
      </w:r>
    </w:p>
    <w:p w:rsidR="00282888" w:rsidRPr="00282888" w:rsidRDefault="00282888" w:rsidP="00282888">
      <w:pPr>
        <w:pStyle w:val="Heading2"/>
        <w:rPr>
          <w:rFonts w:eastAsia="Times New Roman"/>
          <w:lang w:eastAsia="en-AU"/>
        </w:rPr>
      </w:pPr>
      <w:bookmarkStart w:id="219" w:name="_Toc338944778"/>
      <w:bookmarkStart w:id="220" w:name="_Toc338945069"/>
      <w:bookmarkStart w:id="221" w:name="_Toc338945396"/>
      <w:bookmarkStart w:id="222" w:name="_Toc338945649"/>
      <w:bookmarkStart w:id="223" w:name="_Toc341705919"/>
      <w:r w:rsidRPr="00282888">
        <w:rPr>
          <w:rFonts w:eastAsia="Times New Roman"/>
          <w:lang w:eastAsia="en-AU"/>
        </w:rPr>
        <w:t>FSP Performance Framework</w:t>
      </w:r>
      <w:bookmarkEnd w:id="219"/>
      <w:bookmarkEnd w:id="220"/>
      <w:bookmarkEnd w:id="221"/>
      <w:bookmarkEnd w:id="222"/>
      <w:bookmarkEnd w:id="223"/>
    </w:p>
    <w:p w:rsidR="00282888" w:rsidRPr="00A823DA" w:rsidRDefault="00282888" w:rsidP="00282888">
      <w:pPr>
        <w:rPr>
          <w:rFonts w:eastAsia="Times New Roman"/>
          <w:sz w:val="24"/>
          <w:szCs w:val="24"/>
          <w:lang w:eastAsia="en-AU"/>
        </w:rPr>
      </w:pPr>
      <w:r w:rsidRPr="00A823DA">
        <w:rPr>
          <w:rFonts w:eastAsia="Times New Roman"/>
          <w:sz w:val="24"/>
          <w:szCs w:val="24"/>
          <w:lang w:eastAsia="en-AU"/>
        </w:rPr>
        <w:t>FaHCSIA needs data and information from service providers funded under the FSP to:</w:t>
      </w:r>
    </w:p>
    <w:p w:rsidR="00282888" w:rsidRPr="00A823DA" w:rsidRDefault="00BB59CA" w:rsidP="00282888">
      <w:pPr>
        <w:pStyle w:val="ListParagraph"/>
        <w:numPr>
          <w:ilvl w:val="0"/>
          <w:numId w:val="30"/>
        </w:numPr>
        <w:rPr>
          <w:rFonts w:eastAsia="Times New Roman"/>
          <w:sz w:val="24"/>
          <w:szCs w:val="24"/>
          <w:lang w:eastAsia="en-AU"/>
        </w:rPr>
      </w:pPr>
      <w:r>
        <w:rPr>
          <w:rFonts w:eastAsia="Times New Roman"/>
          <w:sz w:val="24"/>
          <w:szCs w:val="24"/>
          <w:lang w:eastAsia="en-AU"/>
        </w:rPr>
        <w:t>a</w:t>
      </w:r>
      <w:r w:rsidR="00282888" w:rsidRPr="00A823DA">
        <w:rPr>
          <w:rFonts w:eastAsia="Times New Roman"/>
          <w:sz w:val="24"/>
          <w:szCs w:val="24"/>
          <w:lang w:eastAsia="en-AU"/>
        </w:rPr>
        <w:t>ssess service performance under the funding agreement between FaHCSIA and the service provider including benchmarking</w:t>
      </w:r>
    </w:p>
    <w:p w:rsidR="00282888" w:rsidRPr="00A823DA" w:rsidRDefault="00BB59CA" w:rsidP="00282888">
      <w:pPr>
        <w:pStyle w:val="ListParagraph"/>
        <w:numPr>
          <w:ilvl w:val="0"/>
          <w:numId w:val="30"/>
        </w:numPr>
        <w:rPr>
          <w:rFonts w:eastAsia="Times New Roman"/>
          <w:sz w:val="24"/>
          <w:szCs w:val="24"/>
          <w:lang w:eastAsia="en-AU"/>
        </w:rPr>
      </w:pPr>
      <w:r>
        <w:rPr>
          <w:rFonts w:eastAsia="Times New Roman"/>
          <w:sz w:val="24"/>
          <w:szCs w:val="24"/>
          <w:lang w:eastAsia="en-AU"/>
        </w:rPr>
        <w:t>r</w:t>
      </w:r>
      <w:r w:rsidR="00282888" w:rsidRPr="00A823DA">
        <w:rPr>
          <w:rFonts w:eastAsia="Times New Roman"/>
          <w:sz w:val="24"/>
          <w:szCs w:val="24"/>
          <w:lang w:eastAsia="en-AU"/>
        </w:rPr>
        <w:t>eport on the overall performance of the FSP and its components</w:t>
      </w:r>
    </w:p>
    <w:p w:rsidR="00FD5C22" w:rsidRDefault="00BB59CA" w:rsidP="00282888">
      <w:pPr>
        <w:pStyle w:val="ListParagraph"/>
        <w:numPr>
          <w:ilvl w:val="0"/>
          <w:numId w:val="30"/>
        </w:numPr>
        <w:rPr>
          <w:rFonts w:eastAsia="Times New Roman"/>
          <w:sz w:val="24"/>
          <w:szCs w:val="24"/>
          <w:lang w:eastAsia="en-AU"/>
        </w:rPr>
      </w:pPr>
      <w:r>
        <w:rPr>
          <w:rFonts w:eastAsia="Times New Roman"/>
          <w:sz w:val="24"/>
          <w:szCs w:val="24"/>
          <w:lang w:eastAsia="en-AU"/>
        </w:rPr>
        <w:t>c</w:t>
      </w:r>
      <w:r w:rsidR="00282888" w:rsidRPr="00A823DA">
        <w:rPr>
          <w:rFonts w:eastAsia="Times New Roman"/>
          <w:sz w:val="24"/>
          <w:szCs w:val="24"/>
          <w:lang w:eastAsia="en-AU"/>
        </w:rPr>
        <w:t>ontribute t</w:t>
      </w:r>
      <w:r w:rsidR="008E3B1A" w:rsidRPr="00A823DA">
        <w:rPr>
          <w:rFonts w:eastAsia="Times New Roman"/>
          <w:sz w:val="24"/>
          <w:szCs w:val="24"/>
          <w:lang w:eastAsia="en-AU"/>
        </w:rPr>
        <w:t xml:space="preserve">o </w:t>
      </w:r>
      <w:r w:rsidR="00FD5C22">
        <w:rPr>
          <w:rFonts w:eastAsia="Times New Roman"/>
          <w:sz w:val="24"/>
          <w:szCs w:val="24"/>
          <w:lang w:eastAsia="en-AU"/>
        </w:rPr>
        <w:t>p</w:t>
      </w:r>
      <w:r w:rsidR="00282888" w:rsidRPr="00A823DA">
        <w:rPr>
          <w:rFonts w:eastAsia="Times New Roman"/>
          <w:sz w:val="24"/>
          <w:szCs w:val="24"/>
          <w:lang w:eastAsia="en-AU"/>
        </w:rPr>
        <w:t xml:space="preserve">rogram and </w:t>
      </w:r>
      <w:r w:rsidR="008E3B1A" w:rsidRPr="00A823DA">
        <w:rPr>
          <w:rFonts w:eastAsia="Times New Roman"/>
          <w:sz w:val="24"/>
          <w:szCs w:val="24"/>
          <w:lang w:eastAsia="en-AU"/>
        </w:rPr>
        <w:t>policy development</w:t>
      </w:r>
    </w:p>
    <w:p w:rsidR="00902268" w:rsidRDefault="00902268" w:rsidP="00442A2E">
      <w:pPr>
        <w:pStyle w:val="ListParagraph"/>
        <w:ind w:left="0"/>
        <w:rPr>
          <w:rFonts w:eastAsia="Times New Roman"/>
          <w:sz w:val="24"/>
          <w:szCs w:val="24"/>
          <w:lang w:eastAsia="en-AU"/>
        </w:rPr>
      </w:pPr>
    </w:p>
    <w:p w:rsidR="00282888" w:rsidRPr="00A823DA" w:rsidRDefault="00282888" w:rsidP="00442A2E">
      <w:pPr>
        <w:pStyle w:val="ListParagraph"/>
        <w:ind w:left="0"/>
        <w:rPr>
          <w:rFonts w:eastAsia="Times New Roman"/>
          <w:sz w:val="24"/>
          <w:szCs w:val="24"/>
          <w:lang w:eastAsia="en-AU"/>
        </w:rPr>
      </w:pPr>
      <w:r w:rsidRPr="00A823DA">
        <w:rPr>
          <w:rFonts w:eastAsia="Times New Roman"/>
          <w:sz w:val="24"/>
          <w:szCs w:val="24"/>
          <w:lang w:eastAsia="en-AU"/>
        </w:rPr>
        <w:t>F</w:t>
      </w:r>
      <w:r w:rsidR="00FD5C22">
        <w:rPr>
          <w:rFonts w:eastAsia="Times New Roman"/>
          <w:sz w:val="24"/>
          <w:szCs w:val="24"/>
          <w:lang w:eastAsia="en-AU"/>
        </w:rPr>
        <w:t xml:space="preserve">SP </w:t>
      </w:r>
      <w:r w:rsidRPr="00A823DA">
        <w:rPr>
          <w:rFonts w:eastAsia="Times New Roman"/>
          <w:sz w:val="24"/>
          <w:szCs w:val="24"/>
          <w:lang w:eastAsia="en-AU"/>
        </w:rPr>
        <w:t>developed the FSP Performance Framework in partnership with service</w:t>
      </w:r>
      <w:r w:rsidR="00FD5C22">
        <w:rPr>
          <w:rFonts w:eastAsia="Times New Roman"/>
          <w:sz w:val="24"/>
          <w:szCs w:val="24"/>
          <w:lang w:eastAsia="en-AU"/>
        </w:rPr>
        <w:t xml:space="preserve"> p</w:t>
      </w:r>
      <w:r w:rsidR="00902268">
        <w:rPr>
          <w:rFonts w:eastAsia="Times New Roman"/>
          <w:sz w:val="24"/>
          <w:szCs w:val="24"/>
          <w:lang w:eastAsia="en-AU"/>
        </w:rPr>
        <w:t>roviders in 2010-11.</w:t>
      </w:r>
    </w:p>
    <w:p w:rsidR="00282888" w:rsidRPr="008E3B1A" w:rsidRDefault="00282888" w:rsidP="00282888">
      <w:pPr>
        <w:rPr>
          <w:rFonts w:eastAsia="Times New Roman"/>
          <w:sz w:val="24"/>
          <w:szCs w:val="24"/>
          <w:lang w:eastAsia="en-AU"/>
        </w:rPr>
      </w:pPr>
      <w:r w:rsidRPr="008E3B1A">
        <w:rPr>
          <w:rFonts w:eastAsia="Times New Roman"/>
          <w:sz w:val="24"/>
          <w:szCs w:val="24"/>
          <w:lang w:eastAsia="en-AU"/>
        </w:rPr>
        <w:t>The Performance Framework covers all activities delivered under the FSP. Each service only contributes to those aspects of the framework that are relevant to its specific activities and their clients. The framework also links with funding agreement performance indicators and requirements.</w:t>
      </w:r>
    </w:p>
    <w:p w:rsidR="00FD5C22" w:rsidRDefault="00FD5C22" w:rsidP="00282888">
      <w:pPr>
        <w:rPr>
          <w:rFonts w:eastAsia="Times New Roman"/>
          <w:sz w:val="24"/>
          <w:szCs w:val="24"/>
          <w:lang w:eastAsia="en-AU"/>
        </w:rPr>
      </w:pPr>
      <w:r>
        <w:rPr>
          <w:rFonts w:eastAsia="Times New Roman"/>
          <w:sz w:val="24"/>
          <w:szCs w:val="24"/>
          <w:lang w:eastAsia="en-AU"/>
        </w:rPr>
        <w:t>FSP has received a number of calls from providers to improve the Performance Framework to better reflect the clients and services being delivered and strengthen the evidence base for the program.  A working group will be established early in 2013 to redesign the Performance Framework.</w:t>
      </w:r>
    </w:p>
    <w:p w:rsidR="001B2BAB" w:rsidRPr="001B2BAB" w:rsidRDefault="001B2BAB" w:rsidP="001B2BAB">
      <w:pPr>
        <w:pStyle w:val="Heading3"/>
        <w:rPr>
          <w:rFonts w:eastAsia="Times New Roman"/>
          <w:lang w:eastAsia="en-AU"/>
        </w:rPr>
      </w:pPr>
      <w:bookmarkStart w:id="224" w:name="_Toc338944780"/>
      <w:bookmarkStart w:id="225" w:name="_Toc338945071"/>
      <w:bookmarkStart w:id="226" w:name="_Toc338945398"/>
      <w:bookmarkStart w:id="227" w:name="_Toc338945651"/>
      <w:bookmarkStart w:id="228" w:name="_Toc341705920"/>
      <w:r w:rsidRPr="001B2BAB">
        <w:rPr>
          <w:rFonts w:eastAsia="Times New Roman"/>
          <w:lang w:eastAsia="en-AU"/>
        </w:rPr>
        <w:t>Reporting Changes for 2011-12 - FaRS, SS and FLS services</w:t>
      </w:r>
      <w:bookmarkEnd w:id="224"/>
      <w:bookmarkEnd w:id="225"/>
      <w:bookmarkEnd w:id="226"/>
      <w:bookmarkEnd w:id="227"/>
      <w:bookmarkEnd w:id="228"/>
    </w:p>
    <w:p w:rsidR="001B2BAB" w:rsidRPr="001B2BAB" w:rsidRDefault="00336C2E" w:rsidP="00336C2E">
      <w:pPr>
        <w:pStyle w:val="Heading4"/>
        <w:rPr>
          <w:rFonts w:eastAsia="Times New Roman"/>
          <w:lang w:eastAsia="en-AU"/>
        </w:rPr>
      </w:pPr>
      <w:r>
        <w:rPr>
          <w:rFonts w:eastAsia="Times New Roman"/>
          <w:lang w:eastAsia="en-AU"/>
        </w:rPr>
        <w:t>Annual service report</w:t>
      </w:r>
    </w:p>
    <w:p w:rsidR="001B2BAB" w:rsidRPr="00336C2E" w:rsidRDefault="001B2BAB" w:rsidP="001B2BAB">
      <w:pPr>
        <w:rPr>
          <w:rFonts w:eastAsia="Times New Roman" w:cs="Times New Roman"/>
          <w:sz w:val="24"/>
          <w:szCs w:val="24"/>
          <w:lang w:eastAsia="en-AU"/>
        </w:rPr>
      </w:pPr>
      <w:r w:rsidRPr="00A823DA">
        <w:rPr>
          <w:rFonts w:eastAsia="Times New Roman"/>
          <w:sz w:val="24"/>
          <w:szCs w:val="24"/>
          <w:lang w:eastAsia="en-AU"/>
        </w:rPr>
        <w:t>The Annual Service Report is used to submit immediate and intermediate client outcome data to FaHCSIA.  The FSP Performance Framework contains two additional parts relating to Service Delivery Quality and Service Outputs.  Information collected for these performance indicators is also part of the questions in the Annual Service Report.</w:t>
      </w:r>
    </w:p>
    <w:p w:rsidR="001B2BAB" w:rsidRPr="00336C2E" w:rsidRDefault="001B2BAB" w:rsidP="001B2BAB">
      <w:pPr>
        <w:rPr>
          <w:rFonts w:eastAsia="Times New Roman"/>
          <w:sz w:val="24"/>
          <w:szCs w:val="24"/>
          <w:lang w:eastAsia="en-AU"/>
        </w:rPr>
      </w:pPr>
      <w:r w:rsidRPr="00336C2E">
        <w:rPr>
          <w:rFonts w:eastAsia="Times New Roman"/>
          <w:sz w:val="24"/>
          <w:szCs w:val="24"/>
          <w:lang w:eastAsia="en-AU"/>
        </w:rPr>
        <w:t>The 2012 Annual Service Report under the current funding agreement (2011-14) was significantly changed from previous years. Consultation with the sector was undertaken to develop a template that reflected the reporting requirements that demonstrate the effectiveness of the FSP.</w:t>
      </w:r>
    </w:p>
    <w:p w:rsidR="001B2BAB" w:rsidRPr="00336C2E" w:rsidRDefault="001B2BAB" w:rsidP="001B2BAB">
      <w:pPr>
        <w:rPr>
          <w:rFonts w:eastAsia="Times New Roman"/>
          <w:sz w:val="24"/>
          <w:szCs w:val="24"/>
          <w:lang w:eastAsia="en-AU"/>
        </w:rPr>
      </w:pPr>
      <w:r w:rsidRPr="00336C2E">
        <w:rPr>
          <w:rFonts w:eastAsia="Times New Roman"/>
          <w:sz w:val="24"/>
          <w:szCs w:val="24"/>
          <w:lang w:eastAsia="en-AU"/>
        </w:rPr>
        <w:t>The Annual Service Report included sections for service providers to report their immediate and intermediate client outcome data for each service they are funded to deliver.</w:t>
      </w:r>
    </w:p>
    <w:p w:rsidR="001B2BAB" w:rsidRPr="00336C2E" w:rsidRDefault="001B2BAB" w:rsidP="001B2BAB">
      <w:pPr>
        <w:rPr>
          <w:rFonts w:eastAsia="Times New Roman"/>
          <w:sz w:val="24"/>
          <w:szCs w:val="24"/>
          <w:lang w:eastAsia="en-AU"/>
        </w:rPr>
      </w:pPr>
      <w:r w:rsidRPr="00336C2E">
        <w:rPr>
          <w:rFonts w:eastAsia="Times New Roman"/>
          <w:sz w:val="24"/>
          <w:szCs w:val="24"/>
          <w:lang w:eastAsia="en-AU"/>
        </w:rPr>
        <w:t>From 1 July 2011, the Annual Service Report is due on 31 July each year in order to meet timelines for reporting FSP outcomes in the FaHCSIA Annual Report. This new 31 July due date will mean consistent outcomes reporting due dates for all FSP services.</w:t>
      </w:r>
    </w:p>
    <w:p w:rsidR="00A04B91" w:rsidRDefault="00A04B91" w:rsidP="001B2BAB">
      <w:pPr>
        <w:pStyle w:val="Heading3"/>
        <w:rPr>
          <w:rFonts w:eastAsia="Times New Roman"/>
          <w:lang w:eastAsia="en-AU"/>
        </w:rPr>
      </w:pPr>
      <w:bookmarkStart w:id="229" w:name="_Toc338944781"/>
      <w:bookmarkStart w:id="230" w:name="_Toc338945072"/>
      <w:bookmarkStart w:id="231" w:name="_Toc338945399"/>
      <w:bookmarkStart w:id="232" w:name="_Toc338945652"/>
      <w:r>
        <w:rPr>
          <w:rFonts w:eastAsia="Times New Roman"/>
          <w:lang w:eastAsia="en-AU"/>
        </w:rPr>
        <w:br w:type="page"/>
      </w:r>
    </w:p>
    <w:p w:rsidR="001B2BAB" w:rsidRPr="001B2BAB" w:rsidRDefault="001B2BAB" w:rsidP="001B2BAB">
      <w:pPr>
        <w:pStyle w:val="Heading3"/>
        <w:rPr>
          <w:rFonts w:eastAsia="Times New Roman"/>
          <w:lang w:eastAsia="en-AU"/>
        </w:rPr>
      </w:pPr>
      <w:bookmarkStart w:id="233" w:name="_Toc341705921"/>
      <w:r w:rsidRPr="001B2BAB">
        <w:rPr>
          <w:rFonts w:eastAsia="Times New Roman"/>
          <w:lang w:eastAsia="en-AU"/>
        </w:rPr>
        <w:lastRenderedPageBreak/>
        <w:t>Reporting changes for 2011-12 – CfC and CP</w:t>
      </w:r>
      <w:bookmarkEnd w:id="229"/>
      <w:bookmarkEnd w:id="230"/>
      <w:bookmarkEnd w:id="231"/>
      <w:bookmarkEnd w:id="232"/>
      <w:bookmarkEnd w:id="233"/>
    </w:p>
    <w:p w:rsidR="001B2BAB" w:rsidRPr="00A823DA" w:rsidRDefault="001B2BAB" w:rsidP="001B2BAB">
      <w:pPr>
        <w:spacing w:after="120"/>
        <w:rPr>
          <w:rFonts w:eastAsia="Times New Roman" w:cstheme="minorHAnsi"/>
          <w:sz w:val="24"/>
          <w:szCs w:val="24"/>
          <w:lang w:eastAsia="en-AU"/>
        </w:rPr>
      </w:pPr>
      <w:r w:rsidRPr="00A823DA">
        <w:rPr>
          <w:rFonts w:eastAsia="Times New Roman" w:cstheme="minorHAnsi"/>
          <w:sz w:val="24"/>
          <w:szCs w:val="24"/>
          <w:lang w:eastAsia="en-AU"/>
        </w:rPr>
        <w:t xml:space="preserve">The six monthly </w:t>
      </w:r>
      <w:proofErr w:type="gramStart"/>
      <w:r w:rsidRPr="00A823DA">
        <w:rPr>
          <w:rFonts w:eastAsia="Times New Roman" w:cstheme="minorHAnsi"/>
          <w:sz w:val="24"/>
          <w:szCs w:val="24"/>
          <w:lang w:eastAsia="en-AU"/>
        </w:rPr>
        <w:t>CfC</w:t>
      </w:r>
      <w:proofErr w:type="gramEnd"/>
      <w:r w:rsidRPr="00A823DA">
        <w:rPr>
          <w:rFonts w:eastAsia="Times New Roman" w:cstheme="minorHAnsi"/>
          <w:sz w:val="24"/>
          <w:szCs w:val="24"/>
          <w:lang w:eastAsia="en-AU"/>
        </w:rPr>
        <w:t xml:space="preserve"> and CP Performance Reports gathers the necessary information to enable FaHCSIA to:</w:t>
      </w:r>
    </w:p>
    <w:p w:rsidR="001B2BAB" w:rsidRPr="00A823DA" w:rsidRDefault="00A36659" w:rsidP="001B2BAB">
      <w:pPr>
        <w:numPr>
          <w:ilvl w:val="0"/>
          <w:numId w:val="34"/>
        </w:numPr>
        <w:spacing w:before="0"/>
        <w:contextualSpacing/>
        <w:rPr>
          <w:rFonts w:eastAsia="Times New Roman" w:cstheme="minorHAnsi"/>
          <w:sz w:val="24"/>
          <w:szCs w:val="24"/>
        </w:rPr>
      </w:pPr>
      <w:r w:rsidRPr="00A823DA">
        <w:rPr>
          <w:rFonts w:eastAsia="Times New Roman" w:cstheme="minorHAnsi"/>
          <w:sz w:val="24"/>
          <w:szCs w:val="24"/>
        </w:rPr>
        <w:t xml:space="preserve">Assess provider performance in meeting </w:t>
      </w:r>
      <w:r w:rsidR="001B2BAB" w:rsidRPr="00A823DA">
        <w:rPr>
          <w:rFonts w:eastAsia="Times New Roman" w:cstheme="minorHAnsi"/>
          <w:sz w:val="24"/>
          <w:szCs w:val="24"/>
        </w:rPr>
        <w:t>funding agreement deliverables and fulfilling the requirements o</w:t>
      </w:r>
      <w:r w:rsidRPr="00A823DA">
        <w:rPr>
          <w:rFonts w:eastAsia="Times New Roman" w:cstheme="minorHAnsi"/>
          <w:sz w:val="24"/>
          <w:szCs w:val="24"/>
        </w:rPr>
        <w:t>f the FSP Performance Framework</w:t>
      </w:r>
    </w:p>
    <w:p w:rsidR="001B2BAB" w:rsidRPr="00A823DA" w:rsidRDefault="001B2BAB" w:rsidP="001B2BAB">
      <w:pPr>
        <w:numPr>
          <w:ilvl w:val="0"/>
          <w:numId w:val="34"/>
        </w:numPr>
        <w:spacing w:before="0"/>
        <w:contextualSpacing/>
        <w:rPr>
          <w:rFonts w:eastAsia="Times New Roman" w:cstheme="minorHAnsi"/>
          <w:sz w:val="24"/>
          <w:szCs w:val="24"/>
        </w:rPr>
      </w:pPr>
      <w:r w:rsidRPr="00A823DA">
        <w:rPr>
          <w:rFonts w:eastAsia="Times New Roman" w:cstheme="minorHAnsi"/>
          <w:sz w:val="24"/>
          <w:szCs w:val="24"/>
        </w:rPr>
        <w:t>Assess performance of the FSP:</w:t>
      </w:r>
    </w:p>
    <w:p w:rsidR="001B2BAB" w:rsidRPr="00A823DA" w:rsidRDefault="001B2BAB" w:rsidP="001B2BAB">
      <w:pPr>
        <w:numPr>
          <w:ilvl w:val="1"/>
          <w:numId w:val="34"/>
        </w:numPr>
        <w:spacing w:before="0"/>
        <w:contextualSpacing/>
        <w:rPr>
          <w:rFonts w:eastAsia="Times New Roman" w:cstheme="minorHAnsi"/>
          <w:sz w:val="24"/>
          <w:szCs w:val="24"/>
        </w:rPr>
      </w:pPr>
      <w:r w:rsidRPr="00A823DA">
        <w:rPr>
          <w:rFonts w:eastAsia="Times New Roman" w:cstheme="minorHAnsi"/>
          <w:sz w:val="24"/>
          <w:szCs w:val="24"/>
        </w:rPr>
        <w:t>How well we are reaching vulnerable and disadvantaged families</w:t>
      </w:r>
    </w:p>
    <w:p w:rsidR="001B2BAB" w:rsidRPr="00A823DA" w:rsidRDefault="001B2BAB" w:rsidP="001B2BAB">
      <w:pPr>
        <w:numPr>
          <w:ilvl w:val="1"/>
          <w:numId w:val="34"/>
        </w:numPr>
        <w:spacing w:before="0"/>
        <w:contextualSpacing/>
        <w:rPr>
          <w:rFonts w:eastAsia="Times New Roman" w:cstheme="minorHAnsi"/>
          <w:sz w:val="24"/>
          <w:szCs w:val="24"/>
        </w:rPr>
      </w:pPr>
      <w:r w:rsidRPr="00A823DA">
        <w:rPr>
          <w:rFonts w:eastAsia="Times New Roman" w:cstheme="minorHAnsi"/>
          <w:sz w:val="24"/>
          <w:szCs w:val="24"/>
        </w:rPr>
        <w:t>How</w:t>
      </w:r>
      <w:r w:rsidR="00A36659" w:rsidRPr="00A823DA">
        <w:rPr>
          <w:rFonts w:eastAsia="Times New Roman" w:cstheme="minorHAnsi"/>
          <w:sz w:val="24"/>
          <w:szCs w:val="24"/>
        </w:rPr>
        <w:t xml:space="preserve"> well the FSP is achieving its objectives</w:t>
      </w:r>
    </w:p>
    <w:p w:rsidR="001B2BAB" w:rsidRPr="00A823DA" w:rsidRDefault="001B2BAB" w:rsidP="001B2BAB">
      <w:pPr>
        <w:numPr>
          <w:ilvl w:val="1"/>
          <w:numId w:val="34"/>
        </w:numPr>
        <w:spacing w:before="0"/>
        <w:contextualSpacing/>
        <w:rPr>
          <w:rFonts w:eastAsia="Times New Roman" w:cstheme="minorHAnsi"/>
          <w:sz w:val="24"/>
          <w:szCs w:val="24"/>
        </w:rPr>
      </w:pPr>
      <w:r w:rsidRPr="00A823DA">
        <w:rPr>
          <w:rFonts w:eastAsia="Times New Roman" w:cstheme="minorHAnsi"/>
          <w:sz w:val="24"/>
          <w:szCs w:val="24"/>
        </w:rPr>
        <w:t xml:space="preserve">Identify trends, gaps </w:t>
      </w:r>
      <w:proofErr w:type="spellStart"/>
      <w:r w:rsidRPr="00A823DA">
        <w:rPr>
          <w:rFonts w:eastAsia="Times New Roman" w:cstheme="minorHAnsi"/>
          <w:sz w:val="24"/>
          <w:szCs w:val="24"/>
        </w:rPr>
        <w:t>etc</w:t>
      </w:r>
      <w:proofErr w:type="spellEnd"/>
      <w:r w:rsidRPr="00A823DA">
        <w:rPr>
          <w:rFonts w:eastAsia="Times New Roman" w:cstheme="minorHAnsi"/>
          <w:sz w:val="24"/>
          <w:szCs w:val="24"/>
        </w:rPr>
        <w:t xml:space="preserve"> to build the evidence base and inform future funding d</w:t>
      </w:r>
      <w:r w:rsidR="00A36659" w:rsidRPr="00A823DA">
        <w:rPr>
          <w:rFonts w:eastAsia="Times New Roman" w:cstheme="minorHAnsi"/>
          <w:sz w:val="24"/>
          <w:szCs w:val="24"/>
        </w:rPr>
        <w:t>ecisions and policy development</w:t>
      </w:r>
    </w:p>
    <w:p w:rsidR="001B2BAB" w:rsidRPr="00A823DA" w:rsidRDefault="001B2BAB" w:rsidP="001B2BAB">
      <w:pPr>
        <w:numPr>
          <w:ilvl w:val="0"/>
          <w:numId w:val="34"/>
        </w:numPr>
        <w:spacing w:before="0"/>
        <w:contextualSpacing/>
        <w:rPr>
          <w:rFonts w:eastAsia="Times New Roman" w:cstheme="minorHAnsi"/>
          <w:sz w:val="24"/>
          <w:szCs w:val="24"/>
        </w:rPr>
      </w:pPr>
      <w:r w:rsidRPr="00A823DA">
        <w:rPr>
          <w:rFonts w:eastAsia="Times New Roman" w:cstheme="minorHAnsi"/>
          <w:sz w:val="24"/>
          <w:szCs w:val="24"/>
        </w:rPr>
        <w:t xml:space="preserve">Fulfil </w:t>
      </w:r>
      <w:r w:rsidR="00CB6F90" w:rsidRPr="00A823DA">
        <w:rPr>
          <w:rFonts w:eastAsia="Times New Roman" w:cstheme="minorHAnsi"/>
          <w:sz w:val="24"/>
          <w:szCs w:val="24"/>
        </w:rPr>
        <w:t>department</w:t>
      </w:r>
      <w:r w:rsidRPr="00A823DA">
        <w:rPr>
          <w:rFonts w:eastAsia="Times New Roman" w:cstheme="minorHAnsi"/>
          <w:sz w:val="24"/>
          <w:szCs w:val="24"/>
        </w:rPr>
        <w:t>al obligations:</w:t>
      </w:r>
    </w:p>
    <w:p w:rsidR="001B2BAB" w:rsidRPr="00A823DA" w:rsidRDefault="001B2BAB" w:rsidP="001B2BAB">
      <w:pPr>
        <w:numPr>
          <w:ilvl w:val="1"/>
          <w:numId w:val="34"/>
        </w:numPr>
        <w:spacing w:before="0"/>
        <w:contextualSpacing/>
        <w:rPr>
          <w:rFonts w:eastAsia="Times New Roman" w:cstheme="minorHAnsi"/>
          <w:sz w:val="24"/>
          <w:szCs w:val="24"/>
        </w:rPr>
      </w:pPr>
      <w:r w:rsidRPr="00A823DA">
        <w:rPr>
          <w:rFonts w:eastAsia="Times New Roman" w:cstheme="minorHAnsi"/>
          <w:sz w:val="24"/>
          <w:szCs w:val="24"/>
        </w:rPr>
        <w:t xml:space="preserve">To promote the efficient, effective, economical and ethical use of Commonwealth resources as required by the Financial </w:t>
      </w:r>
      <w:r w:rsidR="00A36659" w:rsidRPr="00A823DA">
        <w:rPr>
          <w:rFonts w:eastAsia="Times New Roman" w:cstheme="minorHAnsi"/>
          <w:sz w:val="24"/>
          <w:szCs w:val="24"/>
        </w:rPr>
        <w:t>Management Act 1997, Section 44</w:t>
      </w:r>
    </w:p>
    <w:p w:rsidR="001B2BAB" w:rsidRPr="00A823DA" w:rsidRDefault="001B2BAB" w:rsidP="001B2BAB">
      <w:pPr>
        <w:numPr>
          <w:ilvl w:val="1"/>
          <w:numId w:val="34"/>
        </w:numPr>
        <w:spacing w:before="0"/>
        <w:contextualSpacing/>
        <w:rPr>
          <w:rFonts w:eastAsia="Times New Roman" w:cstheme="minorHAnsi"/>
          <w:sz w:val="24"/>
          <w:szCs w:val="24"/>
        </w:rPr>
      </w:pPr>
      <w:r w:rsidRPr="00A823DA">
        <w:rPr>
          <w:rFonts w:eastAsia="Times New Roman" w:cstheme="minorHAnsi"/>
          <w:sz w:val="24"/>
          <w:szCs w:val="24"/>
        </w:rPr>
        <w:t>Report against KPIs in the Annual Report</w:t>
      </w:r>
    </w:p>
    <w:p w:rsidR="001B2BAB" w:rsidRPr="00902268" w:rsidRDefault="001B2BAB" w:rsidP="00442A2E">
      <w:pPr>
        <w:numPr>
          <w:ilvl w:val="1"/>
          <w:numId w:val="34"/>
        </w:numPr>
        <w:spacing w:before="0" w:after="120"/>
        <w:contextualSpacing/>
        <w:rPr>
          <w:rFonts w:eastAsia="Times New Roman" w:cstheme="minorHAnsi"/>
          <w:sz w:val="24"/>
          <w:szCs w:val="24"/>
          <w:lang w:eastAsia="en-AU"/>
        </w:rPr>
      </w:pPr>
      <w:r w:rsidRPr="00902268">
        <w:rPr>
          <w:rFonts w:eastAsia="Times New Roman" w:cstheme="minorHAnsi"/>
          <w:sz w:val="24"/>
          <w:szCs w:val="24"/>
        </w:rPr>
        <w:t>Inform the Minister</w:t>
      </w:r>
    </w:p>
    <w:p w:rsidR="001B2BAB" w:rsidRPr="00A823DA" w:rsidRDefault="001B2BAB" w:rsidP="001B2BAB">
      <w:pPr>
        <w:spacing w:after="120"/>
        <w:rPr>
          <w:rFonts w:eastAsia="Times New Roman" w:cstheme="minorHAnsi"/>
          <w:sz w:val="24"/>
          <w:szCs w:val="24"/>
          <w:lang w:eastAsia="en-AU"/>
        </w:rPr>
      </w:pPr>
      <w:r w:rsidRPr="00A823DA">
        <w:rPr>
          <w:rFonts w:eastAsia="Times New Roman" w:cstheme="minorHAnsi"/>
          <w:sz w:val="24"/>
          <w:szCs w:val="24"/>
          <w:lang w:eastAsia="en-AU"/>
        </w:rPr>
        <w:t>In addition to the immediate and intermediate client outcomes data, the FSP Performance Framework contains two additional parts relating to Service Delivery Quality and Service Outputs.  Information collected for these performance indicators is part of the questions in the CfC Performance Reports.</w:t>
      </w:r>
    </w:p>
    <w:p w:rsidR="001B2BAB" w:rsidRPr="00A823DA" w:rsidRDefault="001B2BAB" w:rsidP="001B2BAB">
      <w:pPr>
        <w:spacing w:after="120"/>
        <w:rPr>
          <w:rFonts w:eastAsia="Times New Roman" w:cstheme="minorHAnsi"/>
          <w:sz w:val="24"/>
          <w:szCs w:val="24"/>
          <w:lang w:eastAsia="en-AU"/>
        </w:rPr>
      </w:pPr>
      <w:proofErr w:type="gramStart"/>
      <w:r w:rsidRPr="00A823DA">
        <w:rPr>
          <w:rFonts w:eastAsia="Times New Roman" w:cstheme="minorHAnsi"/>
          <w:sz w:val="24"/>
          <w:szCs w:val="24"/>
          <w:lang w:eastAsia="en-AU"/>
        </w:rPr>
        <w:t>CfC</w:t>
      </w:r>
      <w:proofErr w:type="gramEnd"/>
      <w:r w:rsidRPr="00A823DA">
        <w:rPr>
          <w:rFonts w:eastAsia="Times New Roman" w:cstheme="minorHAnsi"/>
          <w:sz w:val="24"/>
          <w:szCs w:val="24"/>
          <w:lang w:eastAsia="en-AU"/>
        </w:rPr>
        <w:t xml:space="preserve"> and Community Playgroup service providers report to FaHCSIA using a six monthly Performance Report. In previous years, Performance Reports were consistent for both halves of each financial year. From 2011-12, the July to December period Performance Report (due on 28 February each year) is a shorter version focusing on key basic information. The report for the January to June period (due on 31 July each year) includes additional sections to report annual data on items such as performance indicators, complaints, client access plans and approval requirements where applicable.</w:t>
      </w:r>
    </w:p>
    <w:p w:rsidR="001B2BAB" w:rsidRPr="00A823DA" w:rsidRDefault="001B2BAB" w:rsidP="00A36659">
      <w:pPr>
        <w:pStyle w:val="Heading3"/>
        <w:rPr>
          <w:rFonts w:eastAsia="Times New Roman"/>
          <w:lang w:eastAsia="en-AU"/>
        </w:rPr>
      </w:pPr>
      <w:bookmarkStart w:id="234" w:name="_Toc338944782"/>
      <w:bookmarkStart w:id="235" w:name="_Toc338945073"/>
      <w:bookmarkStart w:id="236" w:name="_Toc338945400"/>
      <w:bookmarkStart w:id="237" w:name="_Toc338945653"/>
      <w:bookmarkStart w:id="238" w:name="_Toc341705922"/>
      <w:r w:rsidRPr="00A823DA">
        <w:rPr>
          <w:rFonts w:eastAsia="Times New Roman"/>
          <w:lang w:eastAsia="en-AU"/>
        </w:rPr>
        <w:t>FSP data collection methods for client feedback/follow-up</w:t>
      </w:r>
      <w:bookmarkEnd w:id="234"/>
      <w:bookmarkEnd w:id="235"/>
      <w:bookmarkEnd w:id="236"/>
      <w:bookmarkEnd w:id="237"/>
      <w:bookmarkEnd w:id="238"/>
    </w:p>
    <w:p w:rsidR="001B2BAB" w:rsidRPr="00A823DA" w:rsidRDefault="001B2BAB" w:rsidP="00FD5C22">
      <w:pPr>
        <w:rPr>
          <w:rFonts w:eastAsia="Times New Roman"/>
          <w:sz w:val="24"/>
          <w:szCs w:val="24"/>
          <w:lang w:eastAsia="en-AU"/>
        </w:rPr>
      </w:pPr>
      <w:r w:rsidRPr="00A823DA">
        <w:rPr>
          <w:rFonts w:eastAsia="Times New Roman"/>
          <w:sz w:val="24"/>
          <w:szCs w:val="24"/>
          <w:lang w:eastAsia="en-AU"/>
        </w:rPr>
        <w:t xml:space="preserve">The Performance Framework </w:t>
      </w:r>
      <w:r w:rsidR="00FD5C22">
        <w:rPr>
          <w:rFonts w:eastAsia="Times New Roman"/>
          <w:sz w:val="24"/>
          <w:szCs w:val="24"/>
          <w:lang w:eastAsia="en-AU"/>
        </w:rPr>
        <w:t>should provide</w:t>
      </w:r>
      <w:r w:rsidR="00FD5C22" w:rsidRPr="00A823DA">
        <w:rPr>
          <w:rFonts w:eastAsia="Times New Roman"/>
          <w:sz w:val="24"/>
          <w:szCs w:val="24"/>
          <w:lang w:eastAsia="en-AU"/>
        </w:rPr>
        <w:t xml:space="preserve"> </w:t>
      </w:r>
      <w:r w:rsidRPr="00A823DA">
        <w:rPr>
          <w:rFonts w:eastAsia="Times New Roman"/>
          <w:sz w:val="24"/>
          <w:szCs w:val="24"/>
          <w:lang w:eastAsia="en-AU"/>
        </w:rPr>
        <w:t>a consistent approach to monitoring and reporting performance across the FSP – drawing on a common set of high-level results and performance indicators.  A key goal of the Framework is to help set clear performance expectations, assess whether levels of performance have been met, set benchmarks to monitor trends and offer feedback to services on their performance.</w:t>
      </w:r>
    </w:p>
    <w:p w:rsidR="001B2BAB" w:rsidRPr="00A455E0" w:rsidRDefault="001B2BAB" w:rsidP="001B2BAB">
      <w:pPr>
        <w:spacing w:after="120"/>
        <w:rPr>
          <w:rFonts w:eastAsia="Times New Roman" w:cstheme="minorHAnsi"/>
          <w:sz w:val="22"/>
          <w:szCs w:val="22"/>
          <w:lang w:eastAsia="en-AU"/>
        </w:rPr>
      </w:pPr>
      <w:r w:rsidRPr="00A455E0">
        <w:rPr>
          <w:rFonts w:eastAsia="Times New Roman" w:cstheme="minorHAnsi"/>
          <w:sz w:val="22"/>
          <w:szCs w:val="22"/>
          <w:lang w:eastAsia="en-AU"/>
        </w:rPr>
        <w:t xml:space="preserve">The 2011-14 funding agreements require service providers to collect data </w:t>
      </w:r>
      <w:r w:rsidR="00D52AC2" w:rsidRPr="00A455E0">
        <w:rPr>
          <w:rFonts w:eastAsia="Times New Roman" w:cstheme="minorHAnsi"/>
          <w:sz w:val="22"/>
          <w:szCs w:val="22"/>
          <w:lang w:eastAsia="en-AU"/>
        </w:rPr>
        <w:t>on immediate and intermediate outcomes</w:t>
      </w:r>
      <w:r w:rsidR="00BB59CA" w:rsidRPr="00A455E0">
        <w:rPr>
          <w:rFonts w:eastAsia="Times New Roman" w:cstheme="minorHAnsi"/>
          <w:sz w:val="22"/>
          <w:szCs w:val="22"/>
          <w:lang w:eastAsia="en-AU"/>
        </w:rPr>
        <w:t xml:space="preserve"> </w:t>
      </w:r>
      <w:r w:rsidRPr="00A455E0">
        <w:rPr>
          <w:rFonts w:eastAsia="Times New Roman" w:cstheme="minorHAnsi"/>
          <w:sz w:val="22"/>
          <w:szCs w:val="22"/>
          <w:lang w:eastAsia="en-AU"/>
        </w:rPr>
        <w:t>under the FSP Performance Framework</w:t>
      </w:r>
      <w:r w:rsidR="00D52AC2" w:rsidRPr="00A455E0">
        <w:rPr>
          <w:rFonts w:eastAsia="Times New Roman" w:cstheme="minorHAnsi"/>
          <w:sz w:val="22"/>
          <w:szCs w:val="22"/>
          <w:lang w:eastAsia="en-AU"/>
        </w:rPr>
        <w:t>, as well as data to measure service delivery quality and service outputs</w:t>
      </w:r>
      <w:r w:rsidRPr="00A455E0">
        <w:rPr>
          <w:rFonts w:eastAsia="Times New Roman" w:cstheme="minorHAnsi"/>
          <w:sz w:val="22"/>
          <w:szCs w:val="22"/>
          <w:lang w:eastAsia="en-AU"/>
        </w:rPr>
        <w:t>.</w:t>
      </w:r>
    </w:p>
    <w:p w:rsidR="001B2BAB" w:rsidRPr="00A823DA" w:rsidRDefault="001B2BAB" w:rsidP="00FD249E">
      <w:pPr>
        <w:pStyle w:val="Heading3"/>
        <w:rPr>
          <w:rFonts w:eastAsia="Times New Roman"/>
          <w:lang w:eastAsia="en-AU"/>
        </w:rPr>
      </w:pPr>
      <w:bookmarkStart w:id="239" w:name="_Toc338944783"/>
      <w:bookmarkStart w:id="240" w:name="_Toc338945074"/>
      <w:bookmarkStart w:id="241" w:name="_Toc338945401"/>
      <w:bookmarkStart w:id="242" w:name="_Toc338945654"/>
      <w:bookmarkStart w:id="243" w:name="_Toc341705923"/>
      <w:r w:rsidRPr="00A823DA">
        <w:rPr>
          <w:rFonts w:eastAsia="Times New Roman"/>
          <w:lang w:eastAsia="en-AU"/>
        </w:rPr>
        <w:t>Immediate outcomes</w:t>
      </w:r>
      <w:bookmarkEnd w:id="239"/>
      <w:bookmarkEnd w:id="240"/>
      <w:bookmarkEnd w:id="241"/>
      <w:bookmarkEnd w:id="242"/>
      <w:bookmarkEnd w:id="243"/>
    </w:p>
    <w:p w:rsidR="001B2BAB" w:rsidRPr="00A823DA" w:rsidRDefault="001B2BAB" w:rsidP="001B2BAB">
      <w:pPr>
        <w:rPr>
          <w:rFonts w:eastAsia="Times New Roman" w:cstheme="minorHAnsi"/>
          <w:b/>
          <w:sz w:val="24"/>
          <w:szCs w:val="24"/>
        </w:rPr>
      </w:pPr>
      <w:r w:rsidRPr="00A823DA">
        <w:rPr>
          <w:rFonts w:eastAsia="Times New Roman" w:cstheme="minorHAnsi"/>
          <w:b/>
          <w:sz w:val="24"/>
          <w:szCs w:val="24"/>
        </w:rPr>
        <w:t>Immediate outcomes/impacts: Did we make an immediate difference?</w:t>
      </w:r>
    </w:p>
    <w:p w:rsidR="001B2BAB" w:rsidRPr="00A823DA" w:rsidRDefault="00D52AC2" w:rsidP="001B2BAB">
      <w:pPr>
        <w:spacing w:after="120"/>
        <w:rPr>
          <w:rFonts w:eastAsia="Times New Roman" w:cstheme="minorHAnsi"/>
          <w:sz w:val="24"/>
          <w:szCs w:val="24"/>
          <w:lang w:eastAsia="en-AU"/>
        </w:rPr>
      </w:pPr>
      <w:r w:rsidRPr="00A823DA">
        <w:rPr>
          <w:rFonts w:eastAsia="Times New Roman" w:cstheme="minorHAnsi"/>
          <w:sz w:val="24"/>
          <w:szCs w:val="24"/>
          <w:lang w:eastAsia="en-AU"/>
        </w:rPr>
        <w:t>Immediate outcomes are</w:t>
      </w:r>
      <w:r w:rsidR="00BB59CA">
        <w:rPr>
          <w:rFonts w:eastAsia="Times New Roman" w:cstheme="minorHAnsi"/>
          <w:sz w:val="24"/>
          <w:szCs w:val="24"/>
          <w:lang w:eastAsia="en-AU"/>
        </w:rPr>
        <w:t xml:space="preserve"> </w:t>
      </w:r>
      <w:r w:rsidRPr="00A823DA">
        <w:rPr>
          <w:rFonts w:eastAsia="Times New Roman" w:cstheme="minorHAnsi"/>
          <w:sz w:val="24"/>
          <w:szCs w:val="24"/>
          <w:lang w:eastAsia="en-AU"/>
        </w:rPr>
        <w:t>c</w:t>
      </w:r>
      <w:r w:rsidR="001B2BAB" w:rsidRPr="00A823DA">
        <w:rPr>
          <w:rFonts w:eastAsia="Times New Roman" w:cstheme="minorHAnsi"/>
          <w:sz w:val="24"/>
          <w:szCs w:val="24"/>
          <w:lang w:eastAsia="en-AU"/>
        </w:rPr>
        <w:t xml:space="preserve">lient </w:t>
      </w:r>
      <w:r w:rsidR="00BB59CA">
        <w:rPr>
          <w:rFonts w:eastAsia="Times New Roman" w:cstheme="minorHAnsi"/>
          <w:sz w:val="24"/>
          <w:szCs w:val="24"/>
          <w:lang w:eastAsia="en-AU"/>
        </w:rPr>
        <w:t>outcomes</w:t>
      </w:r>
      <w:r w:rsidR="001B2BAB" w:rsidRPr="00A823DA">
        <w:rPr>
          <w:rFonts w:eastAsia="Times New Roman" w:cstheme="minorHAnsi"/>
          <w:sz w:val="24"/>
          <w:szCs w:val="24"/>
          <w:lang w:eastAsia="en-AU"/>
        </w:rPr>
        <w:t xml:space="preserve"> expected as a result of the FSP in the short term (at the time of service).  </w:t>
      </w:r>
      <w:r w:rsidR="00BB59CA">
        <w:rPr>
          <w:rFonts w:eastAsia="Times New Roman" w:cstheme="minorHAnsi"/>
          <w:sz w:val="24"/>
          <w:szCs w:val="24"/>
          <w:lang w:eastAsia="en-AU"/>
        </w:rPr>
        <w:t xml:space="preserve"> </w:t>
      </w:r>
      <w:r w:rsidR="001B2BAB" w:rsidRPr="00A823DA">
        <w:rPr>
          <w:rFonts w:eastAsia="Times New Roman" w:cstheme="minorHAnsi"/>
          <w:sz w:val="24"/>
          <w:szCs w:val="24"/>
          <w:lang w:eastAsia="en-AU"/>
        </w:rPr>
        <w:t xml:space="preserve">These in turn contribute to the intermediate outcomes.  </w:t>
      </w:r>
      <w:r w:rsidR="00BB59CA">
        <w:rPr>
          <w:rFonts w:eastAsia="Times New Roman" w:cstheme="minorHAnsi"/>
          <w:sz w:val="24"/>
          <w:szCs w:val="24"/>
          <w:lang w:eastAsia="en-AU"/>
        </w:rPr>
        <w:t xml:space="preserve"> </w:t>
      </w:r>
      <w:r w:rsidR="001B2BAB" w:rsidRPr="00A823DA">
        <w:rPr>
          <w:rFonts w:eastAsia="Times New Roman" w:cstheme="minorHAnsi"/>
          <w:sz w:val="24"/>
          <w:szCs w:val="24"/>
          <w:lang w:eastAsia="en-AU"/>
        </w:rPr>
        <w:t>Data shows outcomes at the service provider level and is used to assess service provider performance.</w:t>
      </w:r>
    </w:p>
    <w:p w:rsidR="00D52AC2" w:rsidRPr="00A823DA" w:rsidRDefault="001B2BAB" w:rsidP="00D52AC2">
      <w:pPr>
        <w:rPr>
          <w:rFonts w:eastAsia="Times New Roman"/>
          <w:sz w:val="24"/>
          <w:szCs w:val="24"/>
          <w:lang w:eastAsia="en-AU"/>
        </w:rPr>
      </w:pPr>
      <w:r w:rsidRPr="00A823DA">
        <w:rPr>
          <w:rFonts w:eastAsia="Times New Roman" w:cstheme="minorHAnsi"/>
          <w:sz w:val="24"/>
          <w:szCs w:val="24"/>
          <w:lang w:eastAsia="en-AU"/>
        </w:rPr>
        <w:lastRenderedPageBreak/>
        <w:t>Immediate client outcomes (or client feedback) are collected at or near the time of service.</w:t>
      </w:r>
      <w:r w:rsidR="00D52AC2" w:rsidRPr="00A823DA">
        <w:rPr>
          <w:rFonts w:eastAsia="Times New Roman" w:cstheme="minorHAnsi"/>
          <w:sz w:val="24"/>
          <w:szCs w:val="24"/>
          <w:lang w:eastAsia="en-AU"/>
        </w:rPr>
        <w:t xml:space="preserve">  </w:t>
      </w:r>
      <w:r w:rsidR="00D52AC2" w:rsidRPr="00A823DA">
        <w:rPr>
          <w:rFonts w:eastAsia="Times New Roman"/>
          <w:sz w:val="24"/>
          <w:szCs w:val="24"/>
          <w:lang w:eastAsia="en-AU"/>
        </w:rPr>
        <w:t>As a minimum, providers are required to report client feedback collected from all clients accessing the service during a representative 20 working day period.   A minimum 50% response rate is expected.</w:t>
      </w:r>
    </w:p>
    <w:p w:rsidR="00D52AC2" w:rsidRPr="00A823DA" w:rsidRDefault="00D52AC2" w:rsidP="00D52AC2">
      <w:pPr>
        <w:rPr>
          <w:rFonts w:eastAsia="Times New Roman"/>
          <w:sz w:val="24"/>
          <w:szCs w:val="24"/>
          <w:lang w:eastAsia="en-AU"/>
        </w:rPr>
      </w:pPr>
      <w:r w:rsidRPr="00A823DA">
        <w:rPr>
          <w:rFonts w:eastAsia="Times New Roman"/>
          <w:sz w:val="24"/>
          <w:szCs w:val="24"/>
          <w:lang w:eastAsia="en-AU"/>
        </w:rPr>
        <w:t xml:space="preserve">For 2012 only, </w:t>
      </w:r>
      <w:proofErr w:type="gramStart"/>
      <w:r w:rsidRPr="00A823DA">
        <w:rPr>
          <w:rFonts w:eastAsia="Times New Roman"/>
          <w:sz w:val="24"/>
          <w:szCs w:val="24"/>
          <w:lang w:eastAsia="en-AU"/>
        </w:rPr>
        <w:t>CfC</w:t>
      </w:r>
      <w:proofErr w:type="gramEnd"/>
      <w:r w:rsidRPr="00A823DA">
        <w:rPr>
          <w:rFonts w:eastAsia="Times New Roman"/>
          <w:sz w:val="24"/>
          <w:szCs w:val="24"/>
          <w:lang w:eastAsia="en-AU"/>
        </w:rPr>
        <w:t xml:space="preserve"> services had the option of addressing only two of the four immediate performance indicators.  From 2013, all </w:t>
      </w:r>
      <w:proofErr w:type="gramStart"/>
      <w:r w:rsidRPr="00A823DA">
        <w:rPr>
          <w:rFonts w:eastAsia="Times New Roman"/>
          <w:sz w:val="24"/>
          <w:szCs w:val="24"/>
          <w:lang w:eastAsia="en-AU"/>
        </w:rPr>
        <w:t>CfC</w:t>
      </w:r>
      <w:proofErr w:type="gramEnd"/>
      <w:r w:rsidRPr="00A823DA">
        <w:rPr>
          <w:rFonts w:eastAsia="Times New Roman"/>
          <w:sz w:val="24"/>
          <w:szCs w:val="24"/>
          <w:lang w:eastAsia="en-AU"/>
        </w:rPr>
        <w:t xml:space="preserve"> providers will have to address all four immediate performance indicators.</w:t>
      </w:r>
    </w:p>
    <w:p w:rsidR="001B2BAB" w:rsidRPr="00A823DA" w:rsidRDefault="00D52AC2" w:rsidP="00FD249E">
      <w:pPr>
        <w:pStyle w:val="Heading4"/>
        <w:rPr>
          <w:rFonts w:eastAsia="Times New Roman"/>
          <w:lang w:eastAsia="en-AU"/>
        </w:rPr>
      </w:pPr>
      <w:bookmarkStart w:id="244" w:name="_Chart_4.1:_"/>
      <w:bookmarkStart w:id="245" w:name="_2.19:__Table"/>
      <w:bookmarkEnd w:id="244"/>
      <w:bookmarkEnd w:id="245"/>
      <w:r w:rsidRPr="00A823DA">
        <w:rPr>
          <w:rFonts w:eastAsia="Times New Roman"/>
          <w:lang w:eastAsia="en-AU"/>
        </w:rPr>
        <w:t>2.</w:t>
      </w:r>
      <w:r w:rsidR="00A570F5">
        <w:rPr>
          <w:rFonts w:eastAsia="Times New Roman"/>
          <w:lang w:eastAsia="en-AU"/>
        </w:rPr>
        <w:t>2</w:t>
      </w:r>
      <w:r w:rsidR="00DA2404">
        <w:rPr>
          <w:rFonts w:eastAsia="Times New Roman"/>
          <w:lang w:eastAsia="en-AU"/>
        </w:rPr>
        <w:t>1</w:t>
      </w:r>
      <w:r w:rsidR="001B2BAB" w:rsidRPr="00A823DA">
        <w:rPr>
          <w:rFonts w:eastAsia="Times New Roman"/>
          <w:lang w:eastAsia="en-AU"/>
        </w:rPr>
        <w:t>:  Table - Services which collect information against each performance indicator</w:t>
      </w:r>
    </w:p>
    <w:p w:rsidR="001B2BAB" w:rsidRPr="00A823DA" w:rsidRDefault="001B2BAB" w:rsidP="001B2BAB">
      <w:pPr>
        <w:spacing w:before="0" w:after="0"/>
        <w:rPr>
          <w:rFonts w:ascii="Calibri" w:eastAsia="Times New Roman" w:hAnsi="Calibri" w:cs="Times New Roman"/>
          <w:lang w:eastAsia="en-AU"/>
        </w:rPr>
      </w:pPr>
    </w:p>
    <w:tbl>
      <w:tblPr>
        <w:tblW w:w="0" w:type="auto"/>
        <w:tblBorders>
          <w:top w:val="single" w:sz="8" w:space="0" w:color="9BBB59"/>
          <w:bottom w:val="single" w:sz="8" w:space="0" w:color="9BBB59"/>
        </w:tblBorders>
        <w:tblLook w:val="04A0" w:firstRow="1" w:lastRow="0" w:firstColumn="1" w:lastColumn="0" w:noHBand="0" w:noVBand="1"/>
        <w:tblCaption w:val="Services which collect information against each performance indicator"/>
        <w:tblDescription w:val="The table outlines which services collect information against each performance Indicator. FaRS, SS, FLS, CfC and Community Playgroups are required to collect information against P.I.s 2.1 and 2.2.  FaRS, SS and FLS are required to report against P.I.s 2.3 and 2.4 however reporting against these P.I.s was optional in 2011-12 for CfC services but will be mandatory in 2012-13.  Community Playgroups does not report against P.I.s 2.3 and 2.4."/>
      </w:tblPr>
      <w:tblGrid>
        <w:gridCol w:w="1848"/>
        <w:gridCol w:w="3080"/>
        <w:gridCol w:w="1848"/>
        <w:gridCol w:w="1849"/>
        <w:gridCol w:w="1849"/>
      </w:tblGrid>
      <w:tr w:rsidR="001B2BAB" w:rsidRPr="00A823DA" w:rsidTr="00FD249E">
        <w:trPr>
          <w:tblHeader/>
        </w:trPr>
        <w:tc>
          <w:tcPr>
            <w:tcW w:w="1848" w:type="dxa"/>
            <w:tcBorders>
              <w:top w:val="single" w:sz="8" w:space="0" w:color="9BBB59"/>
              <w:left w:val="nil"/>
              <w:bottom w:val="single" w:sz="8" w:space="0" w:color="9BBB59"/>
              <w:right w:val="nil"/>
            </w:tcBorders>
            <w:shd w:val="clear" w:color="auto" w:fill="auto"/>
          </w:tcPr>
          <w:p w:rsidR="001B2BAB" w:rsidRPr="00A823DA" w:rsidRDefault="001B2BAB" w:rsidP="001B2BAB">
            <w:pPr>
              <w:spacing w:before="0" w:after="0" w:line="240" w:lineRule="auto"/>
              <w:jc w:val="both"/>
              <w:rPr>
                <w:rFonts w:ascii="Arial Narrow" w:eastAsia="Calibri" w:hAnsi="Arial Narrow" w:cs="Times New Roman"/>
                <w:b/>
                <w:bCs/>
              </w:rPr>
            </w:pPr>
            <w:r w:rsidRPr="00A823DA">
              <w:rPr>
                <w:rFonts w:ascii="Arial Narrow" w:eastAsia="Calibri" w:hAnsi="Arial Narrow" w:cs="Times New Roman"/>
                <w:b/>
                <w:bCs/>
              </w:rPr>
              <w:t>Ref</w:t>
            </w:r>
          </w:p>
        </w:tc>
        <w:tc>
          <w:tcPr>
            <w:tcW w:w="3080" w:type="dxa"/>
            <w:tcBorders>
              <w:top w:val="single" w:sz="8" w:space="0" w:color="9BBB59"/>
              <w:left w:val="nil"/>
              <w:bottom w:val="single" w:sz="8" w:space="0" w:color="9BBB59"/>
              <w:right w:val="nil"/>
            </w:tcBorders>
            <w:shd w:val="clear" w:color="auto" w:fill="auto"/>
          </w:tcPr>
          <w:p w:rsidR="001B2BAB" w:rsidRPr="00A823DA" w:rsidRDefault="001B2BAB" w:rsidP="001B2BAB">
            <w:pPr>
              <w:spacing w:before="0" w:after="0" w:line="240" w:lineRule="auto"/>
              <w:rPr>
                <w:rFonts w:ascii="Arial Narrow" w:eastAsia="Calibri" w:hAnsi="Arial Narrow" w:cs="Times New Roman"/>
                <w:b/>
                <w:bCs/>
              </w:rPr>
            </w:pPr>
            <w:r w:rsidRPr="00A823DA">
              <w:rPr>
                <w:rFonts w:ascii="Arial Narrow" w:eastAsia="Calibri" w:hAnsi="Arial Narrow" w:cs="Times New Roman"/>
                <w:b/>
                <w:bCs/>
              </w:rPr>
              <w:t>Performance Indicator</w:t>
            </w:r>
          </w:p>
        </w:tc>
        <w:tc>
          <w:tcPr>
            <w:tcW w:w="1848" w:type="dxa"/>
            <w:tcBorders>
              <w:top w:val="single" w:sz="8" w:space="0" w:color="9BBB59"/>
              <w:left w:val="nil"/>
              <w:bottom w:val="single" w:sz="8" w:space="0" w:color="9BBB59"/>
              <w:right w:val="nil"/>
            </w:tcBorders>
            <w:shd w:val="clear" w:color="auto" w:fill="auto"/>
          </w:tcPr>
          <w:p w:rsidR="001B2BAB" w:rsidRPr="00A823DA" w:rsidRDefault="001B2BAB" w:rsidP="001B2BAB">
            <w:pPr>
              <w:spacing w:before="0" w:after="0" w:line="240" w:lineRule="auto"/>
              <w:jc w:val="center"/>
              <w:rPr>
                <w:rFonts w:ascii="Arial Narrow" w:eastAsia="Calibri" w:hAnsi="Arial Narrow" w:cs="Times New Roman"/>
                <w:b/>
                <w:bCs/>
              </w:rPr>
            </w:pPr>
            <w:r w:rsidRPr="00A823DA">
              <w:rPr>
                <w:rFonts w:ascii="Arial Narrow" w:eastAsia="Calibri" w:hAnsi="Arial Narrow" w:cs="Times New Roman"/>
                <w:b/>
                <w:bCs/>
              </w:rPr>
              <w:t>FaRS, SS, FLs</w:t>
            </w:r>
          </w:p>
        </w:tc>
        <w:tc>
          <w:tcPr>
            <w:tcW w:w="1849" w:type="dxa"/>
            <w:tcBorders>
              <w:top w:val="single" w:sz="8" w:space="0" w:color="9BBB59"/>
              <w:left w:val="nil"/>
              <w:bottom w:val="single" w:sz="8" w:space="0" w:color="9BBB59"/>
              <w:right w:val="nil"/>
            </w:tcBorders>
            <w:shd w:val="clear" w:color="auto" w:fill="auto"/>
          </w:tcPr>
          <w:p w:rsidR="001B2BAB" w:rsidRPr="00A823DA" w:rsidRDefault="001B2BAB" w:rsidP="001B2BAB">
            <w:pPr>
              <w:spacing w:before="0" w:after="0" w:line="240" w:lineRule="auto"/>
              <w:jc w:val="center"/>
              <w:rPr>
                <w:rFonts w:ascii="Arial Narrow" w:eastAsia="Calibri" w:hAnsi="Arial Narrow" w:cs="Times New Roman"/>
                <w:b/>
                <w:bCs/>
              </w:rPr>
            </w:pPr>
            <w:r w:rsidRPr="00A823DA">
              <w:rPr>
                <w:rFonts w:ascii="Arial Narrow" w:eastAsia="Calibri" w:hAnsi="Arial Narrow" w:cs="Times New Roman"/>
                <w:b/>
                <w:bCs/>
              </w:rPr>
              <w:t>CfC</w:t>
            </w:r>
          </w:p>
        </w:tc>
        <w:tc>
          <w:tcPr>
            <w:tcW w:w="1849" w:type="dxa"/>
            <w:tcBorders>
              <w:top w:val="single" w:sz="8" w:space="0" w:color="9BBB59"/>
              <w:left w:val="nil"/>
              <w:bottom w:val="single" w:sz="8" w:space="0" w:color="9BBB59"/>
              <w:right w:val="nil"/>
            </w:tcBorders>
            <w:shd w:val="clear" w:color="auto" w:fill="auto"/>
          </w:tcPr>
          <w:p w:rsidR="001B2BAB" w:rsidRPr="00A823DA" w:rsidRDefault="001B2BAB" w:rsidP="001B2BAB">
            <w:pPr>
              <w:spacing w:before="0" w:after="0" w:line="240" w:lineRule="auto"/>
              <w:jc w:val="center"/>
              <w:rPr>
                <w:rFonts w:ascii="Arial Narrow" w:eastAsia="Calibri" w:hAnsi="Arial Narrow" w:cs="Times New Roman"/>
                <w:b/>
                <w:bCs/>
              </w:rPr>
            </w:pPr>
            <w:r w:rsidRPr="00A823DA">
              <w:rPr>
                <w:rFonts w:ascii="Arial Narrow" w:eastAsia="Calibri" w:hAnsi="Arial Narrow" w:cs="Times New Roman"/>
                <w:b/>
                <w:bCs/>
              </w:rPr>
              <w:t>CP</w:t>
            </w:r>
          </w:p>
        </w:tc>
      </w:tr>
      <w:tr w:rsidR="001B2BAB" w:rsidRPr="00A823DA" w:rsidTr="007A42B2">
        <w:tc>
          <w:tcPr>
            <w:tcW w:w="1848" w:type="dxa"/>
            <w:tcBorders>
              <w:left w:val="nil"/>
              <w:right w:val="nil"/>
            </w:tcBorders>
            <w:shd w:val="clear" w:color="auto" w:fill="E6EED5"/>
          </w:tcPr>
          <w:p w:rsidR="001B2BAB" w:rsidRPr="00A823DA" w:rsidRDefault="001B2BAB" w:rsidP="001B2BAB">
            <w:pPr>
              <w:spacing w:after="0" w:line="240" w:lineRule="auto"/>
              <w:rPr>
                <w:rFonts w:ascii="Arial Narrow" w:eastAsia="Calibri" w:hAnsi="Arial Narrow" w:cs="Arial"/>
                <w:bCs/>
              </w:rPr>
            </w:pPr>
            <w:r w:rsidRPr="00A823DA">
              <w:rPr>
                <w:rFonts w:ascii="Arial Narrow" w:eastAsia="Calibri" w:hAnsi="Arial Narrow" w:cs="Arial"/>
                <w:bCs/>
              </w:rPr>
              <w:t>2.1</w:t>
            </w:r>
          </w:p>
        </w:tc>
        <w:tc>
          <w:tcPr>
            <w:tcW w:w="3080" w:type="dxa"/>
            <w:tcBorders>
              <w:left w:val="nil"/>
              <w:right w:val="nil"/>
            </w:tcBorders>
            <w:shd w:val="clear" w:color="auto" w:fill="E6EED5"/>
          </w:tcPr>
          <w:p w:rsidR="001B2BAB" w:rsidRPr="00A823DA" w:rsidRDefault="001B2BAB" w:rsidP="001B2BAB">
            <w:pPr>
              <w:spacing w:after="0" w:line="240" w:lineRule="auto"/>
              <w:rPr>
                <w:rFonts w:ascii="Arial Narrow" w:eastAsia="Calibri" w:hAnsi="Arial Narrow" w:cs="Arial"/>
              </w:rPr>
            </w:pPr>
            <w:r w:rsidRPr="00A823DA">
              <w:rPr>
                <w:rFonts w:ascii="Arial Narrow" w:eastAsia="Calibri" w:hAnsi="Arial Narrow" w:cs="Arial"/>
              </w:rPr>
              <w:t>Proportion of clients with increased knowledge and skills</w:t>
            </w:r>
          </w:p>
        </w:tc>
        <w:tc>
          <w:tcPr>
            <w:tcW w:w="1848" w:type="dxa"/>
            <w:tcBorders>
              <w:left w:val="nil"/>
              <w:right w:val="nil"/>
            </w:tcBorders>
            <w:shd w:val="clear" w:color="auto" w:fill="E6EED5"/>
          </w:tcPr>
          <w:p w:rsidR="001B2BAB" w:rsidRPr="00A823DA" w:rsidRDefault="001B2BAB" w:rsidP="001B2BAB">
            <w:pPr>
              <w:spacing w:after="0" w:line="240" w:lineRule="auto"/>
              <w:jc w:val="center"/>
              <w:rPr>
                <w:rFonts w:ascii="Arial Narrow" w:eastAsia="Calibri" w:hAnsi="Arial Narrow" w:cs="Arial"/>
              </w:rPr>
            </w:pPr>
            <w:r w:rsidRPr="00A823DA">
              <w:rPr>
                <w:rFonts w:ascii="Arial Narrow" w:eastAsia="Calibri" w:hAnsi="Arial Narrow" w:cs="Arial"/>
              </w:rPr>
              <w:sym w:font="Wingdings" w:char="F0FC"/>
            </w:r>
          </w:p>
        </w:tc>
        <w:tc>
          <w:tcPr>
            <w:tcW w:w="1849" w:type="dxa"/>
            <w:tcBorders>
              <w:left w:val="nil"/>
              <w:right w:val="nil"/>
            </w:tcBorders>
            <w:shd w:val="clear" w:color="auto" w:fill="E6EED5"/>
          </w:tcPr>
          <w:p w:rsidR="001B2BAB" w:rsidRPr="00A823DA" w:rsidRDefault="001B2BAB" w:rsidP="001B2BAB">
            <w:pPr>
              <w:spacing w:after="0" w:line="240" w:lineRule="auto"/>
              <w:jc w:val="center"/>
              <w:rPr>
                <w:rFonts w:ascii="Arial Narrow" w:eastAsia="Calibri" w:hAnsi="Arial Narrow" w:cs="Arial"/>
              </w:rPr>
            </w:pPr>
            <w:r w:rsidRPr="00A823DA">
              <w:rPr>
                <w:rFonts w:ascii="Arial Narrow" w:eastAsia="Calibri" w:hAnsi="Arial Narrow" w:cs="Arial"/>
              </w:rPr>
              <w:sym w:font="Wingdings" w:char="F0FC"/>
            </w:r>
          </w:p>
        </w:tc>
        <w:tc>
          <w:tcPr>
            <w:tcW w:w="1849" w:type="dxa"/>
            <w:tcBorders>
              <w:left w:val="nil"/>
              <w:right w:val="nil"/>
            </w:tcBorders>
            <w:shd w:val="clear" w:color="auto" w:fill="E6EED5"/>
          </w:tcPr>
          <w:p w:rsidR="001B2BAB" w:rsidRPr="00A823DA" w:rsidRDefault="001B2BAB" w:rsidP="001B2BAB">
            <w:pPr>
              <w:spacing w:after="0" w:line="240" w:lineRule="auto"/>
              <w:jc w:val="center"/>
              <w:rPr>
                <w:rFonts w:ascii="Arial Narrow" w:eastAsia="Calibri" w:hAnsi="Arial Narrow" w:cs="Arial"/>
              </w:rPr>
            </w:pPr>
            <w:r w:rsidRPr="00A823DA">
              <w:rPr>
                <w:rFonts w:ascii="Arial Narrow" w:eastAsia="Calibri" w:hAnsi="Arial Narrow" w:cs="Arial"/>
              </w:rPr>
              <w:sym w:font="Wingdings" w:char="F0FC"/>
            </w:r>
          </w:p>
        </w:tc>
      </w:tr>
      <w:tr w:rsidR="001B2BAB" w:rsidRPr="00A823DA" w:rsidTr="007A42B2">
        <w:tc>
          <w:tcPr>
            <w:tcW w:w="1848" w:type="dxa"/>
            <w:shd w:val="clear" w:color="auto" w:fill="auto"/>
          </w:tcPr>
          <w:p w:rsidR="001B2BAB" w:rsidRPr="00A823DA" w:rsidRDefault="001B2BAB" w:rsidP="001B2BAB">
            <w:pPr>
              <w:spacing w:after="0" w:line="240" w:lineRule="auto"/>
              <w:rPr>
                <w:rFonts w:ascii="Arial Narrow" w:eastAsia="Calibri" w:hAnsi="Arial Narrow" w:cs="Arial"/>
                <w:bCs/>
              </w:rPr>
            </w:pPr>
            <w:r w:rsidRPr="00A823DA">
              <w:rPr>
                <w:rFonts w:ascii="Arial Narrow" w:eastAsia="Calibri" w:hAnsi="Arial Narrow" w:cs="Arial"/>
                <w:bCs/>
              </w:rPr>
              <w:t>2.2</w:t>
            </w:r>
          </w:p>
        </w:tc>
        <w:tc>
          <w:tcPr>
            <w:tcW w:w="3080" w:type="dxa"/>
            <w:shd w:val="clear" w:color="auto" w:fill="auto"/>
          </w:tcPr>
          <w:p w:rsidR="001B2BAB" w:rsidRPr="00A823DA" w:rsidRDefault="001B2BAB" w:rsidP="001B2BAB">
            <w:pPr>
              <w:spacing w:after="0" w:line="240" w:lineRule="auto"/>
              <w:rPr>
                <w:rFonts w:ascii="Arial Narrow" w:eastAsia="Calibri" w:hAnsi="Arial Narrow" w:cs="Arial"/>
              </w:rPr>
            </w:pPr>
            <w:r w:rsidRPr="00A823DA">
              <w:rPr>
                <w:rFonts w:ascii="Arial Narrow" w:eastAsia="Calibri" w:hAnsi="Arial Narrow" w:cs="Arial"/>
              </w:rPr>
              <w:t xml:space="preserve">Proportion of clients satisfied with the service they received </w:t>
            </w:r>
          </w:p>
        </w:tc>
        <w:tc>
          <w:tcPr>
            <w:tcW w:w="1848" w:type="dxa"/>
            <w:shd w:val="clear" w:color="auto" w:fill="auto"/>
          </w:tcPr>
          <w:p w:rsidR="001B2BAB" w:rsidRPr="00A823DA" w:rsidRDefault="001B2BAB" w:rsidP="001B2BAB">
            <w:pPr>
              <w:spacing w:after="0" w:line="240" w:lineRule="auto"/>
              <w:jc w:val="center"/>
              <w:rPr>
                <w:rFonts w:ascii="Arial Narrow" w:eastAsia="Calibri" w:hAnsi="Arial Narrow" w:cs="Arial"/>
              </w:rPr>
            </w:pPr>
            <w:r w:rsidRPr="00A823DA">
              <w:rPr>
                <w:rFonts w:ascii="Arial Narrow" w:eastAsia="Calibri" w:hAnsi="Arial Narrow" w:cs="Arial"/>
              </w:rPr>
              <w:sym w:font="Wingdings" w:char="F0FC"/>
            </w:r>
          </w:p>
        </w:tc>
        <w:tc>
          <w:tcPr>
            <w:tcW w:w="1849" w:type="dxa"/>
            <w:shd w:val="clear" w:color="auto" w:fill="auto"/>
          </w:tcPr>
          <w:p w:rsidR="001B2BAB" w:rsidRPr="00A823DA" w:rsidRDefault="001B2BAB" w:rsidP="001B2BAB">
            <w:pPr>
              <w:spacing w:after="0" w:line="240" w:lineRule="auto"/>
              <w:jc w:val="center"/>
              <w:rPr>
                <w:rFonts w:ascii="Arial Narrow" w:eastAsia="Calibri" w:hAnsi="Arial Narrow" w:cs="Arial"/>
              </w:rPr>
            </w:pPr>
            <w:r w:rsidRPr="00A823DA">
              <w:rPr>
                <w:rFonts w:ascii="Arial Narrow" w:eastAsia="Calibri" w:hAnsi="Arial Narrow" w:cs="Arial"/>
              </w:rPr>
              <w:sym w:font="Wingdings" w:char="F0FC"/>
            </w:r>
          </w:p>
        </w:tc>
        <w:tc>
          <w:tcPr>
            <w:tcW w:w="1849" w:type="dxa"/>
            <w:shd w:val="clear" w:color="auto" w:fill="auto"/>
          </w:tcPr>
          <w:p w:rsidR="001B2BAB" w:rsidRPr="00A823DA" w:rsidRDefault="001B2BAB" w:rsidP="001B2BAB">
            <w:pPr>
              <w:spacing w:after="0" w:line="240" w:lineRule="auto"/>
              <w:jc w:val="center"/>
              <w:rPr>
                <w:rFonts w:ascii="Arial Narrow" w:eastAsia="Calibri" w:hAnsi="Arial Narrow" w:cs="Arial"/>
              </w:rPr>
            </w:pPr>
            <w:r w:rsidRPr="00A823DA">
              <w:rPr>
                <w:rFonts w:ascii="Arial Narrow" w:eastAsia="Calibri" w:hAnsi="Arial Narrow" w:cs="Arial"/>
              </w:rPr>
              <w:sym w:font="Wingdings" w:char="F0FC"/>
            </w:r>
          </w:p>
        </w:tc>
      </w:tr>
      <w:tr w:rsidR="001B2BAB" w:rsidRPr="00A823DA" w:rsidTr="007A42B2">
        <w:tc>
          <w:tcPr>
            <w:tcW w:w="1848" w:type="dxa"/>
            <w:tcBorders>
              <w:left w:val="nil"/>
              <w:right w:val="nil"/>
            </w:tcBorders>
            <w:shd w:val="clear" w:color="auto" w:fill="E6EED5"/>
          </w:tcPr>
          <w:p w:rsidR="001B2BAB" w:rsidRPr="00A823DA" w:rsidRDefault="001B2BAB" w:rsidP="001B2BAB">
            <w:pPr>
              <w:spacing w:after="0" w:line="240" w:lineRule="auto"/>
              <w:rPr>
                <w:rFonts w:ascii="Arial Narrow" w:eastAsia="Calibri" w:hAnsi="Arial Narrow" w:cs="Arial"/>
                <w:bCs/>
              </w:rPr>
            </w:pPr>
            <w:r w:rsidRPr="00A823DA">
              <w:rPr>
                <w:rFonts w:ascii="Arial Narrow" w:eastAsia="Calibri" w:hAnsi="Arial Narrow" w:cs="Arial"/>
                <w:bCs/>
              </w:rPr>
              <w:t>2.3</w:t>
            </w:r>
          </w:p>
        </w:tc>
        <w:tc>
          <w:tcPr>
            <w:tcW w:w="3080" w:type="dxa"/>
            <w:tcBorders>
              <w:left w:val="nil"/>
              <w:right w:val="nil"/>
            </w:tcBorders>
            <w:shd w:val="clear" w:color="auto" w:fill="E6EED5"/>
          </w:tcPr>
          <w:p w:rsidR="001B2BAB" w:rsidRPr="00A823DA" w:rsidRDefault="001B2BAB" w:rsidP="001B2BAB">
            <w:pPr>
              <w:spacing w:after="0" w:line="240" w:lineRule="auto"/>
              <w:rPr>
                <w:rFonts w:ascii="Arial Narrow" w:eastAsia="Calibri" w:hAnsi="Arial Narrow" w:cs="Arial"/>
              </w:rPr>
            </w:pPr>
            <w:r w:rsidRPr="00A823DA">
              <w:rPr>
                <w:rFonts w:ascii="Arial Narrow" w:eastAsia="Calibri" w:hAnsi="Arial Narrow" w:cs="Arial"/>
              </w:rPr>
              <w:t>Proportion of clients with improved access/engagement with services</w:t>
            </w:r>
          </w:p>
        </w:tc>
        <w:tc>
          <w:tcPr>
            <w:tcW w:w="1848" w:type="dxa"/>
            <w:tcBorders>
              <w:left w:val="nil"/>
              <w:right w:val="nil"/>
            </w:tcBorders>
            <w:shd w:val="clear" w:color="auto" w:fill="E6EED5"/>
          </w:tcPr>
          <w:p w:rsidR="001B2BAB" w:rsidRPr="00A823DA" w:rsidRDefault="001B2BAB" w:rsidP="001B2BAB">
            <w:pPr>
              <w:spacing w:after="0" w:line="240" w:lineRule="auto"/>
              <w:jc w:val="center"/>
              <w:rPr>
                <w:rFonts w:ascii="Arial Narrow" w:eastAsia="Calibri" w:hAnsi="Arial Narrow" w:cs="Arial"/>
              </w:rPr>
            </w:pPr>
            <w:r w:rsidRPr="00A823DA">
              <w:rPr>
                <w:rFonts w:ascii="Arial Narrow" w:eastAsia="Calibri" w:hAnsi="Arial Narrow" w:cs="Arial"/>
              </w:rPr>
              <w:sym w:font="Wingdings" w:char="F0FC"/>
            </w:r>
          </w:p>
        </w:tc>
        <w:tc>
          <w:tcPr>
            <w:tcW w:w="1849" w:type="dxa"/>
            <w:tcBorders>
              <w:left w:val="nil"/>
              <w:right w:val="nil"/>
            </w:tcBorders>
            <w:shd w:val="clear" w:color="auto" w:fill="E6EED5"/>
          </w:tcPr>
          <w:p w:rsidR="001B2BAB" w:rsidRPr="00A823DA" w:rsidRDefault="001B2BAB" w:rsidP="001B2BAB">
            <w:pPr>
              <w:spacing w:after="0" w:line="240" w:lineRule="auto"/>
              <w:jc w:val="center"/>
              <w:rPr>
                <w:rFonts w:ascii="Arial Narrow" w:eastAsia="Calibri" w:hAnsi="Arial Narrow" w:cs="Arial"/>
              </w:rPr>
            </w:pPr>
            <w:r w:rsidRPr="00A823DA">
              <w:rPr>
                <w:rFonts w:ascii="Arial Narrow" w:eastAsia="Calibri" w:hAnsi="Arial Narrow" w:cs="Arial"/>
              </w:rPr>
              <w:t>Optional 2011-12. Mandatory from 2012</w:t>
            </w:r>
            <w:r w:rsidRPr="00A823DA">
              <w:rPr>
                <w:rFonts w:ascii="Arial Narrow" w:eastAsia="Calibri" w:hAnsi="Arial Narrow" w:cs="Arial"/>
              </w:rPr>
              <w:noBreakHyphen/>
              <w:t>13</w:t>
            </w:r>
          </w:p>
        </w:tc>
        <w:tc>
          <w:tcPr>
            <w:tcW w:w="1849" w:type="dxa"/>
            <w:tcBorders>
              <w:left w:val="nil"/>
              <w:right w:val="nil"/>
            </w:tcBorders>
            <w:shd w:val="clear" w:color="auto" w:fill="E6EED5"/>
          </w:tcPr>
          <w:p w:rsidR="001B2BAB" w:rsidRPr="00A823DA" w:rsidRDefault="001B2BAB" w:rsidP="001B2BAB">
            <w:pPr>
              <w:spacing w:after="0" w:line="240" w:lineRule="auto"/>
              <w:jc w:val="center"/>
              <w:rPr>
                <w:rFonts w:ascii="Arial Narrow" w:eastAsia="Calibri" w:hAnsi="Arial Narrow" w:cs="Arial"/>
              </w:rPr>
            </w:pPr>
            <w:r w:rsidRPr="00A823DA">
              <w:rPr>
                <w:rFonts w:ascii="Arial Narrow" w:eastAsia="Calibri" w:hAnsi="Arial Narrow" w:cs="Arial"/>
              </w:rPr>
              <w:t>N/A</w:t>
            </w:r>
          </w:p>
        </w:tc>
      </w:tr>
      <w:tr w:rsidR="001B2BAB" w:rsidRPr="00A823DA" w:rsidTr="007A42B2">
        <w:tc>
          <w:tcPr>
            <w:tcW w:w="1848" w:type="dxa"/>
            <w:shd w:val="clear" w:color="auto" w:fill="auto"/>
          </w:tcPr>
          <w:p w:rsidR="001B2BAB" w:rsidRPr="00A823DA" w:rsidRDefault="001B2BAB" w:rsidP="001B2BAB">
            <w:pPr>
              <w:spacing w:after="0" w:line="240" w:lineRule="auto"/>
              <w:rPr>
                <w:rFonts w:ascii="Arial Narrow" w:eastAsia="Calibri" w:hAnsi="Arial Narrow" w:cs="Arial"/>
                <w:bCs/>
              </w:rPr>
            </w:pPr>
            <w:r w:rsidRPr="00A823DA">
              <w:rPr>
                <w:rFonts w:ascii="Arial Narrow" w:eastAsia="Calibri" w:hAnsi="Arial Narrow" w:cs="Arial"/>
                <w:bCs/>
              </w:rPr>
              <w:t>2.4</w:t>
            </w:r>
          </w:p>
        </w:tc>
        <w:tc>
          <w:tcPr>
            <w:tcW w:w="3080" w:type="dxa"/>
            <w:shd w:val="clear" w:color="auto" w:fill="auto"/>
          </w:tcPr>
          <w:p w:rsidR="001B2BAB" w:rsidRPr="00A823DA" w:rsidRDefault="001B2BAB" w:rsidP="001B2BAB">
            <w:pPr>
              <w:spacing w:after="0" w:line="240" w:lineRule="auto"/>
              <w:rPr>
                <w:rFonts w:ascii="Arial Narrow" w:eastAsia="Calibri" w:hAnsi="Arial Narrow" w:cs="Arial"/>
              </w:rPr>
            </w:pPr>
            <w:r w:rsidRPr="00A823DA">
              <w:rPr>
                <w:rFonts w:ascii="Arial Narrow" w:eastAsia="Calibri" w:hAnsi="Arial Narrow" w:cs="Arial"/>
              </w:rPr>
              <w:t>Proportion of clients with improved family, community and economic engagement</w:t>
            </w:r>
          </w:p>
        </w:tc>
        <w:tc>
          <w:tcPr>
            <w:tcW w:w="1848" w:type="dxa"/>
            <w:shd w:val="clear" w:color="auto" w:fill="auto"/>
          </w:tcPr>
          <w:p w:rsidR="001B2BAB" w:rsidRPr="00A823DA" w:rsidRDefault="001B2BAB" w:rsidP="001B2BAB">
            <w:pPr>
              <w:spacing w:after="0" w:line="240" w:lineRule="auto"/>
              <w:jc w:val="center"/>
              <w:rPr>
                <w:rFonts w:ascii="Arial Narrow" w:eastAsia="Calibri" w:hAnsi="Arial Narrow" w:cs="Arial"/>
              </w:rPr>
            </w:pPr>
            <w:r w:rsidRPr="00A823DA">
              <w:rPr>
                <w:rFonts w:ascii="Arial Narrow" w:eastAsia="Calibri" w:hAnsi="Arial Narrow" w:cs="Arial"/>
              </w:rPr>
              <w:sym w:font="Wingdings" w:char="F0FC"/>
            </w:r>
          </w:p>
        </w:tc>
        <w:tc>
          <w:tcPr>
            <w:tcW w:w="1849" w:type="dxa"/>
            <w:shd w:val="clear" w:color="auto" w:fill="auto"/>
          </w:tcPr>
          <w:p w:rsidR="001B2BAB" w:rsidRPr="00A823DA" w:rsidRDefault="001B2BAB" w:rsidP="001B2BAB">
            <w:pPr>
              <w:spacing w:after="0" w:line="240" w:lineRule="auto"/>
              <w:jc w:val="center"/>
              <w:rPr>
                <w:rFonts w:ascii="Arial Narrow" w:eastAsia="Calibri" w:hAnsi="Arial Narrow" w:cs="Arial"/>
              </w:rPr>
            </w:pPr>
            <w:r w:rsidRPr="00A823DA">
              <w:rPr>
                <w:rFonts w:ascii="Arial Narrow" w:eastAsia="Calibri" w:hAnsi="Arial Narrow" w:cs="Arial"/>
              </w:rPr>
              <w:t>Optional 2011-12. Mandatory from 2012</w:t>
            </w:r>
            <w:r w:rsidRPr="00A823DA">
              <w:rPr>
                <w:rFonts w:ascii="Arial Narrow" w:eastAsia="Calibri" w:hAnsi="Arial Narrow" w:cs="Arial"/>
              </w:rPr>
              <w:noBreakHyphen/>
              <w:t>13</w:t>
            </w:r>
          </w:p>
        </w:tc>
        <w:tc>
          <w:tcPr>
            <w:tcW w:w="1849" w:type="dxa"/>
            <w:shd w:val="clear" w:color="auto" w:fill="auto"/>
          </w:tcPr>
          <w:p w:rsidR="001B2BAB" w:rsidRPr="00A823DA" w:rsidRDefault="001B2BAB" w:rsidP="001B2BAB">
            <w:pPr>
              <w:spacing w:after="0" w:line="240" w:lineRule="auto"/>
              <w:jc w:val="center"/>
              <w:rPr>
                <w:rFonts w:ascii="Arial Narrow" w:eastAsia="Calibri" w:hAnsi="Arial Narrow" w:cs="Arial"/>
              </w:rPr>
            </w:pPr>
            <w:r w:rsidRPr="00A823DA">
              <w:rPr>
                <w:rFonts w:ascii="Arial Narrow" w:eastAsia="Calibri" w:hAnsi="Arial Narrow" w:cs="Arial"/>
              </w:rPr>
              <w:t>N/A</w:t>
            </w:r>
          </w:p>
        </w:tc>
      </w:tr>
      <w:tr w:rsidR="00D52AC2" w:rsidRPr="00A823DA" w:rsidTr="007A42B2">
        <w:tc>
          <w:tcPr>
            <w:tcW w:w="1848" w:type="dxa"/>
            <w:shd w:val="clear" w:color="auto" w:fill="auto"/>
          </w:tcPr>
          <w:p w:rsidR="00D52AC2" w:rsidRPr="00A823DA" w:rsidRDefault="00D52AC2" w:rsidP="001B2BAB">
            <w:pPr>
              <w:spacing w:after="0" w:line="240" w:lineRule="auto"/>
              <w:rPr>
                <w:rFonts w:ascii="Arial Narrow" w:eastAsia="Calibri" w:hAnsi="Arial Narrow" w:cs="Arial"/>
                <w:bCs/>
              </w:rPr>
            </w:pPr>
          </w:p>
        </w:tc>
        <w:tc>
          <w:tcPr>
            <w:tcW w:w="3080" w:type="dxa"/>
            <w:shd w:val="clear" w:color="auto" w:fill="auto"/>
          </w:tcPr>
          <w:p w:rsidR="00D52AC2" w:rsidRPr="00A823DA" w:rsidRDefault="00D52AC2" w:rsidP="001B2BAB">
            <w:pPr>
              <w:spacing w:after="0" w:line="240" w:lineRule="auto"/>
              <w:rPr>
                <w:rFonts w:ascii="Arial Narrow" w:eastAsia="Calibri" w:hAnsi="Arial Narrow" w:cs="Arial"/>
              </w:rPr>
            </w:pPr>
          </w:p>
        </w:tc>
        <w:tc>
          <w:tcPr>
            <w:tcW w:w="1848" w:type="dxa"/>
            <w:shd w:val="clear" w:color="auto" w:fill="auto"/>
          </w:tcPr>
          <w:p w:rsidR="00D52AC2" w:rsidRPr="00A823DA" w:rsidRDefault="00D52AC2" w:rsidP="001B2BAB">
            <w:pPr>
              <w:spacing w:after="0" w:line="240" w:lineRule="auto"/>
              <w:jc w:val="center"/>
              <w:rPr>
                <w:rFonts w:ascii="Arial Narrow" w:eastAsia="Calibri" w:hAnsi="Arial Narrow" w:cs="Arial"/>
              </w:rPr>
            </w:pPr>
          </w:p>
        </w:tc>
        <w:tc>
          <w:tcPr>
            <w:tcW w:w="1849" w:type="dxa"/>
            <w:shd w:val="clear" w:color="auto" w:fill="auto"/>
          </w:tcPr>
          <w:p w:rsidR="00D52AC2" w:rsidRPr="00A823DA" w:rsidRDefault="00D52AC2" w:rsidP="001B2BAB">
            <w:pPr>
              <w:spacing w:after="0" w:line="240" w:lineRule="auto"/>
              <w:jc w:val="center"/>
              <w:rPr>
                <w:rFonts w:ascii="Arial Narrow" w:eastAsia="Calibri" w:hAnsi="Arial Narrow" w:cs="Arial"/>
              </w:rPr>
            </w:pPr>
          </w:p>
        </w:tc>
        <w:tc>
          <w:tcPr>
            <w:tcW w:w="1849" w:type="dxa"/>
            <w:shd w:val="clear" w:color="auto" w:fill="auto"/>
          </w:tcPr>
          <w:p w:rsidR="00D52AC2" w:rsidRPr="00A823DA" w:rsidRDefault="00D52AC2" w:rsidP="001B2BAB">
            <w:pPr>
              <w:spacing w:after="0" w:line="240" w:lineRule="auto"/>
              <w:jc w:val="center"/>
              <w:rPr>
                <w:rFonts w:ascii="Arial Narrow" w:eastAsia="Calibri" w:hAnsi="Arial Narrow" w:cs="Arial"/>
              </w:rPr>
            </w:pPr>
          </w:p>
        </w:tc>
      </w:tr>
    </w:tbl>
    <w:p w:rsidR="00D52AC2" w:rsidRPr="00A823DA" w:rsidRDefault="00D52AC2">
      <w:pPr>
        <w:rPr>
          <w:rFonts w:eastAsia="Times New Roman"/>
          <w:caps/>
          <w:color w:val="4F6228" w:themeColor="accent3" w:themeShade="80"/>
          <w:spacing w:val="15"/>
          <w:sz w:val="22"/>
          <w:szCs w:val="22"/>
          <w:lang w:eastAsia="en-AU"/>
        </w:rPr>
      </w:pPr>
      <w:bookmarkStart w:id="246" w:name="_Toc338944784"/>
      <w:bookmarkStart w:id="247" w:name="_Toc338945075"/>
      <w:bookmarkStart w:id="248" w:name="_Toc338945402"/>
      <w:bookmarkStart w:id="249" w:name="_Toc338945655"/>
    </w:p>
    <w:p w:rsidR="007D03C4" w:rsidRPr="00A823DA" w:rsidRDefault="007D03C4" w:rsidP="007D03C4">
      <w:pPr>
        <w:pStyle w:val="Heading3"/>
        <w:rPr>
          <w:rFonts w:eastAsia="Times New Roman"/>
          <w:lang w:eastAsia="en-AU"/>
        </w:rPr>
      </w:pPr>
      <w:bookmarkStart w:id="250" w:name="_Toc341705924"/>
      <w:r w:rsidRPr="00A823DA">
        <w:rPr>
          <w:rFonts w:eastAsia="Times New Roman"/>
          <w:lang w:eastAsia="en-AU"/>
        </w:rPr>
        <w:t>Intermediate outcomes</w:t>
      </w:r>
      <w:bookmarkEnd w:id="246"/>
      <w:bookmarkEnd w:id="247"/>
      <w:bookmarkEnd w:id="248"/>
      <w:bookmarkEnd w:id="249"/>
      <w:bookmarkEnd w:id="250"/>
    </w:p>
    <w:p w:rsidR="007D03C4" w:rsidRPr="00A823DA" w:rsidRDefault="007D03C4" w:rsidP="007D03C4">
      <w:pPr>
        <w:rPr>
          <w:rFonts w:eastAsia="Times New Roman" w:cstheme="minorHAnsi"/>
          <w:b/>
          <w:color w:val="008A3E"/>
          <w:sz w:val="24"/>
          <w:szCs w:val="24"/>
          <w:lang w:eastAsia="en-AU"/>
        </w:rPr>
      </w:pPr>
      <w:r w:rsidRPr="00A823DA">
        <w:rPr>
          <w:rFonts w:eastAsia="Times New Roman" w:cstheme="minorHAnsi"/>
          <w:b/>
          <w:sz w:val="24"/>
          <w:szCs w:val="24"/>
        </w:rPr>
        <w:t>Intermediate outcomes/impacts: Did we make a lasting difference?</w:t>
      </w:r>
    </w:p>
    <w:p w:rsidR="007D03C4" w:rsidRPr="00A823DA" w:rsidRDefault="00D52AC2" w:rsidP="007D03C4">
      <w:pPr>
        <w:spacing w:after="120"/>
        <w:rPr>
          <w:rFonts w:eastAsia="Times New Roman" w:cstheme="minorHAnsi"/>
          <w:sz w:val="24"/>
          <w:szCs w:val="24"/>
          <w:lang w:eastAsia="en-AU"/>
        </w:rPr>
      </w:pPr>
      <w:r w:rsidRPr="00A823DA">
        <w:rPr>
          <w:rFonts w:eastAsia="Times New Roman" w:cstheme="minorHAnsi"/>
          <w:sz w:val="24"/>
          <w:szCs w:val="24"/>
          <w:lang w:eastAsia="en-AU"/>
        </w:rPr>
        <w:t>Intermediate outcomes are c</w:t>
      </w:r>
      <w:r w:rsidR="007D03C4" w:rsidRPr="00A823DA">
        <w:rPr>
          <w:rFonts w:eastAsia="Times New Roman" w:cstheme="minorHAnsi"/>
          <w:sz w:val="24"/>
          <w:szCs w:val="24"/>
          <w:lang w:eastAsia="en-AU"/>
        </w:rPr>
        <w:t>lient and community outcomes expected from the FSP in the medium term (3-6 months after service).  Data shows outcomes at the Program level and are not used to assess the performance of individual service providers.</w:t>
      </w:r>
    </w:p>
    <w:p w:rsidR="00D52AC2" w:rsidRPr="00A823DA" w:rsidRDefault="007D03C4" w:rsidP="00D52AC2">
      <w:pPr>
        <w:spacing w:after="120"/>
        <w:rPr>
          <w:rFonts w:eastAsia="Times New Roman" w:cstheme="minorHAnsi"/>
          <w:sz w:val="24"/>
          <w:szCs w:val="24"/>
          <w:lang w:eastAsia="en-AU"/>
        </w:rPr>
      </w:pPr>
      <w:r w:rsidRPr="00A823DA">
        <w:rPr>
          <w:rFonts w:eastAsia="Times New Roman" w:cstheme="minorHAnsi"/>
          <w:sz w:val="24"/>
          <w:szCs w:val="24"/>
          <w:lang w:eastAsia="en-AU"/>
        </w:rPr>
        <w:t xml:space="preserve">Under the FSP Performance Framework, </w:t>
      </w:r>
      <w:r w:rsidR="00D52AC2" w:rsidRPr="00A823DA">
        <w:rPr>
          <w:rFonts w:eastAsia="Times New Roman" w:cstheme="minorHAnsi"/>
          <w:sz w:val="24"/>
          <w:szCs w:val="24"/>
          <w:lang w:eastAsia="en-AU"/>
        </w:rPr>
        <w:t>providers report on two intermediate performance indicators by following up a small sample of clients who accessed their service in the previous 3 to 6 months, or in the case of continuing contact, 6 months after commencing the service.</w:t>
      </w:r>
    </w:p>
    <w:p w:rsidR="00180FCB" w:rsidRPr="00A823DA" w:rsidRDefault="00180FCB" w:rsidP="00180FCB">
      <w:pPr>
        <w:spacing w:after="120"/>
        <w:rPr>
          <w:rFonts w:eastAsia="Times New Roman" w:cstheme="minorHAnsi"/>
          <w:sz w:val="24"/>
          <w:szCs w:val="24"/>
          <w:lang w:eastAsia="en-AU"/>
        </w:rPr>
      </w:pPr>
      <w:r w:rsidRPr="00A823DA">
        <w:rPr>
          <w:rFonts w:eastAsia="Times New Roman" w:cstheme="minorHAnsi"/>
          <w:sz w:val="24"/>
          <w:szCs w:val="24"/>
          <w:lang w:eastAsia="en-AU"/>
        </w:rPr>
        <w:t>Each service provider collects intermediate client outcome data on a small sample of their clients.</w:t>
      </w:r>
    </w:p>
    <w:p w:rsidR="00180FCB" w:rsidRPr="00A823DA" w:rsidRDefault="00180FCB" w:rsidP="00180FCB">
      <w:pPr>
        <w:numPr>
          <w:ilvl w:val="0"/>
          <w:numId w:val="35"/>
        </w:numPr>
        <w:spacing w:before="0"/>
        <w:contextualSpacing/>
        <w:rPr>
          <w:rFonts w:eastAsia="Times New Roman" w:cstheme="minorHAnsi"/>
          <w:sz w:val="24"/>
          <w:szCs w:val="24"/>
          <w:lang w:eastAsia="en-AU"/>
        </w:rPr>
      </w:pPr>
      <w:r w:rsidRPr="00A823DA">
        <w:rPr>
          <w:rFonts w:eastAsia="Times New Roman" w:cstheme="minorHAnsi"/>
          <w:sz w:val="24"/>
          <w:szCs w:val="24"/>
          <w:lang w:eastAsia="en-AU"/>
        </w:rPr>
        <w:t>The sample size is based on the number of clients attending the service in the June</w:t>
      </w:r>
      <w:r w:rsidRPr="00A823DA">
        <w:rPr>
          <w:rFonts w:eastAsia="Times New Roman" w:cstheme="minorHAnsi"/>
          <w:sz w:val="24"/>
          <w:szCs w:val="24"/>
          <w:lang w:eastAsia="en-AU"/>
        </w:rPr>
        <w:noBreakHyphen/>
        <w:t>December period</w:t>
      </w:r>
    </w:p>
    <w:p w:rsidR="00180FCB" w:rsidRPr="00A823DA" w:rsidRDefault="00180FCB" w:rsidP="00180FCB">
      <w:pPr>
        <w:numPr>
          <w:ilvl w:val="0"/>
          <w:numId w:val="35"/>
        </w:numPr>
        <w:spacing w:before="0"/>
        <w:contextualSpacing/>
        <w:rPr>
          <w:rFonts w:eastAsia="Times New Roman" w:cstheme="minorHAnsi"/>
          <w:sz w:val="24"/>
          <w:szCs w:val="24"/>
          <w:lang w:eastAsia="en-AU"/>
        </w:rPr>
      </w:pPr>
      <w:r w:rsidRPr="00A823DA">
        <w:rPr>
          <w:rFonts w:eastAsia="Times New Roman" w:cstheme="minorHAnsi"/>
          <w:sz w:val="24"/>
          <w:szCs w:val="24"/>
          <w:lang w:eastAsia="en-AU"/>
        </w:rPr>
        <w:t>The number of clients to be sampled is provided by FaHCSIA in March/April for each service type</w:t>
      </w:r>
    </w:p>
    <w:p w:rsidR="00180FCB" w:rsidRPr="00A823DA" w:rsidRDefault="00180FCB" w:rsidP="00180FCB">
      <w:pPr>
        <w:numPr>
          <w:ilvl w:val="0"/>
          <w:numId w:val="35"/>
        </w:numPr>
        <w:spacing w:before="0"/>
        <w:contextualSpacing/>
        <w:rPr>
          <w:rFonts w:eastAsia="Times New Roman" w:cstheme="minorHAnsi"/>
          <w:sz w:val="24"/>
          <w:szCs w:val="24"/>
          <w:lang w:eastAsia="en-AU"/>
        </w:rPr>
      </w:pPr>
      <w:r w:rsidRPr="00A823DA">
        <w:rPr>
          <w:rFonts w:eastAsia="Times New Roman" w:cstheme="minorHAnsi"/>
          <w:sz w:val="24"/>
          <w:szCs w:val="24"/>
          <w:lang w:eastAsia="en-AU"/>
        </w:rPr>
        <w:t>Service providers report their results in the Annual Service Report or six</w:t>
      </w:r>
      <w:r w:rsidRPr="00A823DA">
        <w:rPr>
          <w:rFonts w:eastAsia="Times New Roman" w:cstheme="minorHAnsi"/>
          <w:sz w:val="24"/>
          <w:szCs w:val="24"/>
          <w:lang w:eastAsia="en-AU"/>
        </w:rPr>
        <w:noBreakHyphen/>
        <w:t>monthly Performance Report due on 31 July each year</w:t>
      </w:r>
    </w:p>
    <w:p w:rsidR="00D52AC2" w:rsidRPr="00A823DA" w:rsidRDefault="00180FCB" w:rsidP="00D52AC2">
      <w:pPr>
        <w:spacing w:after="120"/>
        <w:rPr>
          <w:rFonts w:eastAsia="Times New Roman" w:cstheme="minorHAnsi"/>
          <w:sz w:val="24"/>
          <w:szCs w:val="24"/>
          <w:lang w:eastAsia="en-AU"/>
        </w:rPr>
      </w:pPr>
      <w:r w:rsidRPr="00A823DA">
        <w:rPr>
          <w:rFonts w:eastAsia="Times New Roman" w:cstheme="minorHAnsi"/>
          <w:sz w:val="24"/>
          <w:szCs w:val="24"/>
          <w:lang w:eastAsia="en-AU"/>
        </w:rPr>
        <w:t>The sample number for each service is determined by the Department and based on the July - December client numbers.</w:t>
      </w:r>
    </w:p>
    <w:p w:rsidR="007D03C4" w:rsidRPr="00A823DA" w:rsidRDefault="007D03C4" w:rsidP="007D03C4">
      <w:pPr>
        <w:spacing w:after="120"/>
        <w:rPr>
          <w:rFonts w:eastAsia="Times New Roman" w:cstheme="minorHAnsi"/>
          <w:sz w:val="24"/>
          <w:szCs w:val="24"/>
          <w:lang w:eastAsia="en-AU"/>
        </w:rPr>
      </w:pPr>
      <w:r w:rsidRPr="00A823DA">
        <w:rPr>
          <w:rFonts w:eastAsia="Times New Roman" w:cstheme="minorHAnsi"/>
          <w:sz w:val="24"/>
          <w:szCs w:val="24"/>
          <w:lang w:eastAsia="en-AU"/>
        </w:rPr>
        <w:lastRenderedPageBreak/>
        <w:t>Intermediate outcomes are only collected from clients who have accessed services over 2011-12 and who have provided consent to follow</w:t>
      </w:r>
      <w:r w:rsidRPr="00A823DA">
        <w:rPr>
          <w:rFonts w:eastAsia="Times New Roman" w:cstheme="minorHAnsi"/>
          <w:sz w:val="24"/>
          <w:szCs w:val="24"/>
          <w:lang w:eastAsia="en-AU"/>
        </w:rPr>
        <w:noBreakHyphen/>
        <w:t>up.  Clients are asked for consent to follow</w:t>
      </w:r>
      <w:r w:rsidRPr="00A823DA">
        <w:rPr>
          <w:rFonts w:eastAsia="Times New Roman" w:cstheme="minorHAnsi"/>
          <w:sz w:val="24"/>
          <w:szCs w:val="24"/>
          <w:lang w:eastAsia="en-AU"/>
        </w:rPr>
        <w:noBreakHyphen/>
        <w:t>up at the time of commencing the service.</w:t>
      </w:r>
    </w:p>
    <w:p w:rsidR="00D52AC2" w:rsidRPr="00A823DA" w:rsidRDefault="00D52AC2" w:rsidP="00D52AC2">
      <w:pPr>
        <w:spacing w:after="120"/>
        <w:rPr>
          <w:rFonts w:eastAsia="Times New Roman" w:cstheme="minorHAnsi"/>
          <w:sz w:val="24"/>
          <w:szCs w:val="24"/>
          <w:lang w:eastAsia="en-AU"/>
        </w:rPr>
      </w:pPr>
      <w:r w:rsidRPr="00A823DA">
        <w:rPr>
          <w:rFonts w:eastAsia="Times New Roman" w:cstheme="minorHAnsi"/>
          <w:sz w:val="24"/>
          <w:szCs w:val="24"/>
          <w:lang w:eastAsia="en-AU"/>
        </w:rPr>
        <w:t xml:space="preserve">New </w:t>
      </w:r>
      <w:r w:rsidR="00AB7F1E">
        <w:rPr>
          <w:rFonts w:eastAsia="Times New Roman" w:cstheme="minorHAnsi"/>
          <w:sz w:val="24"/>
          <w:szCs w:val="24"/>
          <w:lang w:eastAsia="en-AU"/>
        </w:rPr>
        <w:t>p</w:t>
      </w:r>
      <w:r w:rsidRPr="00A823DA">
        <w:rPr>
          <w:rFonts w:eastAsia="Times New Roman" w:cstheme="minorHAnsi"/>
          <w:sz w:val="24"/>
          <w:szCs w:val="24"/>
          <w:lang w:eastAsia="en-AU"/>
        </w:rPr>
        <w:t xml:space="preserve">erformance </w:t>
      </w:r>
      <w:r w:rsidR="00AB7F1E">
        <w:rPr>
          <w:rFonts w:eastAsia="Times New Roman" w:cstheme="minorHAnsi"/>
          <w:sz w:val="24"/>
          <w:szCs w:val="24"/>
          <w:lang w:eastAsia="en-AU"/>
        </w:rPr>
        <w:t>i</w:t>
      </w:r>
      <w:r w:rsidRPr="00A823DA">
        <w:rPr>
          <w:rFonts w:eastAsia="Times New Roman" w:cstheme="minorHAnsi"/>
          <w:sz w:val="24"/>
          <w:szCs w:val="24"/>
          <w:lang w:eastAsia="en-AU"/>
        </w:rPr>
        <w:t xml:space="preserve">ndicator reporting tables included in both the July 2012 Annual Service Report and the </w:t>
      </w:r>
      <w:proofErr w:type="gramStart"/>
      <w:r w:rsidRPr="00A823DA">
        <w:rPr>
          <w:rFonts w:eastAsia="Times New Roman" w:cstheme="minorHAnsi"/>
          <w:sz w:val="24"/>
          <w:szCs w:val="24"/>
          <w:lang w:eastAsia="en-AU"/>
        </w:rPr>
        <w:t>CfC</w:t>
      </w:r>
      <w:proofErr w:type="gramEnd"/>
      <w:r w:rsidRPr="00A823DA">
        <w:rPr>
          <w:rFonts w:eastAsia="Times New Roman" w:cstheme="minorHAnsi"/>
          <w:sz w:val="24"/>
          <w:szCs w:val="24"/>
          <w:lang w:eastAsia="en-AU"/>
        </w:rPr>
        <w:t xml:space="preserve"> and CP Performance Report allowed consistent performance indicator da</w:t>
      </w:r>
      <w:r w:rsidR="00180FCB" w:rsidRPr="00A823DA">
        <w:rPr>
          <w:rFonts w:eastAsia="Times New Roman" w:cstheme="minorHAnsi"/>
          <w:sz w:val="24"/>
          <w:szCs w:val="24"/>
          <w:lang w:eastAsia="en-AU"/>
        </w:rPr>
        <w:t xml:space="preserve">ta to be collected </w:t>
      </w:r>
      <w:r w:rsidRPr="00A823DA">
        <w:rPr>
          <w:rFonts w:eastAsia="Times New Roman" w:cstheme="minorHAnsi"/>
          <w:sz w:val="24"/>
          <w:szCs w:val="24"/>
          <w:lang w:eastAsia="en-AU"/>
        </w:rPr>
        <w:t>across the whole FSP.</w:t>
      </w:r>
    </w:p>
    <w:p w:rsidR="00D52AC2" w:rsidRPr="00A823DA" w:rsidRDefault="00D52AC2" w:rsidP="00D52AC2">
      <w:pPr>
        <w:spacing w:after="120"/>
        <w:rPr>
          <w:rFonts w:eastAsia="Times New Roman" w:cstheme="minorHAnsi"/>
          <w:sz w:val="24"/>
          <w:szCs w:val="24"/>
          <w:lang w:eastAsia="en-AU"/>
        </w:rPr>
      </w:pPr>
      <w:r w:rsidRPr="00A823DA">
        <w:rPr>
          <w:rFonts w:eastAsia="Times New Roman" w:cstheme="minorHAnsi"/>
          <w:sz w:val="24"/>
          <w:szCs w:val="24"/>
          <w:lang w:eastAsia="en-AU"/>
        </w:rPr>
        <w:t>A</w:t>
      </w:r>
      <w:r w:rsidR="00180FCB" w:rsidRPr="00A823DA">
        <w:rPr>
          <w:rFonts w:eastAsia="Times New Roman" w:cstheme="minorHAnsi"/>
          <w:sz w:val="24"/>
          <w:szCs w:val="24"/>
          <w:lang w:eastAsia="en-AU"/>
        </w:rPr>
        <w:t xml:space="preserve">nalysis of reports has shown </w:t>
      </w:r>
      <w:r w:rsidRPr="00A823DA">
        <w:rPr>
          <w:rFonts w:eastAsia="Times New Roman" w:cstheme="minorHAnsi"/>
          <w:sz w:val="24"/>
          <w:szCs w:val="24"/>
          <w:lang w:eastAsia="en-AU"/>
        </w:rPr>
        <w:t>overall high positive response rates for all performance indicators.  However, assessment of individual service data indicates that some providers need additional support to appreciate the differences betw</w:t>
      </w:r>
      <w:r w:rsidR="00180FCB" w:rsidRPr="00A823DA">
        <w:rPr>
          <w:rFonts w:eastAsia="Times New Roman" w:cstheme="minorHAnsi"/>
          <w:sz w:val="24"/>
          <w:szCs w:val="24"/>
          <w:lang w:eastAsia="en-AU"/>
        </w:rPr>
        <w:t>een immediate and intermediate Performance I</w:t>
      </w:r>
      <w:r w:rsidRPr="00A823DA">
        <w:rPr>
          <w:rFonts w:eastAsia="Times New Roman" w:cstheme="minorHAnsi"/>
          <w:sz w:val="24"/>
          <w:szCs w:val="24"/>
          <w:lang w:eastAsia="en-AU"/>
        </w:rPr>
        <w:t>ndicator data collection, as well as understand the contractual responsibilities for their organisation.</w:t>
      </w:r>
    </w:p>
    <w:p w:rsidR="001952CF" w:rsidRPr="00A823DA" w:rsidRDefault="001952CF" w:rsidP="001952CF">
      <w:pPr>
        <w:pStyle w:val="Heading3"/>
        <w:rPr>
          <w:rFonts w:eastAsia="Times New Roman"/>
          <w:lang w:eastAsia="en-AU"/>
        </w:rPr>
      </w:pPr>
      <w:bookmarkStart w:id="251" w:name="_Toc338944785"/>
      <w:bookmarkStart w:id="252" w:name="_Toc338945076"/>
      <w:bookmarkStart w:id="253" w:name="_Toc338945403"/>
      <w:bookmarkStart w:id="254" w:name="_Toc338945656"/>
      <w:bookmarkStart w:id="255" w:name="_Toc341705925"/>
      <w:r w:rsidRPr="00A823DA">
        <w:rPr>
          <w:rFonts w:eastAsia="Times New Roman"/>
          <w:lang w:eastAsia="en-AU"/>
        </w:rPr>
        <w:t>Service delivery quality</w:t>
      </w:r>
      <w:bookmarkEnd w:id="251"/>
      <w:bookmarkEnd w:id="252"/>
      <w:bookmarkEnd w:id="253"/>
      <w:bookmarkEnd w:id="254"/>
      <w:bookmarkEnd w:id="255"/>
      <w:r w:rsidRPr="00A823DA">
        <w:rPr>
          <w:rFonts w:eastAsia="Times New Roman"/>
          <w:lang w:eastAsia="en-AU"/>
        </w:rPr>
        <w:t xml:space="preserve"> </w:t>
      </w:r>
    </w:p>
    <w:p w:rsidR="001952CF" w:rsidRPr="00A823DA" w:rsidRDefault="001952CF" w:rsidP="001952CF">
      <w:pPr>
        <w:rPr>
          <w:rFonts w:eastAsia="Times New Roman" w:cstheme="minorHAnsi"/>
          <w:b/>
          <w:sz w:val="24"/>
          <w:szCs w:val="24"/>
        </w:rPr>
      </w:pPr>
      <w:r w:rsidRPr="00A823DA">
        <w:rPr>
          <w:rFonts w:eastAsia="Times New Roman" w:cstheme="minorHAnsi"/>
          <w:b/>
          <w:sz w:val="24"/>
          <w:szCs w:val="24"/>
        </w:rPr>
        <w:t>Service delivery quality</w:t>
      </w:r>
    </w:p>
    <w:p w:rsidR="001952CF" w:rsidRPr="00A823DA" w:rsidRDefault="001952CF" w:rsidP="001952CF">
      <w:pPr>
        <w:spacing w:before="0"/>
        <w:rPr>
          <w:rFonts w:eastAsia="Times New Roman" w:cstheme="minorHAnsi"/>
          <w:sz w:val="24"/>
          <w:szCs w:val="24"/>
          <w:u w:val="single"/>
          <w:lang w:eastAsia="en-AU"/>
        </w:rPr>
      </w:pPr>
      <w:r w:rsidRPr="00A823DA">
        <w:rPr>
          <w:rFonts w:eastAsia="Times New Roman" w:cstheme="minorHAnsi"/>
          <w:sz w:val="24"/>
          <w:szCs w:val="24"/>
          <w:u w:val="single"/>
          <w:lang w:eastAsia="en-AU"/>
        </w:rPr>
        <w:t>Performance indicator 3.1 - Proportion of clients from priority groups</w:t>
      </w:r>
    </w:p>
    <w:p w:rsidR="001952CF" w:rsidRPr="00A823DA" w:rsidRDefault="001952CF" w:rsidP="001952CF">
      <w:pPr>
        <w:spacing w:after="120"/>
        <w:rPr>
          <w:rFonts w:eastAsia="Times New Roman" w:cstheme="minorHAnsi"/>
          <w:sz w:val="24"/>
          <w:szCs w:val="24"/>
          <w:lang w:eastAsia="en-AU"/>
        </w:rPr>
      </w:pPr>
      <w:r w:rsidRPr="00A823DA">
        <w:rPr>
          <w:rFonts w:eastAsia="Times New Roman" w:cstheme="minorHAnsi"/>
          <w:sz w:val="24"/>
          <w:szCs w:val="24"/>
          <w:lang w:eastAsia="en-AU"/>
        </w:rPr>
        <w:t xml:space="preserve">FSP services </w:t>
      </w:r>
      <w:r w:rsidR="00FD5C22">
        <w:rPr>
          <w:rFonts w:eastAsia="Times New Roman" w:cstheme="minorHAnsi"/>
          <w:sz w:val="24"/>
          <w:szCs w:val="24"/>
          <w:lang w:eastAsia="en-AU"/>
        </w:rPr>
        <w:t>are</w:t>
      </w:r>
      <w:r w:rsidR="00FD5C22" w:rsidRPr="00A823DA">
        <w:rPr>
          <w:rFonts w:eastAsia="Times New Roman" w:cstheme="minorHAnsi"/>
          <w:sz w:val="24"/>
          <w:szCs w:val="24"/>
          <w:lang w:eastAsia="en-AU"/>
        </w:rPr>
        <w:t xml:space="preserve"> </w:t>
      </w:r>
      <w:r w:rsidRPr="00A823DA">
        <w:rPr>
          <w:rFonts w:eastAsia="Times New Roman" w:cstheme="minorHAnsi"/>
          <w:sz w:val="24"/>
          <w:szCs w:val="24"/>
          <w:lang w:eastAsia="en-AU"/>
        </w:rPr>
        <w:t xml:space="preserve">required to collect and report data on vulnerable groups, which include but </w:t>
      </w:r>
      <w:r w:rsidR="00FD5C22">
        <w:rPr>
          <w:rFonts w:eastAsia="Times New Roman" w:cstheme="minorHAnsi"/>
          <w:sz w:val="24"/>
          <w:szCs w:val="24"/>
          <w:lang w:eastAsia="en-AU"/>
        </w:rPr>
        <w:t>are</w:t>
      </w:r>
      <w:r w:rsidRPr="00A823DA">
        <w:rPr>
          <w:rFonts w:eastAsia="Times New Roman" w:cstheme="minorHAnsi"/>
          <w:sz w:val="24"/>
          <w:szCs w:val="24"/>
          <w:lang w:eastAsia="en-AU"/>
        </w:rPr>
        <w:t xml:space="preserve"> not limited to:</w:t>
      </w:r>
    </w:p>
    <w:p w:rsidR="001952CF" w:rsidRPr="00A823DA" w:rsidRDefault="001952CF" w:rsidP="00417F06">
      <w:pPr>
        <w:numPr>
          <w:ilvl w:val="0"/>
          <w:numId w:val="37"/>
        </w:numPr>
        <w:spacing w:before="0" w:after="120" w:line="240" w:lineRule="auto"/>
        <w:ind w:left="360"/>
        <w:rPr>
          <w:rFonts w:eastAsia="Times New Roman" w:cstheme="minorHAnsi"/>
          <w:sz w:val="24"/>
          <w:szCs w:val="24"/>
          <w:lang w:eastAsia="en-AU"/>
        </w:rPr>
      </w:pPr>
      <w:r w:rsidRPr="00A823DA">
        <w:rPr>
          <w:rFonts w:eastAsia="Times New Roman" w:cstheme="minorHAnsi"/>
          <w:sz w:val="24"/>
          <w:szCs w:val="24"/>
          <w:lang w:eastAsia="en-AU"/>
        </w:rPr>
        <w:t>Aboriginal and Torres Strait Islander families (see data in Section Two)</w:t>
      </w:r>
    </w:p>
    <w:p w:rsidR="001952CF" w:rsidRPr="00A823DA" w:rsidRDefault="001952CF" w:rsidP="00417F06">
      <w:pPr>
        <w:numPr>
          <w:ilvl w:val="0"/>
          <w:numId w:val="37"/>
        </w:numPr>
        <w:spacing w:before="0" w:after="120" w:line="240" w:lineRule="auto"/>
        <w:ind w:left="360"/>
        <w:rPr>
          <w:rFonts w:eastAsia="Times New Roman" w:cstheme="minorHAnsi"/>
          <w:sz w:val="24"/>
          <w:szCs w:val="24"/>
          <w:lang w:eastAsia="en-AU"/>
        </w:rPr>
      </w:pPr>
      <w:r w:rsidRPr="00A823DA">
        <w:rPr>
          <w:rFonts w:eastAsia="Times New Roman" w:cstheme="minorHAnsi"/>
          <w:sz w:val="24"/>
          <w:szCs w:val="24"/>
          <w:lang w:eastAsia="en-AU"/>
        </w:rPr>
        <w:t>Culturally and Linguistically Diverse families (see data in Section Two)</w:t>
      </w:r>
    </w:p>
    <w:p w:rsidR="001952CF" w:rsidRPr="00A823DA" w:rsidRDefault="001952CF" w:rsidP="00417F06">
      <w:pPr>
        <w:numPr>
          <w:ilvl w:val="0"/>
          <w:numId w:val="37"/>
        </w:numPr>
        <w:spacing w:before="0" w:after="120" w:line="240" w:lineRule="auto"/>
        <w:ind w:left="360"/>
        <w:rPr>
          <w:rFonts w:eastAsia="Times New Roman" w:cstheme="minorHAnsi"/>
          <w:sz w:val="24"/>
          <w:szCs w:val="24"/>
          <w:lang w:eastAsia="en-AU"/>
        </w:rPr>
      </w:pPr>
      <w:r w:rsidRPr="00A823DA">
        <w:rPr>
          <w:rFonts w:eastAsia="Times New Roman" w:cstheme="minorHAnsi"/>
          <w:sz w:val="24"/>
          <w:szCs w:val="24"/>
          <w:lang w:eastAsia="en-AU"/>
        </w:rPr>
        <w:t>Low income families</w:t>
      </w:r>
    </w:p>
    <w:p w:rsidR="001952CF" w:rsidRPr="00A823DA" w:rsidRDefault="001952CF" w:rsidP="00417F06">
      <w:pPr>
        <w:numPr>
          <w:ilvl w:val="1"/>
          <w:numId w:val="37"/>
        </w:numPr>
        <w:spacing w:before="0" w:after="0" w:line="240" w:lineRule="auto"/>
        <w:ind w:left="1080"/>
        <w:rPr>
          <w:rFonts w:eastAsia="Times New Roman" w:cstheme="minorHAnsi"/>
          <w:sz w:val="24"/>
          <w:szCs w:val="24"/>
          <w:lang w:eastAsia="en-AU"/>
        </w:rPr>
      </w:pPr>
      <w:r w:rsidRPr="00A823DA">
        <w:rPr>
          <w:rFonts w:eastAsia="Times New Roman" w:cstheme="minorHAnsi"/>
          <w:sz w:val="24"/>
          <w:szCs w:val="24"/>
          <w:lang w:eastAsia="en-AU"/>
        </w:rPr>
        <w:t>In 2011-12 the total percentage of registered FaRS (</w:t>
      </w:r>
      <w:r w:rsidR="00FD5C22">
        <w:rPr>
          <w:rFonts w:eastAsia="Times New Roman" w:cstheme="minorHAnsi"/>
          <w:sz w:val="24"/>
          <w:szCs w:val="24"/>
          <w:lang w:eastAsia="en-AU"/>
        </w:rPr>
        <w:t>i</w:t>
      </w:r>
      <w:r w:rsidRPr="00A823DA">
        <w:rPr>
          <w:rFonts w:eastAsia="Times New Roman" w:cstheme="minorHAnsi"/>
          <w:sz w:val="24"/>
          <w:szCs w:val="24"/>
          <w:lang w:eastAsia="en-AU"/>
        </w:rPr>
        <w:t>ncluding FSDRT and RRFSS) SS and FLS clients who indicated they receive</w:t>
      </w:r>
      <w:r w:rsidR="00FD5C22">
        <w:rPr>
          <w:rFonts w:eastAsia="Times New Roman" w:cstheme="minorHAnsi"/>
          <w:sz w:val="24"/>
          <w:szCs w:val="24"/>
          <w:lang w:eastAsia="en-AU"/>
        </w:rPr>
        <w:t>d</w:t>
      </w:r>
      <w:r w:rsidRPr="00A823DA">
        <w:rPr>
          <w:rFonts w:eastAsia="Times New Roman" w:cstheme="minorHAnsi"/>
          <w:sz w:val="24"/>
          <w:szCs w:val="24"/>
          <w:lang w:eastAsia="en-AU"/>
        </w:rPr>
        <w:t xml:space="preserve"> Centrelink income support payments was:</w:t>
      </w:r>
    </w:p>
    <w:p w:rsidR="001952CF" w:rsidRPr="00A823DA" w:rsidRDefault="001952CF" w:rsidP="00417F06">
      <w:pPr>
        <w:numPr>
          <w:ilvl w:val="2"/>
          <w:numId w:val="37"/>
        </w:numPr>
        <w:spacing w:before="0" w:after="0" w:line="240" w:lineRule="auto"/>
        <w:ind w:left="1794" w:hanging="357"/>
        <w:rPr>
          <w:rFonts w:eastAsia="Times New Roman" w:cstheme="minorHAnsi"/>
          <w:sz w:val="24"/>
          <w:szCs w:val="24"/>
          <w:lang w:eastAsia="en-AU"/>
        </w:rPr>
      </w:pPr>
      <w:r w:rsidRPr="00A823DA">
        <w:rPr>
          <w:rFonts w:eastAsia="Times New Roman" w:cstheme="minorHAnsi"/>
          <w:sz w:val="24"/>
          <w:szCs w:val="24"/>
          <w:lang w:eastAsia="en-AU"/>
        </w:rPr>
        <w:t>FaRS – 26.7%</w:t>
      </w:r>
    </w:p>
    <w:p w:rsidR="001952CF" w:rsidRPr="00A823DA" w:rsidRDefault="001952CF" w:rsidP="00417F06">
      <w:pPr>
        <w:numPr>
          <w:ilvl w:val="2"/>
          <w:numId w:val="37"/>
        </w:numPr>
        <w:spacing w:before="0" w:after="0" w:line="240" w:lineRule="auto"/>
        <w:ind w:left="1794" w:hanging="357"/>
        <w:rPr>
          <w:rFonts w:eastAsia="Times New Roman" w:cstheme="minorHAnsi"/>
          <w:sz w:val="24"/>
          <w:szCs w:val="24"/>
          <w:lang w:eastAsia="en-AU"/>
        </w:rPr>
      </w:pPr>
      <w:r w:rsidRPr="00A823DA">
        <w:rPr>
          <w:rFonts w:eastAsia="Times New Roman" w:cstheme="minorHAnsi"/>
          <w:sz w:val="24"/>
          <w:szCs w:val="24"/>
          <w:lang w:eastAsia="en-AU"/>
        </w:rPr>
        <w:t>SS-FRSHE – 41.3%</w:t>
      </w:r>
    </w:p>
    <w:p w:rsidR="001952CF" w:rsidRPr="00A823DA" w:rsidRDefault="001952CF" w:rsidP="00417F06">
      <w:pPr>
        <w:numPr>
          <w:ilvl w:val="2"/>
          <w:numId w:val="37"/>
        </w:numPr>
        <w:spacing w:before="0" w:after="0" w:line="240" w:lineRule="auto"/>
        <w:ind w:left="1794" w:hanging="357"/>
        <w:rPr>
          <w:rFonts w:eastAsia="Times New Roman" w:cstheme="minorHAnsi"/>
          <w:sz w:val="24"/>
          <w:szCs w:val="24"/>
          <w:lang w:eastAsia="en-AU"/>
        </w:rPr>
      </w:pPr>
      <w:r w:rsidRPr="00A823DA">
        <w:rPr>
          <w:rFonts w:eastAsia="Times New Roman" w:cstheme="minorHAnsi"/>
          <w:sz w:val="24"/>
          <w:szCs w:val="24"/>
          <w:lang w:eastAsia="en-AU"/>
        </w:rPr>
        <w:t>SS-SFV – 44%</w:t>
      </w:r>
    </w:p>
    <w:p w:rsidR="001952CF" w:rsidRPr="00A823DA" w:rsidRDefault="001952CF" w:rsidP="00417F06">
      <w:pPr>
        <w:numPr>
          <w:ilvl w:val="2"/>
          <w:numId w:val="37"/>
        </w:numPr>
        <w:spacing w:before="0" w:after="0" w:line="240" w:lineRule="auto"/>
        <w:ind w:left="1794" w:hanging="357"/>
        <w:rPr>
          <w:rFonts w:eastAsia="Times New Roman" w:cstheme="minorHAnsi"/>
          <w:sz w:val="24"/>
          <w:szCs w:val="24"/>
          <w:lang w:eastAsia="en-AU"/>
        </w:rPr>
      </w:pPr>
      <w:r w:rsidRPr="00A823DA">
        <w:rPr>
          <w:rFonts w:eastAsia="Times New Roman" w:cstheme="minorHAnsi"/>
          <w:sz w:val="24"/>
          <w:szCs w:val="24"/>
          <w:lang w:eastAsia="en-AU"/>
        </w:rPr>
        <w:t>SS-</w:t>
      </w:r>
      <w:proofErr w:type="spellStart"/>
      <w:r w:rsidRPr="00A823DA">
        <w:rPr>
          <w:rFonts w:eastAsia="Times New Roman" w:cstheme="minorHAnsi"/>
          <w:sz w:val="24"/>
          <w:szCs w:val="24"/>
          <w:lang w:eastAsia="en-AU"/>
        </w:rPr>
        <w:t>KiF</w:t>
      </w:r>
      <w:proofErr w:type="spellEnd"/>
      <w:r w:rsidRPr="00A823DA">
        <w:rPr>
          <w:rFonts w:eastAsia="Times New Roman" w:cstheme="minorHAnsi"/>
          <w:sz w:val="24"/>
          <w:szCs w:val="24"/>
          <w:lang w:eastAsia="en-AU"/>
        </w:rPr>
        <w:t xml:space="preserve"> – 57.7%</w:t>
      </w:r>
    </w:p>
    <w:p w:rsidR="001952CF" w:rsidRPr="00A823DA" w:rsidRDefault="001952CF" w:rsidP="00417F06">
      <w:pPr>
        <w:numPr>
          <w:ilvl w:val="2"/>
          <w:numId w:val="37"/>
        </w:numPr>
        <w:spacing w:before="0" w:after="0" w:line="240" w:lineRule="auto"/>
        <w:ind w:left="1794" w:hanging="357"/>
        <w:rPr>
          <w:rFonts w:eastAsia="Times New Roman" w:cstheme="minorHAnsi"/>
          <w:sz w:val="24"/>
          <w:szCs w:val="24"/>
          <w:lang w:eastAsia="en-AU"/>
        </w:rPr>
      </w:pPr>
      <w:r w:rsidRPr="00A823DA">
        <w:rPr>
          <w:rFonts w:eastAsia="Times New Roman" w:cstheme="minorHAnsi"/>
          <w:sz w:val="24"/>
          <w:szCs w:val="24"/>
          <w:lang w:eastAsia="en-AU"/>
        </w:rPr>
        <w:t>FLS – 34%</w:t>
      </w:r>
    </w:p>
    <w:p w:rsidR="001952CF" w:rsidRPr="00A823DA" w:rsidRDefault="001952CF" w:rsidP="00417F06">
      <w:pPr>
        <w:numPr>
          <w:ilvl w:val="1"/>
          <w:numId w:val="37"/>
        </w:numPr>
        <w:spacing w:before="0" w:after="120" w:line="240" w:lineRule="auto"/>
        <w:ind w:left="1080"/>
        <w:rPr>
          <w:rFonts w:eastAsia="Times New Roman" w:cstheme="minorHAnsi"/>
          <w:sz w:val="24"/>
          <w:szCs w:val="24"/>
          <w:lang w:eastAsia="en-AU"/>
        </w:rPr>
      </w:pPr>
      <w:r w:rsidRPr="00A823DA">
        <w:rPr>
          <w:rFonts w:eastAsia="Times New Roman" w:cstheme="minorHAnsi"/>
          <w:sz w:val="24"/>
          <w:szCs w:val="24"/>
          <w:lang w:eastAsia="en-AU"/>
        </w:rPr>
        <w:t xml:space="preserve">The figures were underreported for </w:t>
      </w:r>
      <w:proofErr w:type="gramStart"/>
      <w:r w:rsidRPr="00A823DA">
        <w:rPr>
          <w:rFonts w:eastAsia="Times New Roman" w:cstheme="minorHAnsi"/>
          <w:sz w:val="24"/>
          <w:szCs w:val="24"/>
          <w:lang w:eastAsia="en-AU"/>
        </w:rPr>
        <w:t>CfC</w:t>
      </w:r>
      <w:proofErr w:type="gramEnd"/>
      <w:r w:rsidRPr="00A823DA">
        <w:rPr>
          <w:rFonts w:eastAsia="Times New Roman" w:cstheme="minorHAnsi"/>
          <w:sz w:val="24"/>
          <w:szCs w:val="24"/>
          <w:lang w:eastAsia="en-AU"/>
        </w:rPr>
        <w:t xml:space="preserve"> services with 49 organisations (or 25%) not providing data.  In 2011-12 the total percentage of clients whose main source of income was known to be from Centrelink or DVA payments for </w:t>
      </w:r>
      <w:proofErr w:type="gramStart"/>
      <w:r w:rsidRPr="00A823DA">
        <w:rPr>
          <w:rFonts w:eastAsia="Times New Roman" w:cstheme="minorHAnsi"/>
          <w:sz w:val="24"/>
          <w:szCs w:val="24"/>
          <w:lang w:eastAsia="en-AU"/>
        </w:rPr>
        <w:t>CfC</w:t>
      </w:r>
      <w:proofErr w:type="gramEnd"/>
      <w:r w:rsidRPr="00A823DA">
        <w:rPr>
          <w:rFonts w:eastAsia="Times New Roman" w:cstheme="minorHAnsi"/>
          <w:sz w:val="24"/>
          <w:szCs w:val="24"/>
          <w:lang w:eastAsia="en-AU"/>
        </w:rPr>
        <w:t xml:space="preserve"> and C</w:t>
      </w:r>
      <w:r w:rsidR="00FD5C22">
        <w:rPr>
          <w:rFonts w:eastAsia="Times New Roman" w:cstheme="minorHAnsi"/>
          <w:sz w:val="24"/>
          <w:szCs w:val="24"/>
          <w:lang w:eastAsia="en-AU"/>
        </w:rPr>
        <w:t xml:space="preserve">ommunity </w:t>
      </w:r>
      <w:r w:rsidRPr="00A823DA">
        <w:rPr>
          <w:rFonts w:eastAsia="Times New Roman" w:cstheme="minorHAnsi"/>
          <w:sz w:val="24"/>
          <w:szCs w:val="24"/>
          <w:lang w:eastAsia="en-AU"/>
        </w:rPr>
        <w:t>P</w:t>
      </w:r>
      <w:r w:rsidR="00FD5C22">
        <w:rPr>
          <w:rFonts w:eastAsia="Times New Roman" w:cstheme="minorHAnsi"/>
          <w:sz w:val="24"/>
          <w:szCs w:val="24"/>
          <w:lang w:eastAsia="en-AU"/>
        </w:rPr>
        <w:t>laygroups</w:t>
      </w:r>
      <w:r w:rsidRPr="00A823DA">
        <w:rPr>
          <w:rFonts w:eastAsia="Times New Roman" w:cstheme="minorHAnsi"/>
          <w:sz w:val="24"/>
          <w:szCs w:val="24"/>
          <w:lang w:eastAsia="en-AU"/>
        </w:rPr>
        <w:t xml:space="preserve"> was 6.7%.  The breakdown by service type was:</w:t>
      </w:r>
    </w:p>
    <w:p w:rsidR="001952CF" w:rsidRPr="00A823DA" w:rsidRDefault="001952CF" w:rsidP="00417F06">
      <w:pPr>
        <w:numPr>
          <w:ilvl w:val="2"/>
          <w:numId w:val="37"/>
        </w:numPr>
        <w:spacing w:before="0" w:after="0" w:line="240" w:lineRule="auto"/>
        <w:ind w:left="1794" w:hanging="357"/>
        <w:rPr>
          <w:rFonts w:eastAsia="Times New Roman" w:cstheme="minorHAnsi"/>
          <w:sz w:val="24"/>
          <w:szCs w:val="24"/>
          <w:lang w:eastAsia="en-AU"/>
        </w:rPr>
      </w:pPr>
      <w:r w:rsidRPr="00A823DA">
        <w:rPr>
          <w:rFonts w:eastAsia="Times New Roman" w:cstheme="minorHAnsi"/>
          <w:sz w:val="24"/>
          <w:szCs w:val="24"/>
          <w:lang w:eastAsia="en-AU"/>
        </w:rPr>
        <w:t>CfC  IPS – 32.9%</w:t>
      </w:r>
    </w:p>
    <w:p w:rsidR="001952CF" w:rsidRPr="00A823DA" w:rsidRDefault="001952CF" w:rsidP="00417F06">
      <w:pPr>
        <w:numPr>
          <w:ilvl w:val="2"/>
          <w:numId w:val="37"/>
        </w:numPr>
        <w:spacing w:before="0" w:after="0" w:line="240" w:lineRule="auto"/>
        <w:ind w:left="1794" w:hanging="357"/>
        <w:rPr>
          <w:rFonts w:eastAsia="Times New Roman" w:cstheme="minorHAnsi"/>
          <w:sz w:val="24"/>
          <w:szCs w:val="24"/>
          <w:lang w:eastAsia="en-AU"/>
        </w:rPr>
      </w:pPr>
      <w:r w:rsidRPr="00A823DA">
        <w:rPr>
          <w:rFonts w:eastAsia="Times New Roman" w:cstheme="minorHAnsi"/>
          <w:sz w:val="24"/>
          <w:szCs w:val="24"/>
          <w:lang w:eastAsia="en-AU"/>
        </w:rPr>
        <w:t>CfC Direct – 16.1%</w:t>
      </w:r>
    </w:p>
    <w:p w:rsidR="001952CF" w:rsidRPr="00A823DA" w:rsidRDefault="001952CF" w:rsidP="00417F06">
      <w:pPr>
        <w:numPr>
          <w:ilvl w:val="2"/>
          <w:numId w:val="37"/>
        </w:numPr>
        <w:spacing w:before="0" w:after="0" w:line="240" w:lineRule="auto"/>
        <w:ind w:left="1794" w:hanging="357"/>
        <w:rPr>
          <w:rFonts w:eastAsia="Times New Roman" w:cstheme="minorHAnsi"/>
          <w:sz w:val="24"/>
          <w:szCs w:val="24"/>
          <w:lang w:eastAsia="en-AU"/>
        </w:rPr>
      </w:pPr>
      <w:r w:rsidRPr="00A823DA">
        <w:rPr>
          <w:rFonts w:eastAsia="Times New Roman" w:cstheme="minorHAnsi"/>
          <w:sz w:val="24"/>
          <w:szCs w:val="24"/>
          <w:lang w:eastAsia="en-AU"/>
        </w:rPr>
        <w:t>CfC FP – 7.8%</w:t>
      </w:r>
    </w:p>
    <w:p w:rsidR="001952CF" w:rsidRPr="00A823DA" w:rsidRDefault="001952CF" w:rsidP="00417F06">
      <w:pPr>
        <w:numPr>
          <w:ilvl w:val="2"/>
          <w:numId w:val="37"/>
        </w:numPr>
        <w:spacing w:before="0" w:after="0" w:line="240" w:lineRule="auto"/>
        <w:ind w:left="1794" w:hanging="357"/>
        <w:rPr>
          <w:rFonts w:eastAsia="Times New Roman" w:cstheme="minorHAnsi"/>
          <w:sz w:val="24"/>
          <w:szCs w:val="24"/>
          <w:lang w:eastAsia="en-AU"/>
        </w:rPr>
      </w:pPr>
      <w:r w:rsidRPr="00A823DA">
        <w:rPr>
          <w:rFonts w:eastAsia="Times New Roman" w:cstheme="minorHAnsi"/>
          <w:sz w:val="24"/>
          <w:szCs w:val="24"/>
          <w:lang w:eastAsia="en-AU"/>
        </w:rPr>
        <w:t>CP – 0.6%</w:t>
      </w:r>
    </w:p>
    <w:p w:rsidR="001952CF" w:rsidRPr="00A823DA" w:rsidRDefault="001952CF" w:rsidP="00417F06">
      <w:pPr>
        <w:spacing w:before="0" w:after="120" w:line="240" w:lineRule="auto"/>
        <w:ind w:left="1080"/>
        <w:rPr>
          <w:rFonts w:eastAsia="Times New Roman" w:cstheme="minorHAnsi"/>
          <w:sz w:val="24"/>
          <w:szCs w:val="24"/>
          <w:lang w:eastAsia="en-AU"/>
        </w:rPr>
      </w:pPr>
      <w:r w:rsidRPr="00A823DA">
        <w:rPr>
          <w:rFonts w:eastAsia="Times New Roman" w:cstheme="minorHAnsi"/>
          <w:sz w:val="24"/>
          <w:szCs w:val="24"/>
          <w:lang w:eastAsia="en-AU"/>
        </w:rPr>
        <w:t xml:space="preserve">Note: The level of data supplied by </w:t>
      </w:r>
      <w:proofErr w:type="gramStart"/>
      <w:r w:rsidRPr="00A823DA">
        <w:rPr>
          <w:rFonts w:eastAsia="Times New Roman" w:cstheme="minorHAnsi"/>
          <w:sz w:val="24"/>
          <w:szCs w:val="24"/>
          <w:lang w:eastAsia="en-AU"/>
        </w:rPr>
        <w:t>CfC</w:t>
      </w:r>
      <w:proofErr w:type="gramEnd"/>
      <w:r w:rsidRPr="00A823DA">
        <w:rPr>
          <w:rFonts w:eastAsia="Times New Roman" w:cstheme="minorHAnsi"/>
          <w:sz w:val="24"/>
          <w:szCs w:val="24"/>
          <w:lang w:eastAsia="en-AU"/>
        </w:rPr>
        <w:t xml:space="preserve"> service providers is insufficient to draw any meaningful conclusions.</w:t>
      </w:r>
    </w:p>
    <w:p w:rsidR="001952CF" w:rsidRPr="00A823DA" w:rsidRDefault="001952CF" w:rsidP="00417F06">
      <w:pPr>
        <w:numPr>
          <w:ilvl w:val="0"/>
          <w:numId w:val="37"/>
        </w:numPr>
        <w:spacing w:before="0" w:after="120" w:line="240" w:lineRule="auto"/>
        <w:ind w:left="360"/>
        <w:rPr>
          <w:rFonts w:eastAsia="Times New Roman" w:cstheme="minorHAnsi"/>
          <w:sz w:val="24"/>
          <w:szCs w:val="24"/>
          <w:lang w:eastAsia="en-AU"/>
        </w:rPr>
      </w:pPr>
      <w:r w:rsidRPr="00A823DA">
        <w:rPr>
          <w:rFonts w:eastAsia="Times New Roman" w:cstheme="minorHAnsi"/>
          <w:sz w:val="24"/>
          <w:szCs w:val="24"/>
          <w:lang w:eastAsia="en-AU"/>
        </w:rPr>
        <w:t>Young parent families</w:t>
      </w:r>
    </w:p>
    <w:p w:rsidR="001952CF" w:rsidRPr="00A823DA" w:rsidRDefault="001952CF" w:rsidP="00417F06">
      <w:pPr>
        <w:numPr>
          <w:ilvl w:val="1"/>
          <w:numId w:val="37"/>
        </w:numPr>
        <w:spacing w:before="0" w:after="120" w:line="240" w:lineRule="auto"/>
        <w:ind w:left="1080"/>
        <w:rPr>
          <w:rFonts w:eastAsia="Times New Roman" w:cstheme="minorHAnsi"/>
          <w:sz w:val="24"/>
          <w:szCs w:val="24"/>
          <w:lang w:eastAsia="en-AU"/>
        </w:rPr>
      </w:pPr>
      <w:r w:rsidRPr="00A823DA">
        <w:rPr>
          <w:rFonts w:eastAsia="Times New Roman" w:cstheme="minorHAnsi"/>
          <w:sz w:val="24"/>
          <w:szCs w:val="24"/>
          <w:lang w:eastAsia="en-AU"/>
        </w:rPr>
        <w:t xml:space="preserve">Data </w:t>
      </w:r>
      <w:r w:rsidR="0071385A">
        <w:rPr>
          <w:rFonts w:eastAsia="Times New Roman" w:cstheme="minorHAnsi"/>
          <w:sz w:val="24"/>
          <w:szCs w:val="24"/>
          <w:lang w:eastAsia="en-AU"/>
        </w:rPr>
        <w:t>that</w:t>
      </w:r>
      <w:r w:rsidRPr="00A823DA">
        <w:rPr>
          <w:rFonts w:eastAsia="Times New Roman" w:cstheme="minorHAnsi"/>
          <w:sz w:val="24"/>
          <w:szCs w:val="24"/>
          <w:lang w:eastAsia="en-AU"/>
        </w:rPr>
        <w:t xml:space="preserve"> identifi</w:t>
      </w:r>
      <w:r w:rsidR="0071385A">
        <w:rPr>
          <w:rFonts w:eastAsia="Times New Roman" w:cstheme="minorHAnsi"/>
          <w:sz w:val="24"/>
          <w:szCs w:val="24"/>
          <w:lang w:eastAsia="en-AU"/>
        </w:rPr>
        <w:t>es</w:t>
      </w:r>
      <w:r w:rsidRPr="00A823DA">
        <w:rPr>
          <w:rFonts w:eastAsia="Times New Roman" w:cstheme="minorHAnsi"/>
          <w:sz w:val="24"/>
          <w:szCs w:val="24"/>
          <w:lang w:eastAsia="en-AU"/>
        </w:rPr>
        <w:t xml:space="preserve"> young parent families is not available for FaRS, SS and FLS.</w:t>
      </w:r>
    </w:p>
    <w:p w:rsidR="001952CF" w:rsidRPr="00A823DA" w:rsidRDefault="001952CF" w:rsidP="00417F06">
      <w:pPr>
        <w:numPr>
          <w:ilvl w:val="1"/>
          <w:numId w:val="37"/>
        </w:numPr>
        <w:spacing w:before="0" w:after="120" w:line="240" w:lineRule="auto"/>
        <w:ind w:left="1080"/>
        <w:rPr>
          <w:rFonts w:eastAsia="Times New Roman" w:cstheme="minorHAnsi"/>
          <w:sz w:val="24"/>
          <w:szCs w:val="24"/>
          <w:lang w:eastAsia="en-AU"/>
        </w:rPr>
      </w:pPr>
      <w:r w:rsidRPr="00A823DA">
        <w:rPr>
          <w:rFonts w:eastAsia="Times New Roman" w:cstheme="minorHAnsi"/>
          <w:sz w:val="24"/>
          <w:szCs w:val="24"/>
          <w:lang w:eastAsia="en-AU"/>
        </w:rPr>
        <w:lastRenderedPageBreak/>
        <w:t xml:space="preserve">In 2011-12 the total percentage of </w:t>
      </w:r>
      <w:proofErr w:type="gramStart"/>
      <w:r w:rsidRPr="00A823DA">
        <w:rPr>
          <w:rFonts w:eastAsia="Times New Roman" w:cstheme="minorHAnsi"/>
          <w:sz w:val="24"/>
          <w:szCs w:val="24"/>
          <w:lang w:eastAsia="en-AU"/>
        </w:rPr>
        <w:t>CfC</w:t>
      </w:r>
      <w:proofErr w:type="gramEnd"/>
      <w:r w:rsidRPr="00A823DA">
        <w:rPr>
          <w:rFonts w:eastAsia="Times New Roman" w:cstheme="minorHAnsi"/>
          <w:sz w:val="24"/>
          <w:szCs w:val="24"/>
          <w:lang w:eastAsia="en-AU"/>
        </w:rPr>
        <w:t xml:space="preserve"> and C</w:t>
      </w:r>
      <w:r w:rsidR="0071385A">
        <w:rPr>
          <w:rFonts w:eastAsia="Times New Roman" w:cstheme="minorHAnsi"/>
          <w:sz w:val="24"/>
          <w:szCs w:val="24"/>
          <w:lang w:eastAsia="en-AU"/>
        </w:rPr>
        <w:t xml:space="preserve">ommunity </w:t>
      </w:r>
      <w:r w:rsidRPr="00A823DA">
        <w:rPr>
          <w:rFonts w:eastAsia="Times New Roman" w:cstheme="minorHAnsi"/>
          <w:sz w:val="24"/>
          <w:szCs w:val="24"/>
          <w:lang w:eastAsia="en-AU"/>
        </w:rPr>
        <w:t>P</w:t>
      </w:r>
      <w:r w:rsidR="0071385A">
        <w:rPr>
          <w:rFonts w:eastAsia="Times New Roman" w:cstheme="minorHAnsi"/>
          <w:sz w:val="24"/>
          <w:szCs w:val="24"/>
          <w:lang w:eastAsia="en-AU"/>
        </w:rPr>
        <w:t>laygroup</w:t>
      </w:r>
      <w:r w:rsidRPr="00A823DA">
        <w:rPr>
          <w:rFonts w:eastAsia="Times New Roman" w:cstheme="minorHAnsi"/>
          <w:sz w:val="24"/>
          <w:szCs w:val="24"/>
          <w:lang w:eastAsia="en-AU"/>
        </w:rPr>
        <w:t xml:space="preserve"> clients who identified as young parents </w:t>
      </w:r>
      <w:r w:rsidR="00180FCB" w:rsidRPr="00A823DA">
        <w:rPr>
          <w:rFonts w:eastAsia="Times New Roman" w:cstheme="minorHAnsi"/>
          <w:sz w:val="24"/>
          <w:szCs w:val="24"/>
          <w:lang w:eastAsia="en-AU"/>
        </w:rPr>
        <w:t xml:space="preserve">was </w:t>
      </w:r>
      <w:r w:rsidRPr="00A823DA">
        <w:rPr>
          <w:rFonts w:eastAsia="Times New Roman" w:cstheme="minorHAnsi"/>
          <w:sz w:val="24"/>
          <w:szCs w:val="24"/>
          <w:lang w:eastAsia="en-AU"/>
        </w:rPr>
        <w:t>1.9% for parents aged less than 20 years and 1.2% for parents aged 20 to 25 years.  The breakdown by service type was:</w:t>
      </w:r>
    </w:p>
    <w:p w:rsidR="001952CF" w:rsidRPr="00A823DA" w:rsidRDefault="001952CF" w:rsidP="00417F06">
      <w:pPr>
        <w:numPr>
          <w:ilvl w:val="2"/>
          <w:numId w:val="37"/>
        </w:numPr>
        <w:spacing w:before="0" w:after="0" w:line="240" w:lineRule="auto"/>
        <w:ind w:left="1794" w:hanging="357"/>
        <w:rPr>
          <w:rFonts w:eastAsia="Times New Roman" w:cstheme="minorHAnsi"/>
          <w:sz w:val="24"/>
          <w:szCs w:val="24"/>
          <w:lang w:eastAsia="en-AU"/>
        </w:rPr>
      </w:pPr>
      <w:r w:rsidRPr="00A823DA">
        <w:rPr>
          <w:rFonts w:eastAsia="Times New Roman" w:cstheme="minorHAnsi"/>
          <w:sz w:val="24"/>
          <w:szCs w:val="24"/>
          <w:lang w:eastAsia="en-AU"/>
        </w:rPr>
        <w:t xml:space="preserve">CfC  Direct – 3.5% &lt;20 </w:t>
      </w:r>
      <w:proofErr w:type="spellStart"/>
      <w:r w:rsidRPr="00A823DA">
        <w:rPr>
          <w:rFonts w:eastAsia="Times New Roman" w:cstheme="minorHAnsi"/>
          <w:sz w:val="24"/>
          <w:szCs w:val="24"/>
          <w:lang w:eastAsia="en-AU"/>
        </w:rPr>
        <w:t>yrs</w:t>
      </w:r>
      <w:proofErr w:type="spellEnd"/>
      <w:r w:rsidRPr="00A823DA">
        <w:rPr>
          <w:rFonts w:eastAsia="Times New Roman" w:cstheme="minorHAnsi"/>
          <w:sz w:val="24"/>
          <w:szCs w:val="24"/>
          <w:lang w:eastAsia="en-AU"/>
        </w:rPr>
        <w:t xml:space="preserve"> and 2.4% 20-25 </w:t>
      </w:r>
      <w:proofErr w:type="spellStart"/>
      <w:r w:rsidRPr="00A823DA">
        <w:rPr>
          <w:rFonts w:eastAsia="Times New Roman" w:cstheme="minorHAnsi"/>
          <w:sz w:val="24"/>
          <w:szCs w:val="24"/>
          <w:lang w:eastAsia="en-AU"/>
        </w:rPr>
        <w:t>yrs</w:t>
      </w:r>
      <w:proofErr w:type="spellEnd"/>
    </w:p>
    <w:p w:rsidR="001952CF" w:rsidRPr="00A823DA" w:rsidRDefault="001952CF" w:rsidP="00417F06">
      <w:pPr>
        <w:numPr>
          <w:ilvl w:val="2"/>
          <w:numId w:val="37"/>
        </w:numPr>
        <w:spacing w:before="0" w:after="0" w:line="240" w:lineRule="auto"/>
        <w:ind w:left="1794" w:hanging="357"/>
        <w:rPr>
          <w:rFonts w:eastAsia="Times New Roman" w:cstheme="minorHAnsi"/>
          <w:sz w:val="24"/>
          <w:szCs w:val="24"/>
          <w:lang w:eastAsia="en-AU"/>
        </w:rPr>
      </w:pPr>
      <w:r w:rsidRPr="00A823DA">
        <w:rPr>
          <w:rFonts w:eastAsia="Times New Roman" w:cstheme="minorHAnsi"/>
          <w:sz w:val="24"/>
          <w:szCs w:val="24"/>
          <w:lang w:eastAsia="en-AU"/>
        </w:rPr>
        <w:t xml:space="preserve">CfC FP – 2.5% &lt;20 </w:t>
      </w:r>
      <w:proofErr w:type="spellStart"/>
      <w:r w:rsidRPr="00A823DA">
        <w:rPr>
          <w:rFonts w:eastAsia="Times New Roman" w:cstheme="minorHAnsi"/>
          <w:sz w:val="24"/>
          <w:szCs w:val="24"/>
          <w:lang w:eastAsia="en-AU"/>
        </w:rPr>
        <w:t>yrs</w:t>
      </w:r>
      <w:proofErr w:type="spellEnd"/>
      <w:r w:rsidRPr="00A823DA">
        <w:rPr>
          <w:rFonts w:eastAsia="Times New Roman" w:cstheme="minorHAnsi"/>
          <w:sz w:val="24"/>
          <w:szCs w:val="24"/>
          <w:lang w:eastAsia="en-AU"/>
        </w:rPr>
        <w:t xml:space="preserve"> and 1.2% 20-25 </w:t>
      </w:r>
      <w:proofErr w:type="spellStart"/>
      <w:r w:rsidRPr="00A823DA">
        <w:rPr>
          <w:rFonts w:eastAsia="Times New Roman" w:cstheme="minorHAnsi"/>
          <w:sz w:val="24"/>
          <w:szCs w:val="24"/>
          <w:lang w:eastAsia="en-AU"/>
        </w:rPr>
        <w:t>yrs</w:t>
      </w:r>
      <w:proofErr w:type="spellEnd"/>
    </w:p>
    <w:p w:rsidR="001952CF" w:rsidRPr="00A823DA" w:rsidRDefault="001952CF" w:rsidP="00417F06">
      <w:pPr>
        <w:numPr>
          <w:ilvl w:val="2"/>
          <w:numId w:val="37"/>
        </w:numPr>
        <w:spacing w:before="0" w:after="0" w:line="240" w:lineRule="auto"/>
        <w:ind w:left="1794" w:hanging="357"/>
        <w:rPr>
          <w:rFonts w:eastAsia="Times New Roman" w:cstheme="minorHAnsi"/>
          <w:sz w:val="24"/>
          <w:szCs w:val="24"/>
          <w:lang w:eastAsia="en-AU"/>
        </w:rPr>
      </w:pPr>
      <w:r w:rsidRPr="00A823DA">
        <w:rPr>
          <w:rFonts w:eastAsia="Times New Roman" w:cstheme="minorHAnsi"/>
          <w:sz w:val="24"/>
          <w:szCs w:val="24"/>
          <w:lang w:eastAsia="en-AU"/>
        </w:rPr>
        <w:t xml:space="preserve">CfC IPS – 4.7% &lt;20 </w:t>
      </w:r>
      <w:proofErr w:type="spellStart"/>
      <w:r w:rsidRPr="00A823DA">
        <w:rPr>
          <w:rFonts w:eastAsia="Times New Roman" w:cstheme="minorHAnsi"/>
          <w:sz w:val="24"/>
          <w:szCs w:val="24"/>
          <w:lang w:eastAsia="en-AU"/>
        </w:rPr>
        <w:t>yrs</w:t>
      </w:r>
      <w:proofErr w:type="spellEnd"/>
      <w:r w:rsidRPr="00A823DA">
        <w:rPr>
          <w:rFonts w:eastAsia="Times New Roman" w:cstheme="minorHAnsi"/>
          <w:sz w:val="24"/>
          <w:szCs w:val="24"/>
          <w:lang w:eastAsia="en-AU"/>
        </w:rPr>
        <w:t xml:space="preserve"> and 4.2% 20-25 </w:t>
      </w:r>
      <w:proofErr w:type="spellStart"/>
      <w:r w:rsidRPr="00A823DA">
        <w:rPr>
          <w:rFonts w:eastAsia="Times New Roman" w:cstheme="minorHAnsi"/>
          <w:sz w:val="24"/>
          <w:szCs w:val="24"/>
          <w:lang w:eastAsia="en-AU"/>
        </w:rPr>
        <w:t>yrs</w:t>
      </w:r>
      <w:proofErr w:type="spellEnd"/>
    </w:p>
    <w:p w:rsidR="001952CF" w:rsidRPr="00A823DA" w:rsidRDefault="001952CF" w:rsidP="00417F06">
      <w:pPr>
        <w:numPr>
          <w:ilvl w:val="2"/>
          <w:numId w:val="37"/>
        </w:numPr>
        <w:spacing w:before="0" w:after="0" w:line="240" w:lineRule="auto"/>
        <w:ind w:left="1794" w:hanging="357"/>
        <w:rPr>
          <w:rFonts w:eastAsia="Times New Roman" w:cstheme="minorHAnsi"/>
          <w:sz w:val="24"/>
          <w:szCs w:val="24"/>
          <w:lang w:eastAsia="en-AU"/>
        </w:rPr>
      </w:pPr>
      <w:r w:rsidRPr="00A823DA">
        <w:rPr>
          <w:rFonts w:eastAsia="Times New Roman" w:cstheme="minorHAnsi"/>
          <w:sz w:val="24"/>
          <w:szCs w:val="24"/>
          <w:lang w:eastAsia="en-AU"/>
        </w:rPr>
        <w:t xml:space="preserve">CP – 0.7% &lt;20 </w:t>
      </w:r>
      <w:proofErr w:type="spellStart"/>
      <w:r w:rsidRPr="00A823DA">
        <w:rPr>
          <w:rFonts w:eastAsia="Times New Roman" w:cstheme="minorHAnsi"/>
          <w:sz w:val="24"/>
          <w:szCs w:val="24"/>
          <w:lang w:eastAsia="en-AU"/>
        </w:rPr>
        <w:t>yrs</w:t>
      </w:r>
      <w:proofErr w:type="spellEnd"/>
      <w:r w:rsidRPr="00A823DA">
        <w:rPr>
          <w:rFonts w:eastAsia="Times New Roman" w:cstheme="minorHAnsi"/>
          <w:sz w:val="24"/>
          <w:szCs w:val="24"/>
          <w:lang w:eastAsia="en-AU"/>
        </w:rPr>
        <w:t xml:space="preserve"> and 0.6% 20-25 </w:t>
      </w:r>
      <w:proofErr w:type="spellStart"/>
      <w:r w:rsidRPr="00A823DA">
        <w:rPr>
          <w:rFonts w:eastAsia="Times New Roman" w:cstheme="minorHAnsi"/>
          <w:sz w:val="24"/>
          <w:szCs w:val="24"/>
          <w:lang w:eastAsia="en-AU"/>
        </w:rPr>
        <w:t>yrs</w:t>
      </w:r>
      <w:proofErr w:type="spellEnd"/>
    </w:p>
    <w:p w:rsidR="00902268" w:rsidRDefault="00902268" w:rsidP="001952CF">
      <w:pPr>
        <w:spacing w:before="0"/>
        <w:rPr>
          <w:rFonts w:eastAsia="Times New Roman" w:cstheme="minorHAnsi"/>
          <w:sz w:val="24"/>
          <w:szCs w:val="24"/>
          <w:u w:val="single"/>
          <w:lang w:eastAsia="en-AU"/>
        </w:rPr>
      </w:pPr>
    </w:p>
    <w:p w:rsidR="001952CF" w:rsidRPr="00A823DA" w:rsidRDefault="001952CF" w:rsidP="001952CF">
      <w:pPr>
        <w:spacing w:before="0"/>
        <w:rPr>
          <w:rFonts w:eastAsia="Times New Roman" w:cstheme="minorHAnsi"/>
          <w:sz w:val="24"/>
          <w:szCs w:val="24"/>
          <w:u w:val="single"/>
          <w:lang w:eastAsia="en-AU"/>
        </w:rPr>
      </w:pPr>
      <w:r w:rsidRPr="00A823DA">
        <w:rPr>
          <w:rFonts w:eastAsia="Times New Roman" w:cstheme="minorHAnsi"/>
          <w:sz w:val="24"/>
          <w:szCs w:val="24"/>
          <w:u w:val="single"/>
          <w:lang w:eastAsia="en-AU"/>
        </w:rPr>
        <w:t xml:space="preserve">Performance indicator 3.2 - Proportion of partner agencies reporting satisfaction with the contribution of </w:t>
      </w:r>
      <w:r w:rsidR="0071385A">
        <w:rPr>
          <w:rFonts w:eastAsia="Times New Roman" w:cstheme="minorHAnsi"/>
          <w:sz w:val="24"/>
          <w:szCs w:val="24"/>
          <w:u w:val="single"/>
          <w:lang w:eastAsia="en-AU"/>
        </w:rPr>
        <w:t>FSP</w:t>
      </w:r>
      <w:r w:rsidR="0071385A" w:rsidRPr="00A823DA">
        <w:rPr>
          <w:rFonts w:eastAsia="Times New Roman" w:cstheme="minorHAnsi"/>
          <w:sz w:val="24"/>
          <w:szCs w:val="24"/>
          <w:u w:val="single"/>
          <w:lang w:eastAsia="en-AU"/>
        </w:rPr>
        <w:t xml:space="preserve"> </w:t>
      </w:r>
      <w:r w:rsidRPr="00A823DA">
        <w:rPr>
          <w:rFonts w:eastAsia="Times New Roman" w:cstheme="minorHAnsi"/>
          <w:sz w:val="24"/>
          <w:szCs w:val="24"/>
          <w:u w:val="single"/>
          <w:lang w:eastAsia="en-AU"/>
        </w:rPr>
        <w:t>service providers to integrated service delivery</w:t>
      </w:r>
    </w:p>
    <w:p w:rsidR="001952CF" w:rsidRPr="00A823DA" w:rsidRDefault="001952CF" w:rsidP="001952CF">
      <w:pPr>
        <w:spacing w:before="0" w:after="120" w:line="240" w:lineRule="auto"/>
        <w:rPr>
          <w:rFonts w:eastAsia="Times New Roman" w:cstheme="minorHAnsi"/>
          <w:sz w:val="24"/>
          <w:szCs w:val="24"/>
          <w:lang w:eastAsia="en-AU"/>
        </w:rPr>
      </w:pPr>
      <w:bookmarkStart w:id="256" w:name="_Toc276574297"/>
      <w:bookmarkStart w:id="257" w:name="_Toc276368750"/>
      <w:r w:rsidRPr="00A823DA">
        <w:rPr>
          <w:rFonts w:eastAsia="Times New Roman" w:cstheme="minorHAnsi"/>
          <w:sz w:val="24"/>
          <w:szCs w:val="24"/>
          <w:lang w:eastAsia="en-AU"/>
        </w:rPr>
        <w:t>FaHCSIA periodically undertakes or commissions program evaluations and reviews to ensure its programs are high quality, effective, efficient and appropriately targeted to the needs of families.</w:t>
      </w:r>
    </w:p>
    <w:p w:rsidR="001952CF" w:rsidRDefault="0071385A" w:rsidP="001952CF">
      <w:pPr>
        <w:spacing w:after="120"/>
        <w:rPr>
          <w:rFonts w:eastAsia="Times New Roman" w:cstheme="minorHAnsi"/>
          <w:sz w:val="24"/>
          <w:szCs w:val="24"/>
          <w:lang w:eastAsia="en-AU"/>
        </w:rPr>
      </w:pPr>
      <w:r>
        <w:rPr>
          <w:rFonts w:eastAsia="Times New Roman" w:cstheme="minorHAnsi"/>
          <w:sz w:val="24"/>
          <w:szCs w:val="24"/>
          <w:lang w:eastAsia="en-AU"/>
        </w:rPr>
        <w:t>In 2012, s</w:t>
      </w:r>
      <w:r w:rsidR="001952CF" w:rsidRPr="00A823DA">
        <w:rPr>
          <w:rFonts w:eastAsia="Times New Roman" w:cstheme="minorHAnsi"/>
          <w:sz w:val="24"/>
          <w:szCs w:val="24"/>
          <w:lang w:eastAsia="en-AU"/>
        </w:rPr>
        <w:t>ervice providers</w:t>
      </w:r>
      <w:r>
        <w:rPr>
          <w:rFonts w:eastAsia="Times New Roman" w:cstheme="minorHAnsi"/>
          <w:sz w:val="24"/>
          <w:szCs w:val="24"/>
          <w:lang w:eastAsia="en-AU"/>
        </w:rPr>
        <w:t xml:space="preserve"> self-</w:t>
      </w:r>
      <w:r w:rsidR="001952CF" w:rsidRPr="00A823DA">
        <w:rPr>
          <w:rFonts w:eastAsia="Times New Roman" w:cstheme="minorHAnsi"/>
          <w:sz w:val="24"/>
          <w:szCs w:val="24"/>
          <w:lang w:eastAsia="en-AU"/>
        </w:rPr>
        <w:t xml:space="preserve">nominated three organisations as ‘partner agencies’ </w:t>
      </w:r>
      <w:bookmarkStart w:id="258" w:name="_Toc276574298"/>
      <w:bookmarkEnd w:id="256"/>
      <w:r w:rsidR="001952CF" w:rsidRPr="00A823DA">
        <w:rPr>
          <w:rFonts w:eastAsia="Times New Roman" w:cstheme="minorHAnsi"/>
          <w:sz w:val="24"/>
          <w:szCs w:val="24"/>
          <w:lang w:eastAsia="en-AU"/>
        </w:rPr>
        <w:t xml:space="preserve">that they work with most frequently (excluding sub-contracted agencies, e.g. Community Partners and consortia).  </w:t>
      </w:r>
      <w:bookmarkStart w:id="259" w:name="_Toc276368751"/>
      <w:bookmarkStart w:id="260" w:name="_Toc276574299"/>
      <w:bookmarkEnd w:id="257"/>
      <w:bookmarkEnd w:id="258"/>
      <w:r w:rsidR="001952CF" w:rsidRPr="00A823DA">
        <w:rPr>
          <w:rFonts w:eastAsia="Times New Roman" w:cstheme="minorHAnsi"/>
          <w:sz w:val="24"/>
          <w:szCs w:val="24"/>
          <w:lang w:eastAsia="en-AU"/>
        </w:rPr>
        <w:t>The nominated partner agencies were asked to complete a survey on how satisfied they were with their relationship with the</w:t>
      </w:r>
      <w:r>
        <w:rPr>
          <w:rFonts w:eastAsia="Times New Roman" w:cstheme="minorHAnsi"/>
          <w:sz w:val="24"/>
          <w:szCs w:val="24"/>
          <w:lang w:eastAsia="en-AU"/>
        </w:rPr>
        <w:t xml:space="preserve"> FSP</w:t>
      </w:r>
      <w:r w:rsidR="001952CF" w:rsidRPr="00A823DA">
        <w:rPr>
          <w:rFonts w:eastAsia="Times New Roman" w:cstheme="minorHAnsi"/>
          <w:sz w:val="24"/>
          <w:szCs w:val="24"/>
          <w:lang w:eastAsia="en-AU"/>
        </w:rPr>
        <w:t xml:space="preserve"> service provider.</w:t>
      </w:r>
      <w:bookmarkEnd w:id="259"/>
      <w:bookmarkEnd w:id="260"/>
    </w:p>
    <w:p w:rsidR="0071385A" w:rsidRPr="00A823DA" w:rsidRDefault="00E12FDA" w:rsidP="001952CF">
      <w:pPr>
        <w:spacing w:after="120"/>
        <w:rPr>
          <w:rFonts w:eastAsia="Times New Roman" w:cstheme="minorHAnsi"/>
          <w:sz w:val="24"/>
          <w:szCs w:val="24"/>
          <w:lang w:eastAsia="en-AU"/>
        </w:rPr>
      </w:pPr>
      <w:r w:rsidRPr="00442A2E">
        <w:rPr>
          <w:rFonts w:eastAsia="Times New Roman" w:cstheme="minorHAnsi"/>
          <w:sz w:val="24"/>
          <w:szCs w:val="24"/>
          <w:lang w:eastAsia="en-AU"/>
        </w:rPr>
        <w:t>The su</w:t>
      </w:r>
      <w:r>
        <w:rPr>
          <w:rFonts w:eastAsia="Times New Roman" w:cstheme="minorHAnsi"/>
          <w:sz w:val="24"/>
          <w:szCs w:val="24"/>
          <w:lang w:eastAsia="en-AU"/>
        </w:rPr>
        <w:t>rvey results indicate that a majority of the nominated partner agencies who took part in the survey had developed strong partnerships with FSP-funded organisations.  Overall, the findings indicate that FSP-funded organisations appear to have successfully engaged in a range of collaborative activities with partner agencies.</w:t>
      </w:r>
    </w:p>
    <w:p w:rsidR="001952CF" w:rsidRPr="00A823DA" w:rsidRDefault="001952CF" w:rsidP="001952CF">
      <w:pPr>
        <w:spacing w:before="0"/>
        <w:rPr>
          <w:rFonts w:eastAsia="Times New Roman" w:cstheme="minorHAnsi"/>
          <w:sz w:val="24"/>
          <w:szCs w:val="24"/>
          <w:u w:val="single"/>
          <w:lang w:eastAsia="en-AU"/>
        </w:rPr>
      </w:pPr>
      <w:r w:rsidRPr="00A823DA">
        <w:rPr>
          <w:rFonts w:eastAsia="Times New Roman" w:cstheme="minorHAnsi"/>
          <w:sz w:val="24"/>
          <w:szCs w:val="24"/>
          <w:u w:val="single"/>
          <w:lang w:eastAsia="en-AU"/>
        </w:rPr>
        <w:t>Performance indicator 3.3 - Proportion of service providers that meet approval requirements</w:t>
      </w:r>
    </w:p>
    <w:p w:rsidR="001952CF" w:rsidRDefault="001952CF" w:rsidP="001952CF">
      <w:pPr>
        <w:spacing w:after="120"/>
        <w:rPr>
          <w:rFonts w:eastAsia="Times New Roman" w:cstheme="minorHAnsi"/>
          <w:sz w:val="24"/>
          <w:szCs w:val="24"/>
          <w:lang w:eastAsia="en-AU"/>
        </w:rPr>
      </w:pPr>
      <w:r w:rsidRPr="00A823DA">
        <w:rPr>
          <w:rFonts w:eastAsia="Times New Roman" w:cstheme="minorHAnsi"/>
          <w:sz w:val="24"/>
          <w:szCs w:val="24"/>
          <w:lang w:eastAsia="en-AU"/>
        </w:rPr>
        <w:t>The FSP Administrative Approval Requirements are a set of 15 quality service standards, covering the five key risk areas of governance, financial management, viability, performance management and issues management.  FaHCSIA assessed the number of service providers which met these requirements in</w:t>
      </w:r>
      <w:r w:rsidR="0071385A">
        <w:rPr>
          <w:rFonts w:eastAsia="Times New Roman" w:cstheme="minorHAnsi"/>
          <w:sz w:val="24"/>
          <w:szCs w:val="24"/>
          <w:lang w:eastAsia="en-AU"/>
        </w:rPr>
        <w:t xml:space="preserve"> </w:t>
      </w:r>
      <w:r w:rsidRPr="00A823DA">
        <w:rPr>
          <w:rFonts w:eastAsia="Times New Roman" w:cstheme="minorHAnsi"/>
          <w:sz w:val="24"/>
          <w:szCs w:val="24"/>
          <w:lang w:eastAsia="en-AU"/>
        </w:rPr>
        <w:t>2011</w:t>
      </w:r>
      <w:r w:rsidR="000A5B4F">
        <w:rPr>
          <w:rFonts w:eastAsia="Times New Roman" w:cstheme="minorHAnsi"/>
          <w:sz w:val="24"/>
          <w:szCs w:val="24"/>
          <w:lang w:eastAsia="en-AU"/>
        </w:rPr>
        <w:noBreakHyphen/>
      </w:r>
      <w:r w:rsidRPr="00A823DA">
        <w:rPr>
          <w:rFonts w:eastAsia="Times New Roman" w:cstheme="minorHAnsi"/>
          <w:sz w:val="24"/>
          <w:szCs w:val="24"/>
          <w:lang w:eastAsia="en-AU"/>
        </w:rPr>
        <w:t>12 through information provided in the Performance Reports or Annual Services Report and by FaHCSIA Activity Managers.</w:t>
      </w:r>
    </w:p>
    <w:p w:rsidR="00E1557C" w:rsidRPr="00E1557C" w:rsidRDefault="00E1557C" w:rsidP="00E1557C">
      <w:pPr>
        <w:numPr>
          <w:ilvl w:val="0"/>
          <w:numId w:val="38"/>
        </w:numPr>
        <w:spacing w:after="120"/>
        <w:rPr>
          <w:rFonts w:eastAsia="Times New Roman" w:cstheme="minorHAnsi"/>
          <w:sz w:val="24"/>
          <w:szCs w:val="24"/>
          <w:lang w:eastAsia="en-AU"/>
        </w:rPr>
      </w:pPr>
      <w:r w:rsidRPr="00E1557C">
        <w:rPr>
          <w:rFonts w:eastAsia="Times New Roman" w:cstheme="minorHAnsi"/>
          <w:sz w:val="24"/>
          <w:szCs w:val="24"/>
          <w:lang w:eastAsia="en-AU"/>
        </w:rPr>
        <w:t>Family Relationship service providers have been required to comply with the existing set of 15 service standards for a number of years and in 2011-12 continued to comply universally.</w:t>
      </w:r>
    </w:p>
    <w:p w:rsidR="00E1557C" w:rsidRPr="00E1557C" w:rsidRDefault="00E1557C" w:rsidP="00E1557C">
      <w:pPr>
        <w:numPr>
          <w:ilvl w:val="0"/>
          <w:numId w:val="38"/>
        </w:numPr>
        <w:spacing w:after="120"/>
        <w:rPr>
          <w:rFonts w:eastAsia="Times New Roman" w:cstheme="minorHAnsi"/>
          <w:sz w:val="24"/>
          <w:szCs w:val="24"/>
          <w:lang w:eastAsia="en-AU"/>
        </w:rPr>
      </w:pPr>
      <w:r w:rsidRPr="00E1557C">
        <w:rPr>
          <w:rFonts w:eastAsia="Times New Roman" w:cstheme="minorHAnsi"/>
          <w:sz w:val="24"/>
          <w:szCs w:val="24"/>
          <w:lang w:eastAsia="en-AU"/>
        </w:rPr>
        <w:t xml:space="preserve">Some </w:t>
      </w:r>
      <w:proofErr w:type="gramStart"/>
      <w:r w:rsidRPr="00E1557C">
        <w:rPr>
          <w:rFonts w:eastAsia="Times New Roman" w:cstheme="minorHAnsi"/>
          <w:sz w:val="24"/>
          <w:szCs w:val="24"/>
          <w:lang w:eastAsia="en-AU"/>
        </w:rPr>
        <w:t>CfC</w:t>
      </w:r>
      <w:proofErr w:type="gramEnd"/>
      <w:r w:rsidRPr="00E1557C">
        <w:rPr>
          <w:rFonts w:eastAsia="Times New Roman" w:cstheme="minorHAnsi"/>
          <w:sz w:val="24"/>
          <w:szCs w:val="24"/>
          <w:lang w:eastAsia="en-AU"/>
        </w:rPr>
        <w:t xml:space="preserve"> and CP service providers that have not been required to comply with the standards in the past, were required to meet a minimum of 4 of the set of 15 approval requirements in 2011-12.</w:t>
      </w:r>
    </w:p>
    <w:p w:rsidR="00E1557C" w:rsidRPr="00E1557C" w:rsidRDefault="00E1557C" w:rsidP="00E1557C">
      <w:pPr>
        <w:numPr>
          <w:ilvl w:val="0"/>
          <w:numId w:val="38"/>
        </w:numPr>
        <w:spacing w:after="120"/>
        <w:rPr>
          <w:rFonts w:eastAsia="Times New Roman" w:cstheme="minorHAnsi"/>
          <w:sz w:val="24"/>
          <w:szCs w:val="24"/>
          <w:lang w:eastAsia="en-AU"/>
        </w:rPr>
      </w:pPr>
      <w:r w:rsidRPr="00E1557C">
        <w:rPr>
          <w:rFonts w:eastAsia="Times New Roman" w:cstheme="minorHAnsi"/>
          <w:sz w:val="24"/>
          <w:szCs w:val="24"/>
          <w:lang w:eastAsia="en-AU"/>
        </w:rPr>
        <w:t>Across the FSP the Department has been working with service providers through the Network to assist service providers to ensure ongoing compliance with the Approval Requirements.</w:t>
      </w:r>
    </w:p>
    <w:p w:rsidR="00E1557C" w:rsidRDefault="00E1557C" w:rsidP="00E1557C">
      <w:pPr>
        <w:spacing w:after="120"/>
        <w:rPr>
          <w:rFonts w:eastAsia="Times New Roman" w:cstheme="minorHAnsi"/>
          <w:sz w:val="24"/>
          <w:szCs w:val="24"/>
          <w:lang w:eastAsia="en-AU"/>
        </w:rPr>
      </w:pPr>
      <w:r>
        <w:rPr>
          <w:rFonts w:eastAsia="Times New Roman" w:cstheme="minorHAnsi"/>
          <w:sz w:val="24"/>
          <w:szCs w:val="24"/>
          <w:lang w:eastAsia="en-AU"/>
        </w:rPr>
        <w:t xml:space="preserve">In 2011-12 88 per cent of organisations reported they were fully compliant, 10.9 per cent reported partial compliance and less than one per cent </w:t>
      </w:r>
      <w:r w:rsidR="00A570F5">
        <w:rPr>
          <w:rFonts w:eastAsia="Times New Roman" w:cstheme="minorHAnsi"/>
          <w:sz w:val="24"/>
          <w:szCs w:val="24"/>
          <w:lang w:eastAsia="en-AU"/>
        </w:rPr>
        <w:t>was</w:t>
      </w:r>
      <w:r>
        <w:rPr>
          <w:rFonts w:eastAsia="Times New Roman" w:cstheme="minorHAnsi"/>
          <w:sz w:val="24"/>
          <w:szCs w:val="24"/>
          <w:lang w:eastAsia="en-AU"/>
        </w:rPr>
        <w:t xml:space="preserve"> non-compliant.</w:t>
      </w:r>
      <w:r w:rsidR="001B1C9D">
        <w:rPr>
          <w:rFonts w:eastAsia="Times New Roman" w:cstheme="minorHAnsi"/>
          <w:sz w:val="24"/>
          <w:szCs w:val="24"/>
          <w:lang w:eastAsia="en-AU"/>
        </w:rPr>
        <w:t xml:space="preserve">  </w:t>
      </w:r>
      <w:proofErr w:type="gramStart"/>
      <w:r w:rsidR="001B1C9D">
        <w:rPr>
          <w:rFonts w:eastAsia="Times New Roman" w:cstheme="minorHAnsi"/>
          <w:sz w:val="24"/>
          <w:szCs w:val="24"/>
          <w:lang w:eastAsia="en-AU"/>
        </w:rPr>
        <w:t>For those organisations identified as being partially or non-compliant, the FaHCSIA STO Network is working with these providers to address their issues.</w:t>
      </w:r>
      <w:proofErr w:type="gramEnd"/>
    </w:p>
    <w:p w:rsidR="001952CF" w:rsidRPr="00A823DA" w:rsidRDefault="001952CF" w:rsidP="001952CF">
      <w:pPr>
        <w:pStyle w:val="Heading3"/>
        <w:rPr>
          <w:rFonts w:eastAsia="Times New Roman"/>
          <w:lang w:eastAsia="en-AU"/>
        </w:rPr>
      </w:pPr>
      <w:bookmarkStart w:id="261" w:name="_Toc338944786"/>
      <w:bookmarkStart w:id="262" w:name="_Toc338945077"/>
      <w:bookmarkStart w:id="263" w:name="_Toc338945404"/>
      <w:bookmarkStart w:id="264" w:name="_Toc338945657"/>
      <w:bookmarkStart w:id="265" w:name="_Toc341705926"/>
      <w:r w:rsidRPr="00A823DA">
        <w:rPr>
          <w:rFonts w:eastAsia="Times New Roman"/>
          <w:lang w:eastAsia="en-AU"/>
        </w:rPr>
        <w:lastRenderedPageBreak/>
        <w:t>Service outputs</w:t>
      </w:r>
      <w:bookmarkEnd w:id="261"/>
      <w:bookmarkEnd w:id="262"/>
      <w:bookmarkEnd w:id="263"/>
      <w:bookmarkEnd w:id="264"/>
      <w:bookmarkEnd w:id="265"/>
    </w:p>
    <w:p w:rsidR="001952CF" w:rsidRPr="00A823DA" w:rsidRDefault="001952CF" w:rsidP="001952CF">
      <w:pPr>
        <w:spacing w:before="0" w:after="0"/>
        <w:rPr>
          <w:rFonts w:ascii="Arial" w:eastAsia="Times New Roman" w:hAnsi="Arial" w:cs="Times New Roman"/>
          <w:sz w:val="24"/>
          <w:szCs w:val="24"/>
          <w:u w:val="single"/>
          <w:lang w:eastAsia="en-AU"/>
        </w:rPr>
      </w:pPr>
    </w:p>
    <w:p w:rsidR="001952CF" w:rsidRPr="00A823DA" w:rsidRDefault="001952CF" w:rsidP="001952CF">
      <w:pPr>
        <w:spacing w:before="0"/>
        <w:rPr>
          <w:rFonts w:eastAsia="Times New Roman" w:cstheme="minorHAnsi"/>
          <w:sz w:val="24"/>
          <w:szCs w:val="24"/>
          <w:u w:val="single"/>
          <w:lang w:eastAsia="en-AU"/>
        </w:rPr>
      </w:pPr>
      <w:r w:rsidRPr="00A823DA">
        <w:rPr>
          <w:rFonts w:eastAsia="Times New Roman" w:cstheme="minorHAnsi"/>
          <w:sz w:val="24"/>
          <w:szCs w:val="24"/>
          <w:u w:val="single"/>
          <w:lang w:eastAsia="en-AU"/>
        </w:rPr>
        <w:t>Performance indicator 4.1 - Number of:</w:t>
      </w:r>
    </w:p>
    <w:p w:rsidR="001952CF" w:rsidRPr="00A823DA" w:rsidRDefault="001952CF" w:rsidP="001952CF">
      <w:pPr>
        <w:numPr>
          <w:ilvl w:val="0"/>
          <w:numId w:val="40"/>
        </w:numPr>
        <w:spacing w:before="0"/>
        <w:contextualSpacing/>
        <w:rPr>
          <w:rFonts w:eastAsia="Times New Roman" w:cstheme="minorHAnsi"/>
          <w:sz w:val="24"/>
          <w:szCs w:val="24"/>
          <w:lang w:eastAsia="en-AU"/>
        </w:rPr>
      </w:pPr>
      <w:r w:rsidRPr="00A823DA">
        <w:rPr>
          <w:rFonts w:eastAsia="Times New Roman" w:cstheme="minorHAnsi"/>
          <w:sz w:val="24"/>
          <w:szCs w:val="24"/>
          <w:lang w:eastAsia="en-AU"/>
        </w:rPr>
        <w:t>clients by demographic characteristics (see data in Section Two</w:t>
      </w:r>
      <w:r w:rsidR="008063EC">
        <w:rPr>
          <w:rFonts w:eastAsia="Times New Roman" w:cstheme="minorHAnsi"/>
          <w:sz w:val="24"/>
          <w:szCs w:val="24"/>
          <w:lang w:eastAsia="en-AU"/>
        </w:rPr>
        <w:t xml:space="preserve"> and Appendix</w:t>
      </w:r>
      <w:r w:rsidRPr="00A823DA">
        <w:rPr>
          <w:rFonts w:eastAsia="Times New Roman" w:cstheme="minorHAnsi"/>
          <w:sz w:val="24"/>
          <w:szCs w:val="24"/>
          <w:lang w:eastAsia="en-AU"/>
        </w:rPr>
        <w:t>)</w:t>
      </w:r>
    </w:p>
    <w:p w:rsidR="001952CF" w:rsidRDefault="001952CF" w:rsidP="00B64937">
      <w:pPr>
        <w:numPr>
          <w:ilvl w:val="0"/>
          <w:numId w:val="40"/>
        </w:numPr>
        <w:spacing w:before="0"/>
        <w:contextualSpacing/>
        <w:rPr>
          <w:rFonts w:eastAsia="Times New Roman" w:cstheme="minorHAnsi"/>
          <w:sz w:val="24"/>
          <w:szCs w:val="24"/>
          <w:lang w:eastAsia="en-AU"/>
        </w:rPr>
      </w:pPr>
      <w:r w:rsidRPr="00A823DA">
        <w:rPr>
          <w:rFonts w:eastAsia="Times New Roman" w:cstheme="minorHAnsi"/>
          <w:sz w:val="24"/>
          <w:szCs w:val="24"/>
          <w:lang w:eastAsia="en-AU"/>
        </w:rPr>
        <w:t>service events/activities</w:t>
      </w:r>
    </w:p>
    <w:p w:rsidR="00A455E0" w:rsidRPr="00B64937" w:rsidRDefault="00A455E0" w:rsidP="00A455E0">
      <w:pPr>
        <w:numPr>
          <w:ilvl w:val="1"/>
          <w:numId w:val="40"/>
        </w:numPr>
        <w:spacing w:before="0"/>
        <w:contextualSpacing/>
        <w:rPr>
          <w:rFonts w:eastAsia="Times New Roman" w:cstheme="minorHAnsi"/>
          <w:sz w:val="24"/>
          <w:szCs w:val="24"/>
          <w:lang w:eastAsia="en-AU"/>
        </w:rPr>
      </w:pPr>
      <w:r>
        <w:rPr>
          <w:rFonts w:eastAsia="Times New Roman" w:cstheme="minorHAnsi"/>
          <w:sz w:val="24"/>
          <w:szCs w:val="24"/>
          <w:lang w:eastAsia="en-AU"/>
        </w:rPr>
        <w:t>Data was not able to be extracted for this item however changes are being made to reporting processes which will allow this to happen in the future.</w:t>
      </w:r>
    </w:p>
    <w:p w:rsidR="001952CF" w:rsidRDefault="001952CF" w:rsidP="001952CF">
      <w:pPr>
        <w:numPr>
          <w:ilvl w:val="0"/>
          <w:numId w:val="40"/>
        </w:numPr>
        <w:spacing w:before="0"/>
        <w:contextualSpacing/>
        <w:rPr>
          <w:rFonts w:eastAsia="Times New Roman" w:cstheme="minorHAnsi"/>
          <w:sz w:val="24"/>
          <w:szCs w:val="24"/>
          <w:lang w:eastAsia="en-AU"/>
        </w:rPr>
      </w:pPr>
      <w:r w:rsidRPr="00A823DA">
        <w:rPr>
          <w:rFonts w:eastAsia="Times New Roman" w:cstheme="minorHAnsi"/>
          <w:sz w:val="24"/>
          <w:szCs w:val="24"/>
          <w:lang w:eastAsia="en-AU"/>
        </w:rPr>
        <w:t>service sites (and locations)</w:t>
      </w:r>
    </w:p>
    <w:p w:rsidR="00B64937" w:rsidRPr="00A823DA" w:rsidRDefault="00B64937" w:rsidP="00417F06">
      <w:pPr>
        <w:numPr>
          <w:ilvl w:val="1"/>
          <w:numId w:val="40"/>
        </w:numPr>
        <w:spacing w:before="0"/>
        <w:contextualSpacing/>
        <w:rPr>
          <w:rFonts w:eastAsia="Times New Roman" w:cstheme="minorHAnsi"/>
          <w:sz w:val="24"/>
          <w:szCs w:val="24"/>
          <w:lang w:eastAsia="en-AU"/>
        </w:rPr>
      </w:pPr>
      <w:r>
        <w:rPr>
          <w:rFonts w:eastAsia="Times New Roman" w:cstheme="minorHAnsi"/>
          <w:sz w:val="24"/>
          <w:szCs w:val="24"/>
          <w:lang w:eastAsia="en-AU"/>
        </w:rPr>
        <w:t xml:space="preserve">The percentage of FSP service sites in the most disadvantaged or </w:t>
      </w:r>
      <w:proofErr w:type="gramStart"/>
      <w:r>
        <w:rPr>
          <w:rFonts w:eastAsia="Times New Roman" w:cstheme="minorHAnsi"/>
          <w:sz w:val="24"/>
          <w:szCs w:val="24"/>
          <w:lang w:eastAsia="en-AU"/>
        </w:rPr>
        <w:t>targeted communities was</w:t>
      </w:r>
      <w:proofErr w:type="gramEnd"/>
      <w:r>
        <w:rPr>
          <w:rFonts w:eastAsia="Times New Roman" w:cstheme="minorHAnsi"/>
          <w:sz w:val="24"/>
          <w:szCs w:val="24"/>
          <w:lang w:eastAsia="en-AU"/>
        </w:rPr>
        <w:t xml:space="preserve"> 40.2% which exceeded the target of 25%.</w:t>
      </w:r>
    </w:p>
    <w:p w:rsidR="001952CF" w:rsidRPr="00A823DA" w:rsidRDefault="001952CF" w:rsidP="001952CF">
      <w:pPr>
        <w:spacing w:before="0"/>
        <w:ind w:left="720"/>
        <w:contextualSpacing/>
        <w:rPr>
          <w:rFonts w:eastAsia="Times New Roman" w:cstheme="minorHAnsi"/>
          <w:sz w:val="24"/>
          <w:szCs w:val="24"/>
          <w:u w:val="single"/>
          <w:lang w:eastAsia="en-AU"/>
        </w:rPr>
      </w:pPr>
    </w:p>
    <w:p w:rsidR="001952CF" w:rsidRDefault="001952CF" w:rsidP="001952CF">
      <w:pPr>
        <w:spacing w:after="120"/>
        <w:rPr>
          <w:rFonts w:eastAsia="Times New Roman" w:cstheme="minorHAnsi"/>
          <w:sz w:val="24"/>
          <w:szCs w:val="24"/>
          <w:lang w:eastAsia="en-AU"/>
        </w:rPr>
      </w:pPr>
      <w:r w:rsidRPr="00A823DA">
        <w:rPr>
          <w:rFonts w:eastAsia="Times New Roman" w:cstheme="minorHAnsi"/>
          <w:sz w:val="24"/>
          <w:szCs w:val="24"/>
          <w:lang w:eastAsia="en-AU"/>
        </w:rPr>
        <w:t>FaHCSIA collated the information from all service providers to report program-wide data.  This included details on the demographic characteristics of clients including vulnerable groups, total clients assisted, service type breakdown and locat</w:t>
      </w:r>
      <w:r w:rsidR="004C60F0" w:rsidRPr="00A823DA">
        <w:rPr>
          <w:rFonts w:eastAsia="Times New Roman" w:cstheme="minorHAnsi"/>
          <w:sz w:val="24"/>
          <w:szCs w:val="24"/>
          <w:lang w:eastAsia="en-AU"/>
        </w:rPr>
        <w:t>ions/numbers of service sites.</w:t>
      </w:r>
    </w:p>
    <w:p w:rsidR="00B4463A" w:rsidRPr="00A823DA" w:rsidRDefault="00B4463A" w:rsidP="00B4463A">
      <w:pPr>
        <w:pStyle w:val="Heading2"/>
        <w:rPr>
          <w:rFonts w:eastAsia="Times New Roman"/>
          <w:lang w:eastAsia="en-AU"/>
        </w:rPr>
      </w:pPr>
      <w:bookmarkStart w:id="266" w:name="_Toc338944787"/>
      <w:bookmarkStart w:id="267" w:name="_Toc338945078"/>
      <w:bookmarkStart w:id="268" w:name="_Toc338945405"/>
      <w:bookmarkStart w:id="269" w:name="_Toc338945658"/>
      <w:bookmarkStart w:id="270" w:name="_Toc341705927"/>
      <w:r w:rsidRPr="00A823DA">
        <w:rPr>
          <w:rFonts w:eastAsia="Times New Roman"/>
          <w:lang w:eastAsia="en-AU"/>
        </w:rPr>
        <w:t>Vulnerable and Disadvantaged Client Access Strategy (VADCAS) results</w:t>
      </w:r>
      <w:bookmarkEnd w:id="266"/>
      <w:bookmarkEnd w:id="267"/>
      <w:bookmarkEnd w:id="268"/>
      <w:bookmarkEnd w:id="269"/>
      <w:bookmarkEnd w:id="270"/>
    </w:p>
    <w:p w:rsidR="00B4463A" w:rsidRPr="00A823DA" w:rsidRDefault="00B4463A" w:rsidP="00B4463A">
      <w:pPr>
        <w:rPr>
          <w:rFonts w:eastAsia="Times New Roman"/>
          <w:sz w:val="24"/>
          <w:szCs w:val="24"/>
        </w:rPr>
      </w:pPr>
      <w:r w:rsidRPr="00A823DA">
        <w:rPr>
          <w:rFonts w:eastAsia="Times New Roman"/>
          <w:sz w:val="24"/>
          <w:szCs w:val="24"/>
        </w:rPr>
        <w:t>The Indigenous Access Plans</w:t>
      </w:r>
      <w:r w:rsidR="0071385A">
        <w:rPr>
          <w:rFonts w:eastAsia="Times New Roman"/>
          <w:sz w:val="24"/>
          <w:szCs w:val="24"/>
        </w:rPr>
        <w:t>,</w:t>
      </w:r>
      <w:r w:rsidRPr="00A823DA">
        <w:rPr>
          <w:rFonts w:eastAsia="Times New Roman"/>
          <w:sz w:val="24"/>
          <w:szCs w:val="24"/>
        </w:rPr>
        <w:t xml:space="preserve"> in particular, appear to be gaining traction in the system.  Between the first and second half of the 2011-12 financial year client data from FSP organisations has shown the proportion of Indigenous clients in </w:t>
      </w:r>
      <w:r w:rsidR="0071385A" w:rsidRPr="00A823DA">
        <w:rPr>
          <w:rFonts w:eastAsia="Times New Roman"/>
          <w:sz w:val="24"/>
          <w:szCs w:val="24"/>
        </w:rPr>
        <w:t>F</w:t>
      </w:r>
      <w:r w:rsidR="0071385A">
        <w:rPr>
          <w:rFonts w:eastAsia="Times New Roman"/>
          <w:sz w:val="24"/>
          <w:szCs w:val="24"/>
        </w:rPr>
        <w:t>SP</w:t>
      </w:r>
      <w:r w:rsidR="0071385A" w:rsidRPr="00A823DA">
        <w:rPr>
          <w:rFonts w:eastAsia="Times New Roman"/>
          <w:sz w:val="24"/>
          <w:szCs w:val="24"/>
        </w:rPr>
        <w:t xml:space="preserve"> </w:t>
      </w:r>
      <w:r w:rsidRPr="00A823DA">
        <w:rPr>
          <w:rFonts w:eastAsia="Times New Roman"/>
          <w:sz w:val="24"/>
          <w:szCs w:val="24"/>
        </w:rPr>
        <w:t xml:space="preserve">funded mainstream services (excluding Indigenous Parenting Services and Community Playgroups) has grown from nearly 10% of all clients to just over 11.5%.  Indigenous participation in AGD funded Family Law Services has improved slightly over the same period, </w:t>
      </w:r>
      <w:proofErr w:type="gramStart"/>
      <w:r w:rsidRPr="00A823DA">
        <w:rPr>
          <w:rFonts w:eastAsia="Times New Roman"/>
          <w:sz w:val="24"/>
          <w:szCs w:val="24"/>
        </w:rPr>
        <w:t>rising</w:t>
      </w:r>
      <w:proofErr w:type="gramEnd"/>
      <w:r w:rsidRPr="00A823DA">
        <w:rPr>
          <w:rFonts w:eastAsia="Times New Roman"/>
          <w:sz w:val="24"/>
          <w:szCs w:val="24"/>
        </w:rPr>
        <w:t xml:space="preserve"> from just over 3.6% of all registered clients to 4.2%. This period coincides with the VADCAS development phase and a number of VADCAS actions were in place at this time.</w:t>
      </w:r>
    </w:p>
    <w:p w:rsidR="00FF7C8F" w:rsidRPr="00A823DA" w:rsidRDefault="00FF7C8F" w:rsidP="001B2BAB">
      <w:pPr>
        <w:spacing w:before="0" w:after="0" w:line="240" w:lineRule="auto"/>
        <w:rPr>
          <w:rFonts w:ascii="Arial" w:eastAsia="Times New Roman" w:hAnsi="Arial" w:cs="Arial"/>
          <w:noProof/>
          <w:color w:val="4F6228"/>
          <w:sz w:val="18"/>
          <w:szCs w:val="18"/>
          <w:lang w:eastAsia="en-AU"/>
        </w:rPr>
        <w:sectPr w:rsidR="00FF7C8F" w:rsidRPr="00A823DA" w:rsidSect="000630B7">
          <w:pgSz w:w="11906" w:h="16838"/>
          <w:pgMar w:top="567" w:right="566" w:bottom="993" w:left="851" w:header="709" w:footer="709" w:gutter="0"/>
          <w:cols w:space="708"/>
          <w:docGrid w:linePitch="360"/>
        </w:sectPr>
      </w:pPr>
    </w:p>
    <w:p w:rsidR="001952CF" w:rsidRPr="00A823DA" w:rsidRDefault="001952CF" w:rsidP="001B2BAB">
      <w:pPr>
        <w:spacing w:before="0" w:after="0" w:line="240" w:lineRule="auto"/>
        <w:rPr>
          <w:rFonts w:ascii="Arial" w:eastAsia="Times New Roman" w:hAnsi="Arial" w:cs="Arial"/>
          <w:noProof/>
          <w:color w:val="4F6228"/>
          <w:sz w:val="18"/>
          <w:szCs w:val="18"/>
          <w:lang w:eastAsia="en-AU"/>
        </w:rPr>
      </w:pPr>
    </w:p>
    <w:p w:rsidR="00FF7C8F" w:rsidRPr="00A823DA" w:rsidRDefault="00FF7C8F" w:rsidP="00FF7C8F">
      <w:pPr>
        <w:pStyle w:val="Heading1"/>
        <w:rPr>
          <w:rFonts w:eastAsia="Times New Roman"/>
          <w:lang w:eastAsia="en-AU"/>
        </w:rPr>
      </w:pPr>
      <w:bookmarkStart w:id="271" w:name="_Toc338944788"/>
      <w:bookmarkStart w:id="272" w:name="_Toc338945079"/>
      <w:bookmarkStart w:id="273" w:name="_Toc338945406"/>
      <w:bookmarkStart w:id="274" w:name="_Toc338945659"/>
      <w:bookmarkStart w:id="275" w:name="_Toc341705928"/>
      <w:r w:rsidRPr="00A823DA">
        <w:rPr>
          <w:rFonts w:eastAsia="Times New Roman"/>
          <w:lang w:eastAsia="en-AU"/>
        </w:rPr>
        <w:t>Section Five:   Future Directions – how to improve performance</w:t>
      </w:r>
      <w:bookmarkEnd w:id="271"/>
      <w:bookmarkEnd w:id="272"/>
      <w:bookmarkEnd w:id="273"/>
      <w:bookmarkEnd w:id="274"/>
      <w:bookmarkEnd w:id="275"/>
      <w:r w:rsidRPr="00A823DA">
        <w:rPr>
          <w:rFonts w:eastAsia="Times New Roman"/>
          <w:lang w:eastAsia="en-AU"/>
        </w:rPr>
        <w:tab/>
      </w:r>
    </w:p>
    <w:p w:rsidR="00FF7C8F" w:rsidRPr="00A823DA" w:rsidRDefault="00FF7C8F" w:rsidP="00FF7C8F">
      <w:pPr>
        <w:pStyle w:val="Heading2"/>
        <w:rPr>
          <w:rFonts w:eastAsia="Times New Roman"/>
          <w:lang w:eastAsia="en-AU"/>
        </w:rPr>
      </w:pPr>
      <w:bookmarkStart w:id="276" w:name="_Toc338944789"/>
      <w:bookmarkStart w:id="277" w:name="_Toc338945080"/>
      <w:bookmarkStart w:id="278" w:name="_Toc338945407"/>
      <w:bookmarkStart w:id="279" w:name="_Toc338945660"/>
      <w:bookmarkStart w:id="280" w:name="_Toc341705929"/>
      <w:r w:rsidRPr="00A823DA">
        <w:rPr>
          <w:rFonts w:eastAsia="Times New Roman"/>
          <w:lang w:eastAsia="en-AU"/>
        </w:rPr>
        <w:t>FSP Evaluation</w:t>
      </w:r>
      <w:bookmarkEnd w:id="276"/>
      <w:bookmarkEnd w:id="277"/>
      <w:bookmarkEnd w:id="278"/>
      <w:bookmarkEnd w:id="279"/>
      <w:bookmarkEnd w:id="280"/>
    </w:p>
    <w:p w:rsidR="00FF7C8F" w:rsidRPr="00A823DA" w:rsidRDefault="00FF7C8F" w:rsidP="00FF7C8F">
      <w:pPr>
        <w:rPr>
          <w:rFonts w:eastAsia="Times New Roman"/>
          <w:sz w:val="24"/>
          <w:szCs w:val="24"/>
          <w:lang w:eastAsia="en-AU"/>
        </w:rPr>
      </w:pPr>
      <w:r w:rsidRPr="00A823DA">
        <w:rPr>
          <w:rFonts w:eastAsia="Times New Roman"/>
          <w:sz w:val="24"/>
          <w:szCs w:val="24"/>
          <w:lang w:eastAsia="en-AU"/>
        </w:rPr>
        <w:t xml:space="preserve">Many of the activities delivered through the FSP are independently evaluated, either by the </w:t>
      </w:r>
      <w:r w:rsidR="00CB6F90" w:rsidRPr="00A823DA">
        <w:rPr>
          <w:rFonts w:eastAsia="Times New Roman"/>
          <w:sz w:val="24"/>
          <w:szCs w:val="24"/>
          <w:lang w:eastAsia="en-AU"/>
        </w:rPr>
        <w:t>Department</w:t>
      </w:r>
      <w:r w:rsidRPr="00A823DA">
        <w:rPr>
          <w:rFonts w:eastAsia="Times New Roman"/>
          <w:sz w:val="24"/>
          <w:szCs w:val="24"/>
          <w:lang w:eastAsia="en-AU"/>
        </w:rPr>
        <w:t xml:space="preserve"> and/or by organisations and their academic partners.</w:t>
      </w:r>
    </w:p>
    <w:p w:rsidR="00FF7C8F" w:rsidRPr="00A823DA" w:rsidRDefault="002A57D5" w:rsidP="00FF7C8F">
      <w:pPr>
        <w:rPr>
          <w:rFonts w:eastAsia="Times New Roman"/>
          <w:sz w:val="24"/>
          <w:szCs w:val="24"/>
          <w:lang w:eastAsia="en-AU"/>
        </w:rPr>
      </w:pPr>
      <w:r w:rsidRPr="00A823DA">
        <w:rPr>
          <w:rFonts w:eastAsia="Times New Roman"/>
          <w:sz w:val="24"/>
          <w:szCs w:val="24"/>
          <w:lang w:eastAsia="en-AU"/>
        </w:rPr>
        <w:t xml:space="preserve">Research and analysis undertaken or underway includes </w:t>
      </w:r>
      <w:r w:rsidR="0071385A">
        <w:rPr>
          <w:rFonts w:eastAsia="Times New Roman"/>
          <w:sz w:val="24"/>
          <w:szCs w:val="24"/>
          <w:lang w:eastAsia="en-AU"/>
        </w:rPr>
        <w:t>t</w:t>
      </w:r>
      <w:r w:rsidR="00FF7C8F" w:rsidRPr="00A823DA">
        <w:rPr>
          <w:rFonts w:eastAsia="Times New Roman"/>
          <w:sz w:val="24"/>
          <w:szCs w:val="24"/>
          <w:lang w:eastAsia="en-AU"/>
        </w:rPr>
        <w:t>he Stronger Families in Australia longitudinal study, the evaluation of the Protect</w:t>
      </w:r>
      <w:r w:rsidRPr="00A823DA">
        <w:rPr>
          <w:rFonts w:eastAsia="Times New Roman"/>
          <w:sz w:val="24"/>
          <w:szCs w:val="24"/>
          <w:lang w:eastAsia="en-AU"/>
        </w:rPr>
        <w:t xml:space="preserve">ive Behaviours Pilot, </w:t>
      </w:r>
      <w:r w:rsidR="00FF7C8F" w:rsidRPr="00A823DA">
        <w:rPr>
          <w:rFonts w:eastAsia="Times New Roman"/>
          <w:sz w:val="24"/>
          <w:szCs w:val="24"/>
          <w:lang w:eastAsia="en-AU"/>
        </w:rPr>
        <w:t>the analysis o</w:t>
      </w:r>
      <w:r w:rsidRPr="00A823DA">
        <w:rPr>
          <w:rFonts w:eastAsia="Times New Roman"/>
          <w:sz w:val="24"/>
          <w:szCs w:val="24"/>
          <w:lang w:eastAsia="en-AU"/>
        </w:rPr>
        <w:t>f VADCAS</w:t>
      </w:r>
      <w:r w:rsidR="00322495">
        <w:rPr>
          <w:rFonts w:eastAsia="Times New Roman"/>
          <w:sz w:val="24"/>
          <w:szCs w:val="24"/>
          <w:lang w:eastAsia="en-AU"/>
        </w:rPr>
        <w:t xml:space="preserve"> best practice, the evaluation of </w:t>
      </w:r>
      <w:proofErr w:type="spellStart"/>
      <w:r w:rsidR="00322495">
        <w:rPr>
          <w:rFonts w:eastAsia="Times New Roman"/>
          <w:sz w:val="24"/>
          <w:szCs w:val="24"/>
          <w:lang w:eastAsia="en-AU"/>
        </w:rPr>
        <w:t>MyTime</w:t>
      </w:r>
      <w:proofErr w:type="spellEnd"/>
      <w:r w:rsidR="00322495">
        <w:rPr>
          <w:rFonts w:eastAsia="Times New Roman"/>
          <w:sz w:val="24"/>
          <w:szCs w:val="24"/>
          <w:lang w:eastAsia="en-AU"/>
        </w:rPr>
        <w:t xml:space="preserve"> for Grandparents, the evaluation of Find and Connect, and the evaluation of Intensive Family Support Services (IFSS – a CfC Indigenous Parenting Service)</w:t>
      </w:r>
      <w:r w:rsidRPr="00A823DA">
        <w:rPr>
          <w:rFonts w:eastAsia="Times New Roman"/>
          <w:sz w:val="24"/>
          <w:szCs w:val="24"/>
          <w:lang w:eastAsia="en-AU"/>
        </w:rPr>
        <w:t>.</w:t>
      </w:r>
    </w:p>
    <w:p w:rsidR="00FF7C8F" w:rsidRPr="00A823DA" w:rsidRDefault="00FF7C8F" w:rsidP="00FF7C8F">
      <w:pPr>
        <w:rPr>
          <w:rFonts w:eastAsia="Times New Roman"/>
          <w:sz w:val="24"/>
          <w:szCs w:val="24"/>
        </w:rPr>
      </w:pPr>
      <w:r w:rsidRPr="00A823DA">
        <w:rPr>
          <w:rFonts w:eastAsia="Calibri"/>
          <w:sz w:val="24"/>
          <w:szCs w:val="24"/>
        </w:rPr>
        <w:t>AGD have also commissioned research on activities funded under the Family Law Services stream</w:t>
      </w:r>
      <w:r w:rsidR="00322495">
        <w:rPr>
          <w:rFonts w:eastAsia="Calibri"/>
          <w:sz w:val="24"/>
          <w:szCs w:val="24"/>
        </w:rPr>
        <w:t xml:space="preserve"> of the FSP</w:t>
      </w:r>
      <w:r w:rsidRPr="00A823DA">
        <w:rPr>
          <w:rFonts w:eastAsia="Calibri"/>
          <w:sz w:val="24"/>
          <w:szCs w:val="24"/>
        </w:rPr>
        <w:t>.</w:t>
      </w:r>
    </w:p>
    <w:p w:rsidR="00FF7C8F" w:rsidRPr="00A823DA" w:rsidRDefault="00FF7C8F" w:rsidP="00FF7C8F">
      <w:pPr>
        <w:rPr>
          <w:rFonts w:eastAsia="Times New Roman"/>
          <w:sz w:val="24"/>
          <w:szCs w:val="24"/>
        </w:rPr>
      </w:pPr>
      <w:r w:rsidRPr="00A823DA">
        <w:rPr>
          <w:rFonts w:eastAsia="Times New Roman"/>
          <w:sz w:val="24"/>
          <w:szCs w:val="24"/>
        </w:rPr>
        <w:t>A diverse range of activities, projects and consul</w:t>
      </w:r>
      <w:r w:rsidR="002A57D5" w:rsidRPr="00A823DA">
        <w:rPr>
          <w:rFonts w:eastAsia="Times New Roman"/>
          <w:sz w:val="24"/>
          <w:szCs w:val="24"/>
        </w:rPr>
        <w:t>tation processes are planned or</w:t>
      </w:r>
      <w:r w:rsidRPr="00A823DA">
        <w:rPr>
          <w:rFonts w:eastAsia="Times New Roman"/>
          <w:sz w:val="24"/>
          <w:szCs w:val="24"/>
        </w:rPr>
        <w:t xml:space="preserve"> underway to address Program issues identified by the </w:t>
      </w:r>
      <w:r w:rsidR="00CB6F90" w:rsidRPr="00A823DA">
        <w:rPr>
          <w:rFonts w:eastAsia="Times New Roman"/>
          <w:sz w:val="24"/>
          <w:szCs w:val="24"/>
        </w:rPr>
        <w:t>Department</w:t>
      </w:r>
      <w:r w:rsidRPr="00A823DA">
        <w:rPr>
          <w:rFonts w:eastAsia="Times New Roman"/>
          <w:sz w:val="24"/>
          <w:szCs w:val="24"/>
        </w:rPr>
        <w:t xml:space="preserve"> and the sector.</w:t>
      </w:r>
    </w:p>
    <w:p w:rsidR="00FF7C8F" w:rsidRPr="00A823DA" w:rsidRDefault="00FF7C8F" w:rsidP="00FF7C8F">
      <w:pPr>
        <w:rPr>
          <w:rFonts w:eastAsia="Times New Roman"/>
          <w:sz w:val="24"/>
          <w:szCs w:val="24"/>
        </w:rPr>
      </w:pPr>
      <w:r w:rsidRPr="00A823DA">
        <w:rPr>
          <w:rFonts w:eastAsia="Times New Roman"/>
          <w:sz w:val="24"/>
          <w:szCs w:val="24"/>
        </w:rPr>
        <w:t xml:space="preserve">They span relatively small consultations with the sector to refine the type of data collected by the Program to wide consultations with the sector on </w:t>
      </w:r>
      <w:r w:rsidR="00322495">
        <w:rPr>
          <w:rFonts w:eastAsia="Times New Roman"/>
          <w:sz w:val="24"/>
          <w:szCs w:val="24"/>
        </w:rPr>
        <w:t xml:space="preserve">the </w:t>
      </w:r>
      <w:r w:rsidR="00AB7F1E">
        <w:rPr>
          <w:rFonts w:eastAsia="Times New Roman"/>
          <w:sz w:val="24"/>
          <w:szCs w:val="24"/>
        </w:rPr>
        <w:t>f</w:t>
      </w:r>
      <w:r w:rsidR="00322495">
        <w:rPr>
          <w:rFonts w:eastAsia="Times New Roman"/>
          <w:sz w:val="24"/>
          <w:szCs w:val="24"/>
        </w:rPr>
        <w:t xml:space="preserve">uture </w:t>
      </w:r>
      <w:r w:rsidR="00AB7F1E">
        <w:rPr>
          <w:rFonts w:eastAsia="Times New Roman"/>
          <w:sz w:val="24"/>
          <w:szCs w:val="24"/>
        </w:rPr>
        <w:t>d</w:t>
      </w:r>
      <w:r w:rsidR="00322495">
        <w:rPr>
          <w:rFonts w:eastAsia="Times New Roman"/>
          <w:sz w:val="24"/>
          <w:szCs w:val="24"/>
        </w:rPr>
        <w:t xml:space="preserve">irections of the </w:t>
      </w:r>
      <w:r w:rsidR="00AB7F1E">
        <w:rPr>
          <w:rFonts w:eastAsia="Times New Roman"/>
          <w:sz w:val="24"/>
          <w:szCs w:val="24"/>
        </w:rPr>
        <w:t>P</w:t>
      </w:r>
      <w:r w:rsidR="00322495">
        <w:rPr>
          <w:rFonts w:eastAsia="Times New Roman"/>
          <w:sz w:val="24"/>
          <w:szCs w:val="24"/>
        </w:rPr>
        <w:t>rogram</w:t>
      </w:r>
      <w:r w:rsidRPr="00A823DA">
        <w:rPr>
          <w:rFonts w:eastAsia="Times New Roman"/>
          <w:sz w:val="24"/>
          <w:szCs w:val="24"/>
        </w:rPr>
        <w:t>.</w:t>
      </w:r>
    </w:p>
    <w:p w:rsidR="00FF7C8F" w:rsidRPr="00A823DA" w:rsidRDefault="00FF7C8F" w:rsidP="00FF7C8F">
      <w:pPr>
        <w:pStyle w:val="Heading2"/>
        <w:rPr>
          <w:rFonts w:eastAsia="Times New Roman"/>
          <w:lang w:eastAsia="en-AU"/>
        </w:rPr>
      </w:pPr>
      <w:bookmarkStart w:id="281" w:name="_Toc338944790"/>
      <w:bookmarkStart w:id="282" w:name="_Toc338945081"/>
      <w:bookmarkStart w:id="283" w:name="_Toc338945408"/>
      <w:bookmarkStart w:id="284" w:name="_Toc338945661"/>
      <w:bookmarkStart w:id="285" w:name="_Toc341705930"/>
      <w:r w:rsidRPr="00A823DA">
        <w:rPr>
          <w:rFonts w:eastAsia="Times New Roman"/>
          <w:lang w:eastAsia="en-AU"/>
        </w:rPr>
        <w:t>FSP Data System (FSPDS)</w:t>
      </w:r>
      <w:bookmarkEnd w:id="281"/>
      <w:bookmarkEnd w:id="282"/>
      <w:bookmarkEnd w:id="283"/>
      <w:bookmarkEnd w:id="284"/>
      <w:bookmarkEnd w:id="285"/>
    </w:p>
    <w:p w:rsidR="00FF7C8F" w:rsidRPr="00A823DA" w:rsidRDefault="00FF7C8F" w:rsidP="00FF7C8F">
      <w:pPr>
        <w:rPr>
          <w:rFonts w:ascii="Calibri" w:eastAsia="Times New Roman" w:hAnsi="Calibri" w:cs="Times New Roman"/>
          <w:sz w:val="24"/>
          <w:szCs w:val="24"/>
        </w:rPr>
      </w:pPr>
      <w:r w:rsidRPr="00A823DA">
        <w:rPr>
          <w:rFonts w:eastAsia="Times New Roman"/>
          <w:sz w:val="24"/>
          <w:szCs w:val="24"/>
          <w:lang w:eastAsia="en-AU"/>
        </w:rPr>
        <w:t>Family and Relationship, Specialist and Family Law Services use the FSP Data System to record service data within 28 days of delivery of a service.</w:t>
      </w:r>
    </w:p>
    <w:p w:rsidR="00FF7C8F" w:rsidRPr="00A823DA" w:rsidRDefault="00FF7C8F" w:rsidP="00FF7C8F">
      <w:pPr>
        <w:rPr>
          <w:rFonts w:eastAsia="Times New Roman"/>
          <w:sz w:val="24"/>
          <w:szCs w:val="24"/>
          <w:lang w:eastAsia="en-AU"/>
        </w:rPr>
      </w:pPr>
      <w:r w:rsidRPr="00A823DA">
        <w:rPr>
          <w:rFonts w:eastAsia="Times New Roman"/>
          <w:sz w:val="24"/>
          <w:szCs w:val="24"/>
          <w:lang w:eastAsia="en-AU"/>
        </w:rPr>
        <w:t>Users have generally responded favourably to the changes introduced to the data collection system since 1 July 2011, particularly to the improved look and ‘user experience’ of the reports able to be generated.</w:t>
      </w:r>
    </w:p>
    <w:p w:rsidR="00FF7C8F" w:rsidRPr="00A823DA" w:rsidRDefault="00FF7C8F" w:rsidP="00FF7C8F">
      <w:pPr>
        <w:rPr>
          <w:rFonts w:eastAsia="Times New Roman" w:cs="Calibri"/>
          <w:color w:val="000000"/>
          <w:sz w:val="24"/>
          <w:szCs w:val="24"/>
          <w:lang w:eastAsia="en-AU"/>
        </w:rPr>
      </w:pPr>
      <w:r w:rsidRPr="00A823DA">
        <w:rPr>
          <w:rFonts w:eastAsia="Times New Roman" w:cs="Calibri"/>
          <w:color w:val="000000"/>
          <w:sz w:val="24"/>
          <w:szCs w:val="24"/>
          <w:lang w:eastAsia="en-AU"/>
        </w:rPr>
        <w:t>In early 2012</w:t>
      </w:r>
      <w:r w:rsidR="00AB7F1E">
        <w:rPr>
          <w:rFonts w:eastAsia="Times New Roman" w:cs="Calibri"/>
          <w:color w:val="000000"/>
          <w:sz w:val="24"/>
          <w:szCs w:val="24"/>
          <w:lang w:eastAsia="en-AU"/>
        </w:rPr>
        <w:t>,</w:t>
      </w:r>
      <w:r w:rsidRPr="00A823DA">
        <w:rPr>
          <w:rFonts w:eastAsia="Times New Roman" w:cs="Calibri"/>
          <w:color w:val="000000"/>
          <w:sz w:val="24"/>
          <w:szCs w:val="24"/>
          <w:lang w:eastAsia="en-AU"/>
        </w:rPr>
        <w:t xml:space="preserve"> FSP</w:t>
      </w:r>
      <w:r w:rsidR="00AB7F1E">
        <w:rPr>
          <w:rFonts w:eastAsia="Times New Roman" w:cs="Calibri"/>
          <w:color w:val="000000"/>
          <w:sz w:val="24"/>
          <w:szCs w:val="24"/>
          <w:lang w:eastAsia="en-AU"/>
        </w:rPr>
        <w:t>,</w:t>
      </w:r>
      <w:r w:rsidRPr="00A823DA">
        <w:rPr>
          <w:rFonts w:eastAsia="Times New Roman" w:cs="Calibri"/>
          <w:color w:val="000000"/>
          <w:sz w:val="24"/>
          <w:szCs w:val="24"/>
          <w:lang w:eastAsia="en-AU"/>
        </w:rPr>
        <w:t xml:space="preserve"> in conjunction with FRSA and 12 representatives from the sector</w:t>
      </w:r>
      <w:r w:rsidR="00AB7F1E">
        <w:rPr>
          <w:rFonts w:eastAsia="Times New Roman" w:cs="Calibri"/>
          <w:color w:val="000000"/>
          <w:sz w:val="24"/>
          <w:szCs w:val="24"/>
          <w:lang w:eastAsia="en-AU"/>
        </w:rPr>
        <w:t>,</w:t>
      </w:r>
      <w:r w:rsidRPr="00A823DA">
        <w:rPr>
          <w:rFonts w:eastAsia="Times New Roman" w:cs="Calibri"/>
          <w:color w:val="000000"/>
          <w:sz w:val="24"/>
          <w:szCs w:val="24"/>
          <w:lang w:eastAsia="en-AU"/>
        </w:rPr>
        <w:t xml:space="preserve"> formed a data working group.</w:t>
      </w:r>
    </w:p>
    <w:p w:rsidR="00FF7C8F" w:rsidRPr="00A823DA" w:rsidRDefault="00FF7C8F" w:rsidP="00FF7C8F">
      <w:pPr>
        <w:rPr>
          <w:rFonts w:eastAsia="Times New Roman" w:cs="Calibri"/>
          <w:color w:val="000000"/>
          <w:sz w:val="24"/>
          <w:szCs w:val="24"/>
          <w:lang w:eastAsia="en-AU"/>
        </w:rPr>
      </w:pPr>
      <w:r w:rsidRPr="00A823DA">
        <w:rPr>
          <w:rFonts w:eastAsia="Times New Roman" w:cs="Calibri"/>
          <w:color w:val="000000"/>
          <w:sz w:val="24"/>
          <w:szCs w:val="24"/>
          <w:lang w:eastAsia="en-AU"/>
        </w:rPr>
        <w:t>The purpose of the working group was to gain a greater understanding of what service providers felt were barriers when collecting data, to review the current data elements in the FSPDS and to discuss what development changes could be implemented to increase usability of the system in 2013 and 2014.</w:t>
      </w:r>
    </w:p>
    <w:p w:rsidR="00FF7C8F" w:rsidRPr="00A823DA" w:rsidRDefault="00FF7C8F" w:rsidP="00FF7C8F">
      <w:pPr>
        <w:rPr>
          <w:rFonts w:eastAsia="Times New Roman" w:cs="Calibri"/>
          <w:color w:val="000000"/>
          <w:sz w:val="24"/>
          <w:szCs w:val="24"/>
          <w:lang w:eastAsia="en-AU"/>
        </w:rPr>
      </w:pPr>
      <w:r w:rsidRPr="00A823DA">
        <w:rPr>
          <w:rFonts w:eastAsia="Times New Roman" w:cs="Calibri"/>
          <w:color w:val="000000"/>
          <w:sz w:val="24"/>
          <w:szCs w:val="24"/>
          <w:lang w:eastAsia="en-AU"/>
        </w:rPr>
        <w:t>The group met in June and August 2012 to discuss the changes to the FSPDS tha</w:t>
      </w:r>
      <w:r w:rsidR="002A57D5" w:rsidRPr="00A823DA">
        <w:rPr>
          <w:rFonts w:eastAsia="Times New Roman" w:cs="Calibri"/>
          <w:color w:val="000000"/>
          <w:sz w:val="24"/>
          <w:szCs w:val="24"/>
          <w:lang w:eastAsia="en-AU"/>
        </w:rPr>
        <w:t>t were implemented on 1 July </w:t>
      </w:r>
      <w:r w:rsidRPr="00A823DA">
        <w:rPr>
          <w:rFonts w:eastAsia="Times New Roman" w:cs="Calibri"/>
          <w:color w:val="000000"/>
          <w:sz w:val="24"/>
          <w:szCs w:val="24"/>
          <w:lang w:eastAsia="en-AU"/>
        </w:rPr>
        <w:t>2012 and to discuss potential changes that could be implemented from 1 July 2013.</w:t>
      </w:r>
    </w:p>
    <w:p w:rsidR="00FF7C8F" w:rsidRPr="00A823DA" w:rsidRDefault="00FF7C8F" w:rsidP="00FF7C8F">
      <w:pPr>
        <w:rPr>
          <w:rFonts w:eastAsia="Times New Roman" w:cs="Calibri"/>
          <w:color w:val="000000"/>
          <w:sz w:val="24"/>
          <w:szCs w:val="24"/>
          <w:lang w:eastAsia="en-AU"/>
        </w:rPr>
      </w:pPr>
      <w:r w:rsidRPr="00A823DA">
        <w:rPr>
          <w:rFonts w:eastAsia="Times New Roman" w:cs="Calibri"/>
          <w:color w:val="000000"/>
          <w:sz w:val="24"/>
          <w:szCs w:val="24"/>
          <w:lang w:eastAsia="en-AU"/>
        </w:rPr>
        <w:t>The agreed changes will be circulated to the broader sector for comment before end December 2012.</w:t>
      </w:r>
    </w:p>
    <w:p w:rsidR="00FF7C8F" w:rsidRPr="00A823DA" w:rsidRDefault="00FF7C8F" w:rsidP="00FF7C8F">
      <w:pPr>
        <w:rPr>
          <w:rFonts w:eastAsia="Times New Roman" w:cs="Calibri"/>
          <w:color w:val="000000"/>
          <w:sz w:val="24"/>
          <w:szCs w:val="24"/>
          <w:lang w:eastAsia="en-AU"/>
        </w:rPr>
      </w:pPr>
      <w:r w:rsidRPr="00A823DA">
        <w:rPr>
          <w:rFonts w:eastAsia="Times New Roman" w:cs="Calibri"/>
          <w:color w:val="000000"/>
          <w:sz w:val="24"/>
          <w:szCs w:val="24"/>
          <w:lang w:eastAsia="en-AU"/>
        </w:rPr>
        <w:t>Once broad agreement is reached on the changes</w:t>
      </w:r>
      <w:r w:rsidR="00322495">
        <w:rPr>
          <w:rFonts w:eastAsia="Times New Roman" w:cs="Calibri"/>
          <w:color w:val="000000"/>
          <w:sz w:val="24"/>
          <w:szCs w:val="24"/>
          <w:lang w:eastAsia="en-AU"/>
        </w:rPr>
        <w:t>,</w:t>
      </w:r>
      <w:r w:rsidRPr="00A823DA">
        <w:rPr>
          <w:rFonts w:eastAsia="Times New Roman" w:cs="Calibri"/>
          <w:color w:val="000000"/>
          <w:sz w:val="24"/>
          <w:szCs w:val="24"/>
          <w:lang w:eastAsia="en-AU"/>
        </w:rPr>
        <w:t xml:space="preserve"> </w:t>
      </w:r>
      <w:r w:rsidR="00322495" w:rsidRPr="00A823DA">
        <w:rPr>
          <w:rFonts w:eastAsia="Times New Roman" w:cs="Calibri"/>
          <w:color w:val="000000"/>
          <w:sz w:val="24"/>
          <w:szCs w:val="24"/>
          <w:lang w:eastAsia="en-AU"/>
        </w:rPr>
        <w:t>F</w:t>
      </w:r>
      <w:r w:rsidR="00322495">
        <w:rPr>
          <w:rFonts w:eastAsia="Times New Roman" w:cs="Calibri"/>
          <w:color w:val="000000"/>
          <w:sz w:val="24"/>
          <w:szCs w:val="24"/>
          <w:lang w:eastAsia="en-AU"/>
        </w:rPr>
        <w:t>SP</w:t>
      </w:r>
      <w:r w:rsidR="00322495" w:rsidRPr="00A823DA">
        <w:rPr>
          <w:rFonts w:eastAsia="Times New Roman" w:cs="Calibri"/>
          <w:color w:val="000000"/>
          <w:sz w:val="24"/>
          <w:szCs w:val="24"/>
          <w:lang w:eastAsia="en-AU"/>
        </w:rPr>
        <w:t xml:space="preserve"> </w:t>
      </w:r>
      <w:r w:rsidRPr="00A823DA">
        <w:rPr>
          <w:rFonts w:eastAsia="Times New Roman" w:cs="Calibri"/>
          <w:color w:val="000000"/>
          <w:sz w:val="24"/>
          <w:szCs w:val="24"/>
          <w:lang w:eastAsia="en-AU"/>
        </w:rPr>
        <w:t>will determine what can be implemented in the FSPDS by 1 July 2013.</w:t>
      </w:r>
    </w:p>
    <w:p w:rsidR="002A57D5" w:rsidRPr="00A823DA" w:rsidRDefault="002A57D5" w:rsidP="00FF7C8F">
      <w:pPr>
        <w:rPr>
          <w:rFonts w:eastAsia="Times New Roman" w:cs="Calibri"/>
          <w:color w:val="000000"/>
          <w:sz w:val="24"/>
          <w:szCs w:val="24"/>
          <w:lang w:eastAsia="en-AU"/>
        </w:rPr>
      </w:pPr>
    </w:p>
    <w:p w:rsidR="00FF7C8F" w:rsidRPr="00A823DA" w:rsidRDefault="00FF7C8F" w:rsidP="00FF7C8F">
      <w:pPr>
        <w:pStyle w:val="Heading2"/>
        <w:rPr>
          <w:rFonts w:eastAsia="Times New Roman"/>
          <w:lang w:eastAsia="en-AU"/>
        </w:rPr>
      </w:pPr>
      <w:bookmarkStart w:id="286" w:name="_Toc338944791"/>
      <w:bookmarkStart w:id="287" w:name="_Toc338945082"/>
      <w:bookmarkStart w:id="288" w:name="_Toc338945409"/>
      <w:bookmarkStart w:id="289" w:name="_Toc338945662"/>
      <w:bookmarkStart w:id="290" w:name="_Toc341705931"/>
      <w:r w:rsidRPr="00A823DA">
        <w:rPr>
          <w:rFonts w:eastAsia="Times New Roman"/>
          <w:lang w:eastAsia="en-AU"/>
        </w:rPr>
        <w:lastRenderedPageBreak/>
        <w:t>Communities for Children reporting</w:t>
      </w:r>
      <w:bookmarkEnd w:id="286"/>
      <w:bookmarkEnd w:id="287"/>
      <w:bookmarkEnd w:id="288"/>
      <w:bookmarkEnd w:id="289"/>
      <w:bookmarkEnd w:id="290"/>
    </w:p>
    <w:p w:rsidR="00FF7C8F" w:rsidRPr="00A823DA" w:rsidRDefault="00FF7C8F" w:rsidP="00FF7C8F">
      <w:pPr>
        <w:rPr>
          <w:rFonts w:eastAsia="Times New Roman"/>
          <w:sz w:val="24"/>
          <w:szCs w:val="24"/>
          <w:lang w:eastAsia="en-AU"/>
        </w:rPr>
      </w:pPr>
      <w:proofErr w:type="gramStart"/>
      <w:r w:rsidRPr="00A823DA">
        <w:rPr>
          <w:rFonts w:eastAsia="Times New Roman"/>
          <w:sz w:val="24"/>
          <w:szCs w:val="24"/>
          <w:lang w:eastAsia="en-AU"/>
        </w:rPr>
        <w:t>CfC</w:t>
      </w:r>
      <w:proofErr w:type="gramEnd"/>
      <w:r w:rsidRPr="00A823DA">
        <w:rPr>
          <w:rFonts w:eastAsia="Times New Roman"/>
          <w:sz w:val="24"/>
          <w:szCs w:val="24"/>
          <w:lang w:eastAsia="en-AU"/>
        </w:rPr>
        <w:t xml:space="preserve"> service providers are required to submit a Performance Report to the </w:t>
      </w:r>
      <w:r w:rsidR="00CB6F90" w:rsidRPr="00A823DA">
        <w:rPr>
          <w:rFonts w:eastAsia="Times New Roman"/>
          <w:sz w:val="24"/>
          <w:szCs w:val="24"/>
          <w:lang w:eastAsia="en-AU"/>
        </w:rPr>
        <w:t>Department</w:t>
      </w:r>
      <w:r w:rsidRPr="00A823DA">
        <w:rPr>
          <w:rFonts w:eastAsia="Times New Roman"/>
          <w:sz w:val="24"/>
          <w:szCs w:val="24"/>
          <w:lang w:eastAsia="en-AU"/>
        </w:rPr>
        <w:t xml:space="preserve"> in July and February of each financial year.  The Report details aggregated client data for July to December and January to June.</w:t>
      </w:r>
    </w:p>
    <w:p w:rsidR="00FF7C8F" w:rsidRPr="00A823DA" w:rsidRDefault="00FF7C8F" w:rsidP="00FF7C8F">
      <w:pPr>
        <w:rPr>
          <w:rFonts w:eastAsia="Times New Roman"/>
          <w:sz w:val="24"/>
          <w:szCs w:val="24"/>
          <w:lang w:eastAsia="en-AU"/>
        </w:rPr>
      </w:pPr>
      <w:r w:rsidRPr="00A823DA">
        <w:rPr>
          <w:rFonts w:eastAsia="Times New Roman"/>
          <w:sz w:val="24"/>
          <w:szCs w:val="24"/>
          <w:lang w:eastAsia="en-AU"/>
        </w:rPr>
        <w:t>To reduce the provider reporting burden for the Performance Report due to be completed in January 2013, the Performance Report template has been streamlined, providing a clearer line of sight between the FSP objectives and the outputs and achievements of service providers towards the FSP outcomes.  The number of questions to be answered has been reduced, with problematic questions removed and remaining questions simplified.</w:t>
      </w:r>
    </w:p>
    <w:p w:rsidR="00FF7C8F" w:rsidRPr="00A823DA" w:rsidRDefault="00FF7C8F" w:rsidP="00FF7C8F">
      <w:pPr>
        <w:rPr>
          <w:rFonts w:eastAsia="Times New Roman" w:cs="Arial"/>
          <w:sz w:val="24"/>
          <w:szCs w:val="24"/>
        </w:rPr>
      </w:pPr>
      <w:r w:rsidRPr="00A823DA">
        <w:rPr>
          <w:rFonts w:eastAsia="Times New Roman" w:cs="Arial"/>
          <w:sz w:val="24"/>
          <w:szCs w:val="24"/>
        </w:rPr>
        <w:t xml:space="preserve">The changes to the Performance Report included feedback from </w:t>
      </w:r>
      <w:proofErr w:type="gramStart"/>
      <w:r w:rsidRPr="00A823DA">
        <w:rPr>
          <w:rFonts w:eastAsia="Times New Roman" w:cs="Arial"/>
          <w:sz w:val="24"/>
          <w:szCs w:val="24"/>
        </w:rPr>
        <w:t>CfC</w:t>
      </w:r>
      <w:proofErr w:type="gramEnd"/>
      <w:r w:rsidRPr="00A823DA">
        <w:rPr>
          <w:rFonts w:eastAsia="Times New Roman" w:cs="Arial"/>
          <w:sz w:val="24"/>
          <w:szCs w:val="24"/>
        </w:rPr>
        <w:t xml:space="preserve"> providers on the Report’s content.  Providers strongly indicated that the reporting burden, particularly on those providers receiving lower levels of funding, is too high.</w:t>
      </w:r>
      <w:r w:rsidR="002A57D5" w:rsidRPr="00A823DA">
        <w:rPr>
          <w:rFonts w:eastAsia="Times New Roman" w:cs="Arial"/>
          <w:sz w:val="24"/>
          <w:szCs w:val="24"/>
        </w:rPr>
        <w:t xml:space="preserve">  </w:t>
      </w:r>
      <w:r w:rsidRPr="00A823DA">
        <w:rPr>
          <w:rFonts w:eastAsia="Times New Roman" w:cs="Arial"/>
          <w:sz w:val="24"/>
          <w:szCs w:val="24"/>
        </w:rPr>
        <w:t xml:space="preserve">In the first quarter of 2013, the </w:t>
      </w:r>
      <w:r w:rsidR="00CB6F90" w:rsidRPr="00A823DA">
        <w:rPr>
          <w:rFonts w:eastAsia="Times New Roman" w:cs="Arial"/>
          <w:sz w:val="24"/>
          <w:szCs w:val="24"/>
        </w:rPr>
        <w:t>Department</w:t>
      </w:r>
      <w:r w:rsidRPr="00A823DA">
        <w:rPr>
          <w:rFonts w:eastAsia="Times New Roman" w:cs="Arial"/>
          <w:sz w:val="24"/>
          <w:szCs w:val="24"/>
        </w:rPr>
        <w:t xml:space="preserve"> will be consulting with providers on more </w:t>
      </w:r>
      <w:r w:rsidR="00322495">
        <w:rPr>
          <w:rFonts w:eastAsia="Times New Roman" w:cs="Arial"/>
          <w:sz w:val="24"/>
          <w:szCs w:val="24"/>
        </w:rPr>
        <w:t>significant</w:t>
      </w:r>
      <w:r w:rsidR="00322495" w:rsidRPr="00A823DA">
        <w:rPr>
          <w:rFonts w:eastAsia="Times New Roman" w:cs="Arial"/>
          <w:sz w:val="24"/>
          <w:szCs w:val="24"/>
        </w:rPr>
        <w:t xml:space="preserve"> </w:t>
      </w:r>
      <w:r w:rsidRPr="00A823DA">
        <w:rPr>
          <w:rFonts w:eastAsia="Times New Roman" w:cs="Arial"/>
          <w:sz w:val="24"/>
          <w:szCs w:val="24"/>
        </w:rPr>
        <w:t xml:space="preserve">changes which could be made to the Performance Report for the reporting period July to December 2013.  The data currently collected by FSP will be reviewed to ensure the </w:t>
      </w:r>
      <w:r w:rsidR="00CB6F90" w:rsidRPr="00A823DA">
        <w:rPr>
          <w:rFonts w:eastAsia="Times New Roman" w:cs="Arial"/>
          <w:sz w:val="24"/>
          <w:szCs w:val="24"/>
        </w:rPr>
        <w:t>Department</w:t>
      </w:r>
      <w:r w:rsidRPr="00A823DA">
        <w:rPr>
          <w:rFonts w:eastAsia="Times New Roman" w:cs="Arial"/>
          <w:sz w:val="24"/>
          <w:szCs w:val="24"/>
        </w:rPr>
        <w:t xml:space="preserve"> collects only that information for which it has a specific use</w:t>
      </w:r>
      <w:r w:rsidR="00322495">
        <w:rPr>
          <w:rFonts w:eastAsia="Times New Roman" w:cs="Arial"/>
          <w:sz w:val="24"/>
          <w:szCs w:val="24"/>
        </w:rPr>
        <w:t>, including building evidence about program and activity effectiveness</w:t>
      </w:r>
      <w:r w:rsidRPr="00A823DA">
        <w:rPr>
          <w:rFonts w:eastAsia="Times New Roman" w:cs="Arial"/>
          <w:sz w:val="24"/>
          <w:szCs w:val="24"/>
        </w:rPr>
        <w:t>.</w:t>
      </w:r>
    </w:p>
    <w:p w:rsidR="00FF7C8F" w:rsidRPr="00A823DA" w:rsidRDefault="00322495" w:rsidP="00D40B2D">
      <w:pPr>
        <w:pStyle w:val="Heading2"/>
        <w:rPr>
          <w:rFonts w:eastAsia="Times New Roman"/>
          <w:lang w:eastAsia="en-AU"/>
        </w:rPr>
      </w:pPr>
      <w:bookmarkStart w:id="291" w:name="_Toc341705932"/>
      <w:r>
        <w:rPr>
          <w:rFonts w:eastAsia="Times New Roman"/>
          <w:lang w:eastAsia="en-AU"/>
        </w:rPr>
        <w:t>FSP Future Directions</w:t>
      </w:r>
      <w:bookmarkEnd w:id="291"/>
    </w:p>
    <w:p w:rsidR="00FF7C8F" w:rsidRPr="00A823DA" w:rsidRDefault="00FF7C8F" w:rsidP="00D40B2D">
      <w:pPr>
        <w:rPr>
          <w:rFonts w:eastAsia="Times New Roman"/>
          <w:sz w:val="24"/>
          <w:szCs w:val="24"/>
          <w:lang w:eastAsia="en-AU"/>
        </w:rPr>
      </w:pPr>
      <w:r w:rsidRPr="00A823DA">
        <w:rPr>
          <w:rFonts w:eastAsia="Times New Roman"/>
          <w:sz w:val="24"/>
          <w:szCs w:val="24"/>
          <w:lang w:eastAsia="en-AU"/>
        </w:rPr>
        <w:t xml:space="preserve">The Hon Julie Collins MP, Minister for Community Services and Minister for the Status of </w:t>
      </w:r>
      <w:r w:rsidR="00322495">
        <w:rPr>
          <w:rFonts w:eastAsia="Times New Roman"/>
          <w:sz w:val="24"/>
          <w:szCs w:val="24"/>
          <w:lang w:eastAsia="en-AU"/>
        </w:rPr>
        <w:t>W</w:t>
      </w:r>
      <w:r w:rsidRPr="00A823DA">
        <w:rPr>
          <w:rFonts w:eastAsia="Times New Roman"/>
          <w:sz w:val="24"/>
          <w:szCs w:val="24"/>
          <w:lang w:eastAsia="en-AU"/>
        </w:rPr>
        <w:t xml:space="preserve">omen, released </w:t>
      </w:r>
      <w:r w:rsidR="00322495">
        <w:rPr>
          <w:rFonts w:eastAsia="Times New Roman"/>
          <w:sz w:val="24"/>
          <w:szCs w:val="24"/>
          <w:lang w:eastAsia="en-AU"/>
        </w:rPr>
        <w:t xml:space="preserve">the </w:t>
      </w:r>
      <w:r w:rsidRPr="00A823DA">
        <w:rPr>
          <w:rFonts w:eastAsia="Times New Roman"/>
          <w:sz w:val="24"/>
          <w:szCs w:val="24"/>
          <w:lang w:eastAsia="en-AU"/>
        </w:rPr>
        <w:t xml:space="preserve">Family Support Program Future Directions Discussions Paper on 15 October 2012 as a means to commence dialogue with the sector and other key stakeholders </w:t>
      </w:r>
      <w:r w:rsidR="00322495">
        <w:rPr>
          <w:rFonts w:eastAsia="Times New Roman"/>
          <w:sz w:val="24"/>
          <w:szCs w:val="24"/>
          <w:lang w:eastAsia="en-AU"/>
        </w:rPr>
        <w:t>about</w:t>
      </w:r>
      <w:r w:rsidRPr="00A823DA">
        <w:rPr>
          <w:rFonts w:eastAsia="Times New Roman"/>
          <w:sz w:val="24"/>
          <w:szCs w:val="24"/>
          <w:lang w:eastAsia="en-AU"/>
        </w:rPr>
        <w:t xml:space="preserve"> how the FSP can be strengthened.</w:t>
      </w:r>
    </w:p>
    <w:p w:rsidR="00322495" w:rsidRDefault="00322495" w:rsidP="00D40B2D">
      <w:pPr>
        <w:rPr>
          <w:rFonts w:eastAsia="Times New Roman"/>
          <w:sz w:val="24"/>
          <w:szCs w:val="24"/>
          <w:lang w:eastAsia="en-AU"/>
        </w:rPr>
      </w:pPr>
      <w:r>
        <w:rPr>
          <w:rFonts w:eastAsia="Times New Roman"/>
          <w:sz w:val="24"/>
          <w:szCs w:val="24"/>
          <w:lang w:eastAsia="en-AU"/>
        </w:rPr>
        <w:t>Written</w:t>
      </w:r>
      <w:r w:rsidR="00FF7C8F" w:rsidRPr="00A823DA">
        <w:rPr>
          <w:rFonts w:eastAsia="Times New Roman"/>
          <w:sz w:val="24"/>
          <w:szCs w:val="24"/>
          <w:lang w:eastAsia="en-AU"/>
        </w:rPr>
        <w:t xml:space="preserve"> submissions</w:t>
      </w:r>
      <w:r>
        <w:rPr>
          <w:rFonts w:eastAsia="Times New Roman"/>
          <w:sz w:val="24"/>
          <w:szCs w:val="24"/>
          <w:lang w:eastAsia="en-AU"/>
        </w:rPr>
        <w:t xml:space="preserve"> on the Discussion Paper are due 30 November 2012 and</w:t>
      </w:r>
      <w:r w:rsidR="00FF7C8F" w:rsidRPr="00A823DA">
        <w:rPr>
          <w:rFonts w:eastAsia="Times New Roman"/>
          <w:sz w:val="24"/>
          <w:szCs w:val="24"/>
          <w:lang w:eastAsia="en-AU"/>
        </w:rPr>
        <w:t xml:space="preserve"> key themes</w:t>
      </w:r>
      <w:r>
        <w:rPr>
          <w:rFonts w:eastAsia="Times New Roman"/>
          <w:sz w:val="24"/>
          <w:szCs w:val="24"/>
          <w:lang w:eastAsia="en-AU"/>
        </w:rPr>
        <w:t xml:space="preserve"> from these submissions will be</w:t>
      </w:r>
      <w:r w:rsidR="00FF7C8F" w:rsidRPr="00A823DA">
        <w:rPr>
          <w:rFonts w:eastAsia="Times New Roman"/>
          <w:sz w:val="24"/>
          <w:szCs w:val="24"/>
          <w:lang w:eastAsia="en-AU"/>
        </w:rPr>
        <w:t xml:space="preserve"> posted to the website</w:t>
      </w:r>
      <w:r>
        <w:rPr>
          <w:rFonts w:eastAsia="Times New Roman"/>
          <w:sz w:val="24"/>
          <w:szCs w:val="24"/>
          <w:lang w:eastAsia="en-AU"/>
        </w:rPr>
        <w:t xml:space="preserve"> </w:t>
      </w:r>
      <w:hyperlink r:id="rId29" w:history="1">
        <w:r w:rsidR="00277DAF">
          <w:rPr>
            <w:rStyle w:val="Hyperlink"/>
            <w:rFonts w:eastAsia="Times New Roman"/>
            <w:sz w:val="24"/>
            <w:szCs w:val="24"/>
            <w:lang w:eastAsia="en-AU"/>
          </w:rPr>
          <w:t>Family Support Program Future Directions Discussion Paper October 2012</w:t>
        </w:r>
      </w:hyperlink>
      <w:r>
        <w:rPr>
          <w:rFonts w:eastAsia="Times New Roman"/>
          <w:sz w:val="24"/>
          <w:szCs w:val="24"/>
          <w:lang w:eastAsia="en-AU"/>
        </w:rPr>
        <w:t>.</w:t>
      </w:r>
    </w:p>
    <w:p w:rsidR="00FF7C8F" w:rsidRPr="00A823DA" w:rsidRDefault="00FF7C8F" w:rsidP="00D40B2D">
      <w:pPr>
        <w:rPr>
          <w:rFonts w:eastAsia="Times New Roman"/>
          <w:sz w:val="24"/>
          <w:szCs w:val="24"/>
          <w:lang w:eastAsia="en-AU"/>
        </w:rPr>
      </w:pPr>
      <w:r w:rsidRPr="00A823DA">
        <w:rPr>
          <w:rFonts w:eastAsia="Times New Roman"/>
          <w:sz w:val="24"/>
          <w:szCs w:val="24"/>
          <w:lang w:eastAsia="en-AU"/>
        </w:rPr>
        <w:t>Early in 2013, there will be a round of</w:t>
      </w:r>
      <w:r w:rsidR="004E7E43">
        <w:rPr>
          <w:rFonts w:eastAsia="Times New Roman"/>
          <w:sz w:val="24"/>
          <w:szCs w:val="24"/>
          <w:lang w:eastAsia="en-AU"/>
        </w:rPr>
        <w:t xml:space="preserve"> face-to-face</w:t>
      </w:r>
      <w:r w:rsidRPr="00A823DA">
        <w:rPr>
          <w:rFonts w:eastAsia="Times New Roman"/>
          <w:sz w:val="24"/>
          <w:szCs w:val="24"/>
          <w:lang w:eastAsia="en-AU"/>
        </w:rPr>
        <w:t xml:space="preserve"> consultations with the sector on the </w:t>
      </w:r>
      <w:r w:rsidR="004E7E43">
        <w:rPr>
          <w:rFonts w:eastAsia="Times New Roman"/>
          <w:sz w:val="24"/>
          <w:szCs w:val="24"/>
          <w:lang w:eastAsia="en-AU"/>
        </w:rPr>
        <w:t>future directions of FSP</w:t>
      </w:r>
      <w:r w:rsidRPr="00A823DA">
        <w:rPr>
          <w:rFonts w:eastAsia="Times New Roman"/>
          <w:sz w:val="24"/>
          <w:szCs w:val="24"/>
          <w:lang w:eastAsia="en-AU"/>
        </w:rPr>
        <w:t>.</w:t>
      </w:r>
    </w:p>
    <w:p w:rsidR="00FF7C8F" w:rsidRPr="00A823DA" w:rsidRDefault="00FF7C8F" w:rsidP="00D40B2D">
      <w:pPr>
        <w:pStyle w:val="Heading2"/>
        <w:rPr>
          <w:rFonts w:eastAsia="Times New Roman"/>
          <w:lang w:eastAsia="en-AU"/>
        </w:rPr>
      </w:pPr>
      <w:bookmarkStart w:id="292" w:name="_Toc338944794"/>
      <w:bookmarkStart w:id="293" w:name="_Toc338945085"/>
      <w:bookmarkStart w:id="294" w:name="_Toc338945412"/>
      <w:bookmarkStart w:id="295" w:name="_Toc338945665"/>
      <w:bookmarkStart w:id="296" w:name="_Toc341705933"/>
      <w:r w:rsidRPr="00A823DA">
        <w:rPr>
          <w:rFonts w:eastAsia="Times New Roman"/>
          <w:lang w:eastAsia="en-AU"/>
        </w:rPr>
        <w:t>What we</w:t>
      </w:r>
      <w:r w:rsidR="004E7E43">
        <w:rPr>
          <w:rFonts w:eastAsia="Times New Roman"/>
          <w:lang w:eastAsia="en-AU"/>
        </w:rPr>
        <w:t xml:space="preserve"> know we</w:t>
      </w:r>
      <w:r w:rsidRPr="00A823DA">
        <w:rPr>
          <w:rFonts w:eastAsia="Times New Roman"/>
          <w:lang w:eastAsia="en-AU"/>
        </w:rPr>
        <w:t xml:space="preserve"> </w:t>
      </w:r>
      <w:r w:rsidR="00524812">
        <w:rPr>
          <w:rFonts w:eastAsia="Times New Roman"/>
          <w:lang w:eastAsia="en-AU"/>
        </w:rPr>
        <w:t xml:space="preserve">could </w:t>
      </w:r>
      <w:r w:rsidRPr="00A823DA">
        <w:rPr>
          <w:rFonts w:eastAsia="Times New Roman"/>
          <w:lang w:eastAsia="en-AU"/>
        </w:rPr>
        <w:t>have done better</w:t>
      </w:r>
      <w:bookmarkEnd w:id="292"/>
      <w:bookmarkEnd w:id="293"/>
      <w:bookmarkEnd w:id="294"/>
      <w:bookmarkEnd w:id="295"/>
      <w:bookmarkEnd w:id="296"/>
    </w:p>
    <w:p w:rsidR="00524812" w:rsidRPr="00442A2E" w:rsidRDefault="001367B4" w:rsidP="00442A2E">
      <w:pPr>
        <w:rPr>
          <w:rFonts w:eastAsia="Times New Roman"/>
          <w:sz w:val="24"/>
          <w:szCs w:val="24"/>
          <w:lang w:eastAsia="en-AU"/>
        </w:rPr>
      </w:pPr>
      <w:r>
        <w:rPr>
          <w:rFonts w:eastAsia="Times New Roman"/>
          <w:sz w:val="24"/>
          <w:szCs w:val="24"/>
          <w:lang w:eastAsia="en-AU"/>
        </w:rPr>
        <w:t>Over the course of 2011-12, t</w:t>
      </w:r>
      <w:r w:rsidR="00524812">
        <w:rPr>
          <w:rFonts w:eastAsia="Times New Roman"/>
          <w:sz w:val="24"/>
          <w:szCs w:val="24"/>
          <w:lang w:eastAsia="en-AU"/>
        </w:rPr>
        <w:t xml:space="preserve">he FSP Branch </w:t>
      </w:r>
      <w:r>
        <w:rPr>
          <w:rFonts w:eastAsia="Times New Roman"/>
          <w:sz w:val="24"/>
          <w:szCs w:val="24"/>
          <w:lang w:eastAsia="en-AU"/>
        </w:rPr>
        <w:t>has sought</w:t>
      </w:r>
      <w:r w:rsidR="00524812">
        <w:rPr>
          <w:rFonts w:eastAsia="Times New Roman"/>
          <w:sz w:val="24"/>
          <w:szCs w:val="24"/>
          <w:lang w:eastAsia="en-AU"/>
        </w:rPr>
        <w:t xml:space="preserve"> to make </w:t>
      </w:r>
      <w:r>
        <w:rPr>
          <w:rFonts w:eastAsia="Times New Roman"/>
          <w:sz w:val="24"/>
          <w:szCs w:val="24"/>
          <w:lang w:eastAsia="en-AU"/>
        </w:rPr>
        <w:t>improvements</w:t>
      </w:r>
      <w:r w:rsidR="00524812">
        <w:rPr>
          <w:rFonts w:eastAsia="Times New Roman"/>
          <w:sz w:val="24"/>
          <w:szCs w:val="24"/>
          <w:lang w:eastAsia="en-AU"/>
        </w:rPr>
        <w:t xml:space="preserve"> </w:t>
      </w:r>
      <w:r>
        <w:rPr>
          <w:rFonts w:eastAsia="Times New Roman"/>
          <w:sz w:val="24"/>
          <w:szCs w:val="24"/>
          <w:lang w:eastAsia="en-AU"/>
        </w:rPr>
        <w:t xml:space="preserve">wherever possible to </w:t>
      </w:r>
      <w:r w:rsidR="00DF2650">
        <w:rPr>
          <w:rFonts w:eastAsia="Times New Roman"/>
          <w:sz w:val="24"/>
          <w:szCs w:val="24"/>
          <w:lang w:eastAsia="en-AU"/>
        </w:rPr>
        <w:t xml:space="preserve">its </w:t>
      </w:r>
      <w:r>
        <w:rPr>
          <w:rFonts w:eastAsia="Times New Roman"/>
          <w:sz w:val="24"/>
          <w:szCs w:val="24"/>
          <w:lang w:eastAsia="en-AU"/>
        </w:rPr>
        <w:t>processes</w:t>
      </w:r>
      <w:r w:rsidR="00524812">
        <w:rPr>
          <w:rFonts w:eastAsia="Times New Roman"/>
          <w:sz w:val="24"/>
          <w:szCs w:val="24"/>
          <w:lang w:eastAsia="en-AU"/>
        </w:rPr>
        <w:t xml:space="preserve">, particularly in the areas of data collection and reporting.  It is acknowledged </w:t>
      </w:r>
      <w:r w:rsidR="0033288E">
        <w:rPr>
          <w:rFonts w:eastAsia="Times New Roman"/>
          <w:sz w:val="24"/>
          <w:szCs w:val="24"/>
          <w:lang w:eastAsia="en-AU"/>
        </w:rPr>
        <w:t xml:space="preserve">however </w:t>
      </w:r>
      <w:r w:rsidR="00524812">
        <w:rPr>
          <w:rFonts w:eastAsia="Times New Roman"/>
          <w:sz w:val="24"/>
          <w:szCs w:val="24"/>
          <w:lang w:eastAsia="en-AU"/>
        </w:rPr>
        <w:t>that further work is required</w:t>
      </w:r>
      <w:r w:rsidR="007D6E97">
        <w:rPr>
          <w:rFonts w:eastAsia="Times New Roman"/>
          <w:sz w:val="24"/>
          <w:szCs w:val="24"/>
          <w:lang w:eastAsia="en-AU"/>
        </w:rPr>
        <w:t>, particularly in consulting with the sector in a more timely and effective fashion.</w:t>
      </w:r>
    </w:p>
    <w:p w:rsidR="00FF7C8F" w:rsidRDefault="001B5D0A" w:rsidP="00442A2E">
      <w:pPr>
        <w:spacing w:before="0" w:after="120" w:line="240" w:lineRule="auto"/>
        <w:rPr>
          <w:rFonts w:eastAsia="Times New Roman" w:cstheme="minorHAnsi"/>
          <w:sz w:val="24"/>
          <w:szCs w:val="24"/>
          <w:lang w:eastAsia="en-AU"/>
        </w:rPr>
      </w:pPr>
      <w:r>
        <w:rPr>
          <w:rFonts w:eastAsia="Times New Roman" w:cstheme="minorHAnsi"/>
          <w:sz w:val="24"/>
          <w:szCs w:val="24"/>
          <w:lang w:eastAsia="en-AU"/>
        </w:rPr>
        <w:t xml:space="preserve">One of the issues raised by service providers is the timely </w:t>
      </w:r>
      <w:r w:rsidR="008B525D">
        <w:rPr>
          <w:rFonts w:eastAsia="Times New Roman" w:cstheme="minorHAnsi"/>
          <w:sz w:val="24"/>
          <w:szCs w:val="24"/>
          <w:lang w:eastAsia="en-AU"/>
        </w:rPr>
        <w:t>distribution of reporting templates</w:t>
      </w:r>
      <w:r>
        <w:rPr>
          <w:rFonts w:eastAsia="Times New Roman" w:cstheme="minorHAnsi"/>
          <w:sz w:val="24"/>
          <w:szCs w:val="24"/>
          <w:lang w:eastAsia="en-AU"/>
        </w:rPr>
        <w:t xml:space="preserve">.  The FSP Branch is endeavouring to address this issue and is aiming to </w:t>
      </w:r>
      <w:r w:rsidR="00DF2650">
        <w:rPr>
          <w:rFonts w:eastAsia="Times New Roman" w:cstheme="minorHAnsi"/>
          <w:sz w:val="24"/>
          <w:szCs w:val="24"/>
          <w:lang w:eastAsia="en-AU"/>
        </w:rPr>
        <w:t>g</w:t>
      </w:r>
      <w:r w:rsidR="00FF7C8F" w:rsidRPr="00442A2E">
        <w:rPr>
          <w:rFonts w:eastAsia="Times New Roman" w:cstheme="minorHAnsi"/>
          <w:sz w:val="24"/>
          <w:szCs w:val="24"/>
          <w:lang w:eastAsia="en-AU"/>
        </w:rPr>
        <w:t>et reporting template</w:t>
      </w:r>
      <w:r w:rsidR="00DF2650">
        <w:rPr>
          <w:rFonts w:eastAsia="Times New Roman" w:cstheme="minorHAnsi"/>
          <w:sz w:val="24"/>
          <w:szCs w:val="24"/>
          <w:lang w:eastAsia="en-AU"/>
        </w:rPr>
        <w:t>s</w:t>
      </w:r>
      <w:r w:rsidR="00FF7C8F" w:rsidRPr="00442A2E">
        <w:rPr>
          <w:rFonts w:eastAsia="Times New Roman" w:cstheme="minorHAnsi"/>
          <w:sz w:val="24"/>
          <w:szCs w:val="24"/>
          <w:lang w:eastAsia="en-AU"/>
        </w:rPr>
        <w:t xml:space="preserve"> out earlier</w:t>
      </w:r>
      <w:r>
        <w:rPr>
          <w:rFonts w:eastAsia="Times New Roman" w:cstheme="minorHAnsi"/>
          <w:sz w:val="24"/>
          <w:szCs w:val="24"/>
          <w:lang w:eastAsia="en-AU"/>
        </w:rPr>
        <w:t xml:space="preserve"> to give service providers enough time to incorporate considered and detailed respon</w:t>
      </w:r>
      <w:r w:rsidR="00661D5E">
        <w:rPr>
          <w:rFonts w:eastAsia="Times New Roman" w:cstheme="minorHAnsi"/>
          <w:sz w:val="24"/>
          <w:szCs w:val="24"/>
          <w:lang w:eastAsia="en-AU"/>
        </w:rPr>
        <w:t>ses</w:t>
      </w:r>
      <w:r>
        <w:rPr>
          <w:rFonts w:eastAsia="Times New Roman" w:cstheme="minorHAnsi"/>
          <w:sz w:val="24"/>
          <w:szCs w:val="24"/>
          <w:lang w:eastAsia="en-AU"/>
        </w:rPr>
        <w:t xml:space="preserve">.  </w:t>
      </w:r>
      <w:r w:rsidR="007C2449">
        <w:rPr>
          <w:rFonts w:eastAsia="Times New Roman" w:cstheme="minorHAnsi"/>
          <w:sz w:val="24"/>
          <w:szCs w:val="24"/>
          <w:lang w:eastAsia="en-AU"/>
        </w:rPr>
        <w:t>In October, t</w:t>
      </w:r>
      <w:r w:rsidR="00F4067A">
        <w:rPr>
          <w:rFonts w:eastAsia="Times New Roman" w:cstheme="minorHAnsi"/>
          <w:sz w:val="24"/>
          <w:szCs w:val="24"/>
          <w:lang w:eastAsia="en-AU"/>
        </w:rPr>
        <w:t xml:space="preserve">he FSP Branch sent out a draft of the proposed amended CfC and Community Playgroups six monthly report template for the 1 July to 31 December 2012 period to allow service providers to start collecting data.  It is expected that the </w:t>
      </w:r>
      <w:r w:rsidR="007C2449">
        <w:rPr>
          <w:rFonts w:eastAsia="Times New Roman" w:cstheme="minorHAnsi"/>
          <w:sz w:val="24"/>
          <w:szCs w:val="24"/>
          <w:lang w:eastAsia="en-AU"/>
        </w:rPr>
        <w:t xml:space="preserve">final </w:t>
      </w:r>
      <w:r w:rsidR="00F4067A">
        <w:rPr>
          <w:rFonts w:eastAsia="Times New Roman" w:cstheme="minorHAnsi"/>
          <w:sz w:val="24"/>
          <w:szCs w:val="24"/>
          <w:lang w:eastAsia="en-AU"/>
        </w:rPr>
        <w:t>six monthly performance report template will be distributed to service providers through Activity Managers in December 2012</w:t>
      </w:r>
      <w:r w:rsidR="00F86A8B">
        <w:rPr>
          <w:rFonts w:eastAsia="Times New Roman" w:cstheme="minorHAnsi"/>
          <w:sz w:val="24"/>
          <w:szCs w:val="24"/>
          <w:lang w:eastAsia="en-AU"/>
        </w:rPr>
        <w:t>.</w:t>
      </w:r>
      <w:r w:rsidR="007374AA">
        <w:rPr>
          <w:rFonts w:eastAsia="Times New Roman" w:cstheme="minorHAnsi"/>
          <w:sz w:val="24"/>
          <w:szCs w:val="24"/>
          <w:lang w:eastAsia="en-AU"/>
        </w:rPr>
        <w:t xml:space="preserve">  The FSP Branch will also be investigating further streamlining of reports and reporting requirements.</w:t>
      </w:r>
    </w:p>
    <w:p w:rsidR="000E4891" w:rsidRDefault="000A2F74" w:rsidP="00442A2E">
      <w:pPr>
        <w:spacing w:before="0" w:after="120" w:line="240" w:lineRule="auto"/>
        <w:rPr>
          <w:rFonts w:eastAsia="Times New Roman" w:cstheme="minorHAnsi"/>
          <w:sz w:val="24"/>
          <w:szCs w:val="24"/>
          <w:lang w:eastAsia="en-AU"/>
        </w:rPr>
      </w:pPr>
      <w:r>
        <w:rPr>
          <w:rFonts w:eastAsia="Times New Roman" w:cstheme="minorHAnsi"/>
          <w:sz w:val="24"/>
          <w:szCs w:val="24"/>
          <w:lang w:eastAsia="en-AU"/>
        </w:rPr>
        <w:lastRenderedPageBreak/>
        <w:t>Service providers are required to provide client data and performance information through FSPDS, six monthly performance reports and the Annual Service Report.  In gathering this information, the FSP Branch</w:t>
      </w:r>
      <w:r w:rsidR="009649D9">
        <w:rPr>
          <w:rFonts w:eastAsia="Times New Roman" w:cstheme="minorHAnsi"/>
          <w:sz w:val="24"/>
          <w:szCs w:val="24"/>
          <w:lang w:eastAsia="en-AU"/>
        </w:rPr>
        <w:t xml:space="preserve"> recognises that it needs to </w:t>
      </w:r>
      <w:r>
        <w:rPr>
          <w:rFonts w:eastAsia="Times New Roman" w:cstheme="minorHAnsi"/>
          <w:sz w:val="24"/>
          <w:szCs w:val="24"/>
          <w:lang w:eastAsia="en-AU"/>
        </w:rPr>
        <w:t xml:space="preserve">provide this information </w:t>
      </w:r>
      <w:r w:rsidR="00FF7C8F" w:rsidRPr="00442A2E">
        <w:rPr>
          <w:rFonts w:eastAsia="Times New Roman" w:cstheme="minorHAnsi"/>
          <w:sz w:val="24"/>
          <w:szCs w:val="24"/>
          <w:lang w:eastAsia="en-AU"/>
        </w:rPr>
        <w:t>back</w:t>
      </w:r>
      <w:r w:rsidR="008B525D">
        <w:rPr>
          <w:rFonts w:eastAsia="Times New Roman" w:cstheme="minorHAnsi"/>
          <w:sz w:val="24"/>
          <w:szCs w:val="24"/>
          <w:lang w:eastAsia="en-AU"/>
        </w:rPr>
        <w:t xml:space="preserve"> to the sector</w:t>
      </w:r>
      <w:r w:rsidR="00FF7C8F" w:rsidRPr="00442A2E">
        <w:rPr>
          <w:rFonts w:eastAsia="Times New Roman" w:cstheme="minorHAnsi"/>
          <w:sz w:val="24"/>
          <w:szCs w:val="24"/>
          <w:lang w:eastAsia="en-AU"/>
        </w:rPr>
        <w:t xml:space="preserve"> in a </w:t>
      </w:r>
      <w:proofErr w:type="gramStart"/>
      <w:r w:rsidR="00FF7C8F" w:rsidRPr="00442A2E">
        <w:rPr>
          <w:rFonts w:eastAsia="Times New Roman" w:cstheme="minorHAnsi"/>
          <w:sz w:val="24"/>
          <w:szCs w:val="24"/>
          <w:lang w:eastAsia="en-AU"/>
        </w:rPr>
        <w:t>more timely</w:t>
      </w:r>
      <w:proofErr w:type="gramEnd"/>
      <w:r w:rsidR="00FF7C8F" w:rsidRPr="00442A2E">
        <w:rPr>
          <w:rFonts w:eastAsia="Times New Roman" w:cstheme="minorHAnsi"/>
          <w:sz w:val="24"/>
          <w:szCs w:val="24"/>
          <w:lang w:eastAsia="en-AU"/>
        </w:rPr>
        <w:t xml:space="preserve"> manner</w:t>
      </w:r>
      <w:r w:rsidR="0023185D">
        <w:rPr>
          <w:rFonts w:eastAsia="Times New Roman" w:cstheme="minorHAnsi"/>
          <w:sz w:val="24"/>
          <w:szCs w:val="24"/>
          <w:lang w:eastAsia="en-AU"/>
        </w:rPr>
        <w:t xml:space="preserve"> and in a form which better informs the sector</w:t>
      </w:r>
      <w:r w:rsidR="00590B6D">
        <w:rPr>
          <w:rFonts w:eastAsia="Times New Roman" w:cstheme="minorHAnsi"/>
          <w:sz w:val="24"/>
          <w:szCs w:val="24"/>
          <w:lang w:eastAsia="en-AU"/>
        </w:rPr>
        <w:t>.</w:t>
      </w:r>
      <w:r w:rsidR="00277B18">
        <w:rPr>
          <w:rFonts w:eastAsia="Times New Roman" w:cstheme="minorHAnsi"/>
          <w:sz w:val="24"/>
          <w:szCs w:val="24"/>
          <w:lang w:eastAsia="en-AU"/>
        </w:rPr>
        <w:t xml:space="preserve">  A</w:t>
      </w:r>
      <w:r w:rsidR="009649D9">
        <w:rPr>
          <w:rFonts w:eastAsia="Times New Roman" w:cstheme="minorHAnsi"/>
          <w:sz w:val="24"/>
          <w:szCs w:val="24"/>
          <w:lang w:eastAsia="en-AU"/>
        </w:rPr>
        <w:t xml:space="preserve">s part of this process, </w:t>
      </w:r>
      <w:r w:rsidR="00277B18">
        <w:rPr>
          <w:rFonts w:eastAsia="Times New Roman" w:cstheme="minorHAnsi"/>
          <w:sz w:val="24"/>
          <w:szCs w:val="24"/>
          <w:lang w:eastAsia="en-AU"/>
        </w:rPr>
        <w:t>examples of best practice and innovatio</w:t>
      </w:r>
      <w:r w:rsidR="009649D9">
        <w:rPr>
          <w:rFonts w:eastAsia="Times New Roman" w:cstheme="minorHAnsi"/>
          <w:sz w:val="24"/>
          <w:szCs w:val="24"/>
          <w:lang w:eastAsia="en-AU"/>
        </w:rPr>
        <w:t>n, case studies and any other informative qualitative data sourced from performance reports will be provided</w:t>
      </w:r>
      <w:r w:rsidR="00277B18">
        <w:rPr>
          <w:rFonts w:eastAsia="Times New Roman" w:cstheme="minorHAnsi"/>
          <w:sz w:val="24"/>
          <w:szCs w:val="24"/>
          <w:lang w:eastAsia="en-AU"/>
        </w:rPr>
        <w:t xml:space="preserve"> </w:t>
      </w:r>
      <w:r w:rsidR="009649D9">
        <w:rPr>
          <w:rFonts w:eastAsia="Times New Roman" w:cstheme="minorHAnsi"/>
          <w:sz w:val="24"/>
          <w:szCs w:val="24"/>
          <w:lang w:eastAsia="en-AU"/>
        </w:rPr>
        <w:t xml:space="preserve">to </w:t>
      </w:r>
      <w:r w:rsidR="000E4891">
        <w:rPr>
          <w:rFonts w:eastAsia="Times New Roman" w:cstheme="minorHAnsi"/>
          <w:sz w:val="24"/>
          <w:szCs w:val="24"/>
          <w:lang w:eastAsia="en-AU"/>
        </w:rPr>
        <w:t xml:space="preserve">all FSP </w:t>
      </w:r>
      <w:r w:rsidR="009649D9">
        <w:rPr>
          <w:rFonts w:eastAsia="Times New Roman" w:cstheme="minorHAnsi"/>
          <w:sz w:val="24"/>
          <w:szCs w:val="24"/>
          <w:lang w:eastAsia="en-AU"/>
        </w:rPr>
        <w:t>service providers.</w:t>
      </w:r>
    </w:p>
    <w:p w:rsidR="000E4891" w:rsidRDefault="0023185D" w:rsidP="00442A2E">
      <w:pPr>
        <w:spacing w:before="0" w:after="120" w:line="240" w:lineRule="auto"/>
        <w:rPr>
          <w:rFonts w:eastAsia="Times New Roman" w:cstheme="minorHAnsi"/>
          <w:sz w:val="24"/>
          <w:szCs w:val="24"/>
          <w:lang w:eastAsia="en-AU"/>
        </w:rPr>
      </w:pPr>
      <w:r>
        <w:rPr>
          <w:rFonts w:eastAsia="Times New Roman" w:cstheme="minorHAnsi"/>
          <w:sz w:val="24"/>
          <w:szCs w:val="24"/>
          <w:lang w:eastAsia="en-AU"/>
        </w:rPr>
        <w:t xml:space="preserve">It should be recognised </w:t>
      </w:r>
      <w:r w:rsidR="003451BD">
        <w:rPr>
          <w:rFonts w:eastAsia="Times New Roman" w:cstheme="minorHAnsi"/>
          <w:sz w:val="24"/>
          <w:szCs w:val="24"/>
          <w:lang w:eastAsia="en-AU"/>
        </w:rPr>
        <w:t xml:space="preserve">that collating and analysing information received from FSP service providers is a time consuming process.  Some automated processes are being put in place which </w:t>
      </w:r>
      <w:r w:rsidR="007C2449">
        <w:rPr>
          <w:rFonts w:eastAsia="Times New Roman" w:cstheme="minorHAnsi"/>
          <w:sz w:val="24"/>
          <w:szCs w:val="24"/>
          <w:lang w:eastAsia="en-AU"/>
        </w:rPr>
        <w:t>it is</w:t>
      </w:r>
      <w:r w:rsidR="003451BD">
        <w:rPr>
          <w:rFonts w:eastAsia="Times New Roman" w:cstheme="minorHAnsi"/>
          <w:sz w:val="24"/>
          <w:szCs w:val="24"/>
          <w:lang w:eastAsia="en-AU"/>
        </w:rPr>
        <w:t xml:space="preserve"> hoped will speed up the extraction and collation of information from performance reports.</w:t>
      </w:r>
      <w:r w:rsidR="000E4891">
        <w:rPr>
          <w:rFonts w:eastAsia="Times New Roman" w:cstheme="minorHAnsi"/>
          <w:sz w:val="24"/>
          <w:szCs w:val="24"/>
          <w:lang w:eastAsia="en-AU"/>
        </w:rPr>
        <w:t xml:space="preserve">  This will be reflected in the new structure of the </w:t>
      </w:r>
      <w:proofErr w:type="gramStart"/>
      <w:r w:rsidR="000E4891">
        <w:rPr>
          <w:rFonts w:eastAsia="Times New Roman" w:cstheme="minorHAnsi"/>
          <w:sz w:val="24"/>
          <w:szCs w:val="24"/>
          <w:lang w:eastAsia="en-AU"/>
        </w:rPr>
        <w:t>CfC</w:t>
      </w:r>
      <w:proofErr w:type="gramEnd"/>
      <w:r w:rsidR="000E4891">
        <w:rPr>
          <w:rFonts w:eastAsia="Times New Roman" w:cstheme="minorHAnsi"/>
          <w:sz w:val="24"/>
          <w:szCs w:val="24"/>
          <w:lang w:eastAsia="en-AU"/>
        </w:rPr>
        <w:t xml:space="preserve"> and Community Playgroups six monthly performance report template.</w:t>
      </w:r>
    </w:p>
    <w:p w:rsidR="00FF7C8F" w:rsidRPr="00DB112D" w:rsidRDefault="000E4891" w:rsidP="00442A2E">
      <w:pPr>
        <w:spacing w:before="0" w:after="120" w:line="240" w:lineRule="auto"/>
        <w:rPr>
          <w:rFonts w:eastAsia="Times New Roman" w:cstheme="minorHAnsi"/>
          <w:sz w:val="24"/>
          <w:szCs w:val="24"/>
          <w:lang w:eastAsia="en-AU"/>
        </w:rPr>
      </w:pPr>
      <w:r>
        <w:rPr>
          <w:rFonts w:eastAsia="Times New Roman" w:cstheme="minorHAnsi"/>
          <w:sz w:val="24"/>
          <w:szCs w:val="24"/>
          <w:lang w:eastAsia="en-AU"/>
        </w:rPr>
        <w:t xml:space="preserve">As highlighted earlier in this Report, </w:t>
      </w:r>
      <w:r w:rsidR="008041C5">
        <w:rPr>
          <w:rFonts w:eastAsia="Times New Roman" w:cstheme="minorHAnsi"/>
          <w:sz w:val="24"/>
          <w:szCs w:val="24"/>
          <w:lang w:eastAsia="en-AU"/>
        </w:rPr>
        <w:t>the FSP Branch has been working with the sector to identify and implement improvements to data collection through t</w:t>
      </w:r>
      <w:r w:rsidR="000049E6">
        <w:rPr>
          <w:rFonts w:eastAsia="Times New Roman" w:cstheme="minorHAnsi"/>
          <w:sz w:val="24"/>
          <w:szCs w:val="24"/>
          <w:lang w:eastAsia="en-AU"/>
        </w:rPr>
        <w:t>he FSPDS.  T</w:t>
      </w:r>
      <w:r w:rsidR="008041C5">
        <w:rPr>
          <w:rFonts w:eastAsia="Times New Roman" w:cstheme="minorHAnsi"/>
          <w:sz w:val="24"/>
          <w:szCs w:val="24"/>
          <w:lang w:eastAsia="en-AU"/>
        </w:rPr>
        <w:t>his will continue into the future and</w:t>
      </w:r>
      <w:r w:rsidR="000049E6">
        <w:rPr>
          <w:rFonts w:eastAsia="Times New Roman" w:cstheme="minorHAnsi"/>
          <w:sz w:val="24"/>
          <w:szCs w:val="24"/>
          <w:lang w:eastAsia="en-AU"/>
        </w:rPr>
        <w:t xml:space="preserve"> it is expected further work will be undertaken to consider how </w:t>
      </w:r>
      <w:r w:rsidR="008041C5">
        <w:rPr>
          <w:rFonts w:eastAsia="Times New Roman" w:cstheme="minorHAnsi"/>
          <w:sz w:val="24"/>
          <w:szCs w:val="24"/>
          <w:lang w:eastAsia="en-AU"/>
        </w:rPr>
        <w:t>best to incorpor</w:t>
      </w:r>
      <w:r w:rsidR="000049E6">
        <w:rPr>
          <w:rFonts w:eastAsia="Times New Roman" w:cstheme="minorHAnsi"/>
          <w:sz w:val="24"/>
          <w:szCs w:val="24"/>
          <w:lang w:eastAsia="en-AU"/>
        </w:rPr>
        <w:t>ate service activities not currently reported</w:t>
      </w:r>
      <w:r w:rsidR="008041C5">
        <w:rPr>
          <w:rFonts w:eastAsia="Times New Roman" w:cstheme="minorHAnsi"/>
          <w:sz w:val="24"/>
          <w:szCs w:val="24"/>
          <w:lang w:eastAsia="en-AU"/>
        </w:rPr>
        <w:t xml:space="preserve"> through FSPDS.  </w:t>
      </w:r>
      <w:r w:rsidR="007D6E97">
        <w:rPr>
          <w:rFonts w:eastAsia="Times New Roman" w:cstheme="minorHAnsi"/>
          <w:sz w:val="24"/>
          <w:szCs w:val="24"/>
          <w:lang w:eastAsia="en-AU"/>
        </w:rPr>
        <w:t>All</w:t>
      </w:r>
      <w:r w:rsidR="00756C47">
        <w:rPr>
          <w:rFonts w:eastAsia="Times New Roman" w:cstheme="minorHAnsi"/>
          <w:sz w:val="24"/>
          <w:szCs w:val="24"/>
          <w:lang w:eastAsia="en-AU"/>
        </w:rPr>
        <w:t xml:space="preserve"> amendments</w:t>
      </w:r>
      <w:r w:rsidR="008041C5">
        <w:rPr>
          <w:rFonts w:eastAsia="Times New Roman" w:cstheme="minorHAnsi"/>
          <w:sz w:val="24"/>
          <w:szCs w:val="24"/>
          <w:lang w:eastAsia="en-AU"/>
        </w:rPr>
        <w:t xml:space="preserve"> to the FSPDS </w:t>
      </w:r>
      <w:r w:rsidR="00756C47">
        <w:rPr>
          <w:rFonts w:eastAsia="Times New Roman" w:cstheme="minorHAnsi"/>
          <w:sz w:val="24"/>
          <w:szCs w:val="24"/>
          <w:lang w:eastAsia="en-AU"/>
        </w:rPr>
        <w:t xml:space="preserve">require a long lead time and </w:t>
      </w:r>
      <w:r w:rsidR="007D6E97">
        <w:rPr>
          <w:rFonts w:eastAsia="Times New Roman" w:cstheme="minorHAnsi"/>
          <w:sz w:val="24"/>
          <w:szCs w:val="24"/>
          <w:lang w:eastAsia="en-AU"/>
        </w:rPr>
        <w:t xml:space="preserve">typically </w:t>
      </w:r>
      <w:r w:rsidR="00756C47">
        <w:rPr>
          <w:rFonts w:eastAsia="Times New Roman" w:cstheme="minorHAnsi"/>
          <w:sz w:val="24"/>
          <w:szCs w:val="24"/>
          <w:lang w:eastAsia="en-AU"/>
        </w:rPr>
        <w:t>there is a limited window of opportunity (four weeks per annum) to have system changes implemented</w:t>
      </w:r>
      <w:r w:rsidR="007D6E97">
        <w:rPr>
          <w:rFonts w:eastAsia="Times New Roman" w:cstheme="minorHAnsi"/>
          <w:sz w:val="24"/>
          <w:szCs w:val="24"/>
          <w:lang w:eastAsia="en-AU"/>
        </w:rPr>
        <w:t>.  Should there be any reason/s why system changes suggested by service providers cannot be implemented, the FSP Branch will endeavour to provide this feedback to the sector.</w:t>
      </w:r>
      <w:bookmarkStart w:id="297" w:name="_Chart_5.:_"/>
      <w:bookmarkStart w:id="298" w:name="_Chart_5.2:_"/>
      <w:bookmarkEnd w:id="297"/>
      <w:bookmarkEnd w:id="298"/>
    </w:p>
    <w:p w:rsidR="004E7E43" w:rsidRPr="00442A2E" w:rsidRDefault="004E7E43" w:rsidP="00FF7C8F">
      <w:pPr>
        <w:spacing w:before="0" w:after="0"/>
        <w:rPr>
          <w:rFonts w:eastAsia="Times New Roman"/>
          <w:sz w:val="24"/>
          <w:szCs w:val="24"/>
          <w:lang w:eastAsia="en-AU"/>
        </w:rPr>
      </w:pPr>
      <w:r w:rsidRPr="00442A2E">
        <w:rPr>
          <w:rFonts w:eastAsia="Times New Roman"/>
          <w:sz w:val="24"/>
          <w:szCs w:val="24"/>
          <w:lang w:eastAsia="en-AU"/>
        </w:rPr>
        <w:t xml:space="preserve">We welcome your feedback on this report which provides a snapshot of the FSP data and performance reports, to ensure an annual report of this nature is useful to </w:t>
      </w:r>
      <w:r w:rsidR="007C2449">
        <w:rPr>
          <w:rFonts w:eastAsia="Times New Roman"/>
          <w:sz w:val="24"/>
          <w:szCs w:val="24"/>
          <w:lang w:eastAsia="en-AU"/>
        </w:rPr>
        <w:t xml:space="preserve">FSP </w:t>
      </w:r>
      <w:r w:rsidRPr="00442A2E">
        <w:rPr>
          <w:rFonts w:eastAsia="Times New Roman"/>
          <w:sz w:val="24"/>
          <w:szCs w:val="24"/>
          <w:lang w:eastAsia="en-AU"/>
        </w:rPr>
        <w:t>providers.</w:t>
      </w:r>
    </w:p>
    <w:p w:rsidR="00A570F5" w:rsidRDefault="00A570F5" w:rsidP="005B09F5">
      <w:pPr>
        <w:pStyle w:val="Heading1"/>
        <w:rPr>
          <w:rFonts w:ascii="Arial" w:eastAsia="Times New Roman" w:hAnsi="Arial" w:cs="Arial"/>
          <w:noProof/>
          <w:color w:val="4F6228"/>
          <w:sz w:val="18"/>
          <w:szCs w:val="18"/>
          <w:lang w:eastAsia="en-AU"/>
        </w:rPr>
        <w:sectPr w:rsidR="00A570F5" w:rsidSect="007A4BF7">
          <w:pgSz w:w="11906" w:h="16838"/>
          <w:pgMar w:top="720" w:right="720" w:bottom="720" w:left="720" w:header="708" w:footer="708" w:gutter="0"/>
          <w:cols w:space="708"/>
          <w:docGrid w:linePitch="360"/>
        </w:sectPr>
      </w:pPr>
    </w:p>
    <w:p w:rsidR="000A2940" w:rsidRPr="00A823DA" w:rsidRDefault="005B09F5" w:rsidP="005B09F5">
      <w:pPr>
        <w:pStyle w:val="Heading1"/>
        <w:rPr>
          <w:rFonts w:eastAsia="Times New Roman"/>
        </w:rPr>
      </w:pPr>
      <w:bookmarkStart w:id="299" w:name="_Toc341705934"/>
      <w:r w:rsidRPr="00A823DA">
        <w:rPr>
          <w:rFonts w:eastAsia="Times New Roman"/>
        </w:rPr>
        <w:lastRenderedPageBreak/>
        <w:t>APPENDIX</w:t>
      </w:r>
      <w:bookmarkEnd w:id="299"/>
    </w:p>
    <w:p w:rsidR="00F97DD7" w:rsidRPr="00A823DA" w:rsidRDefault="00B307A6">
      <w:pPr>
        <w:rPr>
          <w:rFonts w:eastAsia="Times New Roman"/>
          <w:caps/>
          <w:noProof/>
          <w:color w:val="4F6228" w:themeColor="accent3" w:themeShade="80"/>
          <w:spacing w:val="15"/>
          <w:sz w:val="22"/>
          <w:szCs w:val="22"/>
          <w:lang w:eastAsia="en-AU"/>
        </w:rPr>
      </w:pPr>
      <w:r w:rsidRPr="00A823DA">
        <w:rPr>
          <w:rFonts w:eastAsia="Times New Roman"/>
          <w:noProof/>
          <w:sz w:val="24"/>
          <w:szCs w:val="24"/>
          <w:lang w:eastAsia="en-AU"/>
        </w:rPr>
        <w:t>This Appendix contains charts and tables with additional data collected from Annual Service Reports and six monthly Performance Reports which may be of interset to service providers.</w:t>
      </w:r>
    </w:p>
    <w:p w:rsidR="00A719E0" w:rsidRPr="00A823DA" w:rsidRDefault="00A719E0" w:rsidP="00A719E0">
      <w:pPr>
        <w:pStyle w:val="Heading3"/>
        <w:rPr>
          <w:rFonts w:eastAsia="Times New Roman"/>
          <w:noProof/>
          <w:lang w:eastAsia="en-AU"/>
        </w:rPr>
      </w:pPr>
      <w:bookmarkStart w:id="300" w:name="_Toc341705935"/>
      <w:r w:rsidRPr="00A823DA">
        <w:rPr>
          <w:rFonts w:eastAsia="Times New Roman"/>
          <w:noProof/>
          <w:lang w:eastAsia="en-AU"/>
        </w:rPr>
        <w:t>FSP data</w:t>
      </w:r>
      <w:bookmarkEnd w:id="300"/>
    </w:p>
    <w:p w:rsidR="005B09F5" w:rsidRPr="00A823DA" w:rsidRDefault="005B09F5" w:rsidP="005B09F5">
      <w:pPr>
        <w:pStyle w:val="Heading4"/>
        <w:rPr>
          <w:rFonts w:eastAsia="Times New Roman"/>
          <w:lang w:eastAsia="en-AU"/>
        </w:rPr>
      </w:pPr>
      <w:r w:rsidRPr="00A823DA">
        <w:rPr>
          <w:rFonts w:eastAsia="Times New Roman"/>
          <w:lang w:eastAsia="en-AU"/>
        </w:rPr>
        <w:t xml:space="preserve">Chart - Percentage of FSP clients by age 2011-12 </w:t>
      </w:r>
    </w:p>
    <w:p w:rsidR="005B09F5" w:rsidRPr="00A823DA" w:rsidRDefault="005B09F5" w:rsidP="005B09F5">
      <w:pPr>
        <w:spacing w:before="0" w:after="0" w:line="240" w:lineRule="auto"/>
        <w:rPr>
          <w:rFonts w:ascii="Arial" w:eastAsia="Times New Roman" w:hAnsi="Arial" w:cs="Arial"/>
          <w:sz w:val="22"/>
          <w:szCs w:val="22"/>
        </w:rPr>
      </w:pPr>
    </w:p>
    <w:p w:rsidR="005B09F5" w:rsidRPr="006E0B2B" w:rsidRDefault="005B09F5" w:rsidP="006E0B2B">
      <w:pPr>
        <w:rPr>
          <w:rFonts w:eastAsia="Times New Roman"/>
          <w:sz w:val="24"/>
          <w:szCs w:val="24"/>
        </w:rPr>
      </w:pPr>
      <w:r w:rsidRPr="006E0B2B">
        <w:rPr>
          <w:rFonts w:eastAsia="Times New Roman"/>
          <w:sz w:val="24"/>
          <w:szCs w:val="24"/>
        </w:rPr>
        <w:t>The highest number of FSP clients was recorded against the Adults 18 years plus cohort followed by children 0 to &lt;5 years, Children 5 to &lt;13 years and finally a small proportion of clients from the Youth 13 to &lt;18 years age group.</w:t>
      </w:r>
    </w:p>
    <w:p w:rsidR="005B09F5" w:rsidRPr="00A823DA" w:rsidRDefault="005B09F5" w:rsidP="005B09F5">
      <w:pPr>
        <w:spacing w:before="0" w:after="0" w:line="240" w:lineRule="auto"/>
        <w:rPr>
          <w:rFonts w:ascii="Arial" w:eastAsia="Times New Roman" w:hAnsi="Arial" w:cs="Arial"/>
          <w:sz w:val="22"/>
          <w:szCs w:val="22"/>
        </w:rPr>
      </w:pPr>
    </w:p>
    <w:p w:rsidR="00B307A6" w:rsidRPr="00A823DA" w:rsidRDefault="005B09F5">
      <w:pPr>
        <w:rPr>
          <w:rFonts w:eastAsia="Times New Roman"/>
          <w:caps/>
          <w:color w:val="4F6228" w:themeColor="accent3" w:themeShade="80"/>
          <w:spacing w:val="10"/>
          <w:sz w:val="22"/>
          <w:szCs w:val="22"/>
          <w:lang w:eastAsia="en-AU"/>
        </w:rPr>
      </w:pPr>
      <w:r w:rsidRPr="00A823DA">
        <w:rPr>
          <w:rFonts w:ascii="Calibri" w:eastAsia="Times New Roman" w:hAnsi="Calibri" w:cs="Times New Roman"/>
          <w:noProof/>
          <w:lang w:eastAsia="en-AU"/>
        </w:rPr>
        <w:drawing>
          <wp:inline distT="0" distB="0" distL="0" distR="0" wp14:anchorId="50E34098" wp14:editId="3931DFC9">
            <wp:extent cx="5943600" cy="2257425"/>
            <wp:effectExtent l="0" t="0" r="0" b="9525"/>
            <wp:docPr id="1" name="Picture 1" descr="The chart shows percentage of FSP clients by the four age categories of adults 18 years plus; youth 13 to under 18 years; children 5 to under 13 years and children 0 to under 5 years for 2011-12.  The highest percentage of clients was in the Adults 18 years plus category (57.07%), the next highest percentage of clients was in the Children 0 to under 5 years category (28.88%); followed by Children 5 to under 13 years (11.57%) and the lowest percentage of clients was from the Youth 13 to under 18 years category (2.48%)." title="Percentage of FSP clients by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2257425"/>
                    </a:xfrm>
                    <a:prstGeom prst="rect">
                      <a:avLst/>
                    </a:prstGeom>
                    <a:noFill/>
                    <a:ln>
                      <a:noFill/>
                    </a:ln>
                  </pic:spPr>
                </pic:pic>
              </a:graphicData>
            </a:graphic>
          </wp:inline>
        </w:drawing>
      </w:r>
    </w:p>
    <w:p w:rsidR="00902268" w:rsidRDefault="00902268" w:rsidP="00142765">
      <w:pPr>
        <w:pStyle w:val="Heading4"/>
        <w:rPr>
          <w:rFonts w:eastAsia="Times New Roman"/>
          <w:lang w:eastAsia="en-AU"/>
        </w:rPr>
      </w:pPr>
      <w:r>
        <w:rPr>
          <w:rFonts w:eastAsia="Times New Roman"/>
          <w:lang w:eastAsia="en-AU"/>
        </w:rPr>
        <w:br w:type="page"/>
      </w:r>
    </w:p>
    <w:p w:rsidR="00142765" w:rsidRDefault="00142765" w:rsidP="00142765">
      <w:pPr>
        <w:pStyle w:val="Heading4"/>
        <w:rPr>
          <w:rFonts w:eastAsia="Times New Roman"/>
          <w:lang w:eastAsia="en-AU"/>
        </w:rPr>
      </w:pPr>
      <w:r w:rsidRPr="00A823DA">
        <w:rPr>
          <w:rFonts w:eastAsia="Times New Roman"/>
          <w:lang w:eastAsia="en-AU"/>
        </w:rPr>
        <w:lastRenderedPageBreak/>
        <w:t>Chart - Percentage of clients from demographic groups by service type 2011-12</w:t>
      </w:r>
    </w:p>
    <w:p w:rsidR="008B7C51" w:rsidRPr="00417F06" w:rsidRDefault="008B7C51" w:rsidP="00417F06">
      <w:pPr>
        <w:rPr>
          <w:lang w:eastAsia="en-AU"/>
        </w:rPr>
      </w:pPr>
      <w:r w:rsidRPr="00491CDB">
        <w:rPr>
          <w:noProof/>
          <w:lang w:eastAsia="en-AU"/>
        </w:rPr>
        <w:drawing>
          <wp:inline distT="0" distB="0" distL="0" distR="0" wp14:anchorId="4962F052" wp14:editId="73AA4C82">
            <wp:extent cx="5943600" cy="7891780"/>
            <wp:effectExtent l="0" t="0" r="0" b="0"/>
            <wp:docPr id="119" name="Picture 119" descr="The chart above shows an amalgamation of the percentages across the FSP for clients by demographic groups and service types as set out in Charts 2.4, 2.5 and 2.6." title="Percentage of clients by demographic groups by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7891780"/>
                    </a:xfrm>
                    <a:prstGeom prst="rect">
                      <a:avLst/>
                    </a:prstGeom>
                  </pic:spPr>
                </pic:pic>
              </a:graphicData>
            </a:graphic>
          </wp:inline>
        </w:drawing>
      </w:r>
    </w:p>
    <w:p w:rsidR="00B307A6" w:rsidRPr="00A823DA" w:rsidRDefault="00142765">
      <w:pPr>
        <w:rPr>
          <w:rFonts w:eastAsia="Times New Roman"/>
          <w:caps/>
          <w:color w:val="4F6228" w:themeColor="accent3" w:themeShade="80"/>
          <w:spacing w:val="10"/>
          <w:sz w:val="22"/>
          <w:szCs w:val="22"/>
          <w:lang w:eastAsia="en-AU"/>
        </w:rPr>
      </w:pPr>
      <w:r w:rsidRPr="00A823DA">
        <w:rPr>
          <w:rFonts w:ascii="Calibri" w:eastAsia="Times New Roman" w:hAnsi="Calibri" w:cs="Times New Roman"/>
          <w:noProof/>
          <w:lang w:eastAsia="en-AU"/>
        </w:rPr>
        <w:t>*CfC IPS includes Closing the Gap in the Northern Territory services.</w:t>
      </w:r>
      <w:bookmarkStart w:id="301" w:name="_Table_2.7:_Average"/>
      <w:bookmarkEnd w:id="301"/>
    </w:p>
    <w:p w:rsidR="000630B7" w:rsidRPr="00A823DA" w:rsidRDefault="00A04B91" w:rsidP="000630B7">
      <w:pPr>
        <w:pStyle w:val="Heading4"/>
        <w:rPr>
          <w:rFonts w:eastAsia="Times New Roman"/>
          <w:lang w:eastAsia="en-AU"/>
        </w:rPr>
      </w:pPr>
      <w:r>
        <w:rPr>
          <w:rFonts w:eastAsia="Times New Roman"/>
          <w:lang w:eastAsia="en-AU"/>
        </w:rPr>
        <w:br w:type="page"/>
      </w:r>
      <w:r w:rsidR="000630B7" w:rsidRPr="00A823DA">
        <w:rPr>
          <w:rFonts w:eastAsia="Times New Roman"/>
          <w:lang w:eastAsia="en-AU"/>
        </w:rPr>
        <w:lastRenderedPageBreak/>
        <w:t>Table - Income from service fees 2011-12</w:t>
      </w:r>
    </w:p>
    <w:p w:rsidR="000630B7" w:rsidRPr="00A823DA" w:rsidRDefault="000630B7" w:rsidP="000630B7">
      <w:pPr>
        <w:spacing w:before="0" w:after="0" w:line="240" w:lineRule="auto"/>
        <w:rPr>
          <w:rFonts w:ascii="Calibri" w:eastAsia="Times New Roman" w:hAnsi="Calibri" w:cs="Times New Roman"/>
          <w:lang w:eastAsia="en-AU"/>
        </w:rPr>
      </w:pPr>
    </w:p>
    <w:tbl>
      <w:tblPr>
        <w:tblW w:w="4950" w:type="pct"/>
        <w:tblBorders>
          <w:top w:val="single" w:sz="8" w:space="0" w:color="9BBB59"/>
          <w:bottom w:val="single" w:sz="8" w:space="0" w:color="9BBB59"/>
        </w:tblBorders>
        <w:tblLayout w:type="fixed"/>
        <w:tblLook w:val="04A0" w:firstRow="1" w:lastRow="0" w:firstColumn="1" w:lastColumn="0" w:noHBand="0" w:noVBand="1"/>
        <w:tblCaption w:val="Income from service fees"/>
        <w:tblDescription w:val="FLS recorded the highest percentage with 711,019 sessions charging fees of $2,817,479.82 or 77.4% (fees were not charged for 207,814 sessions).  FaRS recorded the next highest percentage with 126,873 sessions charging fees of $7,124,556.87 or 54.8% (fees were not charged for 104,596 sessions).  SFV recorded 11.6% of sessions that charged fees amounting to $73,413.05 for 1,713 sessions (fees were not charged for 13,100 sessions).  FRSHE and Kif recorded only 1 and 3 sessions respectively that charged a fee."/>
      </w:tblPr>
      <w:tblGrid>
        <w:gridCol w:w="1781"/>
        <w:gridCol w:w="2197"/>
        <w:gridCol w:w="2200"/>
        <w:gridCol w:w="2197"/>
        <w:gridCol w:w="2200"/>
      </w:tblGrid>
      <w:tr w:rsidR="000630B7" w:rsidRPr="00A823DA" w:rsidTr="000630B7">
        <w:trPr>
          <w:trHeight w:val="300"/>
          <w:tblHeader/>
        </w:trPr>
        <w:tc>
          <w:tcPr>
            <w:tcW w:w="842" w:type="pct"/>
            <w:tcBorders>
              <w:top w:val="single" w:sz="8" w:space="0" w:color="9BBB59"/>
              <w:left w:val="nil"/>
              <w:bottom w:val="single" w:sz="8" w:space="0" w:color="9BBB59"/>
              <w:right w:val="nil"/>
            </w:tcBorders>
            <w:shd w:val="clear" w:color="auto" w:fill="auto"/>
            <w:noWrap/>
          </w:tcPr>
          <w:p w:rsidR="000630B7" w:rsidRPr="00A823DA" w:rsidRDefault="000630B7" w:rsidP="000630B7">
            <w:pPr>
              <w:spacing w:before="120" w:after="0" w:line="240" w:lineRule="auto"/>
              <w:rPr>
                <w:rFonts w:ascii="Arial Narrow" w:eastAsia="Calibri" w:hAnsi="Arial Narrow" w:cs="Arial"/>
                <w:b/>
                <w:bCs/>
              </w:rPr>
            </w:pPr>
            <w:r w:rsidRPr="00A823DA">
              <w:rPr>
                <w:rFonts w:ascii="Arial Narrow" w:eastAsia="Calibri" w:hAnsi="Arial Narrow" w:cs="Arial"/>
                <w:b/>
                <w:bCs/>
              </w:rPr>
              <w:t>Service type</w:t>
            </w:r>
          </w:p>
        </w:tc>
        <w:tc>
          <w:tcPr>
            <w:tcW w:w="1039" w:type="pct"/>
            <w:tcBorders>
              <w:top w:val="single" w:sz="8" w:space="0" w:color="9BBB59"/>
              <w:left w:val="nil"/>
              <w:bottom w:val="single" w:sz="8" w:space="0" w:color="9BBB59"/>
              <w:right w:val="nil"/>
            </w:tcBorders>
            <w:shd w:val="clear" w:color="auto" w:fill="auto"/>
          </w:tcPr>
          <w:p w:rsidR="000630B7" w:rsidRPr="00A823DA" w:rsidRDefault="000630B7" w:rsidP="00442A2E">
            <w:pPr>
              <w:spacing w:before="120" w:after="0" w:line="240" w:lineRule="auto"/>
              <w:jc w:val="right"/>
              <w:rPr>
                <w:rFonts w:ascii="Arial Narrow" w:eastAsia="Calibri" w:hAnsi="Arial Narrow" w:cs="Arial"/>
                <w:b/>
                <w:bCs/>
              </w:rPr>
            </w:pPr>
            <w:r w:rsidRPr="00A823DA">
              <w:rPr>
                <w:rFonts w:ascii="Arial Narrow" w:eastAsia="Calibri" w:hAnsi="Arial Narrow" w:cs="Arial"/>
                <w:b/>
                <w:bCs/>
              </w:rPr>
              <w:t>Number of sessions where no fee was charged</w:t>
            </w:r>
          </w:p>
        </w:tc>
        <w:tc>
          <w:tcPr>
            <w:tcW w:w="1040" w:type="pct"/>
            <w:tcBorders>
              <w:top w:val="single" w:sz="8" w:space="0" w:color="9BBB59"/>
              <w:left w:val="nil"/>
              <w:bottom w:val="single" w:sz="8" w:space="0" w:color="9BBB59"/>
              <w:right w:val="nil"/>
            </w:tcBorders>
            <w:shd w:val="clear" w:color="auto" w:fill="auto"/>
            <w:noWrap/>
          </w:tcPr>
          <w:p w:rsidR="000630B7" w:rsidRPr="00A823DA" w:rsidRDefault="000630B7" w:rsidP="00442A2E">
            <w:pPr>
              <w:spacing w:before="120" w:after="0" w:line="240" w:lineRule="auto"/>
              <w:jc w:val="right"/>
              <w:rPr>
                <w:rFonts w:ascii="Arial Narrow" w:eastAsia="Calibri" w:hAnsi="Arial Narrow" w:cs="Arial"/>
                <w:b/>
                <w:bCs/>
              </w:rPr>
            </w:pPr>
            <w:r w:rsidRPr="00A823DA">
              <w:rPr>
                <w:rFonts w:ascii="Arial Narrow" w:eastAsia="Calibri" w:hAnsi="Arial Narrow" w:cs="Arial"/>
                <w:b/>
                <w:bCs/>
              </w:rPr>
              <w:t>Number of sessions where a fee was charged</w:t>
            </w:r>
          </w:p>
        </w:tc>
        <w:tc>
          <w:tcPr>
            <w:tcW w:w="1039" w:type="pct"/>
            <w:tcBorders>
              <w:top w:val="single" w:sz="8" w:space="0" w:color="9BBB59"/>
              <w:left w:val="nil"/>
              <w:bottom w:val="single" w:sz="8" w:space="0" w:color="9BBB59"/>
              <w:right w:val="nil"/>
            </w:tcBorders>
            <w:shd w:val="clear" w:color="auto" w:fill="auto"/>
            <w:noWrap/>
          </w:tcPr>
          <w:p w:rsidR="000630B7" w:rsidRPr="00A823DA" w:rsidRDefault="000630B7" w:rsidP="00442A2E">
            <w:pPr>
              <w:spacing w:before="120" w:after="0" w:line="240" w:lineRule="auto"/>
              <w:jc w:val="right"/>
              <w:rPr>
                <w:rFonts w:ascii="Arial Narrow" w:eastAsia="Calibri" w:hAnsi="Arial Narrow" w:cs="Arial"/>
                <w:b/>
                <w:bCs/>
              </w:rPr>
            </w:pPr>
            <w:r w:rsidRPr="00A823DA">
              <w:rPr>
                <w:rFonts w:ascii="Arial Narrow" w:eastAsia="Calibri" w:hAnsi="Arial Narrow" w:cs="Arial"/>
                <w:b/>
                <w:bCs/>
              </w:rPr>
              <w:t>Total fees charged</w:t>
            </w:r>
          </w:p>
        </w:tc>
        <w:tc>
          <w:tcPr>
            <w:tcW w:w="1040" w:type="pct"/>
            <w:tcBorders>
              <w:top w:val="single" w:sz="8" w:space="0" w:color="9BBB59"/>
              <w:left w:val="nil"/>
              <w:bottom w:val="single" w:sz="8" w:space="0" w:color="9BBB59"/>
              <w:right w:val="nil"/>
            </w:tcBorders>
            <w:shd w:val="clear" w:color="auto" w:fill="auto"/>
          </w:tcPr>
          <w:p w:rsidR="000630B7" w:rsidRPr="00A823DA" w:rsidRDefault="000630B7" w:rsidP="000630B7">
            <w:pPr>
              <w:spacing w:before="120" w:after="0" w:line="240" w:lineRule="auto"/>
              <w:jc w:val="center"/>
              <w:rPr>
                <w:rFonts w:ascii="Arial Narrow" w:eastAsia="Calibri" w:hAnsi="Arial Narrow" w:cs="Arial"/>
                <w:b/>
                <w:bCs/>
              </w:rPr>
            </w:pPr>
            <w:r w:rsidRPr="00A823DA">
              <w:rPr>
                <w:rFonts w:ascii="Arial Narrow" w:eastAsia="Calibri" w:hAnsi="Arial Narrow" w:cs="Arial"/>
                <w:b/>
                <w:bCs/>
              </w:rPr>
              <w:t>% of sessions that charged a fee (to 1 decimal place)</w:t>
            </w:r>
          </w:p>
        </w:tc>
      </w:tr>
      <w:tr w:rsidR="000630B7" w:rsidRPr="00A823DA" w:rsidTr="000630B7">
        <w:trPr>
          <w:trHeight w:val="300"/>
        </w:trPr>
        <w:tc>
          <w:tcPr>
            <w:tcW w:w="842" w:type="pct"/>
            <w:tcBorders>
              <w:left w:val="nil"/>
              <w:right w:val="nil"/>
            </w:tcBorders>
            <w:shd w:val="clear" w:color="auto" w:fill="E6EED5"/>
            <w:noWrap/>
          </w:tcPr>
          <w:p w:rsidR="000630B7" w:rsidRPr="00A823DA" w:rsidRDefault="000630B7" w:rsidP="000630B7">
            <w:pPr>
              <w:spacing w:before="120" w:after="0" w:line="240" w:lineRule="auto"/>
              <w:rPr>
                <w:rFonts w:ascii="Arial Narrow" w:eastAsia="Calibri" w:hAnsi="Arial Narrow" w:cs="Arial"/>
                <w:bCs/>
              </w:rPr>
            </w:pPr>
            <w:r w:rsidRPr="00A823DA">
              <w:rPr>
                <w:rFonts w:ascii="Arial Narrow" w:eastAsia="Calibri" w:hAnsi="Arial Narrow" w:cs="Arial"/>
                <w:bCs/>
              </w:rPr>
              <w:t>FaRS</w:t>
            </w:r>
          </w:p>
        </w:tc>
        <w:tc>
          <w:tcPr>
            <w:tcW w:w="1039" w:type="pct"/>
            <w:tcBorders>
              <w:left w:val="nil"/>
              <w:right w:val="nil"/>
            </w:tcBorders>
            <w:shd w:val="clear" w:color="auto" w:fill="E6EED5"/>
          </w:tcPr>
          <w:p w:rsidR="000630B7" w:rsidRPr="00A823DA" w:rsidRDefault="000630B7" w:rsidP="00442A2E">
            <w:pPr>
              <w:spacing w:before="120" w:after="0" w:line="240" w:lineRule="auto"/>
              <w:jc w:val="right"/>
              <w:rPr>
                <w:rFonts w:ascii="Arial Narrow" w:eastAsia="Calibri" w:hAnsi="Arial Narrow" w:cs="Arial"/>
              </w:rPr>
            </w:pPr>
            <w:r w:rsidRPr="00A823DA">
              <w:rPr>
                <w:rFonts w:ascii="Arial Narrow" w:eastAsia="Calibri" w:hAnsi="Arial Narrow" w:cs="Times New Roman"/>
                <w:lang w:eastAsia="en-AU"/>
              </w:rPr>
              <w:t>104,596</w:t>
            </w:r>
          </w:p>
        </w:tc>
        <w:tc>
          <w:tcPr>
            <w:tcW w:w="1040" w:type="pct"/>
            <w:tcBorders>
              <w:left w:val="nil"/>
              <w:right w:val="nil"/>
            </w:tcBorders>
            <w:shd w:val="clear" w:color="auto" w:fill="E6EED5"/>
            <w:noWrap/>
          </w:tcPr>
          <w:p w:rsidR="000630B7" w:rsidRPr="00A823DA" w:rsidRDefault="000630B7" w:rsidP="00442A2E">
            <w:pPr>
              <w:spacing w:before="120" w:after="0" w:line="240" w:lineRule="auto"/>
              <w:jc w:val="right"/>
              <w:rPr>
                <w:rFonts w:ascii="Arial Narrow" w:eastAsia="Calibri" w:hAnsi="Arial Narrow" w:cs="Arial"/>
              </w:rPr>
            </w:pPr>
            <w:r w:rsidRPr="00A823DA">
              <w:rPr>
                <w:rFonts w:ascii="Arial Narrow" w:eastAsia="Calibri" w:hAnsi="Arial Narrow" w:cs="Times New Roman"/>
                <w:lang w:eastAsia="en-AU"/>
              </w:rPr>
              <w:t>126,873</w:t>
            </w:r>
          </w:p>
        </w:tc>
        <w:tc>
          <w:tcPr>
            <w:tcW w:w="1039" w:type="pct"/>
            <w:tcBorders>
              <w:left w:val="nil"/>
              <w:right w:val="nil"/>
            </w:tcBorders>
            <w:shd w:val="clear" w:color="auto" w:fill="E6EED5"/>
            <w:noWrap/>
          </w:tcPr>
          <w:p w:rsidR="000630B7" w:rsidRPr="00A823DA" w:rsidRDefault="000630B7" w:rsidP="00442A2E">
            <w:pPr>
              <w:spacing w:before="120" w:after="0" w:line="240" w:lineRule="auto"/>
              <w:jc w:val="right"/>
              <w:rPr>
                <w:rFonts w:ascii="Arial Narrow" w:eastAsia="Calibri" w:hAnsi="Arial Narrow" w:cs="Arial"/>
              </w:rPr>
            </w:pPr>
            <w:r w:rsidRPr="00A823DA">
              <w:rPr>
                <w:rFonts w:ascii="Arial Narrow" w:eastAsia="Calibri" w:hAnsi="Arial Narrow" w:cs="Times New Roman"/>
                <w:lang w:eastAsia="en-AU"/>
              </w:rPr>
              <w:t>$7,124,556.87</w:t>
            </w:r>
          </w:p>
        </w:tc>
        <w:tc>
          <w:tcPr>
            <w:tcW w:w="1040" w:type="pct"/>
            <w:tcBorders>
              <w:left w:val="nil"/>
              <w:right w:val="nil"/>
            </w:tcBorders>
            <w:shd w:val="clear" w:color="auto" w:fill="E6EED5"/>
          </w:tcPr>
          <w:p w:rsidR="000630B7" w:rsidRPr="00A823DA" w:rsidRDefault="000630B7" w:rsidP="000630B7">
            <w:pPr>
              <w:tabs>
                <w:tab w:val="left" w:pos="1568"/>
              </w:tabs>
              <w:spacing w:before="120" w:after="0" w:line="240" w:lineRule="auto"/>
              <w:jc w:val="center"/>
              <w:rPr>
                <w:rFonts w:ascii="Arial Narrow" w:eastAsia="Calibri" w:hAnsi="Arial Narrow" w:cs="Arial"/>
              </w:rPr>
            </w:pPr>
            <w:r w:rsidRPr="00A823DA">
              <w:rPr>
                <w:rFonts w:ascii="Arial Narrow" w:eastAsia="Calibri" w:hAnsi="Arial Narrow" w:cs="Times New Roman"/>
                <w:lang w:eastAsia="en-AU"/>
              </w:rPr>
              <w:t>54.8</w:t>
            </w:r>
          </w:p>
        </w:tc>
      </w:tr>
      <w:tr w:rsidR="000630B7" w:rsidRPr="00A823DA" w:rsidTr="000630B7">
        <w:trPr>
          <w:trHeight w:val="300"/>
        </w:trPr>
        <w:tc>
          <w:tcPr>
            <w:tcW w:w="842" w:type="pct"/>
            <w:shd w:val="clear" w:color="auto" w:fill="auto"/>
            <w:noWrap/>
          </w:tcPr>
          <w:p w:rsidR="000630B7" w:rsidRPr="00A823DA" w:rsidDel="00C87924" w:rsidRDefault="000630B7" w:rsidP="000630B7">
            <w:pPr>
              <w:spacing w:before="120" w:after="0" w:line="240" w:lineRule="auto"/>
              <w:rPr>
                <w:rFonts w:ascii="Arial Narrow" w:eastAsia="Calibri" w:hAnsi="Arial Narrow" w:cs="Arial"/>
                <w:bCs/>
              </w:rPr>
            </w:pPr>
            <w:r w:rsidRPr="00A823DA">
              <w:rPr>
                <w:rFonts w:ascii="Arial Narrow" w:eastAsia="Calibri" w:hAnsi="Arial Narrow" w:cs="Arial"/>
                <w:bCs/>
              </w:rPr>
              <w:t>FRSHE</w:t>
            </w:r>
          </w:p>
        </w:tc>
        <w:tc>
          <w:tcPr>
            <w:tcW w:w="1039" w:type="pct"/>
            <w:shd w:val="clear" w:color="auto" w:fill="auto"/>
          </w:tcPr>
          <w:p w:rsidR="000630B7" w:rsidRPr="00A823DA" w:rsidDel="00C87924" w:rsidRDefault="000630B7" w:rsidP="00442A2E">
            <w:pPr>
              <w:spacing w:before="120" w:after="0" w:line="240" w:lineRule="auto"/>
              <w:jc w:val="right"/>
              <w:rPr>
                <w:rFonts w:ascii="Arial Narrow" w:eastAsia="Calibri" w:hAnsi="Arial Narrow" w:cs="Arial"/>
              </w:rPr>
            </w:pPr>
            <w:r w:rsidRPr="00A823DA">
              <w:rPr>
                <w:rFonts w:ascii="Arial Narrow" w:eastAsia="Calibri" w:hAnsi="Arial Narrow" w:cs="Times New Roman"/>
                <w:lang w:eastAsia="en-AU"/>
              </w:rPr>
              <w:t>2,248</w:t>
            </w:r>
          </w:p>
        </w:tc>
        <w:tc>
          <w:tcPr>
            <w:tcW w:w="1040" w:type="pct"/>
            <w:shd w:val="clear" w:color="auto" w:fill="auto"/>
            <w:noWrap/>
          </w:tcPr>
          <w:p w:rsidR="000630B7" w:rsidRPr="00A823DA" w:rsidDel="00C87924" w:rsidRDefault="000630B7" w:rsidP="00442A2E">
            <w:pPr>
              <w:spacing w:before="120" w:after="0" w:line="240" w:lineRule="auto"/>
              <w:jc w:val="right"/>
              <w:rPr>
                <w:rFonts w:ascii="Arial Narrow" w:eastAsia="Calibri" w:hAnsi="Arial Narrow" w:cs="Arial"/>
              </w:rPr>
            </w:pPr>
            <w:r w:rsidRPr="00A823DA">
              <w:rPr>
                <w:rFonts w:ascii="Arial Narrow" w:eastAsia="Calibri" w:hAnsi="Arial Narrow" w:cs="Times New Roman"/>
                <w:lang w:eastAsia="en-AU"/>
              </w:rPr>
              <w:t>1</w:t>
            </w:r>
          </w:p>
        </w:tc>
        <w:tc>
          <w:tcPr>
            <w:tcW w:w="1039" w:type="pct"/>
            <w:shd w:val="clear" w:color="auto" w:fill="auto"/>
            <w:noWrap/>
          </w:tcPr>
          <w:p w:rsidR="000630B7" w:rsidRPr="00A823DA" w:rsidDel="00C87924" w:rsidRDefault="000630B7" w:rsidP="00442A2E">
            <w:pPr>
              <w:spacing w:before="120" w:after="0" w:line="240" w:lineRule="auto"/>
              <w:jc w:val="right"/>
              <w:rPr>
                <w:rFonts w:ascii="Arial Narrow" w:eastAsia="Calibri" w:hAnsi="Arial Narrow" w:cs="Arial"/>
              </w:rPr>
            </w:pPr>
            <w:r w:rsidRPr="00A823DA">
              <w:rPr>
                <w:rFonts w:ascii="Arial Narrow" w:eastAsia="Calibri" w:hAnsi="Arial Narrow" w:cs="Times New Roman"/>
                <w:lang w:eastAsia="en-AU"/>
              </w:rPr>
              <w:t>$30.00</w:t>
            </w:r>
          </w:p>
        </w:tc>
        <w:tc>
          <w:tcPr>
            <w:tcW w:w="1040" w:type="pct"/>
            <w:shd w:val="clear" w:color="auto" w:fill="auto"/>
          </w:tcPr>
          <w:p w:rsidR="000630B7" w:rsidRPr="00A823DA" w:rsidDel="00C87924" w:rsidRDefault="000630B7" w:rsidP="000630B7">
            <w:pPr>
              <w:spacing w:before="120" w:after="0" w:line="240" w:lineRule="auto"/>
              <w:jc w:val="center"/>
              <w:rPr>
                <w:rFonts w:ascii="Arial Narrow" w:eastAsia="Calibri" w:hAnsi="Arial Narrow" w:cs="Arial"/>
              </w:rPr>
            </w:pPr>
            <w:r w:rsidRPr="00A823DA">
              <w:rPr>
                <w:rFonts w:ascii="Arial Narrow" w:eastAsia="Calibri" w:hAnsi="Arial Narrow" w:cs="Times New Roman"/>
                <w:lang w:eastAsia="en-AU"/>
              </w:rPr>
              <w:t>0.0</w:t>
            </w:r>
          </w:p>
        </w:tc>
      </w:tr>
      <w:tr w:rsidR="000630B7" w:rsidRPr="00A823DA" w:rsidTr="000630B7">
        <w:trPr>
          <w:trHeight w:val="300"/>
        </w:trPr>
        <w:tc>
          <w:tcPr>
            <w:tcW w:w="842" w:type="pct"/>
            <w:tcBorders>
              <w:left w:val="nil"/>
              <w:right w:val="nil"/>
            </w:tcBorders>
            <w:shd w:val="clear" w:color="auto" w:fill="E6EED5"/>
            <w:noWrap/>
          </w:tcPr>
          <w:p w:rsidR="000630B7" w:rsidRPr="00A823DA" w:rsidDel="00C87924" w:rsidRDefault="000630B7" w:rsidP="000630B7">
            <w:pPr>
              <w:spacing w:before="120" w:after="0" w:line="240" w:lineRule="auto"/>
              <w:rPr>
                <w:rFonts w:ascii="Arial Narrow" w:eastAsia="Calibri" w:hAnsi="Arial Narrow" w:cs="Arial"/>
                <w:bCs/>
              </w:rPr>
            </w:pPr>
            <w:proofErr w:type="spellStart"/>
            <w:r w:rsidRPr="00A823DA">
              <w:rPr>
                <w:rFonts w:ascii="Arial Narrow" w:eastAsia="Calibri" w:hAnsi="Arial Narrow" w:cs="Arial"/>
                <w:bCs/>
              </w:rPr>
              <w:t>KiF</w:t>
            </w:r>
            <w:proofErr w:type="spellEnd"/>
          </w:p>
        </w:tc>
        <w:tc>
          <w:tcPr>
            <w:tcW w:w="1039" w:type="pct"/>
            <w:tcBorders>
              <w:left w:val="nil"/>
              <w:right w:val="nil"/>
            </w:tcBorders>
            <w:shd w:val="clear" w:color="auto" w:fill="E6EED5"/>
          </w:tcPr>
          <w:p w:rsidR="000630B7" w:rsidRPr="00A823DA" w:rsidDel="00C87924" w:rsidRDefault="000630B7" w:rsidP="00442A2E">
            <w:pPr>
              <w:spacing w:before="120" w:after="0" w:line="240" w:lineRule="auto"/>
              <w:jc w:val="right"/>
              <w:rPr>
                <w:rFonts w:ascii="Arial Narrow" w:eastAsia="Calibri" w:hAnsi="Arial Narrow" w:cs="Arial"/>
              </w:rPr>
            </w:pPr>
            <w:r w:rsidRPr="00A823DA">
              <w:rPr>
                <w:rFonts w:ascii="Arial Narrow" w:eastAsia="Calibri" w:hAnsi="Arial Narrow" w:cs="Times New Roman"/>
                <w:lang w:eastAsia="en-AU"/>
              </w:rPr>
              <w:t>6,493</w:t>
            </w:r>
          </w:p>
        </w:tc>
        <w:tc>
          <w:tcPr>
            <w:tcW w:w="1040" w:type="pct"/>
            <w:tcBorders>
              <w:left w:val="nil"/>
              <w:right w:val="nil"/>
            </w:tcBorders>
            <w:shd w:val="clear" w:color="auto" w:fill="E6EED5"/>
            <w:noWrap/>
          </w:tcPr>
          <w:p w:rsidR="000630B7" w:rsidRPr="00A823DA" w:rsidDel="00C87924" w:rsidRDefault="000630B7" w:rsidP="00442A2E">
            <w:pPr>
              <w:spacing w:before="120" w:after="0" w:line="240" w:lineRule="auto"/>
              <w:jc w:val="right"/>
              <w:rPr>
                <w:rFonts w:ascii="Arial Narrow" w:eastAsia="Calibri" w:hAnsi="Arial Narrow" w:cs="Arial"/>
              </w:rPr>
            </w:pPr>
            <w:r w:rsidRPr="00A823DA">
              <w:rPr>
                <w:rFonts w:ascii="Arial Narrow" w:eastAsia="Calibri" w:hAnsi="Arial Narrow" w:cs="Times New Roman"/>
                <w:lang w:eastAsia="en-AU"/>
              </w:rPr>
              <w:t>3</w:t>
            </w:r>
          </w:p>
        </w:tc>
        <w:tc>
          <w:tcPr>
            <w:tcW w:w="1039" w:type="pct"/>
            <w:tcBorders>
              <w:left w:val="nil"/>
              <w:right w:val="nil"/>
            </w:tcBorders>
            <w:shd w:val="clear" w:color="auto" w:fill="E6EED5"/>
            <w:noWrap/>
          </w:tcPr>
          <w:p w:rsidR="000630B7" w:rsidRPr="00A823DA" w:rsidDel="00C87924" w:rsidRDefault="000630B7" w:rsidP="00442A2E">
            <w:pPr>
              <w:spacing w:before="120" w:after="0" w:line="240" w:lineRule="auto"/>
              <w:jc w:val="right"/>
              <w:rPr>
                <w:rFonts w:ascii="Arial Narrow" w:eastAsia="Calibri" w:hAnsi="Arial Narrow" w:cs="Arial"/>
              </w:rPr>
            </w:pPr>
            <w:r w:rsidRPr="00A823DA">
              <w:rPr>
                <w:rFonts w:ascii="Arial Narrow" w:eastAsia="Calibri" w:hAnsi="Arial Narrow" w:cs="Times New Roman"/>
                <w:lang w:eastAsia="en-AU"/>
              </w:rPr>
              <w:t>$3.00</w:t>
            </w:r>
          </w:p>
        </w:tc>
        <w:tc>
          <w:tcPr>
            <w:tcW w:w="1040" w:type="pct"/>
            <w:tcBorders>
              <w:left w:val="nil"/>
              <w:right w:val="nil"/>
            </w:tcBorders>
            <w:shd w:val="clear" w:color="auto" w:fill="E6EED5"/>
          </w:tcPr>
          <w:p w:rsidR="000630B7" w:rsidRPr="00A823DA" w:rsidDel="00C87924" w:rsidRDefault="000630B7" w:rsidP="000630B7">
            <w:pPr>
              <w:spacing w:before="120" w:after="0" w:line="240" w:lineRule="auto"/>
              <w:jc w:val="center"/>
              <w:rPr>
                <w:rFonts w:ascii="Arial Narrow" w:eastAsia="Calibri" w:hAnsi="Arial Narrow" w:cs="Arial"/>
              </w:rPr>
            </w:pPr>
            <w:r w:rsidRPr="00A823DA">
              <w:rPr>
                <w:rFonts w:ascii="Arial Narrow" w:eastAsia="Calibri" w:hAnsi="Arial Narrow" w:cs="Times New Roman"/>
                <w:lang w:eastAsia="en-AU"/>
              </w:rPr>
              <w:t>0.0</w:t>
            </w:r>
          </w:p>
        </w:tc>
      </w:tr>
      <w:tr w:rsidR="000630B7" w:rsidRPr="00A823DA" w:rsidTr="000630B7">
        <w:trPr>
          <w:trHeight w:val="300"/>
        </w:trPr>
        <w:tc>
          <w:tcPr>
            <w:tcW w:w="842" w:type="pct"/>
            <w:shd w:val="clear" w:color="auto" w:fill="auto"/>
            <w:noWrap/>
          </w:tcPr>
          <w:p w:rsidR="000630B7" w:rsidRPr="00A823DA" w:rsidDel="00C87924" w:rsidRDefault="000630B7" w:rsidP="000630B7">
            <w:pPr>
              <w:spacing w:before="120" w:after="0" w:line="240" w:lineRule="auto"/>
              <w:rPr>
                <w:rFonts w:ascii="Arial Narrow" w:eastAsia="Calibri" w:hAnsi="Arial Narrow" w:cs="Arial"/>
                <w:bCs/>
              </w:rPr>
            </w:pPr>
            <w:r w:rsidRPr="00A823DA">
              <w:rPr>
                <w:rFonts w:ascii="Arial Narrow" w:eastAsia="Calibri" w:hAnsi="Arial Narrow" w:cs="Arial"/>
                <w:bCs/>
              </w:rPr>
              <w:t>SFV</w:t>
            </w:r>
          </w:p>
        </w:tc>
        <w:tc>
          <w:tcPr>
            <w:tcW w:w="1039" w:type="pct"/>
            <w:shd w:val="clear" w:color="auto" w:fill="auto"/>
          </w:tcPr>
          <w:p w:rsidR="000630B7" w:rsidRPr="00A823DA" w:rsidDel="00C87924" w:rsidRDefault="000630B7" w:rsidP="00442A2E">
            <w:pPr>
              <w:spacing w:before="120" w:after="0" w:line="240" w:lineRule="auto"/>
              <w:jc w:val="right"/>
              <w:rPr>
                <w:rFonts w:ascii="Arial Narrow" w:eastAsia="Calibri" w:hAnsi="Arial Narrow" w:cs="Arial"/>
              </w:rPr>
            </w:pPr>
            <w:r w:rsidRPr="00A823DA">
              <w:rPr>
                <w:rFonts w:ascii="Arial Narrow" w:eastAsia="Calibri" w:hAnsi="Arial Narrow" w:cs="Times New Roman"/>
                <w:lang w:eastAsia="en-AU"/>
              </w:rPr>
              <w:t>13,100</w:t>
            </w:r>
          </w:p>
        </w:tc>
        <w:tc>
          <w:tcPr>
            <w:tcW w:w="1040" w:type="pct"/>
            <w:shd w:val="clear" w:color="auto" w:fill="auto"/>
            <w:noWrap/>
          </w:tcPr>
          <w:p w:rsidR="000630B7" w:rsidRPr="00A823DA" w:rsidDel="00C87924" w:rsidRDefault="000630B7" w:rsidP="00442A2E">
            <w:pPr>
              <w:spacing w:before="120" w:after="0" w:line="240" w:lineRule="auto"/>
              <w:jc w:val="right"/>
              <w:rPr>
                <w:rFonts w:ascii="Arial Narrow" w:eastAsia="Calibri" w:hAnsi="Arial Narrow" w:cs="Arial"/>
              </w:rPr>
            </w:pPr>
            <w:r w:rsidRPr="00A823DA">
              <w:rPr>
                <w:rFonts w:ascii="Arial Narrow" w:eastAsia="Calibri" w:hAnsi="Arial Narrow" w:cs="Times New Roman"/>
                <w:lang w:eastAsia="en-AU"/>
              </w:rPr>
              <w:t>1,713</w:t>
            </w:r>
          </w:p>
        </w:tc>
        <w:tc>
          <w:tcPr>
            <w:tcW w:w="1039" w:type="pct"/>
            <w:shd w:val="clear" w:color="auto" w:fill="auto"/>
            <w:noWrap/>
          </w:tcPr>
          <w:p w:rsidR="000630B7" w:rsidRPr="00A823DA" w:rsidDel="00C87924" w:rsidRDefault="000630B7" w:rsidP="00442A2E">
            <w:pPr>
              <w:spacing w:before="120" w:after="0" w:line="240" w:lineRule="auto"/>
              <w:jc w:val="right"/>
              <w:rPr>
                <w:rFonts w:ascii="Arial Narrow" w:eastAsia="Calibri" w:hAnsi="Arial Narrow" w:cs="Arial"/>
              </w:rPr>
            </w:pPr>
            <w:r w:rsidRPr="00A823DA">
              <w:rPr>
                <w:rFonts w:ascii="Arial Narrow" w:eastAsia="Calibri" w:hAnsi="Arial Narrow" w:cs="Times New Roman"/>
                <w:lang w:eastAsia="en-AU"/>
              </w:rPr>
              <w:t>$73,413.05</w:t>
            </w:r>
          </w:p>
        </w:tc>
        <w:tc>
          <w:tcPr>
            <w:tcW w:w="1040" w:type="pct"/>
            <w:shd w:val="clear" w:color="auto" w:fill="auto"/>
          </w:tcPr>
          <w:p w:rsidR="000630B7" w:rsidRPr="00A823DA" w:rsidDel="00C87924" w:rsidRDefault="000630B7" w:rsidP="000630B7">
            <w:pPr>
              <w:spacing w:before="120" w:after="0" w:line="240" w:lineRule="auto"/>
              <w:jc w:val="center"/>
              <w:rPr>
                <w:rFonts w:ascii="Arial Narrow" w:eastAsia="Calibri" w:hAnsi="Arial Narrow" w:cs="Arial"/>
              </w:rPr>
            </w:pPr>
            <w:r w:rsidRPr="00A823DA">
              <w:rPr>
                <w:rFonts w:ascii="Arial Narrow" w:eastAsia="Calibri" w:hAnsi="Arial Narrow" w:cs="Times New Roman"/>
                <w:lang w:eastAsia="en-AU"/>
              </w:rPr>
              <w:t>11.6</w:t>
            </w:r>
          </w:p>
        </w:tc>
      </w:tr>
      <w:tr w:rsidR="000630B7" w:rsidRPr="00A823DA" w:rsidTr="000630B7">
        <w:trPr>
          <w:trHeight w:val="300"/>
        </w:trPr>
        <w:tc>
          <w:tcPr>
            <w:tcW w:w="842" w:type="pct"/>
            <w:tcBorders>
              <w:left w:val="nil"/>
              <w:right w:val="nil"/>
            </w:tcBorders>
            <w:shd w:val="clear" w:color="auto" w:fill="E6EED5"/>
            <w:noWrap/>
          </w:tcPr>
          <w:p w:rsidR="000630B7" w:rsidRPr="00A823DA" w:rsidDel="00C87924" w:rsidRDefault="000630B7" w:rsidP="000630B7">
            <w:pPr>
              <w:spacing w:before="120" w:after="0" w:line="240" w:lineRule="auto"/>
              <w:rPr>
                <w:rFonts w:ascii="Arial Narrow" w:eastAsia="Calibri" w:hAnsi="Arial Narrow" w:cs="Arial"/>
                <w:bCs/>
              </w:rPr>
            </w:pPr>
            <w:r w:rsidRPr="00A823DA">
              <w:rPr>
                <w:rFonts w:ascii="Arial Narrow" w:eastAsia="Calibri" w:hAnsi="Arial Narrow" w:cs="Arial"/>
                <w:bCs/>
              </w:rPr>
              <w:t>FLS</w:t>
            </w:r>
          </w:p>
        </w:tc>
        <w:tc>
          <w:tcPr>
            <w:tcW w:w="1039" w:type="pct"/>
            <w:tcBorders>
              <w:left w:val="nil"/>
              <w:right w:val="nil"/>
            </w:tcBorders>
            <w:shd w:val="clear" w:color="auto" w:fill="E6EED5"/>
          </w:tcPr>
          <w:p w:rsidR="000630B7" w:rsidRPr="00A823DA" w:rsidDel="00C87924" w:rsidRDefault="000630B7" w:rsidP="00442A2E">
            <w:pPr>
              <w:spacing w:before="120" w:after="0" w:line="240" w:lineRule="auto"/>
              <w:jc w:val="right"/>
              <w:rPr>
                <w:rFonts w:ascii="Arial Narrow" w:eastAsia="Calibri" w:hAnsi="Arial Narrow" w:cs="Arial"/>
              </w:rPr>
            </w:pPr>
            <w:r w:rsidRPr="00A823DA">
              <w:rPr>
                <w:rFonts w:ascii="Arial Narrow" w:eastAsia="Calibri" w:hAnsi="Arial Narrow" w:cs="Times New Roman"/>
                <w:lang w:eastAsia="en-AU"/>
              </w:rPr>
              <w:t>207,814</w:t>
            </w:r>
          </w:p>
        </w:tc>
        <w:tc>
          <w:tcPr>
            <w:tcW w:w="1040" w:type="pct"/>
            <w:tcBorders>
              <w:left w:val="nil"/>
              <w:right w:val="nil"/>
            </w:tcBorders>
            <w:shd w:val="clear" w:color="auto" w:fill="E6EED5"/>
            <w:noWrap/>
          </w:tcPr>
          <w:p w:rsidR="000630B7" w:rsidRPr="00A823DA" w:rsidDel="00C87924" w:rsidRDefault="000630B7" w:rsidP="00442A2E">
            <w:pPr>
              <w:spacing w:before="120" w:after="0" w:line="240" w:lineRule="auto"/>
              <w:jc w:val="right"/>
              <w:rPr>
                <w:rFonts w:ascii="Arial Narrow" w:eastAsia="Calibri" w:hAnsi="Arial Narrow" w:cs="Arial"/>
              </w:rPr>
            </w:pPr>
            <w:r w:rsidRPr="00A823DA">
              <w:rPr>
                <w:rFonts w:ascii="Arial Narrow" w:eastAsia="Calibri" w:hAnsi="Arial Narrow" w:cs="Times New Roman"/>
                <w:lang w:eastAsia="en-AU"/>
              </w:rPr>
              <w:t>711,019</w:t>
            </w:r>
          </w:p>
        </w:tc>
        <w:tc>
          <w:tcPr>
            <w:tcW w:w="1039" w:type="pct"/>
            <w:tcBorders>
              <w:left w:val="nil"/>
              <w:right w:val="nil"/>
            </w:tcBorders>
            <w:shd w:val="clear" w:color="auto" w:fill="E6EED5"/>
            <w:noWrap/>
          </w:tcPr>
          <w:p w:rsidR="000630B7" w:rsidRPr="00A823DA" w:rsidDel="00C87924" w:rsidRDefault="000630B7" w:rsidP="00442A2E">
            <w:pPr>
              <w:spacing w:before="120" w:after="0" w:line="240" w:lineRule="auto"/>
              <w:jc w:val="right"/>
              <w:rPr>
                <w:rFonts w:ascii="Arial Narrow" w:eastAsia="Calibri" w:hAnsi="Arial Narrow" w:cs="Arial"/>
              </w:rPr>
            </w:pPr>
            <w:r w:rsidRPr="00A823DA">
              <w:rPr>
                <w:rFonts w:ascii="Arial Narrow" w:eastAsia="Calibri" w:hAnsi="Arial Narrow" w:cs="Times New Roman"/>
                <w:lang w:eastAsia="en-AU"/>
              </w:rPr>
              <w:t>$2,817,479.82</w:t>
            </w:r>
          </w:p>
        </w:tc>
        <w:tc>
          <w:tcPr>
            <w:tcW w:w="1040" w:type="pct"/>
            <w:tcBorders>
              <w:left w:val="nil"/>
              <w:right w:val="nil"/>
            </w:tcBorders>
            <w:shd w:val="clear" w:color="auto" w:fill="E6EED5"/>
          </w:tcPr>
          <w:p w:rsidR="000630B7" w:rsidRPr="00A823DA" w:rsidDel="00C87924" w:rsidRDefault="000630B7" w:rsidP="000630B7">
            <w:pPr>
              <w:spacing w:before="120" w:after="0" w:line="240" w:lineRule="auto"/>
              <w:jc w:val="center"/>
              <w:rPr>
                <w:rFonts w:ascii="Arial Narrow" w:eastAsia="Calibri" w:hAnsi="Arial Narrow" w:cs="Arial"/>
              </w:rPr>
            </w:pPr>
            <w:r w:rsidRPr="00A823DA">
              <w:rPr>
                <w:rFonts w:ascii="Arial Narrow" w:eastAsia="Calibri" w:hAnsi="Arial Narrow" w:cs="Times New Roman"/>
                <w:lang w:eastAsia="en-AU"/>
              </w:rPr>
              <w:t>77.4</w:t>
            </w:r>
          </w:p>
        </w:tc>
      </w:tr>
    </w:tbl>
    <w:p w:rsidR="000630B7" w:rsidRPr="006E0B2B" w:rsidRDefault="000630B7" w:rsidP="000630B7">
      <w:pPr>
        <w:rPr>
          <w:rFonts w:eastAsia="Times New Roman"/>
          <w:sz w:val="24"/>
          <w:szCs w:val="24"/>
          <w:lang w:eastAsia="en-AU"/>
        </w:rPr>
      </w:pPr>
      <w:r w:rsidRPr="006E0B2B">
        <w:rPr>
          <w:rFonts w:eastAsia="Times New Roman"/>
          <w:sz w:val="24"/>
          <w:szCs w:val="24"/>
          <w:lang w:eastAsia="en-AU"/>
        </w:rPr>
        <w:t>The table above provides information on fees across the FSP as reported by providers.  The data relates only to the 105 services delivering FRS, SS and FLS.  Other services do not charge fees.</w:t>
      </w:r>
    </w:p>
    <w:p w:rsidR="000630B7" w:rsidRPr="006E0B2B" w:rsidRDefault="000630B7" w:rsidP="000630B7">
      <w:pPr>
        <w:rPr>
          <w:rFonts w:eastAsia="Times New Roman"/>
          <w:sz w:val="24"/>
          <w:szCs w:val="24"/>
        </w:rPr>
      </w:pPr>
      <w:r w:rsidRPr="006E0B2B">
        <w:rPr>
          <w:rFonts w:eastAsia="Times New Roman"/>
          <w:sz w:val="24"/>
          <w:szCs w:val="24"/>
        </w:rPr>
        <w:t>Family and Relationship Services are, at the service provider’s discretion</w:t>
      </w:r>
      <w:r w:rsidR="004E7E43" w:rsidRPr="006E0B2B">
        <w:rPr>
          <w:rFonts w:eastAsia="Times New Roman"/>
          <w:sz w:val="24"/>
          <w:szCs w:val="24"/>
        </w:rPr>
        <w:t>,</w:t>
      </w:r>
      <w:r w:rsidRPr="006E0B2B">
        <w:rPr>
          <w:rFonts w:eastAsia="Times New Roman"/>
          <w:sz w:val="24"/>
          <w:szCs w:val="24"/>
        </w:rPr>
        <w:t xml:space="preserve"> permitted to charge fees.  While Family and Relationship Services providers may charge fees, clients must not be refused service or referred to other organisations on the basis of incapacity to pay fees.</w:t>
      </w:r>
    </w:p>
    <w:p w:rsidR="000630B7" w:rsidRPr="006E0B2B" w:rsidRDefault="000630B7" w:rsidP="000630B7">
      <w:pPr>
        <w:rPr>
          <w:rFonts w:eastAsia="Times New Roman"/>
          <w:sz w:val="24"/>
          <w:szCs w:val="24"/>
        </w:rPr>
      </w:pPr>
      <w:r w:rsidRPr="006E0B2B">
        <w:rPr>
          <w:rFonts w:eastAsia="Times New Roman"/>
          <w:sz w:val="24"/>
          <w:szCs w:val="24"/>
        </w:rPr>
        <w:t xml:space="preserve">Unless an exemption has been granted by the </w:t>
      </w:r>
      <w:r w:rsidR="00CB6F90" w:rsidRPr="006E0B2B">
        <w:rPr>
          <w:rFonts w:eastAsia="Times New Roman"/>
          <w:sz w:val="24"/>
          <w:szCs w:val="24"/>
        </w:rPr>
        <w:t>Department</w:t>
      </w:r>
      <w:r w:rsidRPr="006E0B2B">
        <w:rPr>
          <w:rFonts w:eastAsia="Times New Roman"/>
          <w:sz w:val="24"/>
          <w:szCs w:val="24"/>
        </w:rPr>
        <w:t xml:space="preserve">, </w:t>
      </w:r>
      <w:proofErr w:type="gramStart"/>
      <w:r w:rsidRPr="006E0B2B">
        <w:rPr>
          <w:rFonts w:eastAsia="Times New Roman"/>
          <w:sz w:val="24"/>
          <w:szCs w:val="24"/>
        </w:rPr>
        <w:t>CfC</w:t>
      </w:r>
      <w:proofErr w:type="gramEnd"/>
      <w:r w:rsidRPr="006E0B2B">
        <w:rPr>
          <w:rFonts w:eastAsia="Times New Roman"/>
          <w:sz w:val="24"/>
          <w:szCs w:val="24"/>
        </w:rPr>
        <w:t xml:space="preserve"> services must be provided free of charge. In exceptional circumstances where providers may charge limited fees, clients must not be refused service or referred to other organisations on the basis of incapacity to pay fees.</w:t>
      </w:r>
    </w:p>
    <w:p w:rsidR="00B307A6" w:rsidRPr="006E0B2B" w:rsidRDefault="000630B7">
      <w:pPr>
        <w:rPr>
          <w:rFonts w:eastAsia="Times New Roman"/>
          <w:caps/>
          <w:color w:val="4F6228" w:themeColor="accent3" w:themeShade="80"/>
          <w:spacing w:val="10"/>
          <w:sz w:val="24"/>
          <w:szCs w:val="24"/>
          <w:lang w:eastAsia="en-AU"/>
        </w:rPr>
      </w:pPr>
      <w:r w:rsidRPr="006E0B2B">
        <w:rPr>
          <w:rFonts w:eastAsia="Times New Roman"/>
          <w:sz w:val="24"/>
          <w:szCs w:val="24"/>
        </w:rPr>
        <w:t>62 (59%) of the 105 FSP service providers reported having collected fees, collectively totalling $10.015m during the reporting period.</w:t>
      </w:r>
    </w:p>
    <w:p w:rsidR="00D755F8" w:rsidRPr="00A823DA" w:rsidRDefault="00D755F8" w:rsidP="00D755F8">
      <w:pPr>
        <w:pStyle w:val="Heading4"/>
        <w:rPr>
          <w:rFonts w:eastAsia="Times New Roman"/>
          <w:lang w:eastAsia="en-AU"/>
        </w:rPr>
      </w:pPr>
      <w:r w:rsidRPr="00A823DA">
        <w:rPr>
          <w:rFonts w:eastAsia="Times New Roman"/>
          <w:lang w:eastAsia="en-AU"/>
        </w:rPr>
        <w:t>Chart - registered and unregistered clients by FaRS, SS and FLS service type 2011-12</w:t>
      </w:r>
    </w:p>
    <w:p w:rsidR="00D755F8" w:rsidRPr="00A823DA" w:rsidRDefault="00D755F8" w:rsidP="00D755F8">
      <w:pPr>
        <w:rPr>
          <w:rFonts w:ascii="Calibri" w:eastAsia="Times New Roman" w:hAnsi="Calibri" w:cs="Times New Roman"/>
          <w:noProof/>
          <w:lang w:eastAsia="en-AU"/>
        </w:rPr>
      </w:pPr>
      <w:r w:rsidRPr="00A823DA">
        <w:rPr>
          <w:rFonts w:ascii="Calibri" w:eastAsia="Times New Roman" w:hAnsi="Calibri" w:cs="Times New Roman"/>
          <w:noProof/>
          <w:lang w:eastAsia="en-AU"/>
        </w:rPr>
        <w:t xml:space="preserve">  </w:t>
      </w:r>
      <w:r w:rsidRPr="00A823DA">
        <w:rPr>
          <w:rFonts w:ascii="Calibri" w:eastAsia="Times New Roman" w:hAnsi="Calibri" w:cs="Times New Roman"/>
          <w:noProof/>
          <w:lang w:eastAsia="en-AU"/>
        </w:rPr>
        <w:drawing>
          <wp:inline distT="0" distB="0" distL="0" distR="0" wp14:anchorId="34A388D7" wp14:editId="00C55DED">
            <wp:extent cx="5943600" cy="2400300"/>
            <wp:effectExtent l="0" t="0" r="0" b="0"/>
            <wp:docPr id="15" name="Picture 15" descr="• FLS recorded the highest percentage of registeredclients (56.09%)&#10;• FaRS recorded the next highest percentage of registered clients (52.76%)&#10;• SS-FRSHE was next with39.08% of registered clients. &#10;• SS-SFV followed with 28.73% of registered clients &#10;• The lowest percentage of registered clients was recorded for SS-KiF with 28.4% &#10;&#10;• SS-Kif recorded the highest percentage of unregistered clients (71.6%)&#10;• SS-SFV recorded the next highest percentage of unregistered clients (71.27%)&#10;• SS-FRSHE was next with 60.92% of unregistered clients&#10;• FaRS followed with 47.24% of unregistered clients&#10;• The lowest percentage of unregistered clients was recorded for FLS with 43.91%.&#10;" title="FaRS, SS and FLS percentage of registered and unregistered clients by service type 2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2400300"/>
                    </a:xfrm>
                    <a:prstGeom prst="rect">
                      <a:avLst/>
                    </a:prstGeom>
                    <a:noFill/>
                    <a:ln>
                      <a:noFill/>
                    </a:ln>
                  </pic:spPr>
                </pic:pic>
              </a:graphicData>
            </a:graphic>
          </wp:inline>
        </w:drawing>
      </w:r>
    </w:p>
    <w:p w:rsidR="00D755F8" w:rsidRPr="006E0B2B" w:rsidRDefault="00D755F8" w:rsidP="00D755F8">
      <w:pPr>
        <w:rPr>
          <w:rFonts w:eastAsia="Times New Roman"/>
          <w:noProof/>
          <w:sz w:val="24"/>
          <w:szCs w:val="24"/>
          <w:lang w:eastAsia="en-AU"/>
        </w:rPr>
      </w:pPr>
      <w:r w:rsidRPr="006E0B2B">
        <w:rPr>
          <w:rFonts w:eastAsia="Times New Roman"/>
          <w:noProof/>
          <w:sz w:val="24"/>
          <w:szCs w:val="24"/>
          <w:lang w:eastAsia="en-AU"/>
        </w:rPr>
        <w:t xml:space="preserve">The chart above shows the percentage of registered and unregistered FaRS, SS and FLS client for 2011-12 by service type. </w:t>
      </w:r>
    </w:p>
    <w:p w:rsidR="00D755F8" w:rsidRPr="006E0B2B" w:rsidRDefault="00D755F8" w:rsidP="008E31EC">
      <w:pPr>
        <w:pStyle w:val="ListParagraph"/>
        <w:numPr>
          <w:ilvl w:val="0"/>
          <w:numId w:val="11"/>
        </w:numPr>
        <w:rPr>
          <w:rFonts w:eastAsia="Times New Roman"/>
          <w:noProof/>
          <w:sz w:val="24"/>
          <w:szCs w:val="24"/>
          <w:lang w:eastAsia="en-AU"/>
        </w:rPr>
      </w:pPr>
      <w:r w:rsidRPr="006E0B2B">
        <w:rPr>
          <w:rFonts w:eastAsia="Times New Roman"/>
          <w:noProof/>
          <w:sz w:val="24"/>
          <w:szCs w:val="24"/>
          <w:lang w:eastAsia="en-AU"/>
        </w:rPr>
        <w:t>FaRS and FLS have a higher percentage of registered than unregistered clients.</w:t>
      </w:r>
    </w:p>
    <w:p w:rsidR="00D755F8" w:rsidRPr="006E0B2B" w:rsidRDefault="00D755F8" w:rsidP="008E31EC">
      <w:pPr>
        <w:pStyle w:val="ListParagraph"/>
        <w:numPr>
          <w:ilvl w:val="0"/>
          <w:numId w:val="11"/>
        </w:numPr>
        <w:rPr>
          <w:rFonts w:eastAsia="Times New Roman"/>
          <w:noProof/>
          <w:sz w:val="24"/>
          <w:szCs w:val="24"/>
          <w:lang w:eastAsia="en-AU"/>
        </w:rPr>
      </w:pPr>
      <w:r w:rsidRPr="006E0B2B">
        <w:rPr>
          <w:rFonts w:eastAsia="Times New Roman"/>
          <w:noProof/>
          <w:sz w:val="24"/>
          <w:szCs w:val="24"/>
          <w:lang w:eastAsia="en-AU"/>
        </w:rPr>
        <w:t>SS services have a higher percentage unregistered than registered clients.</w:t>
      </w:r>
    </w:p>
    <w:p w:rsidR="005D6939" w:rsidRPr="00A823DA" w:rsidRDefault="008B7C51" w:rsidP="00703E65">
      <w:pPr>
        <w:pStyle w:val="Heading4"/>
      </w:pPr>
      <w:r>
        <w:br w:type="page"/>
      </w:r>
      <w:r w:rsidR="005D6939" w:rsidRPr="00A823DA">
        <w:lastRenderedPageBreak/>
        <w:t>Chart - PI 2.1 Percentage of clients with improved knowledge and skills</w:t>
      </w:r>
    </w:p>
    <w:p w:rsidR="005D6939" w:rsidRPr="00A823DA" w:rsidRDefault="005D6939" w:rsidP="00703E65">
      <w:pPr>
        <w:rPr>
          <w:noProof/>
        </w:rPr>
      </w:pPr>
      <w:r w:rsidRPr="00A823DA">
        <w:rPr>
          <w:noProof/>
          <w:lang w:eastAsia="en-AU"/>
        </w:rPr>
        <w:drawing>
          <wp:inline distT="0" distB="0" distL="0" distR="0" wp14:anchorId="2EB0FAF5" wp14:editId="569842C6">
            <wp:extent cx="4381500" cy="1962150"/>
            <wp:effectExtent l="0" t="0" r="0" b="0"/>
            <wp:docPr id="45" name="Picture 45" descr="The chart sets out the percentage of positive responses by service type against performance indicator 2.1. clients with improved knowledge and skills.  All service types reported a positive response rate of 76.9% or above.  Community Playgroups reported the highest percentage of positive responses of 90.8% " title="PI 2.1 - percentage of positive responses by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81500" cy="1962150"/>
                    </a:xfrm>
                    <a:prstGeom prst="rect">
                      <a:avLst/>
                    </a:prstGeom>
                    <a:noFill/>
                    <a:ln>
                      <a:noFill/>
                    </a:ln>
                  </pic:spPr>
                </pic:pic>
              </a:graphicData>
            </a:graphic>
          </wp:inline>
        </w:drawing>
      </w:r>
    </w:p>
    <w:p w:rsidR="005D6939" w:rsidRPr="00A823DA" w:rsidRDefault="005D6939" w:rsidP="00703E65">
      <w:pPr>
        <w:pStyle w:val="Heading4"/>
      </w:pPr>
      <w:bookmarkStart w:id="302" w:name="_Table_4.2_PI"/>
      <w:bookmarkEnd w:id="302"/>
      <w:r w:rsidRPr="00A823DA">
        <w:t>Chart - PI 2.2 Percentage of clients satisfied with the service they received or percentage of clients reporting that the service was responsive/respectful of their needs and/or cultural/language background</w:t>
      </w:r>
    </w:p>
    <w:p w:rsidR="005D6939" w:rsidRPr="00A823DA" w:rsidRDefault="005D6939" w:rsidP="0082398A">
      <w:pPr>
        <w:rPr>
          <w:noProof/>
        </w:rPr>
      </w:pPr>
      <w:r w:rsidRPr="00A823DA">
        <w:rPr>
          <w:noProof/>
          <w:lang w:eastAsia="en-AU"/>
        </w:rPr>
        <w:drawing>
          <wp:inline distT="0" distB="0" distL="0" distR="0" wp14:anchorId="2A468CFF" wp14:editId="6F9BD372">
            <wp:extent cx="4419600" cy="1943100"/>
            <wp:effectExtent l="0" t="0" r="0" b="0"/>
            <wp:docPr id="44" name="Picture 44" descr="The chart sets out the percentage of positive responses by service type against performance indicator 2.2. Clients satisfied with the service they received or percentage of clients reporting that the service was responsive/respectful of their needs and/or cultural/language background.  All service types reported a positive response rate of 94% or above.  Specialist Services reported the highest percentage of positive responses of 96%. " title="PI 2.2 - percentage of positive responses by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19600" cy="1943100"/>
                    </a:xfrm>
                    <a:prstGeom prst="rect">
                      <a:avLst/>
                    </a:prstGeom>
                    <a:noFill/>
                    <a:ln>
                      <a:noFill/>
                    </a:ln>
                  </pic:spPr>
                </pic:pic>
              </a:graphicData>
            </a:graphic>
          </wp:inline>
        </w:drawing>
      </w:r>
    </w:p>
    <w:p w:rsidR="005D6939" w:rsidRPr="00A823DA" w:rsidRDefault="005D6939" w:rsidP="0082398A">
      <w:pPr>
        <w:pStyle w:val="Heading4"/>
      </w:pPr>
      <w:bookmarkStart w:id="303" w:name="_Table_4.3_PI"/>
      <w:bookmarkEnd w:id="303"/>
      <w:r w:rsidRPr="00A823DA">
        <w:t>Chart - PI 2.3 Percentage of clients with improved access/engagement with services</w:t>
      </w:r>
    </w:p>
    <w:p w:rsidR="005D6939" w:rsidRPr="00A823DA" w:rsidRDefault="005D6939" w:rsidP="0082398A">
      <w:pPr>
        <w:rPr>
          <w:noProof/>
        </w:rPr>
      </w:pPr>
      <w:r w:rsidRPr="00A823DA">
        <w:rPr>
          <w:noProof/>
          <w:lang w:eastAsia="en-AU"/>
        </w:rPr>
        <w:drawing>
          <wp:inline distT="0" distB="0" distL="0" distR="0" wp14:anchorId="480BC130" wp14:editId="05FF232F">
            <wp:extent cx="4429125" cy="1943100"/>
            <wp:effectExtent l="0" t="0" r="9525" b="0"/>
            <wp:docPr id="43" name="Picture 43" descr="The chart sets out the percentage of positive responses by service type against performance indicator 2.3. Clients with improved access/engagement with services.  All service types reported a positive response rate of 84.6% or above.  Specialist Services reported the highest percentage of positive responses of 90.5%." title="PI 2.3 - percentage of positive responses by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29125" cy="1943100"/>
                    </a:xfrm>
                    <a:prstGeom prst="rect">
                      <a:avLst/>
                    </a:prstGeom>
                    <a:noFill/>
                    <a:ln>
                      <a:noFill/>
                    </a:ln>
                  </pic:spPr>
                </pic:pic>
              </a:graphicData>
            </a:graphic>
          </wp:inline>
        </w:drawing>
      </w:r>
    </w:p>
    <w:p w:rsidR="008B7C51" w:rsidRDefault="008B7C51" w:rsidP="00B307A6">
      <w:pPr>
        <w:pStyle w:val="Heading4"/>
      </w:pPr>
      <w:bookmarkStart w:id="304" w:name="_Table_4.4_PI"/>
      <w:bookmarkEnd w:id="304"/>
      <w:r>
        <w:br w:type="page"/>
      </w:r>
    </w:p>
    <w:p w:rsidR="005D6939" w:rsidRPr="00A823DA" w:rsidRDefault="005D6939" w:rsidP="00B307A6">
      <w:pPr>
        <w:pStyle w:val="Heading4"/>
      </w:pPr>
      <w:r w:rsidRPr="00A823DA">
        <w:lastRenderedPageBreak/>
        <w:t>Chart - PI 2.4 Percentage of clients with improved family, community and economic engagement</w:t>
      </w:r>
    </w:p>
    <w:p w:rsidR="005D6939" w:rsidRPr="00A823DA" w:rsidRDefault="005D6939" w:rsidP="0082398A">
      <w:pPr>
        <w:ind w:left="360"/>
        <w:rPr>
          <w:noProof/>
        </w:rPr>
      </w:pPr>
      <w:r w:rsidRPr="00A823DA">
        <w:rPr>
          <w:noProof/>
          <w:lang w:eastAsia="en-AU"/>
        </w:rPr>
        <w:drawing>
          <wp:inline distT="0" distB="0" distL="0" distR="0" wp14:anchorId="27F58643" wp14:editId="112C770F">
            <wp:extent cx="4410075" cy="1952625"/>
            <wp:effectExtent l="0" t="0" r="9525" b="9525"/>
            <wp:docPr id="42" name="Picture 42" descr="The chart sets out the percentage of positive responses by service type against performance indicator 2.4. Clients with improved family, community and economic engagement.  All service types reported a positive response rate of 73% or above.  CfC Facilitating Partner Services reported the highest percentage of positive responses of 89.4%." title="PI 2.4 - percentage of positive responses by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10075" cy="1952625"/>
                    </a:xfrm>
                    <a:prstGeom prst="rect">
                      <a:avLst/>
                    </a:prstGeom>
                    <a:noFill/>
                    <a:ln>
                      <a:noFill/>
                    </a:ln>
                  </pic:spPr>
                </pic:pic>
              </a:graphicData>
            </a:graphic>
          </wp:inline>
        </w:drawing>
      </w:r>
    </w:p>
    <w:p w:rsidR="007D03C4" w:rsidRPr="00A823DA" w:rsidRDefault="007D03C4" w:rsidP="007D03C4">
      <w:pPr>
        <w:pStyle w:val="Heading4"/>
        <w:rPr>
          <w:rFonts w:eastAsia="Times New Roman"/>
          <w:lang w:eastAsia="en-AU"/>
        </w:rPr>
      </w:pPr>
      <w:r w:rsidRPr="00A823DA">
        <w:rPr>
          <w:rFonts w:eastAsia="Times New Roman"/>
          <w:lang w:eastAsia="en-AU"/>
        </w:rPr>
        <w:t>Chart - PI 1.1 Percentage of clients with improved family functioning, including child wellbeing</w:t>
      </w:r>
    </w:p>
    <w:p w:rsidR="00B307A6" w:rsidRPr="00A823DA" w:rsidRDefault="007D03C4">
      <w:pPr>
        <w:rPr>
          <w:rFonts w:eastAsia="Times New Roman"/>
          <w:caps/>
          <w:color w:val="4F6228" w:themeColor="accent3" w:themeShade="80"/>
          <w:spacing w:val="10"/>
          <w:sz w:val="22"/>
          <w:szCs w:val="22"/>
          <w:lang w:eastAsia="en-AU"/>
        </w:rPr>
      </w:pPr>
      <w:r w:rsidRPr="00A823DA">
        <w:rPr>
          <w:rFonts w:ascii="Calibri" w:eastAsia="Times New Roman" w:hAnsi="Calibri" w:cs="Times New Roman"/>
          <w:noProof/>
          <w:lang w:eastAsia="en-AU"/>
        </w:rPr>
        <w:drawing>
          <wp:inline distT="0" distB="0" distL="0" distR="0" wp14:anchorId="71E02F32" wp14:editId="407F8C92">
            <wp:extent cx="4419600" cy="1971675"/>
            <wp:effectExtent l="0" t="0" r="0" b="9525"/>
            <wp:docPr id="49" name="Picture 49" descr="The chart sets out the percentage of positive responses by service type against performance indicator 1.1. Clients with improved family functioning, including child wellbeing.  All service types reported a positive response rate of 72.6% or above.  CfC Facilitating Partner Services reported the highest percentage of positive responses of 90.5%." title="PI 1.1 - percentage of positive responses by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19600" cy="1971675"/>
                    </a:xfrm>
                    <a:prstGeom prst="rect">
                      <a:avLst/>
                    </a:prstGeom>
                    <a:noFill/>
                    <a:ln>
                      <a:noFill/>
                    </a:ln>
                  </pic:spPr>
                </pic:pic>
              </a:graphicData>
            </a:graphic>
          </wp:inline>
        </w:drawing>
      </w:r>
      <w:bookmarkStart w:id="305" w:name="_Table_4.6_PI"/>
      <w:bookmarkEnd w:id="305"/>
    </w:p>
    <w:p w:rsidR="007D03C4" w:rsidRPr="00A823DA" w:rsidRDefault="007D03C4" w:rsidP="007D03C4">
      <w:pPr>
        <w:pStyle w:val="Heading4"/>
        <w:rPr>
          <w:rFonts w:eastAsia="Times New Roman"/>
          <w:lang w:eastAsia="en-AU"/>
        </w:rPr>
      </w:pPr>
      <w:r w:rsidRPr="00A823DA">
        <w:rPr>
          <w:rFonts w:eastAsia="Times New Roman"/>
          <w:lang w:eastAsia="en-AU"/>
        </w:rPr>
        <w:t>Chart - PI 1.2 Percentage of children with improved development</w:t>
      </w:r>
    </w:p>
    <w:p w:rsidR="007D03C4" w:rsidRPr="00A823DA" w:rsidRDefault="007D03C4" w:rsidP="007D03C4">
      <w:pPr>
        <w:rPr>
          <w:rFonts w:ascii="Calibri" w:eastAsia="Times New Roman" w:hAnsi="Calibri" w:cs="Times New Roman"/>
          <w:noProof/>
          <w:lang w:eastAsia="en-AU"/>
        </w:rPr>
      </w:pPr>
      <w:r w:rsidRPr="00A823DA">
        <w:rPr>
          <w:rFonts w:ascii="Calibri" w:eastAsia="Times New Roman" w:hAnsi="Calibri" w:cs="Times New Roman"/>
          <w:noProof/>
          <w:lang w:eastAsia="en-AU"/>
        </w:rPr>
        <w:drawing>
          <wp:inline distT="0" distB="0" distL="0" distR="0" wp14:anchorId="78409D2B" wp14:editId="61DA7C8C">
            <wp:extent cx="4429125" cy="1971675"/>
            <wp:effectExtent l="0" t="0" r="9525" b="9525"/>
            <wp:docPr id="48" name="Picture 48" descr="The chart sets out the percentage of positive responses by service type against performance indicator 1.2. Children with improved development.  All service types reported a positive response rate of 66.7% or above.  CfC Facilitating Partner Services reported the highest percentage of positive responses of 92.1%." title="PI 1.2 - percentage of positive responses by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29125" cy="1971675"/>
                    </a:xfrm>
                    <a:prstGeom prst="rect">
                      <a:avLst/>
                    </a:prstGeom>
                    <a:noFill/>
                    <a:ln>
                      <a:noFill/>
                    </a:ln>
                  </pic:spPr>
                </pic:pic>
              </a:graphicData>
            </a:graphic>
          </wp:inline>
        </w:drawing>
      </w:r>
    </w:p>
    <w:p w:rsidR="008B7C51" w:rsidRDefault="008B7C51" w:rsidP="007D03C4">
      <w:pPr>
        <w:pStyle w:val="Heading4"/>
        <w:rPr>
          <w:rFonts w:eastAsia="Times New Roman"/>
          <w:lang w:eastAsia="en-AU"/>
        </w:rPr>
      </w:pPr>
      <w:bookmarkStart w:id="306" w:name="_Table_4.7_PI"/>
      <w:bookmarkEnd w:id="306"/>
      <w:r>
        <w:rPr>
          <w:rFonts w:eastAsia="Times New Roman"/>
          <w:lang w:eastAsia="en-AU"/>
        </w:rPr>
        <w:br w:type="page"/>
      </w:r>
    </w:p>
    <w:p w:rsidR="007D03C4" w:rsidRPr="00A823DA" w:rsidRDefault="007D03C4" w:rsidP="007D03C4">
      <w:pPr>
        <w:pStyle w:val="Heading4"/>
        <w:rPr>
          <w:rFonts w:eastAsia="Times New Roman"/>
          <w:lang w:eastAsia="en-AU"/>
        </w:rPr>
      </w:pPr>
      <w:r w:rsidRPr="00A823DA">
        <w:rPr>
          <w:rFonts w:eastAsia="Times New Roman"/>
          <w:lang w:eastAsia="en-AU"/>
        </w:rPr>
        <w:lastRenderedPageBreak/>
        <w:t>Chart - PI 1.3 Percentage of clients that live in safer family and community environments</w:t>
      </w:r>
    </w:p>
    <w:p w:rsidR="007D03C4" w:rsidRPr="00A823DA" w:rsidRDefault="007D03C4" w:rsidP="007D03C4">
      <w:pPr>
        <w:contextualSpacing/>
        <w:rPr>
          <w:rFonts w:ascii="Calibri" w:eastAsia="Times New Roman" w:hAnsi="Calibri" w:cs="Times New Roman"/>
          <w:noProof/>
          <w:lang w:eastAsia="en-AU"/>
        </w:rPr>
      </w:pPr>
      <w:r w:rsidRPr="00A823DA">
        <w:rPr>
          <w:rFonts w:ascii="Calibri" w:eastAsia="Times New Roman" w:hAnsi="Calibri" w:cs="Times New Roman"/>
          <w:noProof/>
          <w:lang w:eastAsia="en-AU"/>
        </w:rPr>
        <w:drawing>
          <wp:inline distT="0" distB="0" distL="0" distR="0" wp14:anchorId="15E8DF5A" wp14:editId="21CD4707">
            <wp:extent cx="4429125" cy="1962150"/>
            <wp:effectExtent l="0" t="0" r="9525" b="0"/>
            <wp:docPr id="47" name="Picture 47" descr="The chart sets out the percentage of positive responses by service type against performance indicator 1.3. Clients that live in safer family and community environments.  All service types reported a positive response rate of 69.1% or above.  FaRS reported the highest percentage of positive responses of 88.1%." title="PI 1.3 - percentage of positive responses by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29125" cy="1962150"/>
                    </a:xfrm>
                    <a:prstGeom prst="rect">
                      <a:avLst/>
                    </a:prstGeom>
                    <a:noFill/>
                    <a:ln>
                      <a:noFill/>
                    </a:ln>
                  </pic:spPr>
                </pic:pic>
              </a:graphicData>
            </a:graphic>
          </wp:inline>
        </w:drawing>
      </w:r>
    </w:p>
    <w:p w:rsidR="007D03C4" w:rsidRPr="00A823DA" w:rsidRDefault="007D03C4" w:rsidP="007D03C4">
      <w:pPr>
        <w:pStyle w:val="Heading4"/>
        <w:rPr>
          <w:rFonts w:eastAsia="Times New Roman"/>
          <w:lang w:eastAsia="en-AU"/>
        </w:rPr>
      </w:pPr>
      <w:bookmarkStart w:id="307" w:name="_Graph_4.8_PI"/>
      <w:bookmarkEnd w:id="307"/>
      <w:r w:rsidRPr="00A823DA">
        <w:rPr>
          <w:rFonts w:eastAsia="Times New Roman"/>
          <w:lang w:eastAsia="en-AU"/>
        </w:rPr>
        <w:t>Chart - PI 1.4 Percentage of clients who are included in and socially connected to their community</w:t>
      </w:r>
    </w:p>
    <w:p w:rsidR="00B307A6" w:rsidRPr="00A823DA" w:rsidRDefault="007D03C4" w:rsidP="007D03C4">
      <w:pPr>
        <w:rPr>
          <w:rFonts w:ascii="Calibri" w:eastAsia="Times New Roman" w:hAnsi="Calibri" w:cs="Times New Roman"/>
          <w:lang w:eastAsia="en-AU"/>
        </w:rPr>
      </w:pPr>
      <w:r w:rsidRPr="00A823DA">
        <w:rPr>
          <w:rFonts w:ascii="Calibri" w:eastAsia="Times New Roman" w:hAnsi="Calibri" w:cs="Times New Roman"/>
          <w:noProof/>
          <w:lang w:eastAsia="en-AU"/>
        </w:rPr>
        <w:drawing>
          <wp:inline distT="0" distB="0" distL="0" distR="0" wp14:anchorId="5B2AAE62" wp14:editId="0F70D373">
            <wp:extent cx="4429125" cy="1971675"/>
            <wp:effectExtent l="0" t="0" r="9525" b="9525"/>
            <wp:docPr id="46" name="Picture 46" descr="The chart sets out the percentage of positive responses by service type against performance indicator 1.4. Clients who are included in and socially connected to their community.  All service types reported a positive response rate of 84% or above.  CfC Facilitating Partner Services reported the highest percentage of positive responses of 92.6%." title="PI 1.4 - percentage of positive responses by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29125" cy="1971675"/>
                    </a:xfrm>
                    <a:prstGeom prst="rect">
                      <a:avLst/>
                    </a:prstGeom>
                    <a:noFill/>
                    <a:ln>
                      <a:noFill/>
                    </a:ln>
                  </pic:spPr>
                </pic:pic>
              </a:graphicData>
            </a:graphic>
          </wp:inline>
        </w:drawing>
      </w:r>
    </w:p>
    <w:p w:rsidR="00A719E0" w:rsidRPr="00A823DA" w:rsidRDefault="00A719E0" w:rsidP="00A719E0">
      <w:pPr>
        <w:pStyle w:val="Heading3"/>
        <w:rPr>
          <w:rFonts w:eastAsia="Times New Roman"/>
          <w:noProof/>
          <w:lang w:eastAsia="en-AU"/>
        </w:rPr>
      </w:pPr>
      <w:bookmarkStart w:id="308" w:name="_Toc341705936"/>
      <w:r w:rsidRPr="00A823DA">
        <w:rPr>
          <w:rFonts w:eastAsia="Times New Roman"/>
          <w:noProof/>
          <w:lang w:eastAsia="en-AU"/>
        </w:rPr>
        <w:t>FaRS, SS and FLS data</w:t>
      </w:r>
      <w:bookmarkEnd w:id="308"/>
    </w:p>
    <w:p w:rsidR="006D7E12" w:rsidRPr="00A823DA" w:rsidRDefault="006D7E12" w:rsidP="006D7E12">
      <w:pPr>
        <w:pStyle w:val="Heading4"/>
      </w:pPr>
      <w:r w:rsidRPr="00A823DA">
        <w:t xml:space="preserve">chart - Percentage of FaRS, SS and FLS clients by service type and age 2011-12 </w:t>
      </w:r>
    </w:p>
    <w:p w:rsidR="006D7E12" w:rsidRPr="00A823DA" w:rsidRDefault="006D7E12" w:rsidP="006D7E12">
      <w:pPr>
        <w:rPr>
          <w:noProof/>
        </w:rPr>
      </w:pPr>
      <w:r w:rsidRPr="00A823DA">
        <w:rPr>
          <w:noProof/>
          <w:lang w:eastAsia="en-AU"/>
        </w:rPr>
        <w:drawing>
          <wp:inline distT="0" distB="0" distL="0" distR="0" wp14:anchorId="766CA131" wp14:editId="4070BA67">
            <wp:extent cx="5943600" cy="1019175"/>
            <wp:effectExtent l="0" t="0" r="0" b="9525"/>
            <wp:docPr id="19" name="Picture 19" descr="• The percentage of total clients for adults 18 years plus was: &#10;o FaRS 91.22%&#10;o SS – SFV 89.53%&#10;o FLS 89.02%&#10;o SS – FRSHE 70.22%&#10;o SS – KiF 54.10%&#10;" title="Percentage of FaRS, SS and FLS Clients - Adults 18 yr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1019175"/>
                    </a:xfrm>
                    <a:prstGeom prst="rect">
                      <a:avLst/>
                    </a:prstGeom>
                    <a:noFill/>
                    <a:ln>
                      <a:noFill/>
                    </a:ln>
                  </pic:spPr>
                </pic:pic>
              </a:graphicData>
            </a:graphic>
          </wp:inline>
        </w:drawing>
      </w:r>
      <w:r w:rsidRPr="00A823DA">
        <w:rPr>
          <w:noProof/>
        </w:rPr>
        <w:t xml:space="preserve"> </w:t>
      </w:r>
      <w:r w:rsidRPr="00A823DA">
        <w:rPr>
          <w:noProof/>
          <w:lang w:eastAsia="en-AU"/>
        </w:rPr>
        <w:drawing>
          <wp:inline distT="0" distB="0" distL="0" distR="0" wp14:anchorId="3FABE6F2" wp14:editId="40C7B079">
            <wp:extent cx="5943600" cy="1028700"/>
            <wp:effectExtent l="0" t="0" r="0" b="0"/>
            <wp:docPr id="18" name="Picture 18" descr="• The percentage of total clients for youth 13 to under 18 years was:&#10;o SS – FRSHE 9.36%&#10;o SS – KiF 7.67%&#10;o FaRS 4.11%&#10;o SS – SFV 3.65%&#10;o FLS 1.88%&#10;" title="Percentage of FaRS, SS and FLS clients - 13 to &lt;18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1028700"/>
                    </a:xfrm>
                    <a:prstGeom prst="rect">
                      <a:avLst/>
                    </a:prstGeom>
                    <a:noFill/>
                    <a:ln>
                      <a:noFill/>
                    </a:ln>
                  </pic:spPr>
                </pic:pic>
              </a:graphicData>
            </a:graphic>
          </wp:inline>
        </w:drawing>
      </w:r>
      <w:r w:rsidRPr="00A823DA">
        <w:rPr>
          <w:noProof/>
        </w:rPr>
        <w:t xml:space="preserve"> </w:t>
      </w:r>
      <w:r w:rsidRPr="00A823DA">
        <w:rPr>
          <w:noProof/>
          <w:lang w:eastAsia="en-AU"/>
        </w:rPr>
        <w:lastRenderedPageBreak/>
        <w:drawing>
          <wp:inline distT="0" distB="0" distL="0" distR="0" wp14:anchorId="47C9F4A3" wp14:editId="29BAF386">
            <wp:extent cx="5943600" cy="1028700"/>
            <wp:effectExtent l="0" t="0" r="0" b="0"/>
            <wp:docPr id="17" name="Picture 17" descr="• The percentage of total clients for children 5 to under 13 years was:&#10;o SS – KiF 21.96%&#10;o SS – FRSHE 16.38%&#10;o FLS 7.32%&#10;o SS – SFV 6.14%&#10;o FaRS 4.11%&#10;" title="Percentage of FaRS, SS and FLS clients - Children 5 to &lt;13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1028700"/>
                    </a:xfrm>
                    <a:prstGeom prst="rect">
                      <a:avLst/>
                    </a:prstGeom>
                    <a:noFill/>
                    <a:ln>
                      <a:noFill/>
                    </a:ln>
                  </pic:spPr>
                </pic:pic>
              </a:graphicData>
            </a:graphic>
          </wp:inline>
        </w:drawing>
      </w:r>
      <w:r w:rsidRPr="00A823DA">
        <w:rPr>
          <w:noProof/>
        </w:rPr>
        <w:t xml:space="preserve"> </w:t>
      </w:r>
      <w:r w:rsidRPr="00A823DA">
        <w:rPr>
          <w:noProof/>
          <w:lang w:eastAsia="en-AU"/>
        </w:rPr>
        <w:drawing>
          <wp:inline distT="0" distB="0" distL="0" distR="0" wp14:anchorId="041D1B26" wp14:editId="6BA72E82">
            <wp:extent cx="5943600" cy="1028700"/>
            <wp:effectExtent l="0" t="0" r="0" b="0"/>
            <wp:docPr id="16" name="Picture 16" descr="• The percentage of total clients for children 0 to under 4 years was:&#10;o SS KiF 16.27%&#10;o SS – FRSHE 4.03%&#10;o FLS 1.78%&#10;o SS – SFV 0.68%&#10;o FaRS 0.55%&#10;" title="Percentage of FaRS, SS and FLS clients - Children 0 to &lt;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1028700"/>
                    </a:xfrm>
                    <a:prstGeom prst="rect">
                      <a:avLst/>
                    </a:prstGeom>
                    <a:noFill/>
                    <a:ln>
                      <a:noFill/>
                    </a:ln>
                  </pic:spPr>
                </pic:pic>
              </a:graphicData>
            </a:graphic>
          </wp:inline>
        </w:drawing>
      </w:r>
    </w:p>
    <w:p w:rsidR="00B307A6" w:rsidRPr="006E0B2B" w:rsidRDefault="006D7E12">
      <w:pPr>
        <w:rPr>
          <w:rFonts w:eastAsia="Times New Roman"/>
          <w:caps/>
          <w:color w:val="4F6228" w:themeColor="accent3" w:themeShade="80"/>
          <w:spacing w:val="10"/>
          <w:sz w:val="24"/>
          <w:szCs w:val="24"/>
          <w:lang w:eastAsia="en-AU"/>
        </w:rPr>
      </w:pPr>
      <w:r w:rsidRPr="006E0B2B">
        <w:rPr>
          <w:noProof/>
          <w:sz w:val="24"/>
          <w:szCs w:val="24"/>
        </w:rPr>
        <w:t>The charts above show percentage of FaRS, SS and FLS clients by the four age categories of adults 18 years plus; youth 13 to under 18 years; children 5 to under 13 years and children 0 to under 5 years for 2011-12.</w:t>
      </w:r>
    </w:p>
    <w:p w:rsidR="00A719E0" w:rsidRPr="00A823DA" w:rsidRDefault="00A719E0" w:rsidP="00A719E0">
      <w:pPr>
        <w:pStyle w:val="Heading4"/>
        <w:rPr>
          <w:rFonts w:eastAsia="Times New Roman"/>
          <w:lang w:eastAsia="en-AU"/>
        </w:rPr>
      </w:pPr>
      <w:r w:rsidRPr="00A823DA">
        <w:rPr>
          <w:rFonts w:eastAsia="Times New Roman"/>
          <w:lang w:eastAsia="en-AU"/>
        </w:rPr>
        <w:t xml:space="preserve">Chart - Percentage of FaRS, SS and FLS clients from demographic groups by service type 2011-12 </w:t>
      </w:r>
    </w:p>
    <w:p w:rsidR="00D755F8" w:rsidRPr="00A823DA" w:rsidRDefault="00A719E0" w:rsidP="000630B7">
      <w:pPr>
        <w:rPr>
          <w:rFonts w:eastAsia="Times New Roman"/>
        </w:rPr>
      </w:pPr>
      <w:r w:rsidRPr="00A823DA">
        <w:rPr>
          <w:noProof/>
          <w:lang w:eastAsia="en-AU"/>
        </w:rPr>
        <w:drawing>
          <wp:inline distT="0" distB="0" distL="0" distR="0" wp14:anchorId="07B029CA" wp14:editId="0C3FE7E7">
            <wp:extent cx="4581525" cy="2752725"/>
            <wp:effectExtent l="0" t="0" r="9525" b="9525"/>
            <wp:docPr id="20" name="Picture 20" descr="Overall for FaRS, SS and FLS the highest percentage of clients from demographic groups was recorded for SS-FRSHE, the next highest percentage was SS-KiF; followed by FaRS; then SS-SFV and the lowest percentage recorded was for FLS.&#10;&#10;SS-FRSHE recorded the highest percetage of CaLD clients; the next highest percentage was FaRS; then FLS; followed by SS-SFV and the lowest percentage of CaLD clients was recorded for SS-KiF.&#10;&#10;SS-KiF recorded the highest percentage of ATSI clients; the next highest percentage was SS-SFV; then FaRS and the lowest percentage of ATSI clients was recorded for FLS.  SS-FRSHE did not record any ATSI clients.&#10;" tit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A719E0" w:rsidRPr="006E0B2B" w:rsidRDefault="00A719E0" w:rsidP="00A719E0">
      <w:pPr>
        <w:rPr>
          <w:rFonts w:eastAsia="Times New Roman"/>
          <w:noProof/>
          <w:sz w:val="24"/>
          <w:szCs w:val="24"/>
          <w:lang w:eastAsia="en-AU"/>
        </w:rPr>
      </w:pPr>
      <w:r w:rsidRPr="006E0B2B">
        <w:rPr>
          <w:rFonts w:eastAsia="Times New Roman"/>
          <w:noProof/>
          <w:sz w:val="24"/>
          <w:szCs w:val="24"/>
          <w:lang w:eastAsia="en-AU"/>
        </w:rPr>
        <w:t>The chart above shows the total percentage of FaRS, SS and FLS clients from demographic groups and a breakdown by service type.</w:t>
      </w:r>
    </w:p>
    <w:p w:rsidR="00A719E0" w:rsidRPr="006E0B2B" w:rsidRDefault="00A719E0" w:rsidP="00A719E0">
      <w:pPr>
        <w:rPr>
          <w:rFonts w:eastAsia="Times New Roman"/>
          <w:noProof/>
          <w:sz w:val="24"/>
          <w:szCs w:val="24"/>
          <w:lang w:eastAsia="en-AU"/>
        </w:rPr>
      </w:pPr>
      <w:r w:rsidRPr="006E0B2B">
        <w:rPr>
          <w:rFonts w:eastAsia="Times New Roman"/>
          <w:noProof/>
          <w:sz w:val="24"/>
          <w:szCs w:val="24"/>
          <w:lang w:eastAsia="en-AU"/>
        </w:rPr>
        <w:t>Note:  People with a disability is not a priority target group for FaRS, SS and FLS and therefore clients are not recorded for this cohort.</w:t>
      </w:r>
    </w:p>
    <w:p w:rsidR="008B7C51" w:rsidRDefault="008B7C51" w:rsidP="00A719E0">
      <w:pPr>
        <w:pStyle w:val="Heading4"/>
        <w:rPr>
          <w:rFonts w:eastAsia="Times New Roman"/>
          <w:lang w:eastAsia="en-AU"/>
        </w:rPr>
      </w:pPr>
      <w:r>
        <w:rPr>
          <w:rFonts w:eastAsia="Times New Roman"/>
          <w:lang w:eastAsia="en-AU"/>
        </w:rPr>
        <w:br w:type="page"/>
      </w:r>
    </w:p>
    <w:p w:rsidR="00A719E0" w:rsidRPr="00A823DA" w:rsidRDefault="00A719E0" w:rsidP="00A719E0">
      <w:pPr>
        <w:pStyle w:val="Heading4"/>
        <w:rPr>
          <w:rFonts w:eastAsia="Times New Roman"/>
          <w:lang w:eastAsia="en-AU"/>
        </w:rPr>
      </w:pPr>
      <w:r w:rsidRPr="00A823DA">
        <w:rPr>
          <w:rFonts w:eastAsia="Times New Roman"/>
          <w:lang w:eastAsia="en-AU"/>
        </w:rPr>
        <w:lastRenderedPageBreak/>
        <w:t>Chart - Percentage of FaRS, SS and FLS clients identifying as ATSI by service type and age 2011-12</w:t>
      </w:r>
    </w:p>
    <w:p w:rsidR="00A719E0" w:rsidRPr="00A823DA" w:rsidRDefault="00A719E0" w:rsidP="00A719E0">
      <w:pPr>
        <w:spacing w:before="0" w:after="0" w:line="240" w:lineRule="auto"/>
        <w:rPr>
          <w:rFonts w:ascii="Calibri" w:eastAsia="Times New Roman" w:hAnsi="Calibri" w:cs="Times New Roman"/>
          <w:noProof/>
          <w:lang w:eastAsia="en-AU"/>
        </w:rPr>
      </w:pPr>
      <w:r w:rsidRPr="00A823DA">
        <w:rPr>
          <w:rFonts w:ascii="Calibri" w:eastAsia="Times New Roman" w:hAnsi="Calibri" w:cs="Times New Roman"/>
          <w:noProof/>
          <w:lang w:eastAsia="en-AU"/>
        </w:rPr>
        <w:t xml:space="preserve"> </w:t>
      </w:r>
      <w:r w:rsidRPr="00A823DA">
        <w:rPr>
          <w:rFonts w:ascii="Calibri" w:eastAsia="Times New Roman" w:hAnsi="Calibri" w:cs="Times New Roman"/>
          <w:noProof/>
          <w:lang w:eastAsia="en-AU"/>
        </w:rPr>
        <w:drawing>
          <wp:inline distT="0" distB="0" distL="0" distR="0" wp14:anchorId="0AB04145" wp14:editId="26C497F5">
            <wp:extent cx="5457825" cy="2085975"/>
            <wp:effectExtent l="0" t="0" r="9525" b="9525"/>
            <wp:docPr id="21" name="Picture 21" descr="The total percentage of FaRS, SS and FLS clients identifying as ATSI for Youth 13 to 18 yrs was 10.23%; Children 0 to under 5 years was 9.71% ; Children 5 to under 13 years was 7.85%; and Adults 18 years plus was 4.08%.&#10;&#10;The percentage of SS-KiF clients identifying as ATSI for Children 0 to under 5 was 26.02%, Youth 13 to under 18 years was 20.69%.Children 5 to under 13 years was 18.67%; and Adults 18 years plus was 14.43%. &#10;&#10;The percentage of SS-SFV clients identifying as ATSI for Children 0 to under 5 years was 61.9%. Youth 13 to under 18 years was 18.58%; Children 5 to under 13 years was 17.89%; and Adults 18 years plus was 8.23%.&#10;&#10;The percentage of FaRS clients identifying as ATSI for Children 5 to under 13 years was 12.32%; Youth 13 to under 18 years was 12.31%; Children 0 to under 5 years was 8.37% and Adults 18 years plus was 4.37%.&#10;&#10;The percentage of FLS clients identifying as ATSI for Children 0 to under 5 years was 8.37%, Youth 13 years to under 18 years was 04.83, Children 5 to under 13 years was 4.73%;  and Adults 18 years plus was 3.59%.&#10;&#10;The percentage of ATSI for SS-FRSHE was 0.&#10;" title="Percentage of ATSI by service type and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57825" cy="2085975"/>
                    </a:xfrm>
                    <a:prstGeom prst="rect">
                      <a:avLst/>
                    </a:prstGeom>
                    <a:noFill/>
                    <a:ln>
                      <a:noFill/>
                    </a:ln>
                  </pic:spPr>
                </pic:pic>
              </a:graphicData>
            </a:graphic>
          </wp:inline>
        </w:drawing>
      </w:r>
    </w:p>
    <w:p w:rsidR="00B536C1" w:rsidRPr="006E0B2B" w:rsidRDefault="00A719E0">
      <w:pPr>
        <w:rPr>
          <w:rFonts w:eastAsia="Times New Roman"/>
          <w:caps/>
          <w:color w:val="4F6228" w:themeColor="accent3" w:themeShade="80"/>
          <w:spacing w:val="10"/>
          <w:sz w:val="24"/>
          <w:szCs w:val="24"/>
          <w:lang w:eastAsia="en-AU"/>
        </w:rPr>
      </w:pPr>
      <w:r w:rsidRPr="006E0B2B">
        <w:rPr>
          <w:rFonts w:eastAsia="Times New Roman"/>
          <w:noProof/>
          <w:sz w:val="24"/>
          <w:szCs w:val="24"/>
          <w:lang w:eastAsia="en-AU"/>
        </w:rPr>
        <w:t>The chart above shows the percentage of FaRS, SS and FLS clients identifying as ATSI by service type and age in 2011-12.</w:t>
      </w:r>
    </w:p>
    <w:p w:rsidR="00A719E0" w:rsidRPr="00A719E0" w:rsidRDefault="00A719E0" w:rsidP="00A719E0">
      <w:pPr>
        <w:pStyle w:val="Heading4"/>
        <w:rPr>
          <w:rFonts w:eastAsia="Times New Roman"/>
          <w:lang w:eastAsia="en-AU"/>
        </w:rPr>
      </w:pPr>
      <w:r w:rsidRPr="00A719E0">
        <w:rPr>
          <w:rFonts w:eastAsia="Times New Roman"/>
          <w:lang w:eastAsia="en-AU"/>
        </w:rPr>
        <w:t>Chart - Percentage of FaRS, SS and FLS clients identifying as CaLD by service type and age 2011-12</w:t>
      </w:r>
    </w:p>
    <w:p w:rsidR="00A719E0" w:rsidRPr="00A719E0" w:rsidRDefault="00A719E0" w:rsidP="00A719E0">
      <w:pPr>
        <w:spacing w:before="0" w:after="0" w:line="240" w:lineRule="auto"/>
        <w:rPr>
          <w:rFonts w:ascii="Calibri" w:eastAsia="Times New Roman" w:hAnsi="Calibri" w:cs="Times New Roman"/>
          <w:noProof/>
          <w:lang w:eastAsia="en-AU"/>
        </w:rPr>
      </w:pPr>
    </w:p>
    <w:p w:rsidR="00A719E0" w:rsidRPr="00A719E0" w:rsidRDefault="00A719E0" w:rsidP="00A719E0">
      <w:pPr>
        <w:spacing w:before="0" w:after="0" w:line="240" w:lineRule="auto"/>
        <w:rPr>
          <w:rFonts w:ascii="Calibri" w:eastAsia="Times New Roman" w:hAnsi="Calibri" w:cs="Times New Roman"/>
          <w:noProof/>
          <w:lang w:eastAsia="en-AU"/>
        </w:rPr>
      </w:pPr>
      <w:r w:rsidRPr="00A719E0">
        <w:rPr>
          <w:rFonts w:ascii="Calibri" w:eastAsia="Times New Roman" w:hAnsi="Calibri" w:cs="Times New Roman"/>
          <w:noProof/>
          <w:lang w:eastAsia="en-AU"/>
        </w:rPr>
        <w:t xml:space="preserve"> </w:t>
      </w:r>
      <w:r>
        <w:rPr>
          <w:rFonts w:ascii="Calibri" w:eastAsia="Times New Roman" w:hAnsi="Calibri" w:cs="Times New Roman"/>
          <w:noProof/>
          <w:lang w:eastAsia="en-AU"/>
        </w:rPr>
        <w:drawing>
          <wp:inline distT="0" distB="0" distL="0" distR="0" wp14:anchorId="5F066C11" wp14:editId="146CAEC1">
            <wp:extent cx="5448300" cy="2095500"/>
            <wp:effectExtent l="0" t="0" r="0" b="0"/>
            <wp:docPr id="22" name="Picture 22" descr="The total percentage of FaRS, SS and FLS clients identifying as CaLDI for Children 0 to under 5 years was 4.59% ; Adults 18 years plus was 3.86%; Children 5 to under 13 years was 3.01%;. And Youth 13 to 18 yrs was 2.93%;.&#10;&#10;The percentage of SS-FRSHE clients identifying as CaLD for Youth 13 to under 18 years was 97.22%. Children 0 to under 5 was 93.55%, Children 5 to under 13 years was 90.48%; and Adults 18 years plus was 90.37%.&#10;&#10;The percentage of FaRS clients identifying as CaLD for Children 0 to under 5 years was 4.75%; Adults 18 years plus was 4.11%; Children 5 to under 13 years was 2%; and Youth 13 to under 18 years was 1.67%.&#10;&#10;The percentage of FLS clients identifying as CaLD for Children 0 to under 5 years was 3.13%; Adults 18 years plus was 2.98%. Children 5 to under 13 years was 2.06%; and Youth 13 to under 18 years was 1.87%. &#10;&#10;The percentage of SS-SFV clients identifying as CaLD for Children 0 to under 5 years was 4.76%; Adults 18 years plus was 4.69%; Youth 13 years to under 18 years was 3.54 and Children 5 to under 13 years was 0.&#10;&#10;The percentage of CaLD for SS-KiF was Adults 18 years plus was 0.73%; Children 5 to under 13 years was 0.6%.  The percentage of CaLD for Children 0 to under 5 years and Youth 13 years to under 18 years was 0.&#10;" title="Percentage of CaLD by service type and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48300" cy="2095500"/>
                    </a:xfrm>
                    <a:prstGeom prst="rect">
                      <a:avLst/>
                    </a:prstGeom>
                    <a:noFill/>
                    <a:ln>
                      <a:noFill/>
                    </a:ln>
                  </pic:spPr>
                </pic:pic>
              </a:graphicData>
            </a:graphic>
          </wp:inline>
        </w:drawing>
      </w:r>
    </w:p>
    <w:p w:rsidR="00A719E0" w:rsidRPr="006E0B2B" w:rsidRDefault="00A719E0" w:rsidP="00A719E0">
      <w:pPr>
        <w:rPr>
          <w:rFonts w:eastAsia="Times New Roman"/>
          <w:noProof/>
          <w:sz w:val="24"/>
          <w:szCs w:val="24"/>
          <w:lang w:eastAsia="en-AU"/>
        </w:rPr>
      </w:pPr>
      <w:r w:rsidRPr="006E0B2B">
        <w:rPr>
          <w:rFonts w:eastAsia="Times New Roman"/>
          <w:noProof/>
          <w:sz w:val="24"/>
          <w:szCs w:val="24"/>
          <w:lang w:eastAsia="en-AU"/>
        </w:rPr>
        <w:t>The chart above shows the percentage of FaRS, SS and FLS clients identifying as CaLD by service type and age in 2011-12.</w:t>
      </w:r>
    </w:p>
    <w:p w:rsidR="008B7C51" w:rsidRDefault="008B7C51" w:rsidP="007E60A5">
      <w:pPr>
        <w:pStyle w:val="Heading3"/>
        <w:rPr>
          <w:rFonts w:eastAsia="Times New Roman"/>
          <w:noProof/>
          <w:lang w:eastAsia="en-AU"/>
        </w:rPr>
      </w:pPr>
      <w:r>
        <w:rPr>
          <w:rFonts w:eastAsia="Times New Roman"/>
          <w:noProof/>
          <w:lang w:eastAsia="en-AU"/>
        </w:rPr>
        <w:br w:type="page"/>
      </w:r>
    </w:p>
    <w:p w:rsidR="00C52200" w:rsidRPr="00C52200" w:rsidRDefault="007E60A5" w:rsidP="006E0B2B">
      <w:pPr>
        <w:pStyle w:val="Heading3"/>
        <w:spacing w:before="0" w:after="120"/>
        <w:rPr>
          <w:rFonts w:eastAsia="Times New Roman"/>
          <w:noProof/>
          <w:lang w:eastAsia="en-AU"/>
        </w:rPr>
      </w:pPr>
      <w:bookmarkStart w:id="309" w:name="_Toc341705937"/>
      <w:r>
        <w:rPr>
          <w:rFonts w:eastAsia="Times New Roman"/>
          <w:noProof/>
          <w:lang w:eastAsia="en-AU"/>
        </w:rPr>
        <w:lastRenderedPageBreak/>
        <w:t>CfC and CP Data</w:t>
      </w:r>
      <w:bookmarkEnd w:id="309"/>
    </w:p>
    <w:p w:rsidR="00C52200" w:rsidRPr="00C52200" w:rsidRDefault="00C52200" w:rsidP="006E0B2B">
      <w:pPr>
        <w:pStyle w:val="Heading4"/>
        <w:spacing w:before="0" w:line="240" w:lineRule="auto"/>
        <w:rPr>
          <w:rFonts w:eastAsia="Times New Roman"/>
          <w:lang w:eastAsia="en-AU"/>
        </w:rPr>
      </w:pPr>
      <w:r w:rsidRPr="00C52200">
        <w:rPr>
          <w:rFonts w:eastAsia="Times New Roman"/>
          <w:lang w:eastAsia="en-AU"/>
        </w:rPr>
        <w:t xml:space="preserve">Chart - Percentage of CfC and CP clients by service type and age 2011-12 </w:t>
      </w:r>
    </w:p>
    <w:p w:rsidR="00C52200" w:rsidRPr="00C52200" w:rsidRDefault="00C52200" w:rsidP="006E0B2B">
      <w:pPr>
        <w:spacing w:before="0" w:after="0" w:line="240" w:lineRule="auto"/>
        <w:rPr>
          <w:rFonts w:ascii="Calibri" w:eastAsia="Times New Roman" w:hAnsi="Calibri" w:cs="Times New Roman"/>
          <w:lang w:eastAsia="en-AU"/>
        </w:rPr>
      </w:pPr>
      <w:r>
        <w:rPr>
          <w:rFonts w:ascii="Calibri" w:eastAsia="Times New Roman" w:hAnsi="Calibri" w:cs="Times New Roman"/>
          <w:noProof/>
          <w:lang w:eastAsia="en-AU"/>
        </w:rPr>
        <w:drawing>
          <wp:inline distT="0" distB="0" distL="0" distR="0" wp14:anchorId="2878EF24" wp14:editId="427B076D">
            <wp:extent cx="5943600" cy="1104900"/>
            <wp:effectExtent l="0" t="0" r="0" b="0"/>
            <wp:docPr id="27" name="Picture 27" descr="The percentage of total clients for adults 18 years plus was: &#10;o CfC Direct 51.55%&#10;o CfC IPS 45.7%&#10;o CfC FP 45.11%&#10;o CP 44.49%&#10;" title="Percentage of CfC and CP clients - Adults 18 years plus by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0" cy="1104900"/>
                    </a:xfrm>
                    <a:prstGeom prst="rect">
                      <a:avLst/>
                    </a:prstGeom>
                    <a:noFill/>
                    <a:ln>
                      <a:noFill/>
                    </a:ln>
                  </pic:spPr>
                </pic:pic>
              </a:graphicData>
            </a:graphic>
          </wp:inline>
        </w:drawing>
      </w:r>
      <w:r w:rsidRPr="00C52200">
        <w:rPr>
          <w:rFonts w:ascii="Calibri" w:eastAsia="Times New Roman" w:hAnsi="Calibri" w:cs="Times New Roman"/>
          <w:noProof/>
          <w:lang w:eastAsia="en-AU"/>
        </w:rPr>
        <w:t xml:space="preserve"> </w:t>
      </w:r>
      <w:r>
        <w:rPr>
          <w:rFonts w:ascii="Calibri" w:eastAsia="Times New Roman" w:hAnsi="Calibri" w:cs="Times New Roman"/>
          <w:noProof/>
          <w:lang w:eastAsia="en-AU"/>
        </w:rPr>
        <w:drawing>
          <wp:inline distT="0" distB="0" distL="0" distR="0" wp14:anchorId="04D8C827" wp14:editId="0B8334B2">
            <wp:extent cx="5943600" cy="1114425"/>
            <wp:effectExtent l="0" t="0" r="0" b="9525"/>
            <wp:docPr id="26" name="Picture 26" descr="The percentage of total clients for youth 13 to under 18 years was:&#10;o CfC IPS 7.06%&#10;o CfC Direct 3.52%&#10;o CfC FP 2.75%&#10;o CP 0%&#10;" title="Percentage of CfC and CP clinets - 13 to &lt;18 years by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noFill/>
                    <a:ln>
                      <a:noFill/>
                    </a:ln>
                  </pic:spPr>
                </pic:pic>
              </a:graphicData>
            </a:graphic>
          </wp:inline>
        </w:drawing>
      </w:r>
      <w:r w:rsidRPr="00C52200">
        <w:rPr>
          <w:rFonts w:ascii="Calibri" w:eastAsia="Times New Roman" w:hAnsi="Calibri" w:cs="Times New Roman"/>
          <w:noProof/>
          <w:lang w:eastAsia="en-AU"/>
        </w:rPr>
        <w:t xml:space="preserve"> </w:t>
      </w:r>
      <w:r>
        <w:rPr>
          <w:rFonts w:ascii="Calibri" w:eastAsia="Times New Roman" w:hAnsi="Calibri" w:cs="Times New Roman"/>
          <w:noProof/>
          <w:lang w:eastAsia="en-AU"/>
        </w:rPr>
        <w:drawing>
          <wp:inline distT="0" distB="0" distL="0" distR="0" wp14:anchorId="438950CE" wp14:editId="05EDB4E6">
            <wp:extent cx="5943600" cy="1114425"/>
            <wp:effectExtent l="0" t="0" r="0" b="9525"/>
            <wp:docPr id="25" name="Picture 25" descr="The percentage of total clients for children 5 to under 13 years was:&#10;o CfC FP 23.48%&#10;o CfC Direct 15.12%&#10;o CfC IPS 14.73&#10;o CP 0.3%%&#10;" title="Percentage of CfC and CP clients - Children 5 to &lt;13 years by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noFill/>
                    <a:ln>
                      <a:noFill/>
                    </a:ln>
                  </pic:spPr>
                </pic:pic>
              </a:graphicData>
            </a:graphic>
          </wp:inline>
        </w:drawing>
      </w:r>
      <w:r w:rsidRPr="00C52200">
        <w:rPr>
          <w:rFonts w:ascii="Calibri" w:eastAsia="Times New Roman" w:hAnsi="Calibri" w:cs="Times New Roman"/>
          <w:noProof/>
          <w:lang w:eastAsia="en-AU"/>
        </w:rPr>
        <w:t xml:space="preserve"> </w:t>
      </w:r>
      <w:r>
        <w:rPr>
          <w:rFonts w:ascii="Calibri" w:eastAsia="Times New Roman" w:hAnsi="Calibri" w:cs="Times New Roman"/>
          <w:noProof/>
          <w:lang w:eastAsia="en-AU"/>
        </w:rPr>
        <w:drawing>
          <wp:inline distT="0" distB="0" distL="0" distR="0" wp14:anchorId="0B4188AA" wp14:editId="6C24A292">
            <wp:extent cx="5943600" cy="1114425"/>
            <wp:effectExtent l="0" t="0" r="0" b="9525"/>
            <wp:docPr id="24" name="Picture 24" descr="The percentage of total clients for children 0 to under 4 years was:&#10;o CP 55.21%&#10;o CfC IPS 32.51%&#10;o CfC Direct 29.81%&#10;o CfC FP 28.67%&#10;" title="Percentage of CfC and CP clients - Children 0 to &lt;5 years by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noFill/>
                    <a:ln>
                      <a:noFill/>
                    </a:ln>
                  </pic:spPr>
                </pic:pic>
              </a:graphicData>
            </a:graphic>
          </wp:inline>
        </w:drawing>
      </w:r>
    </w:p>
    <w:p w:rsidR="00C52200" w:rsidRPr="006E0B2B" w:rsidRDefault="00C52200" w:rsidP="006E0B2B">
      <w:pPr>
        <w:spacing w:before="0"/>
        <w:rPr>
          <w:rFonts w:eastAsia="Times New Roman"/>
          <w:noProof/>
          <w:sz w:val="24"/>
          <w:szCs w:val="24"/>
          <w:lang w:eastAsia="en-AU"/>
        </w:rPr>
      </w:pPr>
      <w:r w:rsidRPr="006E0B2B">
        <w:rPr>
          <w:rFonts w:eastAsia="Times New Roman"/>
          <w:noProof/>
          <w:sz w:val="24"/>
          <w:szCs w:val="24"/>
          <w:lang w:eastAsia="en-AU"/>
        </w:rPr>
        <w:t>The chart above shows percentage of CfC and CP clients by the four age categories of adults 18 years plus; youth 13 to under 18 years; children 5 to under 13 years and children 0 to under 5 years for 2011-12.</w:t>
      </w:r>
    </w:p>
    <w:p w:rsidR="00DB19E2" w:rsidRPr="00DB19E2" w:rsidRDefault="00DB19E2" w:rsidP="00DB19E2">
      <w:pPr>
        <w:pStyle w:val="Heading4"/>
        <w:rPr>
          <w:rFonts w:eastAsia="Times New Roman"/>
          <w:lang w:eastAsia="en-AU"/>
        </w:rPr>
      </w:pPr>
      <w:r w:rsidRPr="00DB19E2">
        <w:rPr>
          <w:rFonts w:eastAsia="Times New Roman"/>
          <w:lang w:eastAsia="en-AU"/>
        </w:rPr>
        <w:t xml:space="preserve">Chart - Percentage of CfC and CP clients from demographic groups by service type 2011-12 </w:t>
      </w:r>
    </w:p>
    <w:p w:rsidR="00DB19E2" w:rsidRPr="00DB19E2" w:rsidRDefault="00DB19E2" w:rsidP="006E0B2B">
      <w:pPr>
        <w:spacing w:before="0" w:after="0" w:line="240" w:lineRule="auto"/>
        <w:rPr>
          <w:rFonts w:ascii="Calibri" w:eastAsia="Times New Roman" w:hAnsi="Calibri" w:cs="Times New Roman"/>
          <w:noProof/>
          <w:lang w:eastAsia="en-AU"/>
        </w:rPr>
      </w:pPr>
      <w:r>
        <w:rPr>
          <w:rFonts w:ascii="Calibri" w:eastAsia="Times New Roman" w:hAnsi="Calibri" w:cs="Times New Roman"/>
          <w:noProof/>
          <w:lang w:eastAsia="en-AU"/>
        </w:rPr>
        <w:drawing>
          <wp:inline distT="0" distB="0" distL="0" distR="0" wp14:anchorId="547D9973" wp14:editId="7174A585">
            <wp:extent cx="4581525" cy="2752725"/>
            <wp:effectExtent l="0" t="0" r="9525" b="9525"/>
            <wp:docPr id="28" name="Picture 28" descr="Overall for CfC and CP the highest percentage of clients from demographic groups was recorded for CfC IPS, the next highest percentage was CfC Direct; followed by CfC FP; and the lowest percentage recorded was for CP.&#10;&#10;CfC Direct recorded the highest percetage of CaLD clients; the next highest percentage was CfC FP; followed by CfC IPS and the lowest percentage of CaLD clients was recorded for CP.&#10;&#10;CfCIPS recorded the highest percentage of ATSI clients; the next highest percentage was CfC FP; followed by CfC Direct and the lowest percentage of ATSI clients was recorded for CP.  &#10;&#10;CfC Direct recorded the highest percentage of people with a disability; the next highest percentage was CfC FP; followed by CfC IPS and the lowest percentage was recorded for CP.&#10;" title="Percentage of CfC and CP clients from demographic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DB19E2" w:rsidRPr="006E0B2B" w:rsidRDefault="00DB19E2" w:rsidP="006E0B2B">
      <w:pPr>
        <w:spacing w:before="0" w:after="0" w:line="240" w:lineRule="auto"/>
        <w:rPr>
          <w:rFonts w:eastAsia="Times New Roman"/>
          <w:noProof/>
          <w:sz w:val="24"/>
          <w:szCs w:val="24"/>
          <w:lang w:eastAsia="en-AU"/>
        </w:rPr>
      </w:pPr>
      <w:r w:rsidRPr="006E0B2B">
        <w:rPr>
          <w:rFonts w:eastAsia="Times New Roman"/>
          <w:noProof/>
          <w:sz w:val="24"/>
          <w:szCs w:val="24"/>
          <w:lang w:eastAsia="en-AU"/>
        </w:rPr>
        <w:t>The chart above shows the total percentage of CfC and CP clients from demographic groups and a breakdown by service type.</w:t>
      </w:r>
    </w:p>
    <w:p w:rsidR="00843843" w:rsidRPr="00843843" w:rsidRDefault="00843843" w:rsidP="00843843">
      <w:pPr>
        <w:pStyle w:val="Heading4"/>
        <w:rPr>
          <w:rFonts w:eastAsia="Times New Roman"/>
          <w:lang w:eastAsia="en-AU"/>
        </w:rPr>
      </w:pPr>
      <w:r w:rsidRPr="00843843">
        <w:rPr>
          <w:rFonts w:eastAsia="Times New Roman"/>
          <w:lang w:eastAsia="en-AU"/>
        </w:rPr>
        <w:lastRenderedPageBreak/>
        <w:t>Chart - Percentage of CfC and CP clients identifying as ATSI by service type and age 2011-12</w:t>
      </w:r>
    </w:p>
    <w:p w:rsidR="00843843" w:rsidRPr="00843843" w:rsidRDefault="00843843" w:rsidP="00843843">
      <w:pPr>
        <w:spacing w:before="0" w:after="0" w:line="240" w:lineRule="auto"/>
        <w:rPr>
          <w:rFonts w:ascii="Calibri" w:eastAsia="Times New Roman" w:hAnsi="Calibri" w:cs="Times New Roman"/>
          <w:noProof/>
          <w:lang w:eastAsia="en-AU"/>
        </w:rPr>
      </w:pPr>
      <w:r>
        <w:rPr>
          <w:rFonts w:ascii="Calibri" w:eastAsia="Times New Roman" w:hAnsi="Calibri" w:cs="Times New Roman"/>
          <w:noProof/>
          <w:lang w:eastAsia="en-AU"/>
        </w:rPr>
        <w:drawing>
          <wp:inline distT="0" distB="0" distL="0" distR="0" wp14:anchorId="22FEC9DE" wp14:editId="2393085E">
            <wp:extent cx="5467350" cy="2066925"/>
            <wp:effectExtent l="0" t="0" r="0" b="9525"/>
            <wp:docPr id="29" name="Picture 29" descr="The total percentage of CfC and CP clients identifying as ATSI for Youth 13 to 18 yrs was 33.1%; Children 5 to under 13 years was 22.5%; Children 0 to under 5 years was 18.7% and Adults 18 years plus was 17.2%.&#10;The percentage of CfC IPS clients identifying as ATSI for Children 0 to under 5 was 83.8%, Children 5 to under 13 years was 81.3%; Adults 18 years plus was 80.2% and Youth 13 to under 18 years was 71.6%.&#10;&#10;The percentage of CfC FP clients identifying as ATSI for Youth 13 to under 18 years was 23.5%; Children 5 to under 13 years was 16.8%; Adults 18 years plus was 11.3% and Children 0 to under 5 years was 10.5%.&#10;&#10;The percentage of CfC Direct clients identifying as ATSI for Youth 13 to under 18 years was 21.6%; Children 5 to under 13 years was 20.6%; Children 0 to under 5 years was 10.2% and Adults 18 years plus was 8.4%.&#10;&#10;The percentage of CP clients identifying as ATSI for Children 5 to under 13 years was 3.3%; Adults 18 years plus was 1.4% and Children 0 to under 5 years was 1%.  The percentage of ATSI for Youth 13 years to under 18 years was 0.&#10;" title="Percentage of ATSI by service type and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67350" cy="2066925"/>
                    </a:xfrm>
                    <a:prstGeom prst="rect">
                      <a:avLst/>
                    </a:prstGeom>
                    <a:noFill/>
                    <a:ln>
                      <a:noFill/>
                    </a:ln>
                  </pic:spPr>
                </pic:pic>
              </a:graphicData>
            </a:graphic>
          </wp:inline>
        </w:drawing>
      </w:r>
    </w:p>
    <w:p w:rsidR="00843843" w:rsidRPr="00843843" w:rsidRDefault="00843843" w:rsidP="00843843">
      <w:pPr>
        <w:spacing w:before="0" w:after="0" w:line="240" w:lineRule="auto"/>
        <w:rPr>
          <w:rFonts w:ascii="Calibri" w:eastAsia="Times New Roman" w:hAnsi="Calibri" w:cs="Times New Roman"/>
          <w:noProof/>
          <w:lang w:eastAsia="en-AU"/>
        </w:rPr>
      </w:pPr>
      <w:r w:rsidRPr="00843843">
        <w:rPr>
          <w:rFonts w:ascii="Calibri" w:eastAsia="Times New Roman" w:hAnsi="Calibri" w:cs="Times New Roman"/>
          <w:noProof/>
          <w:lang w:eastAsia="en-AU"/>
        </w:rPr>
        <w:t>*All CfC excludes CP.</w:t>
      </w:r>
      <w:r w:rsidR="00F67123">
        <w:rPr>
          <w:rFonts w:ascii="Calibri" w:eastAsia="Times New Roman" w:hAnsi="Calibri" w:cs="Times New Roman"/>
          <w:noProof/>
          <w:lang w:eastAsia="en-AU"/>
        </w:rPr>
        <w:t xml:space="preserve"> </w:t>
      </w:r>
      <w:r w:rsidRPr="00843843">
        <w:rPr>
          <w:rFonts w:ascii="Calibri" w:eastAsia="Times New Roman" w:hAnsi="Calibri" w:cs="Times New Roman"/>
          <w:noProof/>
          <w:lang w:eastAsia="en-AU"/>
        </w:rPr>
        <w:t>CfC IPS includes Closing the Gap in the Northern Territory services.</w:t>
      </w:r>
    </w:p>
    <w:p w:rsidR="00843843" w:rsidRPr="006E0B2B" w:rsidRDefault="00843843" w:rsidP="00210A46">
      <w:pPr>
        <w:spacing w:before="0" w:after="0" w:line="240" w:lineRule="auto"/>
        <w:rPr>
          <w:rFonts w:eastAsia="Times New Roman"/>
          <w:noProof/>
          <w:sz w:val="24"/>
          <w:szCs w:val="24"/>
          <w:lang w:eastAsia="en-AU"/>
        </w:rPr>
      </w:pPr>
      <w:r w:rsidRPr="006E0B2B">
        <w:rPr>
          <w:rFonts w:eastAsia="Times New Roman"/>
          <w:noProof/>
          <w:sz w:val="24"/>
          <w:szCs w:val="24"/>
          <w:lang w:eastAsia="en-AU"/>
        </w:rPr>
        <w:t>The chart above shows the percentage of CfC and CP clients identifying as ATSI by service type and age in 2011-12.</w:t>
      </w:r>
    </w:p>
    <w:p w:rsidR="00843843" w:rsidRPr="00843843" w:rsidRDefault="00843843" w:rsidP="00843843">
      <w:pPr>
        <w:pStyle w:val="Heading4"/>
        <w:rPr>
          <w:rFonts w:eastAsia="Times New Roman"/>
          <w:lang w:eastAsia="en-AU"/>
        </w:rPr>
      </w:pPr>
      <w:r w:rsidRPr="00843843">
        <w:rPr>
          <w:rFonts w:eastAsia="Times New Roman"/>
          <w:lang w:eastAsia="en-AU"/>
        </w:rPr>
        <w:t>Chart - Percentage of CfC and CP clients identifying as CaLD by service type and age 2011-12</w:t>
      </w:r>
    </w:p>
    <w:p w:rsidR="00843843" w:rsidRPr="00843843" w:rsidRDefault="00843843" w:rsidP="00843843">
      <w:pPr>
        <w:spacing w:before="0" w:after="0" w:line="240" w:lineRule="auto"/>
        <w:rPr>
          <w:rFonts w:ascii="Calibri" w:eastAsia="Times New Roman" w:hAnsi="Calibri" w:cs="Times New Roman"/>
          <w:noProof/>
          <w:lang w:eastAsia="en-AU"/>
        </w:rPr>
      </w:pPr>
      <w:r>
        <w:rPr>
          <w:rFonts w:ascii="Calibri" w:eastAsia="Times New Roman" w:hAnsi="Calibri" w:cs="Times New Roman"/>
          <w:noProof/>
          <w:lang w:eastAsia="en-AU"/>
        </w:rPr>
        <w:drawing>
          <wp:inline distT="0" distB="0" distL="0" distR="0" wp14:anchorId="5AB4B2E6" wp14:editId="613FF699">
            <wp:extent cx="5467350" cy="2066925"/>
            <wp:effectExtent l="0" t="0" r="0" b="9525"/>
            <wp:docPr id="30" name="Picture 30" descr="The total percentage of CfC and CP clients identifying as CaLD for Adults 18 years plus was 18.7%; Children 0 to under 5 years was 17.5%; Youth 13 to 18 yrs was 14.6 %; and Children 5 to under 13 years was 14.1%&#10;&#10;The percentage of CfC Direct clients identifying as CaLD for Adults 18 years plus was 24.7%; Children 0 to under 5 years was 24%; Youth 13 to under 18 years was 16.8%; and Children 5 to under 13 years was 13.7%;&#10;&#10;The percentage of CfC FP clients identifying as CaLD for Adults 18 years plus was 17.1%; Youth 13 to under 18 years was 16.3%; Children 0 to under 5 years was 16.1%; and Children 5 to under 13 years was 15%;&#10;&#10;The percentage of CfC IPS clients identifying as CaLD for Adults 18 years plus was 8.1%; Children 0 to under 5 was 7.6%; Youth 13 to under 18 years was 7.1%; and. Children 5 to under 13 years was 6%.&#10;&#10;The percentage of CP clients identifying as CaLD for Adults 18 years plus was 4.9% and Children 0 to under 5 years was 4.2%.  The percentage of CaLD for Youth 13 years to under 18 years and Children 5 to under 13 years was was 0.&#10;&#10;" title="Percentage of CaLD by service type and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67350" cy="2066925"/>
                    </a:xfrm>
                    <a:prstGeom prst="rect">
                      <a:avLst/>
                    </a:prstGeom>
                    <a:noFill/>
                    <a:ln>
                      <a:noFill/>
                    </a:ln>
                  </pic:spPr>
                </pic:pic>
              </a:graphicData>
            </a:graphic>
          </wp:inline>
        </w:drawing>
      </w:r>
    </w:p>
    <w:p w:rsidR="00843843" w:rsidRPr="00843843" w:rsidRDefault="00843843" w:rsidP="00210A46">
      <w:pPr>
        <w:spacing w:before="0" w:after="0" w:line="240" w:lineRule="auto"/>
        <w:rPr>
          <w:rFonts w:ascii="Calibri" w:eastAsia="Times New Roman" w:hAnsi="Calibri" w:cs="Times New Roman"/>
          <w:noProof/>
          <w:lang w:eastAsia="en-AU"/>
        </w:rPr>
      </w:pPr>
      <w:r w:rsidRPr="00843843">
        <w:rPr>
          <w:rFonts w:ascii="Calibri" w:eastAsia="Times New Roman" w:hAnsi="Calibri" w:cs="Times New Roman"/>
          <w:noProof/>
          <w:lang w:eastAsia="en-AU"/>
        </w:rPr>
        <w:t>*All CfC excludes CP.</w:t>
      </w:r>
      <w:r w:rsidR="00F67123">
        <w:rPr>
          <w:rFonts w:ascii="Calibri" w:eastAsia="Times New Roman" w:hAnsi="Calibri" w:cs="Times New Roman"/>
          <w:noProof/>
          <w:lang w:eastAsia="en-AU"/>
        </w:rPr>
        <w:t xml:space="preserve"> </w:t>
      </w:r>
      <w:bookmarkStart w:id="310" w:name="_GoBack"/>
      <w:bookmarkEnd w:id="310"/>
      <w:r w:rsidRPr="00843843">
        <w:rPr>
          <w:rFonts w:ascii="Calibri" w:eastAsia="Times New Roman" w:hAnsi="Calibri" w:cs="Times New Roman"/>
          <w:noProof/>
          <w:lang w:eastAsia="en-AU"/>
        </w:rPr>
        <w:t>*CfC IPS includes Closing the Gap in the Northern Territory services.</w:t>
      </w:r>
    </w:p>
    <w:p w:rsidR="00843843" w:rsidRPr="006E0B2B" w:rsidRDefault="00843843" w:rsidP="00210A46">
      <w:pPr>
        <w:spacing w:before="0" w:after="120" w:line="240" w:lineRule="auto"/>
        <w:rPr>
          <w:rFonts w:eastAsia="Times New Roman"/>
          <w:noProof/>
          <w:sz w:val="24"/>
          <w:szCs w:val="24"/>
          <w:lang w:eastAsia="en-AU"/>
        </w:rPr>
      </w:pPr>
      <w:r w:rsidRPr="006E0B2B">
        <w:rPr>
          <w:rFonts w:eastAsia="Times New Roman"/>
          <w:noProof/>
          <w:sz w:val="24"/>
          <w:szCs w:val="24"/>
          <w:lang w:eastAsia="en-AU"/>
        </w:rPr>
        <w:t>The chart above shows the percentage of CfC and CP clients identifying as CaLD by service type and age in 2011-12.</w:t>
      </w:r>
    </w:p>
    <w:p w:rsidR="00805706" w:rsidRPr="00805706" w:rsidRDefault="00805706" w:rsidP="00210A46">
      <w:pPr>
        <w:pStyle w:val="Heading4"/>
        <w:spacing w:before="0" w:after="120" w:line="240" w:lineRule="auto"/>
        <w:rPr>
          <w:rFonts w:eastAsia="Times New Roman"/>
          <w:lang w:eastAsia="en-AU"/>
        </w:rPr>
      </w:pPr>
      <w:r w:rsidRPr="00805706">
        <w:rPr>
          <w:rFonts w:eastAsia="Times New Roman"/>
          <w:lang w:eastAsia="en-AU"/>
        </w:rPr>
        <w:t>Chart - Percentage of CfC and CP clients identifying as people with a disability by service type and age 2011-12</w:t>
      </w:r>
    </w:p>
    <w:p w:rsidR="00805706" w:rsidRPr="00805706" w:rsidRDefault="00805706" w:rsidP="00805706">
      <w:pPr>
        <w:rPr>
          <w:rFonts w:ascii="Calibri" w:eastAsia="Times New Roman" w:hAnsi="Calibri" w:cs="Times New Roman"/>
          <w:noProof/>
          <w:lang w:eastAsia="en-AU"/>
        </w:rPr>
      </w:pPr>
      <w:r>
        <w:rPr>
          <w:rFonts w:ascii="Calibri" w:eastAsia="Times New Roman" w:hAnsi="Calibri" w:cs="Times New Roman"/>
          <w:noProof/>
          <w:lang w:eastAsia="en-AU"/>
        </w:rPr>
        <w:drawing>
          <wp:inline distT="0" distB="0" distL="0" distR="0" wp14:anchorId="65AEE6DD" wp14:editId="01DB8E98">
            <wp:extent cx="5457825" cy="2057400"/>
            <wp:effectExtent l="0" t="0" r="9525" b="0"/>
            <wp:docPr id="32" name="Picture 32" descr="The total percentage of CfC and CP clients identifying as people with a disability for Children 5 to under 13 years was 4.6%; Children 0 to under 5 years was 3.1%; Adults 18 years plus was 2.4%; and Youth 13 to 18 yrs was 2.0% %&#10;&#10;The percentage of CfC Direct clients identifying as people with a disability for Children 5 to under 13 years was 7.3%; Children 0 to under 5 years was 5.2%;  Adults 18 years plus was 3.9%; and Youth 13 to under 18 years was 1.9% &#10;&#10;The percentage of CP clients identifying as people with a disability for Children 0 to under 5 years was 1.6%. Adults 18 years plus was 0.7%.  The percentage of people with a disability for Youth 13 years to under 18 years and Children 5 to under 13 years was was 0.&#10;&#10;The percentage of CfC FP clients identifying as people with a disability for Children 5 to under 13 years was 4%; Children 0 to under 5 years was 2.3%; Youth 13 to under 18 years was 2.2%; and Adults 18 years plus was 1.8%,&#10;&#10;The percentage of CfC IPS clients identifying as people with a disability for Children 5 to under 13 years was 1.9%; Adults 18 years plus and Youth 13 to under 18 years was 1.7%; and Children 0 to under 5 was 1.4%.&#10;" title="Percentage of people with a disability by service type and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57825" cy="2057400"/>
                    </a:xfrm>
                    <a:prstGeom prst="rect">
                      <a:avLst/>
                    </a:prstGeom>
                    <a:noFill/>
                    <a:ln>
                      <a:noFill/>
                    </a:ln>
                  </pic:spPr>
                </pic:pic>
              </a:graphicData>
            </a:graphic>
          </wp:inline>
        </w:drawing>
      </w:r>
    </w:p>
    <w:p w:rsidR="00805706" w:rsidRPr="00805706" w:rsidRDefault="00805706" w:rsidP="00210A46">
      <w:pPr>
        <w:spacing w:before="0" w:after="0" w:line="240" w:lineRule="auto"/>
        <w:rPr>
          <w:rFonts w:ascii="Calibri" w:eastAsia="Times New Roman" w:hAnsi="Calibri" w:cs="Times New Roman"/>
          <w:noProof/>
          <w:lang w:eastAsia="en-AU"/>
        </w:rPr>
      </w:pPr>
      <w:r w:rsidRPr="00805706">
        <w:rPr>
          <w:rFonts w:ascii="Calibri" w:eastAsia="Times New Roman" w:hAnsi="Calibri" w:cs="Times New Roman"/>
          <w:noProof/>
          <w:lang w:eastAsia="en-AU"/>
        </w:rPr>
        <w:t>*CfC IPS includes Closing the Gap in the Northern Territory services.</w:t>
      </w:r>
    </w:p>
    <w:p w:rsidR="00B536C1" w:rsidRDefault="00805706" w:rsidP="00210A46">
      <w:pPr>
        <w:spacing w:before="0" w:after="0"/>
        <w:rPr>
          <w:rFonts w:eastAsia="Times New Roman"/>
          <w:caps/>
          <w:color w:val="4F6228" w:themeColor="accent3" w:themeShade="80"/>
          <w:spacing w:val="10"/>
          <w:sz w:val="22"/>
          <w:szCs w:val="22"/>
          <w:lang w:eastAsia="en-AU"/>
        </w:rPr>
      </w:pPr>
      <w:r w:rsidRPr="006E0B2B">
        <w:rPr>
          <w:rFonts w:eastAsia="Times New Roman"/>
          <w:noProof/>
          <w:sz w:val="24"/>
          <w:szCs w:val="24"/>
          <w:lang w:eastAsia="en-AU"/>
        </w:rPr>
        <w:lastRenderedPageBreak/>
        <w:t>The chart above shows the percentage FSP of clients identifying as people with a disability by service type and age in 2011-12</w:t>
      </w:r>
      <w:r w:rsidRPr="00805706">
        <w:rPr>
          <w:rFonts w:eastAsia="Times New Roman"/>
          <w:noProof/>
          <w:lang w:eastAsia="en-AU"/>
        </w:rPr>
        <w:t>.</w:t>
      </w:r>
      <w:r w:rsidR="00B536C1">
        <w:rPr>
          <w:rFonts w:eastAsia="Times New Roman"/>
          <w:lang w:eastAsia="en-AU"/>
        </w:rPr>
        <w:br w:type="page"/>
      </w:r>
    </w:p>
    <w:p w:rsidR="008E31EC" w:rsidRPr="008E31EC" w:rsidRDefault="008E31EC" w:rsidP="008E31EC">
      <w:pPr>
        <w:pStyle w:val="Heading4"/>
        <w:rPr>
          <w:rFonts w:eastAsia="Times New Roman"/>
          <w:lang w:eastAsia="en-AU"/>
        </w:rPr>
      </w:pPr>
      <w:r w:rsidRPr="008E31EC">
        <w:rPr>
          <w:rFonts w:eastAsia="Times New Roman"/>
          <w:lang w:eastAsia="en-AU"/>
        </w:rPr>
        <w:lastRenderedPageBreak/>
        <w:t xml:space="preserve">Chart - Ranking of eligible activities 2011-12 – CfC Direct </w:t>
      </w:r>
    </w:p>
    <w:p w:rsidR="008E31EC" w:rsidRPr="008E31EC" w:rsidRDefault="008E31EC" w:rsidP="008E31EC">
      <w:pPr>
        <w:spacing w:before="0" w:after="120" w:line="240" w:lineRule="auto"/>
        <w:rPr>
          <w:rFonts w:ascii="Calibri" w:eastAsia="Times New Roman" w:hAnsi="Calibri" w:cs="Times New Roman"/>
          <w:noProof/>
          <w:lang w:eastAsia="en-AU"/>
        </w:rPr>
      </w:pPr>
      <w:r>
        <w:rPr>
          <w:rFonts w:ascii="Calibri" w:eastAsia="Times New Roman" w:hAnsi="Calibri" w:cs="Times New Roman"/>
          <w:noProof/>
          <w:lang w:eastAsia="en-AU"/>
        </w:rPr>
        <w:drawing>
          <wp:inline distT="0" distB="0" distL="0" distR="0" wp14:anchorId="739586AB" wp14:editId="4A5C46E8">
            <wp:extent cx="5732145" cy="1749425"/>
            <wp:effectExtent l="0" t="0" r="20955" b="22225"/>
            <wp:docPr id="41" name="Chart 41" descr="Community Capcity Building and Development  &#10;• 12.9% of service providers ranked this eligible activity first&#10;• 12.9% of service providers ranked this eligible activity second&#10;• 17.7% of service providers ranked this eligible activity third&#10;• 20.6% of service providers ranked this eligible activity fourth&#10;• 23.9% of service providers ranked this eligible activity fifth&#10;• 7.2% of service providers ranked this eligible activity sixth&#10;• 4.8% of service providers ranked this eligible activity ‘nil’&#10;Education and Training  &#10;• 27.8% of service providers ranked this eligible activity first&#10;• 22% of service providers ranked this eligible activity second&#10;• 15.8% of service providers ranked this eligible activity third&#10;• 14.4% of service providers ranked this eligible activity fourth&#10;• 8.6% of service providers ranked this eligible activity fifth &#10;• 7.7% of service providers ranked this eligible activity sixth&#10;•  3.8% of service providers ranked this eligible activity ‘nil’&#10;Information and Referral  &#10;• 2.9% of service providers ranked this eligible activity first&#10;• 16.7% of service providers ranked this eligible activity second&#10;• 32.5% of service providers ranked this eligible activity third&#10;• 26.8% of service providers ranked this eligible activity fourth&#10;• 12.4% of service providers ranked this eligible activity fifth &#10;• 6.2% of service providers ranked this eligible activity sixth&#10;• 2.4% of service providers ranked this eligible activity ‘nil’&#10;Outreach and Home Visits  &#10;• 13.9% of service providers ranked this eligible activity first&#10;• 10.5% of service providers ranked this eligible activity second&#10;• 13.4% of service providers ranked this eligible activity third&#10;• 12% of service providers ranked this eligible activity fourth&#10;• 11% of service providers ranked this eligible activity fifth &#10;• 21.5% of service providers ranked this eligible activity sixth&#10;• 17.1% of service providers ranked this eligible activity ‘nil’&#10;Resource Development  &#10;• 2.9% of service providers ranked this eligible activity first&#10;• 3.8% of service providers ranked this eligible activity second&#10;• 5.7% of service providers ranked this eligible activity third&#10;• 15.3% of service providers ranked this eligible activity fourth&#10;• 28.7% of service providers ranked this eligible activity fifth &#10;• 32.1% of service providers ranked this eligible activity sixth&#10;• 11.5% of service providers ranked this eligible activity ‘nil’&#10;Support  &#10;• 38.3% of service providers ranked this eligible activity first&#10;• 33.0% of service providers ranked this eligible activity second&#10;• 12.9% of service providers ranked this eligible activity third&#10;• 6.7% of service providers ranked this eligible activity fourth&#10;• 4.3% of service providers ranked this eligible activity fifth &#10;• 1.4% of service providers ranked this eligible activity sixth&#10;• 3.3% of service providers ranked this eligible activity ‘nil’&#10;" title="Ranking of eligible activities 2011-12 - CfC Direct"/>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8E31EC" w:rsidRPr="00210A46" w:rsidRDefault="008E31EC" w:rsidP="008E31EC">
      <w:pPr>
        <w:rPr>
          <w:rFonts w:eastAsia="Times New Roman"/>
          <w:noProof/>
          <w:sz w:val="24"/>
          <w:szCs w:val="24"/>
          <w:lang w:eastAsia="en-AU"/>
        </w:rPr>
      </w:pPr>
      <w:r w:rsidRPr="00210A46">
        <w:rPr>
          <w:rFonts w:eastAsia="Times New Roman"/>
          <w:noProof/>
          <w:sz w:val="24"/>
          <w:szCs w:val="24"/>
          <w:lang w:eastAsia="en-AU"/>
        </w:rPr>
        <w:t>The chart above shows a consecutive ranking reported by service providers of the most time spent to the least time spent against eligible activities delivered under CfC Direct during 2011-12.</w:t>
      </w:r>
    </w:p>
    <w:p w:rsidR="008E31EC" w:rsidRPr="008E31EC" w:rsidRDefault="008E31EC" w:rsidP="008E31EC">
      <w:pPr>
        <w:pStyle w:val="Heading4"/>
        <w:rPr>
          <w:rFonts w:eastAsia="Times New Roman"/>
          <w:lang w:eastAsia="en-AU"/>
        </w:rPr>
      </w:pPr>
      <w:bookmarkStart w:id="311" w:name="_Graph_3.2_Eligible"/>
      <w:bookmarkEnd w:id="311"/>
      <w:r w:rsidRPr="008E31EC">
        <w:rPr>
          <w:rFonts w:eastAsia="Times New Roman"/>
          <w:lang w:eastAsia="en-AU"/>
        </w:rPr>
        <w:t>Chart - Ranking of eligible activities 2011-12 – CfC FP</w:t>
      </w:r>
    </w:p>
    <w:p w:rsidR="008E31EC" w:rsidRPr="008E31EC" w:rsidRDefault="008E31EC" w:rsidP="008E31EC">
      <w:pPr>
        <w:spacing w:before="0" w:after="120" w:line="240" w:lineRule="auto"/>
        <w:rPr>
          <w:rFonts w:ascii="Calibri" w:eastAsia="Times New Roman" w:hAnsi="Calibri" w:cs="Times New Roman"/>
          <w:noProof/>
          <w:lang w:eastAsia="en-AU"/>
        </w:rPr>
      </w:pPr>
      <w:r>
        <w:rPr>
          <w:rFonts w:ascii="Calibri" w:eastAsia="Times New Roman" w:hAnsi="Calibri" w:cs="Times New Roman"/>
          <w:noProof/>
          <w:lang w:eastAsia="en-AU"/>
        </w:rPr>
        <w:drawing>
          <wp:inline distT="0" distB="0" distL="0" distR="0" wp14:anchorId="511904A0" wp14:editId="47D35FDE">
            <wp:extent cx="5732145" cy="1636395"/>
            <wp:effectExtent l="0" t="0" r="20955" b="20955"/>
            <wp:docPr id="40" name="Chart 40" descr="Community Capcity Building and Development  &#10;• 32% of service providers ranked this eligible activity first&#10;• 20% of service providers ranked this eligible activity second&#10;• 26% of service providers ranked this eligible activity third&#10;• 12% of service providers ranked this eligible activity fourth&#10;• 8% of service providers ranked this eligible activity fifth &#10;• 2% of service providers ranked this eligible activity sixth&#10;Education and Training  &#10;• 16% of service providers ranked this eligible activity first&#10;• 30% of service providers ranked this eligible activity second&#10;• 16% of service providers ranked this eligible activity third&#10;• 20% of service providers ranked this eligible activity fourth&#10;• 14% of service providers ranked this eligible activity fifth &#10;• 4% of service providers ranked this eligible activity sixth&#10;Information and Referral  &#10;• 6% of service providers ranked this eligible activity first&#10;• 18% of service providers ranked this eligible activity second&#10;• 10% of service providers ranked this eligible activity third&#10;• 32% of service providers ranked this eligible activity fourth&#10;• 18% of service providers ranked this eligible activity fifth &#10;• 16% of service providers ranked this eligible activity sixth&#10;Outreach and Home Visits  &#10;• 6% of service providers ranked this eligible activity first&#10;• 14% of service providers ranked this eligible activity second&#10;• 18% of service providers ranked this eligible activity third&#10;• 14% of service providers ranked this eligible activity fourth&#10;• 20% of service providers ranked this eligible activity fifth &#10;• 24% of service providers ranked this eligible activity sixth&#10;Resource Development  &#10;• 4% of service providers ranked this eligible activity first&#10;• 2% of service providers ranked this eligible activity second&#10;• 8% of service providers ranked this eligible activity third&#10;• 6% of service providers ranked this eligible activity fourth&#10;• 34% of service providers ranked this eligible activity fifth &#10;• 46% of service providers ranked this eligible activity sixth&#10;Support  &#10;• 36% of service providers ranked this eligible activity first&#10;• 16% of service providers ranked this eligible activity second&#10;• 22% of service providers ranked this eligible activity third&#10;• 16% of service providers ranked this eligible activity fourth&#10;• 6% of service providers ranked this eligible activity fifth &#10;• 4% of service providers ranked this eligible activity sixth&#10;" title="Ranking of eligible activities 2011-12 - CfC FP"/>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8E31EC" w:rsidRPr="00210A46" w:rsidRDefault="008E31EC" w:rsidP="008E31EC">
      <w:pPr>
        <w:rPr>
          <w:rFonts w:eastAsia="Times New Roman"/>
          <w:noProof/>
          <w:sz w:val="24"/>
          <w:szCs w:val="24"/>
          <w:lang w:eastAsia="en-AU"/>
        </w:rPr>
      </w:pPr>
      <w:r w:rsidRPr="00210A46">
        <w:rPr>
          <w:rFonts w:eastAsia="Times New Roman"/>
          <w:noProof/>
          <w:sz w:val="24"/>
          <w:szCs w:val="24"/>
          <w:lang w:eastAsia="en-AU"/>
        </w:rPr>
        <w:t>The chart above shows a consecutive ranking reported by service providers of the most time spent to the least time spent against eligible activities delivered under CfC FP during 2011-12.</w:t>
      </w:r>
    </w:p>
    <w:p w:rsidR="008E31EC" w:rsidRPr="008E31EC" w:rsidRDefault="008E31EC" w:rsidP="008E31EC">
      <w:pPr>
        <w:pStyle w:val="Heading4"/>
        <w:rPr>
          <w:rFonts w:eastAsia="Times New Roman"/>
          <w:lang w:eastAsia="en-AU"/>
        </w:rPr>
      </w:pPr>
      <w:bookmarkStart w:id="312" w:name="_Graph_3.3_Eligible"/>
      <w:bookmarkEnd w:id="312"/>
      <w:r w:rsidRPr="008E31EC">
        <w:rPr>
          <w:rFonts w:eastAsia="Times New Roman"/>
          <w:lang w:eastAsia="en-AU"/>
        </w:rPr>
        <w:t>Chart - Ranking of eligible activities 2011-12 – CfC IPS</w:t>
      </w:r>
    </w:p>
    <w:p w:rsidR="008E31EC" w:rsidRPr="008E31EC" w:rsidRDefault="008E31EC" w:rsidP="008E31EC">
      <w:pPr>
        <w:spacing w:before="0" w:after="120" w:line="240" w:lineRule="auto"/>
        <w:rPr>
          <w:rFonts w:ascii="Calibri" w:eastAsia="Times New Roman" w:hAnsi="Calibri" w:cs="Times New Roman"/>
          <w:noProof/>
          <w:lang w:eastAsia="en-AU"/>
        </w:rPr>
      </w:pPr>
      <w:r>
        <w:rPr>
          <w:rFonts w:ascii="Calibri" w:eastAsia="Times New Roman" w:hAnsi="Calibri" w:cs="Times New Roman"/>
          <w:noProof/>
          <w:lang w:eastAsia="en-AU"/>
        </w:rPr>
        <w:drawing>
          <wp:inline distT="0" distB="0" distL="0" distR="0" wp14:anchorId="13119727" wp14:editId="24E05BEE">
            <wp:extent cx="5732145" cy="1760855"/>
            <wp:effectExtent l="0" t="0" r="20955" b="10795"/>
            <wp:docPr id="39" name="Chart 39" descr="Community Capcity Building and Development  &#10;• 12.5% of service providers ranked this eligible activity first&#10;• 14.4% of service providers ranked this eligible activity second&#10;• 11.5% of service providers ranked this eligible activity third&#10;• 20.2% of service providers ranked this eligible activity fourth&#10;• 22.1% of service providers ranked this eligible activity fifth &#10;• 10.6% of service providers ranked this eligible activity sixth&#10;• 8.7% of service providers ranked this eligible activity ‘nil’&#10;Education and Training  &#10;• 17.3% of service providers ranked this eligible activity first&#10;• 18.3% of service providers ranked this eligible activity second&#10;• 18.3% of service providers ranked this eligible activity third&#10;• 14.4% of service providers ranked this eligible activity fourth&#10;• 14.4% of service providers ranked this eligible activity fifth &#10;• 8.7% of service providers ranked this eligible activity sixth&#10;• 8.7% of service providers ranked this eligible activity ‘nil’&#10;Information and Referral  &#10;• 2.9% of service providers ranked this eligible activity first&#10;• 10.6% of service providers ranked this eligible activity second&#10;• 24% of service providers ranked this eligible activity third&#10;• 24% of service providers ranked this eligible activity fourth&#10;• 17.3% of service providers ranked this eligible activity fifth &#10;• 10.6% of service providers ranked this eligible activity sixth &#10;• 10.6% of service providers ranked this eligible activity ‘nil’&#10;Outreach and Home Visits  &#10;• 15.4% of service providers ranked this eligible activity first&#10;• 21.2% of service providers ranked this eligible activity second&#10;• 15.4% of service providers ranked this eligible activity third&#10;• 11.5% of service providers ranked this eligible activity fourth&#10;• 4.8% of service providers ranked this eligible activity fifth &#10;• 16.3% of service providers ranked this eligible activity sixth &#10;• 15.4% of service providers ranked this eligible activity ‘nil’&#10;Resource Development  &#10;• 1% of service providers ranked this eligible activity first&#10;• 4.8% of service providers ranked this eligible activity second&#10;• 8.7% of service providers ranked this eligible activity third&#10;• 16.3% of service providers ranked this eligible activity fourth&#10;• 23.1% of service providers ranked this eligible activity fifth &#10;• 31.7% of service providers ranked this eligible activity sixth &#10;• 14.4% of service providers ranked this eligible activity ‘nil’&#10;Support  &#10;• 36% of service providers ranked this eligible activity first&#10;• 16% of service providers ranked this eligible activity second&#10;• 22% of service providers ranked this eligible activity third&#10;• 16% of service providers ranked this eligible activity fourth&#10;• 6% of service providers ranked this eligible activity fifth &#10;• 4% of service providers ranked this eligible activity sixth &#10;• 0% of service providers ranked this eligible activity ‘nil’&#10;" title="Ranking of eligible activities 2011-12 - CfC IP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8E31EC" w:rsidRPr="00210A46" w:rsidRDefault="008E31EC" w:rsidP="008E31EC">
      <w:pPr>
        <w:rPr>
          <w:rFonts w:eastAsia="Times New Roman"/>
          <w:noProof/>
          <w:sz w:val="24"/>
          <w:szCs w:val="24"/>
          <w:lang w:eastAsia="en-AU"/>
        </w:rPr>
      </w:pPr>
      <w:r w:rsidRPr="00210A46">
        <w:rPr>
          <w:rFonts w:eastAsia="Times New Roman"/>
          <w:noProof/>
          <w:sz w:val="24"/>
          <w:szCs w:val="24"/>
          <w:lang w:eastAsia="en-AU"/>
        </w:rPr>
        <w:t>The chart above shows a consecutive ranking reported by service providers of the most time spent to the least time spent against eligible activities delivered under CfC IPSduring 2011-12.</w:t>
      </w:r>
    </w:p>
    <w:p w:rsidR="00B536C1" w:rsidRDefault="00B536C1">
      <w:pPr>
        <w:rPr>
          <w:rFonts w:eastAsia="Times New Roman"/>
          <w:caps/>
          <w:color w:val="4F6228" w:themeColor="accent3" w:themeShade="80"/>
          <w:spacing w:val="10"/>
          <w:sz w:val="22"/>
          <w:szCs w:val="22"/>
          <w:lang w:eastAsia="en-AU"/>
        </w:rPr>
      </w:pPr>
      <w:bookmarkStart w:id="313" w:name="_Graph_3.4_Eligible"/>
      <w:bookmarkEnd w:id="313"/>
      <w:r>
        <w:rPr>
          <w:rFonts w:eastAsia="Times New Roman"/>
          <w:lang w:eastAsia="en-AU"/>
        </w:rPr>
        <w:br w:type="page"/>
      </w:r>
    </w:p>
    <w:p w:rsidR="008E31EC" w:rsidRPr="008E31EC" w:rsidRDefault="008E31EC" w:rsidP="000D4B99">
      <w:pPr>
        <w:pStyle w:val="Heading4"/>
        <w:rPr>
          <w:rFonts w:eastAsia="Times New Roman"/>
          <w:lang w:eastAsia="en-AU"/>
        </w:rPr>
      </w:pPr>
      <w:r w:rsidRPr="008E31EC">
        <w:rPr>
          <w:rFonts w:eastAsia="Times New Roman"/>
          <w:lang w:eastAsia="en-AU"/>
        </w:rPr>
        <w:lastRenderedPageBreak/>
        <w:t>Chart - Ranking of eligible activities 2011-12 – community capacity building and development</w:t>
      </w:r>
    </w:p>
    <w:p w:rsidR="008E31EC" w:rsidRPr="008E31EC" w:rsidRDefault="008E31EC" w:rsidP="00442A2E">
      <w:pPr>
        <w:spacing w:before="0" w:after="0" w:line="240" w:lineRule="auto"/>
        <w:rPr>
          <w:rFonts w:ascii="Calibri" w:eastAsia="Times New Roman" w:hAnsi="Calibri" w:cs="Times New Roman"/>
          <w:noProof/>
          <w:lang w:eastAsia="en-AU"/>
        </w:rPr>
      </w:pPr>
      <w:r>
        <w:rPr>
          <w:rFonts w:ascii="Calibri" w:eastAsia="Times New Roman" w:hAnsi="Calibri" w:cs="Times New Roman"/>
          <w:noProof/>
          <w:lang w:eastAsia="en-AU"/>
        </w:rPr>
        <w:drawing>
          <wp:inline distT="0" distB="0" distL="0" distR="0" wp14:anchorId="4E338C1B" wp14:editId="2A92CF10">
            <wp:extent cx="5732145" cy="1805940"/>
            <wp:effectExtent l="0" t="0" r="20955" b="22860"/>
            <wp:docPr id="38" name="Chart 38" descr="• 32% of CfC FPs ranked this eligible activity first&#10;• 15.4% of CfC ranked this eligible activity first&#10;• 12.9% of CfC Direct ranked this eligible activity first&#10;• 12.5% of CfC IPS ranked this eligible activity first&#10;&#10;• 20% of CfC FPs ranked this eligible activity second&#10;• 14.4% of CfC IPS ranked this eligible activity second&#10;• 14.3% of CfC ranked this eligible activity second&#10;• 12.9% of CfC Direct ranked this eligible activity second&#10;&#10;• 26% of CfC FPs ranked this eligible activity third&#10;• 17.7% of CfC Direct ranked this eligible activity third&#10;• 17.1% of CfC ranked this eligible activity third&#10;• 11.5% of CfC IPS ranked this eligible activity third&#10;&#10;• 20.6% of CfC Direct ranked this eligible activity fourth&#10;• 20.2% of CfC IPS ranked this eligible activity fourth&#10;• 19.3% of CfC ranked this eligible activity fourth&#10;• 12% of CfC FPs ranked this eligible activity fourth&#10;&#10;• 23.9% of CfC Direct ranked this eligible activity fifth&#10;• 22.1% of CfC IPS ranked this eligible activity fifth&#10;• 21.2% of CfC ranked this eligible activity fifth&#10;• 8% of CfC FPs ranked this eligible activity fifth&#10;&#10;• 10.6% of CfC IPS ranked this eligible activity sixth&#10;• 7.4% of CfC ranked this eligible activity sixth&#10;• 7.2% of CfC Direct ranked this eligible activity sixth&#10;• 2% of CfC FPs ranked this eligible activity sixth&#10;&#10;• 8.7% of CfC IPS ranked this eligible activity ‘nil’&#10;• 5.2% of CfC ranked this eligible activity ‘nil’&#10;• 4.8% of CfC Direct ranked this eligible activity ‘nil’&#10;• 0% of CfC FPs ranked this eligible activity ‘nil’&#10;" title="Ranking of eligible activities 2011-12 - Community Capacity Building and Development"/>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8E31EC" w:rsidRPr="00210A46" w:rsidRDefault="008E31EC" w:rsidP="00442A2E">
      <w:pPr>
        <w:spacing w:before="0" w:after="0" w:line="240" w:lineRule="auto"/>
        <w:rPr>
          <w:rFonts w:eastAsia="Times New Roman"/>
          <w:noProof/>
          <w:sz w:val="24"/>
          <w:szCs w:val="24"/>
          <w:lang w:eastAsia="en-AU"/>
        </w:rPr>
      </w:pPr>
      <w:r w:rsidRPr="00210A46">
        <w:rPr>
          <w:rFonts w:eastAsia="Times New Roman"/>
          <w:noProof/>
          <w:sz w:val="24"/>
          <w:szCs w:val="24"/>
          <w:lang w:eastAsia="en-AU"/>
        </w:rPr>
        <w:t>The chart above shows the percentage of CfC service providers who ranked</w:t>
      </w:r>
      <w:r w:rsidRPr="00210A46">
        <w:rPr>
          <w:rFonts w:eastAsia="Times New Roman"/>
          <w:i/>
          <w:noProof/>
          <w:sz w:val="24"/>
          <w:szCs w:val="24"/>
          <w:lang w:eastAsia="en-AU"/>
        </w:rPr>
        <w:t xml:space="preserve"> Community Capacity Building and Development</w:t>
      </w:r>
      <w:r w:rsidRPr="00210A46">
        <w:rPr>
          <w:rFonts w:eastAsia="Times New Roman"/>
          <w:noProof/>
          <w:sz w:val="24"/>
          <w:szCs w:val="24"/>
          <w:lang w:eastAsia="en-AU"/>
        </w:rPr>
        <w:t xml:space="preserve"> as the eligible activity that they spent most to the least time delivering during 2011-12.</w:t>
      </w:r>
    </w:p>
    <w:p w:rsidR="008E31EC" w:rsidRPr="008E31EC" w:rsidRDefault="008E31EC" w:rsidP="00DF0CB9">
      <w:pPr>
        <w:pStyle w:val="Heading4"/>
        <w:rPr>
          <w:rFonts w:eastAsia="Times New Roman"/>
          <w:lang w:eastAsia="en-AU"/>
        </w:rPr>
      </w:pPr>
      <w:bookmarkStart w:id="314" w:name="_Graph_3.5_Eligible"/>
      <w:bookmarkEnd w:id="314"/>
      <w:r w:rsidRPr="008E31EC">
        <w:rPr>
          <w:rFonts w:eastAsia="Times New Roman"/>
          <w:lang w:eastAsia="en-AU"/>
        </w:rPr>
        <w:t>Chart - Ranking of Eligible activities 2011-12– Information and Referral</w:t>
      </w:r>
    </w:p>
    <w:p w:rsidR="008E31EC" w:rsidRPr="008E31EC" w:rsidRDefault="008E31EC" w:rsidP="00442A2E">
      <w:pPr>
        <w:spacing w:before="0" w:after="0" w:line="240" w:lineRule="auto"/>
        <w:rPr>
          <w:rFonts w:ascii="Calibri" w:eastAsia="Times New Roman" w:hAnsi="Calibri" w:cs="Times New Roman"/>
          <w:noProof/>
          <w:lang w:eastAsia="en-AU"/>
        </w:rPr>
      </w:pPr>
      <w:r>
        <w:rPr>
          <w:rFonts w:ascii="Calibri" w:eastAsia="Times New Roman" w:hAnsi="Calibri" w:cs="Times New Roman"/>
          <w:noProof/>
          <w:lang w:eastAsia="en-AU"/>
        </w:rPr>
        <w:drawing>
          <wp:inline distT="0" distB="0" distL="0" distR="0" wp14:anchorId="3E6F4F15" wp14:editId="4F399C10">
            <wp:extent cx="5732145" cy="1805940"/>
            <wp:effectExtent l="0" t="0" r="20955" b="22860"/>
            <wp:docPr id="37" name="Chart 37" descr="• 6% of CfC FPs ranked this eligible activity first&#10;• 3.3% of CfC ranked this eligible activity first&#10;• 2.9% of CfC Direct ranked this eligible activity first&#10;• 2.9% of CfCIPS ranked this eligible activity first&#10;&#10;• 18% of CfC FPsranked this eligible activity second&#10;• 16.7% of CfC Direct ranked this eligible activity second&#10;• 15.2% of CfC ranked this eligible activity second&#10;• 10.6% of CfC IPSt ranked this eligible activity second&#10;&#10;• 32.5% of CfC Direct ranked this eligible activity third&#10;• 27% of CfC ranked this eligible activity third&#10;• 24% of CfC IPS ranked this eligible activity third&#10;• 10% of CfC FPs ranked this eligible activity third&#10;&#10;• 32% of CfC FPs ranked this eligible activity fourth&#10;• 26.8% of CfC Direct ranked this eligible activity fourth&#10;• 26.7% of CfC ranked this eligible activity fourth&#10;• 24% of CfC IPS ranked this eligible activity fourth&#10;&#10;• 18% of CfC FPs ranked this eligible activity fifth&#10;• 17.3% of CfC IPS ranked this eligible activity fifth&#10;• 14.6% of CfC ranked this eligible activity fifth&#10;• 12.4% of CfC Direct ranked this eligible activity fifth&#10;&#10;• 16% of CfC FPs ranked this eligible activity sixth&#10;• 10.6% of CfC IPS ranked this eligible activity sixth&#10;• 8.8% of CfC ranked this eligible activity sixth&#10;• 6.2% of CfC Direct ranked this eligible activity sixth&#10;&#10;• 10.6% of CfC IPS ranked this eligible activity ‘nil’&#10;• 4.4% of CfC ranked this eligible activity ‘nil’&#10;• 2.4% of CfC Direct ranked this eligible activity ‘nil’&#10;• 0% of CfC FPs ranked this eligible activity ‘nil’&#10;" title="Ranking of eligible activities 2011-12 - Information and referral"/>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8E31EC" w:rsidRPr="00210A46" w:rsidRDefault="008E31EC" w:rsidP="00442A2E">
      <w:pPr>
        <w:spacing w:before="0" w:after="0" w:line="240" w:lineRule="auto"/>
        <w:rPr>
          <w:rFonts w:eastAsia="Times New Roman"/>
          <w:noProof/>
          <w:sz w:val="24"/>
          <w:szCs w:val="24"/>
          <w:lang w:eastAsia="en-AU"/>
        </w:rPr>
      </w:pPr>
      <w:r w:rsidRPr="00210A46">
        <w:rPr>
          <w:rFonts w:eastAsia="Times New Roman"/>
          <w:noProof/>
          <w:sz w:val="24"/>
          <w:szCs w:val="24"/>
          <w:lang w:eastAsia="en-AU"/>
        </w:rPr>
        <w:t>The chart above shows the percentage of CfC service providers who ranked</w:t>
      </w:r>
      <w:r w:rsidRPr="00210A46">
        <w:rPr>
          <w:rFonts w:eastAsia="Times New Roman"/>
          <w:i/>
          <w:noProof/>
          <w:sz w:val="24"/>
          <w:szCs w:val="24"/>
          <w:lang w:eastAsia="en-AU"/>
        </w:rPr>
        <w:t xml:space="preserve"> Information and Referral </w:t>
      </w:r>
      <w:r w:rsidRPr="00210A46">
        <w:rPr>
          <w:rFonts w:eastAsia="Times New Roman"/>
          <w:noProof/>
          <w:sz w:val="24"/>
          <w:szCs w:val="24"/>
          <w:lang w:eastAsia="en-AU"/>
        </w:rPr>
        <w:t>as the eligible activity that they spent most to the least time delivering during 2011-12.</w:t>
      </w:r>
    </w:p>
    <w:p w:rsidR="008E31EC" w:rsidRPr="008E31EC" w:rsidRDefault="008E31EC" w:rsidP="003E7205">
      <w:pPr>
        <w:pStyle w:val="Heading4"/>
        <w:rPr>
          <w:rFonts w:eastAsia="Times New Roman"/>
          <w:lang w:eastAsia="en-AU"/>
        </w:rPr>
      </w:pPr>
      <w:bookmarkStart w:id="315" w:name="_Graph_3.6_Eligible"/>
      <w:bookmarkEnd w:id="315"/>
      <w:r w:rsidRPr="008E31EC">
        <w:rPr>
          <w:rFonts w:eastAsia="Times New Roman"/>
          <w:lang w:eastAsia="en-AU"/>
        </w:rPr>
        <w:t>Chart - Ranking of eligible activities 2011-12 – support</w:t>
      </w:r>
    </w:p>
    <w:p w:rsidR="008E31EC" w:rsidRDefault="008E31EC" w:rsidP="00442A2E">
      <w:pPr>
        <w:spacing w:before="0" w:after="0" w:line="240" w:lineRule="auto"/>
        <w:rPr>
          <w:rFonts w:ascii="Calibri" w:eastAsia="Times New Roman" w:hAnsi="Calibri" w:cs="Times New Roman"/>
          <w:noProof/>
          <w:lang w:eastAsia="en-AU"/>
        </w:rPr>
      </w:pPr>
      <w:r>
        <w:rPr>
          <w:rFonts w:ascii="Calibri" w:eastAsia="Times New Roman" w:hAnsi="Calibri" w:cs="Times New Roman"/>
          <w:noProof/>
          <w:lang w:eastAsia="en-AU"/>
        </w:rPr>
        <w:drawing>
          <wp:inline distT="0" distB="0" distL="0" distR="0" wp14:anchorId="7024FDEE" wp14:editId="562E97C9">
            <wp:extent cx="5732145" cy="1836420"/>
            <wp:effectExtent l="0" t="0" r="20955" b="11430"/>
            <wp:docPr id="36" name="Chart 36" descr="• 45.2% of CfC IPS ranked this eligible activity first&#10;• 39.9% of CfC ranked this eligible activity first&#10;• 38.3% of CfC Direct ranked this eligible activity first&#10;• 36% of CfC FPs ranked this eligible activity first&#10;&#10;• 33% of CfC Direct ranked this eligible activity second&#10;• 28.1% of CfC ranked this eligible activity second&#10;• 24% of CfC IPS ranked this eligible activity second&#10;• 16% of CfC FPs ranked this eligible activity second&#10;&#10;• 22% of CfC FPs ranked this eligible activity third&#10;• 14.6% of CfC ranked this eligible activity third&#10;• 14.4% of CfC IPS ranked this eligible activity third&#10;• 12.9% of CfC Direct ranked this eligible activity third&#10;&#10;• 16% of CfC FPs ranked this eligible activity fourth&#10;• 7.4% of CfC ranked this eligible activity fourth&#10;• 6.7% of CfC Direct ranked this eligible activity fourth&#10;• 4.8% of CfC IPS ranked this eligible activity fourth&#10;&#10;• 6% of CfC FPs ranked this eligible activity fifth&#10;• 4.4% of CfC ranked this eligible activity fifth&#10;• 4.3% of CfC Direct ranked this eligible activity fifth&#10;• 3.8% of CfC IPS ranked this eligible activity fifth&#10;&#10;• 4% of CfC FPs ranked this eligible activity sixth&#10;• 1.7% of CfC ranked this eligible activity sixth&#10;• 1.4% of CfC Direct ranked this eligible activity sixth&#10;• 1% of CfC IPS ranked this eligible activity sixth&#10;&#10;• 6.7% of CfC IPS ranked this eligible activity ‘nil’&#10;• 3.9% of CfC ranked this eligible activity ‘nil’&#10;• 3.3% of CfC Direct ranked this eligible activity ‘nil’&#10;• 0% of CfC FPs ranked this eligible activity ‘nil’&#10;" title="Ranking of eligible activities 2011-12 - Support"/>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210A46" w:rsidRPr="008E31EC" w:rsidRDefault="00210A46" w:rsidP="00442A2E">
      <w:pPr>
        <w:spacing w:before="0" w:after="0" w:line="240" w:lineRule="auto"/>
        <w:rPr>
          <w:rFonts w:ascii="Calibri" w:eastAsia="Times New Roman" w:hAnsi="Calibri" w:cs="Times New Roman"/>
          <w:noProof/>
          <w:lang w:eastAsia="en-AU"/>
        </w:rPr>
      </w:pPr>
    </w:p>
    <w:p w:rsidR="008E31EC" w:rsidRPr="00210A46" w:rsidRDefault="008E31EC" w:rsidP="00442A2E">
      <w:pPr>
        <w:spacing w:before="0" w:after="0" w:line="240" w:lineRule="auto"/>
        <w:rPr>
          <w:rFonts w:eastAsia="Times New Roman"/>
          <w:noProof/>
          <w:sz w:val="24"/>
          <w:szCs w:val="24"/>
          <w:lang w:eastAsia="en-AU"/>
        </w:rPr>
      </w:pPr>
      <w:r w:rsidRPr="00210A46">
        <w:rPr>
          <w:rFonts w:eastAsia="Times New Roman"/>
          <w:noProof/>
          <w:sz w:val="24"/>
          <w:szCs w:val="24"/>
          <w:lang w:eastAsia="en-AU"/>
        </w:rPr>
        <w:t>The chart above shows the percentage of CfC service providers who ranked</w:t>
      </w:r>
      <w:r w:rsidRPr="00210A46">
        <w:rPr>
          <w:rFonts w:eastAsia="Times New Roman"/>
          <w:i/>
          <w:noProof/>
          <w:sz w:val="24"/>
          <w:szCs w:val="24"/>
          <w:lang w:eastAsia="en-AU"/>
        </w:rPr>
        <w:t xml:space="preserve"> Support </w:t>
      </w:r>
      <w:r w:rsidRPr="00210A46">
        <w:rPr>
          <w:rFonts w:eastAsia="Times New Roman"/>
          <w:noProof/>
          <w:sz w:val="24"/>
          <w:szCs w:val="24"/>
          <w:lang w:eastAsia="en-AU"/>
        </w:rPr>
        <w:t>as the eligible activity that they spent most to the least time delivering during 2011-12.</w:t>
      </w:r>
    </w:p>
    <w:p w:rsidR="00B536C1" w:rsidRDefault="00B536C1">
      <w:pPr>
        <w:rPr>
          <w:rFonts w:eastAsia="Times New Roman"/>
          <w:caps/>
          <w:color w:val="4F6228" w:themeColor="accent3" w:themeShade="80"/>
          <w:spacing w:val="10"/>
          <w:sz w:val="22"/>
          <w:szCs w:val="22"/>
          <w:lang w:eastAsia="en-AU"/>
        </w:rPr>
      </w:pPr>
      <w:bookmarkStart w:id="316" w:name="_Graph_3.7_Eligible"/>
      <w:bookmarkEnd w:id="316"/>
      <w:r>
        <w:rPr>
          <w:rFonts w:eastAsia="Times New Roman"/>
          <w:lang w:eastAsia="en-AU"/>
        </w:rPr>
        <w:br w:type="page"/>
      </w:r>
    </w:p>
    <w:p w:rsidR="008E31EC" w:rsidRPr="008E31EC" w:rsidRDefault="008E31EC" w:rsidP="00FF0BB7">
      <w:pPr>
        <w:pStyle w:val="Heading4"/>
        <w:rPr>
          <w:rFonts w:eastAsia="Times New Roman"/>
          <w:lang w:eastAsia="en-AU"/>
        </w:rPr>
      </w:pPr>
      <w:r w:rsidRPr="008E31EC">
        <w:rPr>
          <w:rFonts w:eastAsia="Times New Roman"/>
          <w:lang w:eastAsia="en-AU"/>
        </w:rPr>
        <w:lastRenderedPageBreak/>
        <w:t>Chart - Ranking of eligible activities 2011-12 – resource development</w:t>
      </w:r>
    </w:p>
    <w:p w:rsidR="008E31EC" w:rsidRPr="008E31EC" w:rsidRDefault="008E31EC" w:rsidP="00442A2E">
      <w:pPr>
        <w:spacing w:before="0" w:after="0" w:line="240" w:lineRule="auto"/>
        <w:rPr>
          <w:rFonts w:ascii="Calibri" w:eastAsia="Times New Roman" w:hAnsi="Calibri" w:cs="Times New Roman"/>
          <w:noProof/>
          <w:lang w:eastAsia="en-AU"/>
        </w:rPr>
      </w:pPr>
      <w:r>
        <w:rPr>
          <w:rFonts w:ascii="Calibri" w:eastAsia="Times New Roman" w:hAnsi="Calibri" w:cs="Times New Roman"/>
          <w:noProof/>
          <w:lang w:eastAsia="en-AU"/>
        </w:rPr>
        <w:drawing>
          <wp:inline distT="0" distB="0" distL="0" distR="0" wp14:anchorId="5481CB51" wp14:editId="1261BF57">
            <wp:extent cx="5732145" cy="2251710"/>
            <wp:effectExtent l="0" t="0" r="20955" b="15240"/>
            <wp:docPr id="35" name="Chart 35" descr="• 4% of CfC FPs ranked this eligible activity first&#10;• 2.9% of CfC Direct ranked this eligible activity first&#10;• 2.5% of CfC  ranked this eligible activity first&#10;• 1% of CfC IPS ranked this eligible activity first&#10;&#10;• 4.8% of CfC IPS ranked this eligible activity second&#10;• 3.9% of CfC ranked this eligible activity second&#10;• 3.8% of CfC Direct ranked this eligible activity second&#10;• 2% of CfC FPs ranked this eligible activity second&#10;&#10;• 8.7% of CfC IPS ranked this eligible activity third&#10;• 8% of CfC FPs ranked this eligible activity third&#10;• 6.9% of CfC ranked this eligible activity third&#10;• 5.7% of CfC Direct ranked this eligible activity third&#10;&#10;• 16.3% of CfC IPS ranked this eligible activity fourth&#10;• 15.3% of CfC Direct ranked this eligible activity fourth&#10;• 14.3% of CfC ranked this eligible activity fourth&#10;• 6% of CfC FPs ranked this eligible activity fourth&#10;&#10;• 34% of CfC FPs ranked this eligible activity fifth&#10;• 28.7% of CfC Direct ranked this eligible activity fifth&#10;• 27.8% of CfC ranked this eligible activity fifth&#10;• 23.1% of CfC IPS ranked this eligible activity fifth&#10;&#10;• 46% of CfC FPs ranked this eligible activity sixth&#10;• 33.9% of CfC ranked this eligible activity sixth&#10;• 32.1% of CfC Direct ranked this eligible activity sixth&#10;• 31.7% of CfC IPS ranked this eligible activity sixth&#10;&#10;• 14.4% of CfC IPS ranked this eligible activity ‘nil’&#10;• 11.5% of CfC Direct ranked this eligible activity ‘nil’&#10;• 10.7% of CfC ranked this eligible activity ‘nil’&#10;• 0% of CfC FPs ranked this eligible activity ‘nil’&#10;" title="Ranking of eligible activities 2011-12 - Resource Development"/>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8E31EC" w:rsidRPr="00210A46" w:rsidRDefault="008E31EC" w:rsidP="00442A2E">
      <w:pPr>
        <w:spacing w:before="0" w:after="0" w:line="240" w:lineRule="auto"/>
        <w:rPr>
          <w:rFonts w:eastAsia="Times New Roman"/>
          <w:noProof/>
          <w:sz w:val="24"/>
          <w:szCs w:val="24"/>
          <w:lang w:eastAsia="en-AU"/>
        </w:rPr>
      </w:pPr>
      <w:r w:rsidRPr="00210A46">
        <w:rPr>
          <w:rFonts w:eastAsia="Times New Roman"/>
          <w:noProof/>
          <w:sz w:val="24"/>
          <w:szCs w:val="24"/>
          <w:lang w:eastAsia="en-AU"/>
        </w:rPr>
        <w:t>The chart above shows the percentage of CfC service providers who ranked</w:t>
      </w:r>
      <w:r w:rsidRPr="00210A46">
        <w:rPr>
          <w:rFonts w:eastAsia="Times New Roman"/>
          <w:i/>
          <w:noProof/>
          <w:sz w:val="24"/>
          <w:szCs w:val="24"/>
          <w:lang w:eastAsia="en-AU"/>
        </w:rPr>
        <w:t xml:space="preserve"> Resource Development </w:t>
      </w:r>
      <w:r w:rsidRPr="00210A46">
        <w:rPr>
          <w:rFonts w:eastAsia="Times New Roman"/>
          <w:noProof/>
          <w:sz w:val="24"/>
          <w:szCs w:val="24"/>
          <w:lang w:eastAsia="en-AU"/>
        </w:rPr>
        <w:t>as the eligible activity that they spent most to the least time delivering during 2011-12.</w:t>
      </w:r>
    </w:p>
    <w:p w:rsidR="008E31EC" w:rsidRPr="008E31EC" w:rsidRDefault="008E31EC" w:rsidP="00DD6ACD">
      <w:pPr>
        <w:pStyle w:val="Heading4"/>
        <w:rPr>
          <w:rFonts w:eastAsia="Times New Roman"/>
          <w:lang w:eastAsia="en-AU"/>
        </w:rPr>
      </w:pPr>
      <w:bookmarkStart w:id="317" w:name="_Graph_3.8_Eligible"/>
      <w:bookmarkEnd w:id="317"/>
      <w:r w:rsidRPr="008E31EC">
        <w:rPr>
          <w:rFonts w:eastAsia="Times New Roman"/>
          <w:lang w:eastAsia="en-AU"/>
        </w:rPr>
        <w:t>Chart - Ranking of eligible activities 2011-12 – outreach and home visits</w:t>
      </w:r>
    </w:p>
    <w:p w:rsidR="008E31EC" w:rsidRPr="008E31EC" w:rsidRDefault="008E31EC" w:rsidP="00442A2E">
      <w:pPr>
        <w:spacing w:before="0" w:after="0" w:line="240" w:lineRule="auto"/>
        <w:rPr>
          <w:rFonts w:ascii="Calibri" w:eastAsia="Times New Roman" w:hAnsi="Calibri" w:cs="Times New Roman"/>
          <w:noProof/>
          <w:lang w:eastAsia="en-AU"/>
        </w:rPr>
      </w:pPr>
      <w:r>
        <w:rPr>
          <w:rFonts w:ascii="Calibri" w:eastAsia="Times New Roman" w:hAnsi="Calibri" w:cs="Times New Roman"/>
          <w:noProof/>
          <w:lang w:eastAsia="en-AU"/>
        </w:rPr>
        <w:drawing>
          <wp:inline distT="0" distB="0" distL="0" distR="0" wp14:anchorId="4AF62912" wp14:editId="609287C8">
            <wp:extent cx="5732145" cy="2198370"/>
            <wp:effectExtent l="0" t="0" r="20955" b="11430"/>
            <wp:docPr id="34" name="Chart 34" descr="• 15.4% of CfC IPS ranked this eligible activity first&#10;• 13.9% of CfC Direct ranked this eligible activity first&#10;• 13.2% of CfC ranked this eligible activity first&#10;• 6% of CfC FPsranked this eligible activity first&#10;&#10;• 21.2% of CfC IPS ranked this eligible activity second&#10;• 14% of CfC ranked this eligible activity second&#10;• 14% of CfC FPs ranked this eligible activity second&#10;• 10.5% of CfC Direct ranked this eligible activity second&#10;&#10;• 18% of CfC FPs ranked this eligible activity third&#10;• 15.4% of CfC IPS ranked this eligible activity third&#10;• 14.6% of CfC ranked this eligible activity third&#10;• 13.4% of CfC Direct ranked this eligible activity third&#10;&#10;• 14% of CfC FPs ranked this eligible activity fourth&#10;• 12.1% of CfC ranked this eligible activity fourth&#10;• 12.0% of CfC Direct ranked this eligible activity fourth&#10;• 11.5% of CfC IPS ranked this eligible activity fourth&#10;&#10;• 20% of CfC FPs ranked this eligible activity fifth&#10;• 11% of CfC Direct ranked this eligible activity fifth&#10;• 10.5% of CfC ranked this eligible activity fifth&#10;• 4.8% of CfC IPS ranked this eligible activity fifth&#10;&#10;• 24% of CfC FPs ranked this eligible activity sixth&#10;• 21.5% of CfC Direct ranked this eligible activity sixth&#10;• 20.4% of CfC ranked this eligible activity sixth&#10;• 16.3% of CfC IPS ranked this eligible activity sixth&#10;&#10;• 17.7% of CfC Direct ranked this eligible activity ‘nil’&#10;• 15.4% of CfC IPS ranked this eligible activity ‘nil’&#10;• 15.2% of CfC ranked this eligible activity ‘nil’&#10;• 4% of CfC FPs ranked this eligible activity ‘nil’&#10;" title="Ranking of eligible activities 2011-12 - Outreach and Home Visit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8E31EC" w:rsidRPr="00210A46" w:rsidRDefault="008E31EC" w:rsidP="00442A2E">
      <w:pPr>
        <w:spacing w:before="0" w:after="0" w:line="240" w:lineRule="auto"/>
        <w:rPr>
          <w:rFonts w:eastAsia="Times New Roman"/>
          <w:noProof/>
          <w:sz w:val="24"/>
          <w:szCs w:val="24"/>
          <w:lang w:eastAsia="en-AU"/>
        </w:rPr>
      </w:pPr>
      <w:r w:rsidRPr="00210A46">
        <w:rPr>
          <w:rFonts w:eastAsia="Times New Roman"/>
          <w:noProof/>
          <w:sz w:val="24"/>
          <w:szCs w:val="24"/>
          <w:lang w:eastAsia="en-AU"/>
        </w:rPr>
        <w:t>The chart above shows the percentage of CfC service providers who ranked</w:t>
      </w:r>
      <w:r w:rsidRPr="00210A46">
        <w:rPr>
          <w:rFonts w:eastAsia="Times New Roman"/>
          <w:i/>
          <w:noProof/>
          <w:sz w:val="24"/>
          <w:szCs w:val="24"/>
          <w:lang w:eastAsia="en-AU"/>
        </w:rPr>
        <w:t xml:space="preserve"> Outreach and Home Visits</w:t>
      </w:r>
      <w:r w:rsidRPr="00210A46">
        <w:rPr>
          <w:rFonts w:eastAsia="Times New Roman"/>
          <w:noProof/>
          <w:sz w:val="24"/>
          <w:szCs w:val="24"/>
          <w:lang w:eastAsia="en-AU"/>
        </w:rPr>
        <w:t xml:space="preserve"> as the eligible activity that they spent most to the least time delivering during 2011-12.</w:t>
      </w:r>
    </w:p>
    <w:p w:rsidR="008E31EC" w:rsidRPr="008E31EC" w:rsidRDefault="008E31EC" w:rsidP="008E3EB0">
      <w:pPr>
        <w:pStyle w:val="Heading4"/>
        <w:rPr>
          <w:rFonts w:eastAsia="Times New Roman"/>
          <w:noProof/>
          <w:lang w:eastAsia="en-AU"/>
        </w:rPr>
      </w:pPr>
      <w:bookmarkStart w:id="318" w:name="_Graph_3.9_Eligible"/>
      <w:bookmarkEnd w:id="318"/>
      <w:r w:rsidRPr="008E31EC">
        <w:rPr>
          <w:rFonts w:eastAsia="Times New Roman"/>
          <w:lang w:eastAsia="en-AU"/>
        </w:rPr>
        <w:t>Chart - Ranking of eligible activities 2011-12 – education and training</w:t>
      </w:r>
    </w:p>
    <w:p w:rsidR="008E31EC" w:rsidRPr="008E31EC" w:rsidRDefault="008E31EC" w:rsidP="00442A2E">
      <w:pPr>
        <w:spacing w:before="0" w:after="0" w:line="240" w:lineRule="auto"/>
        <w:rPr>
          <w:rFonts w:ascii="Calibri" w:eastAsia="Times New Roman" w:hAnsi="Calibri" w:cs="Times New Roman"/>
          <w:noProof/>
          <w:lang w:eastAsia="en-AU"/>
        </w:rPr>
      </w:pPr>
      <w:r>
        <w:rPr>
          <w:rFonts w:ascii="Calibri" w:eastAsia="Times New Roman" w:hAnsi="Calibri" w:cs="Times New Roman"/>
          <w:noProof/>
          <w:lang w:eastAsia="en-AU"/>
        </w:rPr>
        <w:drawing>
          <wp:inline distT="0" distB="0" distL="0" distR="0" wp14:anchorId="706FE13D" wp14:editId="0F20DC58">
            <wp:extent cx="5732145" cy="2280285"/>
            <wp:effectExtent l="0" t="0" r="20955" b="24765"/>
            <wp:docPr id="33" name="Chart 33" descr="• 27.8% of CfC Direct ranked this eligible activity first&#10;• 23.1% of CfC ranked this eligible activity first&#10;• 17.3% of CfC IPS ranked this eligible activity first&#10;• 16% of CfC FPs ranked this eligible activity first&#10;&#10;• 30% of CfC FPs ranked this eligible activity second&#10;• 22% of CfC Direct ranked this eligible activity second&#10;• 22% of CfC ranked this eligible activity second&#10;• 18.3% of CfC Direct ranked this eligible activity second&#10;&#10;• 18.3% of CfC IPS ranked this eligible activity third&#10;• 16.5% of CfC ranked this eligible activity third&#10;• 16% of CfC FPs ranked this eligible activity third&#10;• 15.8% of CfC Direct ranked this eligible activity third&#10;&#10;• 20% of CfC FPs ranked this eligible activity fourth&#10;• 15.2% of CfC ranked this eligible activity fourth&#10;• 14.4% of CfC IPS ranked this eligible activity fourth&#10;• 14.4% of CfC Direct ranked this eligible activity fourth&#10;&#10;• 14.4% of CfC IPS ranked this eligible activity fifth&#10;• 14% of CfC FPs ranked this eligible activity fifth&#10;• 11% of CfC ranked this eligible activity fifth&#10;• 8.6% of CfC Direct ranked this eligible activity fifth&#10;&#10;• 8.7% of CfC IPS ranked this eligible activity sixth&#10;• 7.4% of CfC ranked this eligible activity sixth&#10;• 7.7% of CfC Direct ranked this eligible activity sixth&#10;• 4% of CfC FPs ranked this eligible activity sixth&#10;&#10;• 8.7% of CfC IPS ranked this eligible activity ‘nil’&#10;• 4.7% of CfC ranked this eligible activity ‘nil’&#10;• 3.8% of CfC Direct ranked this eligible activity ‘nil’&#10;• 0% of CfC FPs ranked this eligible activity ‘nil’&#10;" title="Ranking of eligible activities 2011-12 - Education and Training"/>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C446C" w:rsidRPr="005C3AA9" w:rsidRDefault="008E31EC" w:rsidP="00442A2E">
      <w:pPr>
        <w:spacing w:before="0" w:after="0" w:line="240" w:lineRule="auto"/>
        <w:rPr>
          <w:rStyle w:val="BookTitle"/>
          <w:i w:val="0"/>
          <w:iCs w:val="0"/>
          <w:smallCaps/>
          <w:spacing w:val="0"/>
        </w:rPr>
      </w:pPr>
      <w:r w:rsidRPr="00210A46">
        <w:rPr>
          <w:rFonts w:eastAsia="Times New Roman"/>
          <w:noProof/>
          <w:sz w:val="24"/>
          <w:szCs w:val="24"/>
          <w:lang w:eastAsia="en-AU"/>
        </w:rPr>
        <w:t>The chart above shows the percentage of CfC service providers who ranked</w:t>
      </w:r>
      <w:r w:rsidRPr="00210A46">
        <w:rPr>
          <w:rFonts w:eastAsia="Times New Roman"/>
          <w:i/>
          <w:noProof/>
          <w:sz w:val="24"/>
          <w:szCs w:val="24"/>
          <w:lang w:eastAsia="en-AU"/>
        </w:rPr>
        <w:t xml:space="preserve"> Education and Training </w:t>
      </w:r>
      <w:r w:rsidRPr="00210A46">
        <w:rPr>
          <w:rFonts w:eastAsia="Times New Roman"/>
          <w:noProof/>
          <w:sz w:val="24"/>
          <w:szCs w:val="24"/>
          <w:lang w:eastAsia="en-AU"/>
        </w:rPr>
        <w:t>as the eligible activity that they spent most to the least time delivering during 2011-12</w:t>
      </w:r>
      <w:r w:rsidRPr="008E31EC">
        <w:rPr>
          <w:rFonts w:eastAsia="Times New Roman"/>
          <w:noProof/>
          <w:lang w:eastAsia="en-AU"/>
        </w:rPr>
        <w:t>.</w:t>
      </w:r>
    </w:p>
    <w:sectPr w:rsidR="00FC446C" w:rsidRPr="005C3AA9" w:rsidSect="007A4BF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B2B" w:rsidRDefault="006E0B2B" w:rsidP="00D96A19">
      <w:pPr>
        <w:spacing w:before="0" w:after="0" w:line="240" w:lineRule="auto"/>
      </w:pPr>
      <w:r>
        <w:separator/>
      </w:r>
    </w:p>
  </w:endnote>
  <w:endnote w:type="continuationSeparator" w:id="0">
    <w:p w:rsidR="006E0B2B" w:rsidRDefault="006E0B2B" w:rsidP="00D96A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279717"/>
      <w:docPartObj>
        <w:docPartGallery w:val="Page Numbers (Bottom of Page)"/>
        <w:docPartUnique/>
      </w:docPartObj>
    </w:sdtPr>
    <w:sdtEndPr>
      <w:rPr>
        <w:noProof/>
      </w:rPr>
    </w:sdtEndPr>
    <w:sdtContent>
      <w:p w:rsidR="006E0B2B" w:rsidRDefault="006E0B2B">
        <w:pPr>
          <w:pStyle w:val="Footer"/>
          <w:jc w:val="center"/>
        </w:pPr>
        <w:r>
          <w:fldChar w:fldCharType="begin"/>
        </w:r>
        <w:r>
          <w:instrText xml:space="preserve"> PAGE   \* MERGEFORMAT </w:instrText>
        </w:r>
        <w:r>
          <w:fldChar w:fldCharType="separate"/>
        </w:r>
        <w:r w:rsidR="00F67123">
          <w:rPr>
            <w:noProof/>
          </w:rPr>
          <w:t>49</w:t>
        </w:r>
        <w:r>
          <w:rPr>
            <w:noProof/>
          </w:rPr>
          <w:fldChar w:fldCharType="end"/>
        </w:r>
      </w:p>
    </w:sdtContent>
  </w:sdt>
  <w:p w:rsidR="006E0B2B" w:rsidRDefault="006E0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B2B" w:rsidRDefault="006E0B2B" w:rsidP="00D96A19">
      <w:pPr>
        <w:spacing w:before="0" w:after="0" w:line="240" w:lineRule="auto"/>
      </w:pPr>
      <w:r>
        <w:separator/>
      </w:r>
    </w:p>
  </w:footnote>
  <w:footnote w:type="continuationSeparator" w:id="0">
    <w:p w:rsidR="006E0B2B" w:rsidRDefault="006E0B2B" w:rsidP="00D96A19">
      <w:pPr>
        <w:spacing w:before="0" w:after="0" w:line="240" w:lineRule="auto"/>
      </w:pPr>
      <w:r>
        <w:continuationSeparator/>
      </w:r>
    </w:p>
  </w:footnote>
  <w:footnote w:id="1">
    <w:p w:rsidR="006E0B2B" w:rsidRPr="00FC446C" w:rsidRDefault="006E0B2B" w:rsidP="00FC446C">
      <w:pPr>
        <w:pStyle w:val="FootnoteText"/>
        <w:spacing w:before="120"/>
        <w:rPr>
          <w:sz w:val="18"/>
          <w:szCs w:val="18"/>
        </w:rPr>
      </w:pPr>
      <w:r w:rsidRPr="00D7699B">
        <w:rPr>
          <w:rStyle w:val="FootnoteReference"/>
        </w:rPr>
        <w:footnoteRef/>
      </w:r>
      <w:r w:rsidRPr="00D7699B">
        <w:t xml:space="preserve"> </w:t>
      </w:r>
      <w:r w:rsidRPr="00FC446C">
        <w:rPr>
          <w:sz w:val="18"/>
          <w:szCs w:val="18"/>
        </w:rPr>
        <w:t xml:space="preserve">The figure of 873,597 represents a unique count of registered FaRS clients plus </w:t>
      </w:r>
      <w:proofErr w:type="gramStart"/>
      <w:r w:rsidRPr="00FC446C">
        <w:rPr>
          <w:sz w:val="18"/>
          <w:szCs w:val="18"/>
        </w:rPr>
        <w:t>CfC</w:t>
      </w:r>
      <w:proofErr w:type="gramEnd"/>
      <w:r w:rsidRPr="00FC446C">
        <w:rPr>
          <w:sz w:val="18"/>
          <w:szCs w:val="18"/>
        </w:rPr>
        <w:t xml:space="preserve"> and CP client numbers as at 3 October 2012.  A unique count is a single count of registered clients who received FaRS services.  Although only counted once, clients may have attended multiple services or multiple activities within a single service.  </w:t>
      </w:r>
    </w:p>
  </w:footnote>
  <w:footnote w:id="2">
    <w:p w:rsidR="006E0B2B" w:rsidRDefault="006E0B2B" w:rsidP="00442A2E">
      <w:pPr>
        <w:spacing w:after="120" w:line="240" w:lineRule="auto"/>
      </w:pPr>
      <w:r w:rsidRPr="00FC446C">
        <w:rPr>
          <w:rStyle w:val="FootnoteReference"/>
          <w:sz w:val="18"/>
          <w:szCs w:val="18"/>
        </w:rPr>
        <w:footnoteRef/>
      </w:r>
      <w:r w:rsidRPr="00FC446C">
        <w:rPr>
          <w:sz w:val="18"/>
          <w:szCs w:val="18"/>
        </w:rPr>
        <w:t xml:space="preserve"> </w:t>
      </w:r>
      <w:r w:rsidRPr="00FC446C">
        <w:rPr>
          <w:rFonts w:cstheme="minorHAnsi"/>
          <w:sz w:val="18"/>
          <w:szCs w:val="18"/>
        </w:rPr>
        <w:t>It should be noted that the total number of clients reported in the 2011-12 Annual Report is 800,514.  The Annual Report figure was based on an estimate of the number of clients as at August 2012, when not all data had yet been received from service providers and is therefore lower than the actual figure which was determined in October 2012 once all data had been received.</w:t>
      </w:r>
    </w:p>
  </w:footnote>
  <w:footnote w:id="3">
    <w:p w:rsidR="006E0B2B" w:rsidRPr="008E7DD8" w:rsidRDefault="006E0B2B">
      <w:pPr>
        <w:pStyle w:val="FootnoteText"/>
        <w:rPr>
          <w:sz w:val="18"/>
          <w:szCs w:val="18"/>
        </w:rPr>
      </w:pPr>
      <w:r>
        <w:rPr>
          <w:rStyle w:val="FootnoteReference"/>
        </w:rPr>
        <w:footnoteRef/>
      </w:r>
      <w:r>
        <w:t xml:space="preserve"> </w:t>
      </w:r>
      <w:r w:rsidRPr="008E7DD8">
        <w:rPr>
          <w:sz w:val="18"/>
          <w:szCs w:val="18"/>
        </w:rPr>
        <w:t>Find and Connect data is not included in this report due to these services not having commenced reporting</w:t>
      </w:r>
      <w:r>
        <w:rPr>
          <w:sz w:val="18"/>
          <w:szCs w:val="18"/>
        </w:rPr>
        <w:t xml:space="preserve"> until July 2012.</w:t>
      </w:r>
    </w:p>
  </w:footnote>
  <w:footnote w:id="4">
    <w:p w:rsidR="006E0B2B" w:rsidRPr="008E7DD8" w:rsidRDefault="006E0B2B">
      <w:pPr>
        <w:pStyle w:val="FootnoteText"/>
        <w:rPr>
          <w:sz w:val="18"/>
          <w:szCs w:val="18"/>
        </w:rPr>
      </w:pPr>
      <w:r w:rsidRPr="008E7DD8">
        <w:rPr>
          <w:rStyle w:val="FootnoteReference"/>
          <w:sz w:val="18"/>
          <w:szCs w:val="18"/>
        </w:rPr>
        <w:footnoteRef/>
      </w:r>
      <w:r w:rsidRPr="008E7DD8">
        <w:rPr>
          <w:sz w:val="18"/>
          <w:szCs w:val="18"/>
        </w:rPr>
        <w:t xml:space="preserve"> A client for FSP purposes is defined as an individual who receives or has received support or assistance from a FSP service.</w:t>
      </w:r>
    </w:p>
  </w:footnote>
  <w:footnote w:id="5">
    <w:p w:rsidR="006E0B2B" w:rsidRPr="008E7DD8" w:rsidRDefault="006E0B2B" w:rsidP="00142765">
      <w:pPr>
        <w:pStyle w:val="FootnoteText"/>
        <w:rPr>
          <w:sz w:val="18"/>
          <w:szCs w:val="18"/>
        </w:rPr>
      </w:pPr>
      <w:r w:rsidRPr="00583FA4">
        <w:rPr>
          <w:rStyle w:val="FootnoteReference"/>
        </w:rPr>
        <w:footnoteRef/>
      </w:r>
      <w:r w:rsidRPr="00583FA4">
        <w:rPr>
          <w:rStyle w:val="FootnoteReference"/>
        </w:rPr>
        <w:t xml:space="preserve"> </w:t>
      </w:r>
      <w:r w:rsidRPr="008E7DD8">
        <w:rPr>
          <w:sz w:val="18"/>
          <w:szCs w:val="18"/>
        </w:rPr>
        <w:t>It should be noted that the ABS uses a different method of counting/determining people in Australia identifying as ATSI. ABS Indigenous estimated resident population – method of calculation can be found at:</w:t>
      </w:r>
      <w:r w:rsidRPr="008E7DD8">
        <w:rPr>
          <w:rStyle w:val="FootnoteReference"/>
          <w:sz w:val="18"/>
          <w:szCs w:val="18"/>
        </w:rPr>
        <w:t xml:space="preserve"> </w:t>
      </w:r>
      <w:hyperlink r:id="rId1" w:history="1">
        <w:r>
          <w:rPr>
            <w:rStyle w:val="Hyperlink"/>
            <w:sz w:val="18"/>
            <w:szCs w:val="18"/>
          </w:rPr>
          <w:t>ABS Appendix 2 "Indigenous estimated resident population - method of calculation"</w:t>
        </w:r>
      </w:hyperlink>
      <w:r w:rsidRPr="008E7DD8">
        <w:rPr>
          <w:rStyle w:val="FootnoteReference"/>
          <w:sz w:val="18"/>
          <w:szCs w:val="18"/>
          <w:vertAlign w:val="baseline"/>
        </w:rPr>
        <w:t>=</w:t>
      </w:r>
    </w:p>
  </w:footnote>
  <w:footnote w:id="6">
    <w:p w:rsidR="006E0B2B" w:rsidRDefault="006E0B2B">
      <w:pPr>
        <w:pStyle w:val="FootnoteText"/>
      </w:pPr>
      <w:r>
        <w:rPr>
          <w:rStyle w:val="FootnoteReference"/>
        </w:rPr>
        <w:footnoteRef/>
      </w:r>
      <w:r>
        <w:t xml:space="preserve"> </w:t>
      </w:r>
      <w:r w:rsidRPr="00417F06">
        <w:rPr>
          <w:sz w:val="18"/>
          <w:szCs w:val="18"/>
        </w:rPr>
        <w:t>For the purposes of SDAC, disability is defined as any limitation, restriction or impairment which restricts everyday activities and has lasted or is likely to last for at least six months. Examples range from loss of sight that is not corrected by glasses, to arthritis which causes difficulty dressing, to advanced dementia that requires constant help and supervision. Males and females were similarly affected by disability (18% and 19% respectively).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BE5222"/>
    <w:lvl w:ilvl="0">
      <w:start w:val="1"/>
      <w:numFmt w:val="decimal"/>
      <w:pStyle w:val="ListNumber"/>
      <w:lvlText w:val="%1."/>
      <w:lvlJc w:val="left"/>
      <w:pPr>
        <w:tabs>
          <w:tab w:val="num" w:pos="360"/>
        </w:tabs>
        <w:ind w:left="360" w:hanging="360"/>
      </w:pPr>
      <w:rPr>
        <w:b w:val="0"/>
        <w:color w:val="auto"/>
      </w:rPr>
    </w:lvl>
  </w:abstractNum>
  <w:abstractNum w:abstractNumId="1">
    <w:nsid w:val="03EB71BC"/>
    <w:multiLevelType w:val="hybridMultilevel"/>
    <w:tmpl w:val="B532C76E"/>
    <w:lvl w:ilvl="0" w:tplc="0C09000F">
      <w:start w:val="1"/>
      <w:numFmt w:val="decimal"/>
      <w:lvlText w:val="%1."/>
      <w:lvlJc w:val="left"/>
      <w:pPr>
        <w:ind w:left="360" w:hanging="360"/>
      </w:pPr>
    </w:lvl>
    <w:lvl w:ilvl="1" w:tplc="7382E426">
      <w:start w:val="1"/>
      <w:numFmt w:val="lowerLetter"/>
      <w:lvlText w:val="%2."/>
      <w:lvlJc w:val="left"/>
      <w:pPr>
        <w:ind w:left="1080" w:hanging="360"/>
      </w:pPr>
      <w:rPr>
        <w:b w:val="0"/>
        <w:sz w:val="24"/>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D0F3BA0"/>
    <w:multiLevelType w:val="hybridMultilevel"/>
    <w:tmpl w:val="755E3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5E60C2"/>
    <w:multiLevelType w:val="hybridMultilevel"/>
    <w:tmpl w:val="934C37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9400CC"/>
    <w:multiLevelType w:val="hybridMultilevel"/>
    <w:tmpl w:val="5BA89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E41DAA"/>
    <w:multiLevelType w:val="hybridMultilevel"/>
    <w:tmpl w:val="95F081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583DBB"/>
    <w:multiLevelType w:val="hybridMultilevel"/>
    <w:tmpl w:val="BDD65B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4DC62B6"/>
    <w:multiLevelType w:val="hybridMultilevel"/>
    <w:tmpl w:val="60AE4E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4FB2812"/>
    <w:multiLevelType w:val="hybridMultilevel"/>
    <w:tmpl w:val="FF7602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nsid w:val="18145BB5"/>
    <w:multiLevelType w:val="hybridMultilevel"/>
    <w:tmpl w:val="16EE158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B7B6136"/>
    <w:multiLevelType w:val="hybridMultilevel"/>
    <w:tmpl w:val="BD609F9E"/>
    <w:lvl w:ilvl="0" w:tplc="F4C6E1DE">
      <w:start w:val="1"/>
      <w:numFmt w:val="bullet"/>
      <w:pStyle w:val="dotpoin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F88587A"/>
    <w:multiLevelType w:val="hybridMultilevel"/>
    <w:tmpl w:val="97E22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AA5CF6"/>
    <w:multiLevelType w:val="hybridMultilevel"/>
    <w:tmpl w:val="482C3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8044912"/>
    <w:multiLevelType w:val="hybridMultilevel"/>
    <w:tmpl w:val="D78CB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C16EC2"/>
    <w:multiLevelType w:val="hybridMultilevel"/>
    <w:tmpl w:val="C8EA38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F120F93"/>
    <w:multiLevelType w:val="hybridMultilevel"/>
    <w:tmpl w:val="43544D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51179F0"/>
    <w:multiLevelType w:val="hybridMultilevel"/>
    <w:tmpl w:val="7B8E9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5EC6CA8"/>
    <w:multiLevelType w:val="hybridMultilevel"/>
    <w:tmpl w:val="5F8262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2855A2"/>
    <w:multiLevelType w:val="hybridMultilevel"/>
    <w:tmpl w:val="DAAA6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F54655"/>
    <w:multiLevelType w:val="hybridMultilevel"/>
    <w:tmpl w:val="C1D45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DD2705"/>
    <w:multiLevelType w:val="hybridMultilevel"/>
    <w:tmpl w:val="5BDC6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513556"/>
    <w:multiLevelType w:val="hybridMultilevel"/>
    <w:tmpl w:val="B6127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74732E"/>
    <w:multiLevelType w:val="hybridMultilevel"/>
    <w:tmpl w:val="0CFC9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676059"/>
    <w:multiLevelType w:val="hybridMultilevel"/>
    <w:tmpl w:val="1E96BE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5CF6995"/>
    <w:multiLevelType w:val="hybridMultilevel"/>
    <w:tmpl w:val="7C1256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4869C8"/>
    <w:multiLevelType w:val="hybridMultilevel"/>
    <w:tmpl w:val="BA7009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68B7783"/>
    <w:multiLevelType w:val="multilevel"/>
    <w:tmpl w:val="DF30AD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47A0098F"/>
    <w:multiLevelType w:val="hybridMultilevel"/>
    <w:tmpl w:val="B0F42F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E915A9A"/>
    <w:multiLevelType w:val="hybridMultilevel"/>
    <w:tmpl w:val="034CF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0297624"/>
    <w:multiLevelType w:val="hybridMultilevel"/>
    <w:tmpl w:val="16EEE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292006B"/>
    <w:multiLevelType w:val="hybridMultilevel"/>
    <w:tmpl w:val="5EBA81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3744CE3"/>
    <w:multiLevelType w:val="hybridMultilevel"/>
    <w:tmpl w:val="B888E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45B733F"/>
    <w:multiLevelType w:val="hybridMultilevel"/>
    <w:tmpl w:val="F5FC8B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5864F17"/>
    <w:multiLevelType w:val="hybridMultilevel"/>
    <w:tmpl w:val="D30E6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69D7F2D"/>
    <w:multiLevelType w:val="hybridMultilevel"/>
    <w:tmpl w:val="6C9C2DB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nsid w:val="58627EDA"/>
    <w:multiLevelType w:val="hybridMultilevel"/>
    <w:tmpl w:val="90603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86E2A0F"/>
    <w:multiLevelType w:val="hybridMultilevel"/>
    <w:tmpl w:val="0F4E7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D2D3F56"/>
    <w:multiLevelType w:val="hybridMultilevel"/>
    <w:tmpl w:val="04605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5DFE274A"/>
    <w:multiLevelType w:val="hybridMultilevel"/>
    <w:tmpl w:val="F2E6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ED564CF"/>
    <w:multiLevelType w:val="hybridMultilevel"/>
    <w:tmpl w:val="3EAE1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F075348"/>
    <w:multiLevelType w:val="hybridMultilevel"/>
    <w:tmpl w:val="2D685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0811075"/>
    <w:multiLevelType w:val="hybridMultilevel"/>
    <w:tmpl w:val="3BAEE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2105CED"/>
    <w:multiLevelType w:val="hybridMultilevel"/>
    <w:tmpl w:val="FEA6C6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AEC24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D715309"/>
    <w:multiLevelType w:val="hybridMultilevel"/>
    <w:tmpl w:val="E1D8D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6E086C9D"/>
    <w:multiLevelType w:val="hybridMultilevel"/>
    <w:tmpl w:val="2F7C1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1521E35"/>
    <w:multiLevelType w:val="hybridMultilevel"/>
    <w:tmpl w:val="200CC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6B00561"/>
    <w:multiLevelType w:val="hybridMultilevel"/>
    <w:tmpl w:val="F9B65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B374942"/>
    <w:multiLevelType w:val="hybridMultilevel"/>
    <w:tmpl w:val="68587C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31"/>
  </w:num>
  <w:num w:numId="3">
    <w:abstractNumId w:val="44"/>
  </w:num>
  <w:num w:numId="4">
    <w:abstractNumId w:val="13"/>
  </w:num>
  <w:num w:numId="5">
    <w:abstractNumId w:val="45"/>
  </w:num>
  <w:num w:numId="6">
    <w:abstractNumId w:val="6"/>
  </w:num>
  <w:num w:numId="7">
    <w:abstractNumId w:val="32"/>
  </w:num>
  <w:num w:numId="8">
    <w:abstractNumId w:val="30"/>
  </w:num>
  <w:num w:numId="9">
    <w:abstractNumId w:val="14"/>
  </w:num>
  <w:num w:numId="10">
    <w:abstractNumId w:val="33"/>
  </w:num>
  <w:num w:numId="11">
    <w:abstractNumId w:val="16"/>
  </w:num>
  <w:num w:numId="12">
    <w:abstractNumId w:val="21"/>
  </w:num>
  <w:num w:numId="13">
    <w:abstractNumId w:val="46"/>
  </w:num>
  <w:num w:numId="14">
    <w:abstractNumId w:val="2"/>
  </w:num>
  <w:num w:numId="15">
    <w:abstractNumId w:val="10"/>
  </w:num>
  <w:num w:numId="16">
    <w:abstractNumId w:val="0"/>
  </w:num>
  <w:num w:numId="17">
    <w:abstractNumId w:val="38"/>
  </w:num>
  <w:num w:numId="18">
    <w:abstractNumId w:val="47"/>
  </w:num>
  <w:num w:numId="19">
    <w:abstractNumId w:val="39"/>
  </w:num>
  <w:num w:numId="20">
    <w:abstractNumId w:val="48"/>
  </w:num>
  <w:num w:numId="21">
    <w:abstractNumId w:val="25"/>
  </w:num>
  <w:num w:numId="22">
    <w:abstractNumId w:val="27"/>
  </w:num>
  <w:num w:numId="23">
    <w:abstractNumId w:val="41"/>
  </w:num>
  <w:num w:numId="24">
    <w:abstractNumId w:val="3"/>
  </w:num>
  <w:num w:numId="25">
    <w:abstractNumId w:val="12"/>
  </w:num>
  <w:num w:numId="26">
    <w:abstractNumId w:val="15"/>
  </w:num>
  <w:num w:numId="27">
    <w:abstractNumId w:val="23"/>
  </w:num>
  <w:num w:numId="28">
    <w:abstractNumId w:val="18"/>
  </w:num>
  <w:num w:numId="29">
    <w:abstractNumId w:val="11"/>
  </w:num>
  <w:num w:numId="30">
    <w:abstractNumId w:val="4"/>
  </w:num>
  <w:num w:numId="31">
    <w:abstractNumId w:val="19"/>
  </w:num>
  <w:num w:numId="32">
    <w:abstractNumId w:val="8"/>
  </w:num>
  <w:num w:numId="33">
    <w:abstractNumId w:val="35"/>
  </w:num>
  <w:num w:numId="34">
    <w:abstractNumId w:val="43"/>
  </w:num>
  <w:num w:numId="35">
    <w:abstractNumId w:val="29"/>
  </w:num>
  <w:num w:numId="36">
    <w:abstractNumId w:val="36"/>
  </w:num>
  <w:num w:numId="37">
    <w:abstractNumId w:val="20"/>
  </w:num>
  <w:num w:numId="38">
    <w:abstractNumId w:val="9"/>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28"/>
  </w:num>
  <w:num w:numId="42">
    <w:abstractNumId w:val="1"/>
  </w:num>
  <w:num w:numId="43">
    <w:abstractNumId w:val="22"/>
  </w:num>
  <w:num w:numId="44">
    <w:abstractNumId w:val="40"/>
  </w:num>
  <w:num w:numId="45">
    <w:abstractNumId w:val="26"/>
  </w:num>
  <w:num w:numId="46">
    <w:abstractNumId w:val="24"/>
  </w:num>
  <w:num w:numId="47">
    <w:abstractNumId w:val="7"/>
  </w:num>
  <w:num w:numId="48">
    <w:abstractNumId w:val="37"/>
  </w:num>
  <w:num w:numId="4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F7"/>
    <w:rsid w:val="000049E6"/>
    <w:rsid w:val="00013805"/>
    <w:rsid w:val="00025720"/>
    <w:rsid w:val="00043238"/>
    <w:rsid w:val="000523F0"/>
    <w:rsid w:val="000630B7"/>
    <w:rsid w:val="0006480C"/>
    <w:rsid w:val="00081CE9"/>
    <w:rsid w:val="000A2940"/>
    <w:rsid w:val="000A2F74"/>
    <w:rsid w:val="000A52B4"/>
    <w:rsid w:val="000A5B4F"/>
    <w:rsid w:val="000D00AD"/>
    <w:rsid w:val="000D4B99"/>
    <w:rsid w:val="000E4891"/>
    <w:rsid w:val="000F4F3B"/>
    <w:rsid w:val="00101669"/>
    <w:rsid w:val="00102CA1"/>
    <w:rsid w:val="001258CF"/>
    <w:rsid w:val="001334D7"/>
    <w:rsid w:val="00135BAD"/>
    <w:rsid w:val="001367B4"/>
    <w:rsid w:val="00142765"/>
    <w:rsid w:val="0015028B"/>
    <w:rsid w:val="00150676"/>
    <w:rsid w:val="00155BB9"/>
    <w:rsid w:val="001613C6"/>
    <w:rsid w:val="001672A3"/>
    <w:rsid w:val="00180FCB"/>
    <w:rsid w:val="0019345D"/>
    <w:rsid w:val="001952CF"/>
    <w:rsid w:val="00195D8C"/>
    <w:rsid w:val="001A2B4C"/>
    <w:rsid w:val="001B1C9D"/>
    <w:rsid w:val="001B2BAB"/>
    <w:rsid w:val="001B5D0A"/>
    <w:rsid w:val="001C0B39"/>
    <w:rsid w:val="001D037B"/>
    <w:rsid w:val="001E630D"/>
    <w:rsid w:val="001E71BA"/>
    <w:rsid w:val="001F7607"/>
    <w:rsid w:val="00201BB6"/>
    <w:rsid w:val="00210A46"/>
    <w:rsid w:val="00221C4A"/>
    <w:rsid w:val="00222682"/>
    <w:rsid w:val="00224315"/>
    <w:rsid w:val="002245A4"/>
    <w:rsid w:val="0023185D"/>
    <w:rsid w:val="00235FAE"/>
    <w:rsid w:val="002417F0"/>
    <w:rsid w:val="00251168"/>
    <w:rsid w:val="0026441D"/>
    <w:rsid w:val="00277B18"/>
    <w:rsid w:val="00277DAF"/>
    <w:rsid w:val="00282888"/>
    <w:rsid w:val="00285567"/>
    <w:rsid w:val="0029474A"/>
    <w:rsid w:val="0029544B"/>
    <w:rsid w:val="002A57D5"/>
    <w:rsid w:val="002B6E3F"/>
    <w:rsid w:val="002D4EF4"/>
    <w:rsid w:val="002E483D"/>
    <w:rsid w:val="002F4AE3"/>
    <w:rsid w:val="00322495"/>
    <w:rsid w:val="0033288E"/>
    <w:rsid w:val="00336C2E"/>
    <w:rsid w:val="003451BD"/>
    <w:rsid w:val="003864D6"/>
    <w:rsid w:val="00391799"/>
    <w:rsid w:val="003925E1"/>
    <w:rsid w:val="003B2BB8"/>
    <w:rsid w:val="003B4C4F"/>
    <w:rsid w:val="003D34FF"/>
    <w:rsid w:val="003E7205"/>
    <w:rsid w:val="0040180C"/>
    <w:rsid w:val="00417F06"/>
    <w:rsid w:val="0042029F"/>
    <w:rsid w:val="00433EAA"/>
    <w:rsid w:val="00442A2E"/>
    <w:rsid w:val="0044568F"/>
    <w:rsid w:val="0045024F"/>
    <w:rsid w:val="00470441"/>
    <w:rsid w:val="00474CE0"/>
    <w:rsid w:val="00480802"/>
    <w:rsid w:val="00491CDB"/>
    <w:rsid w:val="004A0BCB"/>
    <w:rsid w:val="004A7B54"/>
    <w:rsid w:val="004B50F5"/>
    <w:rsid w:val="004B54CA"/>
    <w:rsid w:val="004B5A07"/>
    <w:rsid w:val="004C2516"/>
    <w:rsid w:val="004C60F0"/>
    <w:rsid w:val="004D5F81"/>
    <w:rsid w:val="004E5CBF"/>
    <w:rsid w:val="004E7E43"/>
    <w:rsid w:val="004F062E"/>
    <w:rsid w:val="004F5ECB"/>
    <w:rsid w:val="0050276A"/>
    <w:rsid w:val="00516C1A"/>
    <w:rsid w:val="00524812"/>
    <w:rsid w:val="0053546B"/>
    <w:rsid w:val="00545845"/>
    <w:rsid w:val="005635CC"/>
    <w:rsid w:val="00567A70"/>
    <w:rsid w:val="00573985"/>
    <w:rsid w:val="00590B6D"/>
    <w:rsid w:val="005B09F5"/>
    <w:rsid w:val="005B21C7"/>
    <w:rsid w:val="005B26CB"/>
    <w:rsid w:val="005B6826"/>
    <w:rsid w:val="005C0167"/>
    <w:rsid w:val="005C3AA9"/>
    <w:rsid w:val="005C75D4"/>
    <w:rsid w:val="005D35F2"/>
    <w:rsid w:val="005D6939"/>
    <w:rsid w:val="005E2435"/>
    <w:rsid w:val="0063777E"/>
    <w:rsid w:val="0064648E"/>
    <w:rsid w:val="006470DE"/>
    <w:rsid w:val="00661D5E"/>
    <w:rsid w:val="006822A7"/>
    <w:rsid w:val="006A4CE7"/>
    <w:rsid w:val="006A6B34"/>
    <w:rsid w:val="006B0AB6"/>
    <w:rsid w:val="006D728F"/>
    <w:rsid w:val="006D7E12"/>
    <w:rsid w:val="006E0B2B"/>
    <w:rsid w:val="00703E65"/>
    <w:rsid w:val="0071326B"/>
    <w:rsid w:val="0071385A"/>
    <w:rsid w:val="007374AA"/>
    <w:rsid w:val="0075310F"/>
    <w:rsid w:val="00756C47"/>
    <w:rsid w:val="007641E1"/>
    <w:rsid w:val="007744F7"/>
    <w:rsid w:val="007750DC"/>
    <w:rsid w:val="00785261"/>
    <w:rsid w:val="00793B68"/>
    <w:rsid w:val="00794AF1"/>
    <w:rsid w:val="0079662F"/>
    <w:rsid w:val="007A15D1"/>
    <w:rsid w:val="007A1F84"/>
    <w:rsid w:val="007A42B2"/>
    <w:rsid w:val="007A4BF7"/>
    <w:rsid w:val="007A7192"/>
    <w:rsid w:val="007B0256"/>
    <w:rsid w:val="007B3C77"/>
    <w:rsid w:val="007C2449"/>
    <w:rsid w:val="007D03C4"/>
    <w:rsid w:val="007D6E97"/>
    <w:rsid w:val="007E60A5"/>
    <w:rsid w:val="00802845"/>
    <w:rsid w:val="008041C5"/>
    <w:rsid w:val="00805706"/>
    <w:rsid w:val="008063EC"/>
    <w:rsid w:val="0081140D"/>
    <w:rsid w:val="0082398A"/>
    <w:rsid w:val="0082620A"/>
    <w:rsid w:val="00835CD1"/>
    <w:rsid w:val="00837F4F"/>
    <w:rsid w:val="008424E0"/>
    <w:rsid w:val="008432A4"/>
    <w:rsid w:val="00843843"/>
    <w:rsid w:val="0087013E"/>
    <w:rsid w:val="00895152"/>
    <w:rsid w:val="008B1747"/>
    <w:rsid w:val="008B525D"/>
    <w:rsid w:val="008B534E"/>
    <w:rsid w:val="008B7C51"/>
    <w:rsid w:val="008E0388"/>
    <w:rsid w:val="008E31EC"/>
    <w:rsid w:val="008E3B1A"/>
    <w:rsid w:val="008E3EB0"/>
    <w:rsid w:val="008E7DD8"/>
    <w:rsid w:val="00902268"/>
    <w:rsid w:val="0091390E"/>
    <w:rsid w:val="009225F0"/>
    <w:rsid w:val="0092479E"/>
    <w:rsid w:val="00927A36"/>
    <w:rsid w:val="00932E68"/>
    <w:rsid w:val="0093708C"/>
    <w:rsid w:val="00944250"/>
    <w:rsid w:val="00945640"/>
    <w:rsid w:val="009541A4"/>
    <w:rsid w:val="009649D9"/>
    <w:rsid w:val="00972F6E"/>
    <w:rsid w:val="009841DE"/>
    <w:rsid w:val="009B579C"/>
    <w:rsid w:val="009C0827"/>
    <w:rsid w:val="009C0A94"/>
    <w:rsid w:val="009C0D63"/>
    <w:rsid w:val="009C48B9"/>
    <w:rsid w:val="00A0326E"/>
    <w:rsid w:val="00A04B91"/>
    <w:rsid w:val="00A10434"/>
    <w:rsid w:val="00A36659"/>
    <w:rsid w:val="00A455E0"/>
    <w:rsid w:val="00A47A9D"/>
    <w:rsid w:val="00A53BDA"/>
    <w:rsid w:val="00A570F5"/>
    <w:rsid w:val="00A7064F"/>
    <w:rsid w:val="00A719E0"/>
    <w:rsid w:val="00A823DA"/>
    <w:rsid w:val="00A83F0B"/>
    <w:rsid w:val="00A87413"/>
    <w:rsid w:val="00A95876"/>
    <w:rsid w:val="00AA66DE"/>
    <w:rsid w:val="00AB0980"/>
    <w:rsid w:val="00AB7F1E"/>
    <w:rsid w:val="00AD37B8"/>
    <w:rsid w:val="00B119CB"/>
    <w:rsid w:val="00B15DD2"/>
    <w:rsid w:val="00B307A6"/>
    <w:rsid w:val="00B42254"/>
    <w:rsid w:val="00B43065"/>
    <w:rsid w:val="00B4463A"/>
    <w:rsid w:val="00B536C1"/>
    <w:rsid w:val="00B568FE"/>
    <w:rsid w:val="00B5718C"/>
    <w:rsid w:val="00B64937"/>
    <w:rsid w:val="00B669C1"/>
    <w:rsid w:val="00B917CD"/>
    <w:rsid w:val="00B93C78"/>
    <w:rsid w:val="00BA2DB9"/>
    <w:rsid w:val="00BA7FE9"/>
    <w:rsid w:val="00BB59CA"/>
    <w:rsid w:val="00BC2D2C"/>
    <w:rsid w:val="00BE186B"/>
    <w:rsid w:val="00BE7148"/>
    <w:rsid w:val="00BF292A"/>
    <w:rsid w:val="00C005B5"/>
    <w:rsid w:val="00C42CE0"/>
    <w:rsid w:val="00C46BB5"/>
    <w:rsid w:val="00C47E81"/>
    <w:rsid w:val="00C509A9"/>
    <w:rsid w:val="00C50F6B"/>
    <w:rsid w:val="00C52200"/>
    <w:rsid w:val="00C63912"/>
    <w:rsid w:val="00C64310"/>
    <w:rsid w:val="00C838DD"/>
    <w:rsid w:val="00C9381A"/>
    <w:rsid w:val="00CA1DEE"/>
    <w:rsid w:val="00CB6F90"/>
    <w:rsid w:val="00CE3319"/>
    <w:rsid w:val="00D053B5"/>
    <w:rsid w:val="00D1291E"/>
    <w:rsid w:val="00D40B2D"/>
    <w:rsid w:val="00D52AC2"/>
    <w:rsid w:val="00D675A5"/>
    <w:rsid w:val="00D755F8"/>
    <w:rsid w:val="00D87990"/>
    <w:rsid w:val="00D96088"/>
    <w:rsid w:val="00D96A19"/>
    <w:rsid w:val="00DA2404"/>
    <w:rsid w:val="00DB112D"/>
    <w:rsid w:val="00DB19E2"/>
    <w:rsid w:val="00DC632A"/>
    <w:rsid w:val="00DD4B48"/>
    <w:rsid w:val="00DD603B"/>
    <w:rsid w:val="00DD6ACD"/>
    <w:rsid w:val="00DE4BDE"/>
    <w:rsid w:val="00DF0CB9"/>
    <w:rsid w:val="00DF2650"/>
    <w:rsid w:val="00DF5A7A"/>
    <w:rsid w:val="00DF5F75"/>
    <w:rsid w:val="00E02440"/>
    <w:rsid w:val="00E07496"/>
    <w:rsid w:val="00E12FDA"/>
    <w:rsid w:val="00E1557C"/>
    <w:rsid w:val="00E3491E"/>
    <w:rsid w:val="00E53366"/>
    <w:rsid w:val="00E63A70"/>
    <w:rsid w:val="00E72744"/>
    <w:rsid w:val="00E72FC5"/>
    <w:rsid w:val="00EA0D90"/>
    <w:rsid w:val="00EA6D54"/>
    <w:rsid w:val="00EB3945"/>
    <w:rsid w:val="00EC28A1"/>
    <w:rsid w:val="00EC5A68"/>
    <w:rsid w:val="00ED3241"/>
    <w:rsid w:val="00EF2BB5"/>
    <w:rsid w:val="00EF4A49"/>
    <w:rsid w:val="00EF522D"/>
    <w:rsid w:val="00F02E3E"/>
    <w:rsid w:val="00F032A5"/>
    <w:rsid w:val="00F04D4C"/>
    <w:rsid w:val="00F06FA6"/>
    <w:rsid w:val="00F218E0"/>
    <w:rsid w:val="00F31F0D"/>
    <w:rsid w:val="00F33357"/>
    <w:rsid w:val="00F4067A"/>
    <w:rsid w:val="00F646B2"/>
    <w:rsid w:val="00F649B0"/>
    <w:rsid w:val="00F67123"/>
    <w:rsid w:val="00F722C5"/>
    <w:rsid w:val="00F86A8B"/>
    <w:rsid w:val="00F91065"/>
    <w:rsid w:val="00F97DD7"/>
    <w:rsid w:val="00FA2720"/>
    <w:rsid w:val="00FB3AD6"/>
    <w:rsid w:val="00FB58D6"/>
    <w:rsid w:val="00FC446C"/>
    <w:rsid w:val="00FD249E"/>
    <w:rsid w:val="00FD546C"/>
    <w:rsid w:val="00FD5C22"/>
    <w:rsid w:val="00FE3033"/>
    <w:rsid w:val="00FF0BB7"/>
    <w:rsid w:val="00FF7C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D7"/>
    <w:rPr>
      <w:sz w:val="20"/>
      <w:szCs w:val="20"/>
    </w:rPr>
  </w:style>
  <w:style w:type="paragraph" w:styleId="Heading1">
    <w:name w:val="heading 1"/>
    <w:basedOn w:val="Normal"/>
    <w:next w:val="Normal"/>
    <w:link w:val="Heading1Char"/>
    <w:uiPriority w:val="9"/>
    <w:qFormat/>
    <w:rsid w:val="00FC446C"/>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6923C" w:themeFill="accent3" w:themeFillShade="BF"/>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C446C"/>
    <w:pPr>
      <w:pBdr>
        <w:top w:val="single" w:sz="24" w:space="0" w:color="C2D69B" w:themeColor="accent3" w:themeTint="99"/>
        <w:left w:val="single" w:sz="24" w:space="0" w:color="C2D69B" w:themeColor="accent3" w:themeTint="99"/>
        <w:bottom w:val="single" w:sz="24" w:space="0" w:color="C2D69B" w:themeColor="accent3" w:themeTint="99"/>
        <w:right w:val="single" w:sz="24" w:space="0" w:color="C2D69B" w:themeColor="accent3" w:themeTint="99"/>
      </w:pBdr>
      <w:shd w:val="clear" w:color="auto" w:fill="C2D69B" w:themeFill="accent3" w:themeFillTint="99"/>
      <w:spacing w:after="0"/>
      <w:outlineLvl w:val="1"/>
    </w:pPr>
    <w:rPr>
      <w:caps/>
      <w:spacing w:val="15"/>
      <w:sz w:val="22"/>
      <w:szCs w:val="22"/>
    </w:rPr>
  </w:style>
  <w:style w:type="paragraph" w:styleId="Heading3">
    <w:name w:val="heading 3"/>
    <w:basedOn w:val="Normal"/>
    <w:next w:val="Normal"/>
    <w:link w:val="Heading3Char"/>
    <w:uiPriority w:val="9"/>
    <w:unhideWhenUsed/>
    <w:qFormat/>
    <w:rsid w:val="00FC446C"/>
    <w:pPr>
      <w:pBdr>
        <w:top w:val="single" w:sz="6" w:space="2" w:color="4F6228" w:themeColor="accent3" w:themeShade="80"/>
        <w:left w:val="single" w:sz="6" w:space="2" w:color="4F6228" w:themeColor="accent3" w:themeShade="80"/>
      </w:pBdr>
      <w:spacing w:before="300" w:after="0"/>
      <w:outlineLvl w:val="2"/>
    </w:pPr>
    <w:rPr>
      <w:caps/>
      <w:color w:val="4F6228" w:themeColor="accent3" w:themeShade="80"/>
      <w:spacing w:val="15"/>
      <w:sz w:val="22"/>
      <w:szCs w:val="22"/>
    </w:rPr>
  </w:style>
  <w:style w:type="paragraph" w:styleId="Heading4">
    <w:name w:val="heading 4"/>
    <w:basedOn w:val="Normal"/>
    <w:next w:val="Normal"/>
    <w:link w:val="Heading4Char"/>
    <w:uiPriority w:val="9"/>
    <w:unhideWhenUsed/>
    <w:qFormat/>
    <w:rsid w:val="00A53BDA"/>
    <w:pPr>
      <w:spacing w:before="300" w:after="0"/>
      <w:outlineLvl w:val="3"/>
    </w:pPr>
    <w:rPr>
      <w:caps/>
      <w:color w:val="4F6228" w:themeColor="accent3" w:themeShade="80"/>
      <w:spacing w:val="10"/>
      <w:sz w:val="22"/>
      <w:szCs w:val="22"/>
    </w:rPr>
  </w:style>
  <w:style w:type="paragraph" w:styleId="Heading5">
    <w:name w:val="heading 5"/>
    <w:basedOn w:val="Normal"/>
    <w:next w:val="Normal"/>
    <w:link w:val="Heading5Char"/>
    <w:uiPriority w:val="9"/>
    <w:unhideWhenUsed/>
    <w:qFormat/>
    <w:rsid w:val="00FC446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FC446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FC446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FC446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FC446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46C"/>
    <w:rPr>
      <w:b/>
      <w:bCs/>
      <w:caps/>
      <w:color w:val="FFFFFF" w:themeColor="background1"/>
      <w:spacing w:val="15"/>
      <w:shd w:val="clear" w:color="auto" w:fill="76923C" w:themeFill="accent3" w:themeFillShade="BF"/>
    </w:rPr>
  </w:style>
  <w:style w:type="character" w:customStyle="1" w:styleId="Heading2Char">
    <w:name w:val="Heading 2 Char"/>
    <w:basedOn w:val="DefaultParagraphFont"/>
    <w:link w:val="Heading2"/>
    <w:uiPriority w:val="9"/>
    <w:rsid w:val="00FC446C"/>
    <w:rPr>
      <w:caps/>
      <w:spacing w:val="15"/>
      <w:shd w:val="clear" w:color="auto" w:fill="C2D69B" w:themeFill="accent3" w:themeFillTint="99"/>
    </w:rPr>
  </w:style>
  <w:style w:type="paragraph" w:styleId="NoSpacing">
    <w:name w:val="No Spacing"/>
    <w:basedOn w:val="Normal"/>
    <w:link w:val="NoSpacingChar"/>
    <w:uiPriority w:val="1"/>
    <w:qFormat/>
    <w:rsid w:val="00FC446C"/>
    <w:pPr>
      <w:spacing w:before="0" w:after="0" w:line="240" w:lineRule="auto"/>
    </w:pPr>
  </w:style>
  <w:style w:type="character" w:customStyle="1" w:styleId="Heading3Char">
    <w:name w:val="Heading 3 Char"/>
    <w:basedOn w:val="DefaultParagraphFont"/>
    <w:link w:val="Heading3"/>
    <w:uiPriority w:val="9"/>
    <w:rsid w:val="00FC446C"/>
    <w:rPr>
      <w:caps/>
      <w:color w:val="4F6228" w:themeColor="accent3" w:themeShade="80"/>
      <w:spacing w:val="15"/>
    </w:rPr>
  </w:style>
  <w:style w:type="character" w:customStyle="1" w:styleId="Heading4Char">
    <w:name w:val="Heading 4 Char"/>
    <w:basedOn w:val="DefaultParagraphFont"/>
    <w:link w:val="Heading4"/>
    <w:uiPriority w:val="9"/>
    <w:rsid w:val="00A53BDA"/>
    <w:rPr>
      <w:caps/>
      <w:color w:val="4F6228" w:themeColor="accent3" w:themeShade="80"/>
      <w:spacing w:val="10"/>
    </w:rPr>
  </w:style>
  <w:style w:type="character" w:customStyle="1" w:styleId="Heading5Char">
    <w:name w:val="Heading 5 Char"/>
    <w:basedOn w:val="DefaultParagraphFont"/>
    <w:link w:val="Heading5"/>
    <w:uiPriority w:val="9"/>
    <w:rsid w:val="00FC446C"/>
    <w:rPr>
      <w:caps/>
      <w:color w:val="365F91" w:themeColor="accent1" w:themeShade="BF"/>
      <w:spacing w:val="10"/>
    </w:rPr>
  </w:style>
  <w:style w:type="character" w:customStyle="1" w:styleId="Heading6Char">
    <w:name w:val="Heading 6 Char"/>
    <w:basedOn w:val="DefaultParagraphFont"/>
    <w:link w:val="Heading6"/>
    <w:uiPriority w:val="9"/>
    <w:rsid w:val="00FC446C"/>
    <w:rPr>
      <w:caps/>
      <w:color w:val="365F91" w:themeColor="accent1" w:themeShade="BF"/>
      <w:spacing w:val="10"/>
    </w:rPr>
  </w:style>
  <w:style w:type="character" w:customStyle="1" w:styleId="Heading7Char">
    <w:name w:val="Heading 7 Char"/>
    <w:basedOn w:val="DefaultParagraphFont"/>
    <w:link w:val="Heading7"/>
    <w:uiPriority w:val="9"/>
    <w:rsid w:val="00FC446C"/>
    <w:rPr>
      <w:caps/>
      <w:color w:val="365F91" w:themeColor="accent1" w:themeShade="BF"/>
      <w:spacing w:val="10"/>
    </w:rPr>
  </w:style>
  <w:style w:type="character" w:customStyle="1" w:styleId="Heading8Char">
    <w:name w:val="Heading 8 Char"/>
    <w:basedOn w:val="DefaultParagraphFont"/>
    <w:link w:val="Heading8"/>
    <w:uiPriority w:val="9"/>
    <w:rsid w:val="00FC446C"/>
    <w:rPr>
      <w:caps/>
      <w:spacing w:val="10"/>
      <w:sz w:val="18"/>
      <w:szCs w:val="18"/>
    </w:rPr>
  </w:style>
  <w:style w:type="character" w:customStyle="1" w:styleId="Heading9Char">
    <w:name w:val="Heading 9 Char"/>
    <w:basedOn w:val="DefaultParagraphFont"/>
    <w:link w:val="Heading9"/>
    <w:uiPriority w:val="9"/>
    <w:rsid w:val="00FC446C"/>
    <w:rPr>
      <w:i/>
      <w:caps/>
      <w:spacing w:val="10"/>
      <w:sz w:val="18"/>
      <w:szCs w:val="18"/>
    </w:rPr>
  </w:style>
  <w:style w:type="paragraph" w:styleId="Title">
    <w:name w:val="Title"/>
    <w:basedOn w:val="Normal"/>
    <w:next w:val="Normal"/>
    <w:link w:val="TitleChar"/>
    <w:uiPriority w:val="10"/>
    <w:qFormat/>
    <w:rsid w:val="00FC446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C446C"/>
    <w:rPr>
      <w:caps/>
      <w:color w:val="4F81BD" w:themeColor="accent1"/>
      <w:spacing w:val="10"/>
      <w:kern w:val="28"/>
      <w:sz w:val="52"/>
      <w:szCs w:val="52"/>
    </w:rPr>
  </w:style>
  <w:style w:type="paragraph" w:styleId="Subtitle">
    <w:name w:val="Subtitle"/>
    <w:basedOn w:val="Normal"/>
    <w:next w:val="Normal"/>
    <w:link w:val="SubtitleChar"/>
    <w:uiPriority w:val="11"/>
    <w:qFormat/>
    <w:rsid w:val="00FC446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C446C"/>
    <w:rPr>
      <w:caps/>
      <w:color w:val="595959" w:themeColor="text1" w:themeTint="A6"/>
      <w:spacing w:val="10"/>
      <w:sz w:val="24"/>
      <w:szCs w:val="24"/>
    </w:rPr>
  </w:style>
  <w:style w:type="character" w:styleId="SubtleEmphasis">
    <w:name w:val="Subtle Emphasis"/>
    <w:uiPriority w:val="19"/>
    <w:qFormat/>
    <w:rsid w:val="00FC446C"/>
    <w:rPr>
      <w:i/>
      <w:iCs/>
      <w:color w:val="243F60" w:themeColor="accent1" w:themeShade="7F"/>
    </w:rPr>
  </w:style>
  <w:style w:type="character" w:styleId="Strong">
    <w:name w:val="Strong"/>
    <w:uiPriority w:val="22"/>
    <w:qFormat/>
    <w:rsid w:val="00FC446C"/>
    <w:rPr>
      <w:b/>
      <w:bCs/>
    </w:rPr>
  </w:style>
  <w:style w:type="paragraph" w:styleId="ListParagraph">
    <w:name w:val="List Paragraph"/>
    <w:basedOn w:val="Normal"/>
    <w:uiPriority w:val="34"/>
    <w:qFormat/>
    <w:rsid w:val="00FC446C"/>
    <w:pPr>
      <w:ind w:left="720"/>
      <w:contextualSpacing/>
    </w:pPr>
  </w:style>
  <w:style w:type="character" w:styleId="Emphasis">
    <w:name w:val="Emphasis"/>
    <w:uiPriority w:val="20"/>
    <w:qFormat/>
    <w:rsid w:val="00FC446C"/>
    <w:rPr>
      <w:caps/>
      <w:color w:val="243F60" w:themeColor="accent1" w:themeShade="7F"/>
      <w:spacing w:val="5"/>
    </w:rPr>
  </w:style>
  <w:style w:type="character" w:styleId="IntenseEmphasis">
    <w:name w:val="Intense Emphasis"/>
    <w:uiPriority w:val="21"/>
    <w:qFormat/>
    <w:rsid w:val="00FC446C"/>
    <w:rPr>
      <w:b/>
      <w:bCs/>
      <w:caps/>
      <w:color w:val="243F60" w:themeColor="accent1" w:themeShade="7F"/>
      <w:spacing w:val="10"/>
    </w:rPr>
  </w:style>
  <w:style w:type="paragraph" w:styleId="Quote">
    <w:name w:val="Quote"/>
    <w:basedOn w:val="Normal"/>
    <w:next w:val="Normal"/>
    <w:link w:val="QuoteChar"/>
    <w:uiPriority w:val="29"/>
    <w:qFormat/>
    <w:rsid w:val="00FC446C"/>
    <w:rPr>
      <w:i/>
      <w:iCs/>
    </w:rPr>
  </w:style>
  <w:style w:type="character" w:customStyle="1" w:styleId="QuoteChar">
    <w:name w:val="Quote Char"/>
    <w:basedOn w:val="DefaultParagraphFont"/>
    <w:link w:val="Quote"/>
    <w:uiPriority w:val="29"/>
    <w:rsid w:val="00FC446C"/>
    <w:rPr>
      <w:i/>
      <w:iCs/>
      <w:sz w:val="20"/>
      <w:szCs w:val="20"/>
    </w:rPr>
  </w:style>
  <w:style w:type="paragraph" w:styleId="IntenseQuote">
    <w:name w:val="Intense Quote"/>
    <w:basedOn w:val="Normal"/>
    <w:next w:val="Normal"/>
    <w:link w:val="IntenseQuoteChar"/>
    <w:uiPriority w:val="30"/>
    <w:qFormat/>
    <w:rsid w:val="00FC446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C446C"/>
    <w:rPr>
      <w:i/>
      <w:iCs/>
      <w:color w:val="4F81BD" w:themeColor="accent1"/>
      <w:sz w:val="20"/>
      <w:szCs w:val="20"/>
    </w:rPr>
  </w:style>
  <w:style w:type="character" w:styleId="SubtleReference">
    <w:name w:val="Subtle Reference"/>
    <w:uiPriority w:val="31"/>
    <w:qFormat/>
    <w:rsid w:val="00FC446C"/>
    <w:rPr>
      <w:b/>
      <w:bCs/>
      <w:color w:val="4F81BD" w:themeColor="accent1"/>
    </w:rPr>
  </w:style>
  <w:style w:type="character" w:styleId="IntenseReference">
    <w:name w:val="Intense Reference"/>
    <w:uiPriority w:val="32"/>
    <w:qFormat/>
    <w:rsid w:val="00FC446C"/>
    <w:rPr>
      <w:b/>
      <w:bCs/>
      <w:i/>
      <w:iCs/>
      <w:caps/>
      <w:color w:val="4F81BD" w:themeColor="accent1"/>
    </w:rPr>
  </w:style>
  <w:style w:type="character" w:styleId="BookTitle">
    <w:name w:val="Book Title"/>
    <w:uiPriority w:val="33"/>
    <w:qFormat/>
    <w:rsid w:val="00FC446C"/>
    <w:rPr>
      <w:b/>
      <w:bCs/>
      <w:i/>
      <w:iCs/>
      <w:spacing w:val="9"/>
    </w:rPr>
  </w:style>
  <w:style w:type="paragraph" w:styleId="Caption">
    <w:name w:val="caption"/>
    <w:basedOn w:val="Normal"/>
    <w:next w:val="Normal"/>
    <w:uiPriority w:val="35"/>
    <w:unhideWhenUsed/>
    <w:qFormat/>
    <w:rsid w:val="00FC446C"/>
    <w:rPr>
      <w:b/>
      <w:bCs/>
      <w:color w:val="365F91" w:themeColor="accent1" w:themeShade="BF"/>
      <w:sz w:val="16"/>
      <w:szCs w:val="16"/>
    </w:rPr>
  </w:style>
  <w:style w:type="paragraph" w:styleId="TOCHeading">
    <w:name w:val="TOC Heading"/>
    <w:basedOn w:val="Heading1"/>
    <w:next w:val="Normal"/>
    <w:uiPriority w:val="39"/>
    <w:semiHidden/>
    <w:unhideWhenUsed/>
    <w:qFormat/>
    <w:rsid w:val="00FC446C"/>
    <w:pPr>
      <w:outlineLvl w:val="9"/>
    </w:pPr>
    <w:rPr>
      <w:lang w:bidi="en-US"/>
    </w:rPr>
  </w:style>
  <w:style w:type="character" w:customStyle="1" w:styleId="NoSpacingChar">
    <w:name w:val="No Spacing Char"/>
    <w:basedOn w:val="DefaultParagraphFont"/>
    <w:link w:val="NoSpacing"/>
    <w:uiPriority w:val="1"/>
    <w:rsid w:val="00FC446C"/>
    <w:rPr>
      <w:sz w:val="20"/>
      <w:szCs w:val="20"/>
    </w:rPr>
  </w:style>
  <w:style w:type="paragraph" w:styleId="BalloonText">
    <w:name w:val="Balloon Text"/>
    <w:basedOn w:val="Normal"/>
    <w:link w:val="BalloonTextChar"/>
    <w:uiPriority w:val="99"/>
    <w:semiHidden/>
    <w:unhideWhenUsed/>
    <w:rsid w:val="007A4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BF7"/>
    <w:rPr>
      <w:rFonts w:ascii="Tahoma" w:hAnsi="Tahoma" w:cs="Tahoma"/>
      <w:sz w:val="16"/>
      <w:szCs w:val="16"/>
    </w:rPr>
  </w:style>
  <w:style w:type="paragraph" w:styleId="CommentText">
    <w:name w:val="annotation text"/>
    <w:basedOn w:val="Normal"/>
    <w:link w:val="CommentTextChar"/>
    <w:uiPriority w:val="99"/>
    <w:semiHidden/>
    <w:rsid w:val="00D96A19"/>
    <w:rPr>
      <w:rFonts w:ascii="Calibri" w:eastAsia="Times New Roman" w:hAnsi="Calibri" w:cs="Times New Roman"/>
      <w:lang w:eastAsia="en-AU"/>
    </w:rPr>
  </w:style>
  <w:style w:type="character" w:customStyle="1" w:styleId="CommentTextChar">
    <w:name w:val="Comment Text Char"/>
    <w:basedOn w:val="DefaultParagraphFont"/>
    <w:link w:val="CommentText"/>
    <w:uiPriority w:val="99"/>
    <w:semiHidden/>
    <w:rsid w:val="00D96A19"/>
    <w:rPr>
      <w:rFonts w:ascii="Calibri" w:eastAsia="Times New Roman" w:hAnsi="Calibri" w:cs="Times New Roman"/>
      <w:sz w:val="20"/>
      <w:szCs w:val="20"/>
      <w:lang w:eastAsia="en-AU"/>
    </w:rPr>
  </w:style>
  <w:style w:type="character" w:styleId="CommentReference">
    <w:name w:val="annotation reference"/>
    <w:uiPriority w:val="99"/>
    <w:semiHidden/>
    <w:rsid w:val="00D96A19"/>
    <w:rPr>
      <w:rFonts w:cs="Times New Roman"/>
      <w:sz w:val="16"/>
      <w:szCs w:val="16"/>
    </w:rPr>
  </w:style>
  <w:style w:type="paragraph" w:styleId="FootnoteText">
    <w:name w:val="footnote text"/>
    <w:basedOn w:val="Normal"/>
    <w:link w:val="FootnoteTextChar"/>
    <w:uiPriority w:val="99"/>
    <w:semiHidden/>
    <w:unhideWhenUsed/>
    <w:rsid w:val="00D96A19"/>
    <w:pPr>
      <w:spacing w:after="0" w:line="240" w:lineRule="auto"/>
    </w:pPr>
  </w:style>
  <w:style w:type="character" w:customStyle="1" w:styleId="FootnoteTextChar">
    <w:name w:val="Footnote Text Char"/>
    <w:basedOn w:val="DefaultParagraphFont"/>
    <w:link w:val="FootnoteText"/>
    <w:uiPriority w:val="99"/>
    <w:semiHidden/>
    <w:rsid w:val="00D96A19"/>
    <w:rPr>
      <w:rFonts w:ascii="Arial" w:hAnsi="Arial"/>
      <w:sz w:val="20"/>
      <w:szCs w:val="20"/>
    </w:rPr>
  </w:style>
  <w:style w:type="character" w:styleId="FootnoteReference">
    <w:name w:val="footnote reference"/>
    <w:uiPriority w:val="99"/>
    <w:semiHidden/>
    <w:rsid w:val="00D96A19"/>
    <w:rPr>
      <w:rFonts w:cs="Times New Roman"/>
      <w:vertAlign w:val="superscript"/>
    </w:rPr>
  </w:style>
  <w:style w:type="paragraph" w:styleId="TOC1">
    <w:name w:val="toc 1"/>
    <w:basedOn w:val="Normal"/>
    <w:next w:val="Normal"/>
    <w:autoRedefine/>
    <w:uiPriority w:val="39"/>
    <w:unhideWhenUsed/>
    <w:rsid w:val="005B09F5"/>
    <w:pPr>
      <w:spacing w:after="100"/>
    </w:pPr>
  </w:style>
  <w:style w:type="paragraph" w:styleId="TOC2">
    <w:name w:val="toc 2"/>
    <w:basedOn w:val="Normal"/>
    <w:next w:val="Normal"/>
    <w:autoRedefine/>
    <w:uiPriority w:val="39"/>
    <w:unhideWhenUsed/>
    <w:rsid w:val="005B09F5"/>
    <w:pPr>
      <w:spacing w:after="100"/>
      <w:ind w:left="200"/>
    </w:pPr>
  </w:style>
  <w:style w:type="paragraph" w:styleId="TOC3">
    <w:name w:val="toc 3"/>
    <w:basedOn w:val="Normal"/>
    <w:next w:val="Normal"/>
    <w:autoRedefine/>
    <w:uiPriority w:val="39"/>
    <w:unhideWhenUsed/>
    <w:rsid w:val="005B09F5"/>
    <w:pPr>
      <w:spacing w:after="100"/>
      <w:ind w:left="400"/>
    </w:pPr>
  </w:style>
  <w:style w:type="character" w:styleId="Hyperlink">
    <w:name w:val="Hyperlink"/>
    <w:basedOn w:val="DefaultParagraphFont"/>
    <w:uiPriority w:val="99"/>
    <w:unhideWhenUsed/>
    <w:rsid w:val="005B09F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35CD1"/>
    <w:pPr>
      <w:spacing w:line="240" w:lineRule="auto"/>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835CD1"/>
    <w:rPr>
      <w:rFonts w:ascii="Calibri" w:eastAsia="Times New Roman" w:hAnsi="Calibri" w:cs="Times New Roman"/>
      <w:b/>
      <w:bCs/>
      <w:sz w:val="20"/>
      <w:szCs w:val="20"/>
      <w:lang w:eastAsia="en-AU"/>
    </w:rPr>
  </w:style>
  <w:style w:type="numbering" w:customStyle="1" w:styleId="NoList1">
    <w:name w:val="No List1"/>
    <w:next w:val="NoList"/>
    <w:uiPriority w:val="99"/>
    <w:semiHidden/>
    <w:unhideWhenUsed/>
    <w:rsid w:val="008E31EC"/>
  </w:style>
  <w:style w:type="table" w:styleId="TableGrid">
    <w:name w:val="Table Grid"/>
    <w:basedOn w:val="TableNormal"/>
    <w:uiPriority w:val="99"/>
    <w:rsid w:val="008E31EC"/>
    <w:pPr>
      <w:spacing w:before="0" w:after="0" w:line="240" w:lineRule="auto"/>
    </w:pPr>
    <w:rPr>
      <w:rFonts w:ascii="Calibri" w:eastAsia="Times New Roman" w:hAnsi="Calibri"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ntPageDate">
    <w:name w:val="FrontPageDate"/>
    <w:basedOn w:val="Normal"/>
    <w:uiPriority w:val="99"/>
    <w:rsid w:val="008E31EC"/>
    <w:pPr>
      <w:spacing w:before="240"/>
      <w:jc w:val="both"/>
    </w:pPr>
    <w:rPr>
      <w:rFonts w:ascii="Arial" w:eastAsia="Times New Roman" w:hAnsi="Arial" w:cs="Times New Roman"/>
    </w:rPr>
  </w:style>
  <w:style w:type="paragraph" w:customStyle="1" w:styleId="frontpagedate0">
    <w:name w:val="frontpagedate"/>
    <w:basedOn w:val="Normal"/>
    <w:uiPriority w:val="99"/>
    <w:semiHidden/>
    <w:rsid w:val="008E31EC"/>
    <w:pPr>
      <w:spacing w:before="240"/>
      <w:jc w:val="both"/>
    </w:pPr>
    <w:rPr>
      <w:rFonts w:ascii="Arial" w:eastAsia="Times New Roman" w:hAnsi="Arial" w:cs="Arial"/>
      <w:lang w:eastAsia="en-AU"/>
    </w:rPr>
  </w:style>
  <w:style w:type="paragraph" w:styleId="Footer">
    <w:name w:val="footer"/>
    <w:basedOn w:val="Normal"/>
    <w:link w:val="FooterChar"/>
    <w:uiPriority w:val="99"/>
    <w:rsid w:val="008E31EC"/>
    <w:pPr>
      <w:tabs>
        <w:tab w:val="center" w:pos="4153"/>
        <w:tab w:val="right" w:pos="8306"/>
      </w:tabs>
    </w:pPr>
    <w:rPr>
      <w:rFonts w:ascii="Calibri" w:eastAsia="Times New Roman" w:hAnsi="Calibri" w:cs="Times New Roman"/>
      <w:lang w:eastAsia="en-AU"/>
    </w:rPr>
  </w:style>
  <w:style w:type="character" w:customStyle="1" w:styleId="FooterChar">
    <w:name w:val="Footer Char"/>
    <w:basedOn w:val="DefaultParagraphFont"/>
    <w:link w:val="Footer"/>
    <w:uiPriority w:val="99"/>
    <w:rsid w:val="008E31EC"/>
    <w:rPr>
      <w:rFonts w:ascii="Calibri" w:eastAsia="Times New Roman" w:hAnsi="Calibri" w:cs="Times New Roman"/>
      <w:sz w:val="20"/>
      <w:szCs w:val="20"/>
      <w:lang w:eastAsia="en-AU"/>
    </w:rPr>
  </w:style>
  <w:style w:type="character" w:styleId="PageNumber">
    <w:name w:val="page number"/>
    <w:uiPriority w:val="99"/>
    <w:rsid w:val="008E31EC"/>
    <w:rPr>
      <w:rFonts w:cs="Times New Roman"/>
    </w:rPr>
  </w:style>
  <w:style w:type="paragraph" w:styleId="Header">
    <w:name w:val="header"/>
    <w:basedOn w:val="Normal"/>
    <w:link w:val="HeaderChar"/>
    <w:uiPriority w:val="99"/>
    <w:rsid w:val="008E31EC"/>
    <w:pPr>
      <w:tabs>
        <w:tab w:val="center" w:pos="4320"/>
        <w:tab w:val="right" w:pos="8640"/>
      </w:tabs>
      <w:spacing w:before="240"/>
    </w:pPr>
    <w:rPr>
      <w:rFonts w:ascii="Arial" w:eastAsia="Times New Roman" w:hAnsi="Arial" w:cs="Times New Roman"/>
      <w:b/>
      <w:sz w:val="28"/>
    </w:rPr>
  </w:style>
  <w:style w:type="character" w:customStyle="1" w:styleId="HeaderChar">
    <w:name w:val="Header Char"/>
    <w:basedOn w:val="DefaultParagraphFont"/>
    <w:link w:val="Header"/>
    <w:uiPriority w:val="99"/>
    <w:rsid w:val="008E31EC"/>
    <w:rPr>
      <w:rFonts w:ascii="Arial" w:eastAsia="Times New Roman" w:hAnsi="Arial" w:cs="Times New Roman"/>
      <w:b/>
      <w:sz w:val="28"/>
      <w:szCs w:val="20"/>
    </w:rPr>
  </w:style>
  <w:style w:type="paragraph" w:customStyle="1" w:styleId="ContactDetails">
    <w:name w:val="ContactDetails"/>
    <w:basedOn w:val="Header"/>
    <w:uiPriority w:val="99"/>
    <w:rsid w:val="008E31EC"/>
    <w:pPr>
      <w:framePr w:w="2829" w:h="1060" w:hSpace="181" w:wrap="around" w:vAnchor="page" w:hAnchor="page" w:x="8352" w:y="2305" w:anchorLock="1"/>
      <w:spacing w:before="0" w:line="240" w:lineRule="exact"/>
    </w:pPr>
    <w:rPr>
      <w:color w:val="000000"/>
      <w:sz w:val="16"/>
    </w:rPr>
  </w:style>
  <w:style w:type="paragraph" w:styleId="BodyText">
    <w:name w:val="Body Text"/>
    <w:basedOn w:val="Normal"/>
    <w:link w:val="BodyTextChar"/>
    <w:autoRedefine/>
    <w:uiPriority w:val="99"/>
    <w:rsid w:val="008E31EC"/>
    <w:rPr>
      <w:rFonts w:ascii="Calibri" w:eastAsia="Times New Roman" w:hAnsi="Calibri" w:cs="Times New Roman"/>
      <w:noProof/>
    </w:rPr>
  </w:style>
  <w:style w:type="character" w:customStyle="1" w:styleId="BodyTextChar">
    <w:name w:val="Body Text Char"/>
    <w:basedOn w:val="DefaultParagraphFont"/>
    <w:link w:val="BodyText"/>
    <w:uiPriority w:val="99"/>
    <w:rsid w:val="008E31EC"/>
    <w:rPr>
      <w:rFonts w:ascii="Calibri" w:eastAsia="Times New Roman" w:hAnsi="Calibri" w:cs="Times New Roman"/>
      <w:noProof/>
      <w:sz w:val="20"/>
      <w:szCs w:val="20"/>
    </w:rPr>
  </w:style>
  <w:style w:type="paragraph" w:customStyle="1" w:styleId="dotpoints">
    <w:name w:val="dot points"/>
    <w:basedOn w:val="Normal"/>
    <w:link w:val="dotpointsChar"/>
    <w:uiPriority w:val="99"/>
    <w:rsid w:val="008E31EC"/>
    <w:pPr>
      <w:numPr>
        <w:numId w:val="15"/>
      </w:numPr>
      <w:contextualSpacing/>
      <w:jc w:val="both"/>
    </w:pPr>
    <w:rPr>
      <w:rFonts w:ascii="Calibri" w:eastAsia="Times New Roman" w:hAnsi="Calibri" w:cs="Times New Roman"/>
      <w:noProof/>
    </w:rPr>
  </w:style>
  <w:style w:type="paragraph" w:styleId="BodyTextIndent">
    <w:name w:val="Body Text Indent"/>
    <w:basedOn w:val="Normal"/>
    <w:link w:val="BodyTextIndentChar"/>
    <w:uiPriority w:val="99"/>
    <w:rsid w:val="008E31EC"/>
    <w:pPr>
      <w:keepLines/>
      <w:widowControl w:val="0"/>
      <w:pBdr>
        <w:top w:val="single" w:sz="6" w:space="1" w:color="auto"/>
        <w:left w:val="single" w:sz="6" w:space="1" w:color="auto"/>
        <w:bottom w:val="single" w:sz="6" w:space="1" w:color="auto"/>
        <w:right w:val="single" w:sz="6" w:space="1" w:color="auto"/>
      </w:pBdr>
      <w:tabs>
        <w:tab w:val="left" w:pos="284"/>
      </w:tabs>
      <w:spacing w:before="240"/>
      <w:ind w:left="284" w:hanging="284"/>
    </w:pPr>
    <w:rPr>
      <w:rFonts w:ascii="Helvetica" w:eastAsia="Times New Roman" w:hAnsi="Helvetica" w:cs="Helvetica"/>
      <w:b/>
      <w:sz w:val="22"/>
      <w:szCs w:val="22"/>
    </w:rPr>
  </w:style>
  <w:style w:type="character" w:customStyle="1" w:styleId="BodyTextIndentChar">
    <w:name w:val="Body Text Indent Char"/>
    <w:basedOn w:val="DefaultParagraphFont"/>
    <w:link w:val="BodyTextIndent"/>
    <w:uiPriority w:val="99"/>
    <w:rsid w:val="008E31EC"/>
    <w:rPr>
      <w:rFonts w:ascii="Helvetica" w:eastAsia="Times New Roman" w:hAnsi="Helvetica" w:cs="Helvetica"/>
      <w:b/>
    </w:rPr>
  </w:style>
  <w:style w:type="paragraph" w:styleId="BodyText3">
    <w:name w:val="Body Text 3"/>
    <w:basedOn w:val="Normal"/>
    <w:link w:val="BodyText3Char"/>
    <w:uiPriority w:val="99"/>
    <w:rsid w:val="008E31EC"/>
    <w:pPr>
      <w:keepLines/>
      <w:widowControl w:val="0"/>
      <w:suppressLineNumbers/>
      <w:suppressAutoHyphens/>
      <w:spacing w:before="80" w:after="80"/>
    </w:pPr>
    <w:rPr>
      <w:rFonts w:ascii="Times" w:eastAsia="Times New Roman" w:hAnsi="Times" w:cs="Times"/>
      <w:b/>
      <w:sz w:val="22"/>
      <w:szCs w:val="22"/>
    </w:rPr>
  </w:style>
  <w:style w:type="character" w:customStyle="1" w:styleId="BodyText3Char">
    <w:name w:val="Body Text 3 Char"/>
    <w:basedOn w:val="DefaultParagraphFont"/>
    <w:link w:val="BodyText3"/>
    <w:uiPriority w:val="99"/>
    <w:rsid w:val="008E31EC"/>
    <w:rPr>
      <w:rFonts w:ascii="Times" w:eastAsia="Times New Roman" w:hAnsi="Times" w:cs="Times"/>
      <w:b/>
    </w:rPr>
  </w:style>
  <w:style w:type="paragraph" w:styleId="BodyTextIndent2">
    <w:name w:val="Body Text Indent 2"/>
    <w:basedOn w:val="Normal"/>
    <w:link w:val="BodyTextIndent2Char"/>
    <w:uiPriority w:val="99"/>
    <w:rsid w:val="008E31EC"/>
    <w:pPr>
      <w:keepLines/>
      <w:widowControl w:val="0"/>
      <w:tabs>
        <w:tab w:val="left" w:pos="284"/>
      </w:tabs>
      <w:spacing w:before="240"/>
      <w:ind w:left="284" w:hanging="284"/>
    </w:pPr>
    <w:rPr>
      <w:rFonts w:ascii="Calibri" w:eastAsia="Times New Roman" w:hAnsi="Calibri" w:cs="Times New Roman"/>
      <w:b/>
      <w:sz w:val="40"/>
      <w:szCs w:val="40"/>
      <w:lang w:val="en-US"/>
    </w:rPr>
  </w:style>
  <w:style w:type="character" w:customStyle="1" w:styleId="BodyTextIndent2Char">
    <w:name w:val="Body Text Indent 2 Char"/>
    <w:basedOn w:val="DefaultParagraphFont"/>
    <w:link w:val="BodyTextIndent2"/>
    <w:uiPriority w:val="99"/>
    <w:rsid w:val="008E31EC"/>
    <w:rPr>
      <w:rFonts w:ascii="Calibri" w:eastAsia="Times New Roman" w:hAnsi="Calibri" w:cs="Times New Roman"/>
      <w:b/>
      <w:sz w:val="40"/>
      <w:szCs w:val="40"/>
      <w:lang w:val="en-US"/>
    </w:rPr>
  </w:style>
  <w:style w:type="paragraph" w:styleId="BodyTextIndent3">
    <w:name w:val="Body Text Indent 3"/>
    <w:basedOn w:val="Normal"/>
    <w:link w:val="BodyTextIndent3Char"/>
    <w:uiPriority w:val="99"/>
    <w:rsid w:val="008E31EC"/>
    <w:pPr>
      <w:keepLines/>
      <w:widowControl w:val="0"/>
      <w:spacing w:before="60" w:after="60"/>
      <w:ind w:hanging="284"/>
    </w:pPr>
    <w:rPr>
      <w:rFonts w:ascii="Calibri" w:eastAsia="Times New Roman" w:hAnsi="Calibri" w:cs="Times New Roman"/>
      <w:b/>
      <w:sz w:val="40"/>
      <w:szCs w:val="40"/>
    </w:rPr>
  </w:style>
  <w:style w:type="character" w:customStyle="1" w:styleId="BodyTextIndent3Char">
    <w:name w:val="Body Text Indent 3 Char"/>
    <w:basedOn w:val="DefaultParagraphFont"/>
    <w:link w:val="BodyTextIndent3"/>
    <w:uiPriority w:val="99"/>
    <w:rsid w:val="008E31EC"/>
    <w:rPr>
      <w:rFonts w:ascii="Calibri" w:eastAsia="Times New Roman" w:hAnsi="Calibri" w:cs="Times New Roman"/>
      <w:b/>
      <w:sz w:val="40"/>
      <w:szCs w:val="40"/>
    </w:rPr>
  </w:style>
  <w:style w:type="paragraph" w:styleId="DocumentMap">
    <w:name w:val="Document Map"/>
    <w:basedOn w:val="Normal"/>
    <w:link w:val="DocumentMapChar"/>
    <w:uiPriority w:val="99"/>
    <w:semiHidden/>
    <w:rsid w:val="008E31EC"/>
    <w:pPr>
      <w:shd w:val="clear" w:color="auto" w:fill="000080"/>
    </w:pPr>
    <w:rPr>
      <w:rFonts w:ascii="Tahoma" w:eastAsia="Times New Roman" w:hAnsi="Tahoma" w:cs="Tahoma"/>
      <w:lang w:eastAsia="en-AU"/>
    </w:rPr>
  </w:style>
  <w:style w:type="character" w:customStyle="1" w:styleId="DocumentMapChar">
    <w:name w:val="Document Map Char"/>
    <w:basedOn w:val="DefaultParagraphFont"/>
    <w:link w:val="DocumentMap"/>
    <w:uiPriority w:val="99"/>
    <w:semiHidden/>
    <w:rsid w:val="008E31EC"/>
    <w:rPr>
      <w:rFonts w:ascii="Tahoma" w:eastAsia="Times New Roman" w:hAnsi="Tahoma" w:cs="Tahoma"/>
      <w:sz w:val="20"/>
      <w:szCs w:val="20"/>
      <w:shd w:val="clear" w:color="auto" w:fill="000080"/>
      <w:lang w:eastAsia="en-AU"/>
    </w:rPr>
  </w:style>
  <w:style w:type="paragraph" w:customStyle="1" w:styleId="Pa1">
    <w:name w:val="Pa1"/>
    <w:basedOn w:val="Normal"/>
    <w:next w:val="Normal"/>
    <w:uiPriority w:val="99"/>
    <w:rsid w:val="008E31EC"/>
    <w:pPr>
      <w:autoSpaceDE w:val="0"/>
      <w:autoSpaceDN w:val="0"/>
      <w:adjustRightInd w:val="0"/>
      <w:spacing w:line="191" w:lineRule="atLeast"/>
    </w:pPr>
    <w:rPr>
      <w:rFonts w:ascii="Frutiger 45 Light" w:eastAsia="Times New Roman" w:hAnsi="Frutiger 45 Light" w:cs="Times New Roman"/>
      <w:lang w:eastAsia="en-AU"/>
    </w:rPr>
  </w:style>
  <w:style w:type="paragraph" w:customStyle="1" w:styleId="CharCharChar">
    <w:name w:val="Char Char Char"/>
    <w:basedOn w:val="Normal"/>
    <w:uiPriority w:val="99"/>
    <w:semiHidden/>
    <w:rsid w:val="008E31EC"/>
    <w:rPr>
      <w:rFonts w:ascii="Arial" w:eastAsia="Times New Roman" w:hAnsi="Arial" w:cs="Arial"/>
      <w:sz w:val="22"/>
      <w:szCs w:val="22"/>
    </w:rPr>
  </w:style>
  <w:style w:type="paragraph" w:customStyle="1" w:styleId="Char">
    <w:name w:val="Char"/>
    <w:basedOn w:val="Normal"/>
    <w:uiPriority w:val="99"/>
    <w:rsid w:val="008E31EC"/>
    <w:rPr>
      <w:rFonts w:ascii="Arial" w:eastAsia="Times New Roman" w:hAnsi="Arial" w:cs="Arial"/>
      <w:sz w:val="22"/>
      <w:szCs w:val="22"/>
    </w:rPr>
  </w:style>
  <w:style w:type="paragraph" w:styleId="E-mailSignature">
    <w:name w:val="E-mail Signature"/>
    <w:basedOn w:val="Normal"/>
    <w:link w:val="E-mailSignatureChar"/>
    <w:uiPriority w:val="99"/>
    <w:rsid w:val="008E31EC"/>
    <w:rPr>
      <w:rFonts w:ascii="Calibri" w:eastAsia="Times New Roman" w:hAnsi="Calibri" w:cs="Times New Roman"/>
      <w:lang w:eastAsia="en-AU"/>
    </w:rPr>
  </w:style>
  <w:style w:type="character" w:customStyle="1" w:styleId="E-mailSignatureChar">
    <w:name w:val="E-mail Signature Char"/>
    <w:basedOn w:val="DefaultParagraphFont"/>
    <w:link w:val="E-mailSignature"/>
    <w:uiPriority w:val="99"/>
    <w:rsid w:val="008E31EC"/>
    <w:rPr>
      <w:rFonts w:ascii="Calibri" w:eastAsia="Times New Roman" w:hAnsi="Calibri" w:cs="Times New Roman"/>
      <w:sz w:val="20"/>
      <w:szCs w:val="20"/>
      <w:lang w:eastAsia="en-AU"/>
    </w:rPr>
  </w:style>
  <w:style w:type="paragraph" w:styleId="TOC4">
    <w:name w:val="toc 4"/>
    <w:basedOn w:val="Normal"/>
    <w:next w:val="Normal"/>
    <w:autoRedefine/>
    <w:uiPriority w:val="99"/>
    <w:semiHidden/>
    <w:rsid w:val="008E31EC"/>
    <w:pPr>
      <w:ind w:left="720"/>
    </w:pPr>
    <w:rPr>
      <w:rFonts w:ascii="Calibri" w:eastAsia="Times New Roman" w:hAnsi="Calibri" w:cs="Times New Roman"/>
      <w:sz w:val="18"/>
      <w:szCs w:val="18"/>
      <w:lang w:eastAsia="en-AU"/>
    </w:rPr>
  </w:style>
  <w:style w:type="paragraph" w:styleId="TOC5">
    <w:name w:val="toc 5"/>
    <w:basedOn w:val="Normal"/>
    <w:next w:val="Normal"/>
    <w:autoRedefine/>
    <w:uiPriority w:val="99"/>
    <w:semiHidden/>
    <w:rsid w:val="008E31EC"/>
    <w:pPr>
      <w:ind w:left="960"/>
    </w:pPr>
    <w:rPr>
      <w:rFonts w:ascii="Calibri" w:eastAsia="Times New Roman" w:hAnsi="Calibri" w:cs="Times New Roman"/>
      <w:sz w:val="18"/>
      <w:szCs w:val="18"/>
      <w:lang w:eastAsia="en-AU"/>
    </w:rPr>
  </w:style>
  <w:style w:type="paragraph" w:styleId="TOC6">
    <w:name w:val="toc 6"/>
    <w:basedOn w:val="Normal"/>
    <w:next w:val="Normal"/>
    <w:autoRedefine/>
    <w:uiPriority w:val="99"/>
    <w:semiHidden/>
    <w:rsid w:val="008E31EC"/>
    <w:pPr>
      <w:ind w:left="1200"/>
    </w:pPr>
    <w:rPr>
      <w:rFonts w:ascii="Calibri" w:eastAsia="Times New Roman" w:hAnsi="Calibri" w:cs="Times New Roman"/>
      <w:sz w:val="18"/>
      <w:szCs w:val="18"/>
      <w:lang w:eastAsia="en-AU"/>
    </w:rPr>
  </w:style>
  <w:style w:type="paragraph" w:styleId="TOC7">
    <w:name w:val="toc 7"/>
    <w:basedOn w:val="Normal"/>
    <w:next w:val="Normal"/>
    <w:autoRedefine/>
    <w:uiPriority w:val="99"/>
    <w:semiHidden/>
    <w:rsid w:val="008E31EC"/>
    <w:pPr>
      <w:ind w:left="1440"/>
    </w:pPr>
    <w:rPr>
      <w:rFonts w:ascii="Calibri" w:eastAsia="Times New Roman" w:hAnsi="Calibri" w:cs="Times New Roman"/>
      <w:sz w:val="18"/>
      <w:szCs w:val="18"/>
      <w:lang w:eastAsia="en-AU"/>
    </w:rPr>
  </w:style>
  <w:style w:type="paragraph" w:styleId="TOC8">
    <w:name w:val="toc 8"/>
    <w:basedOn w:val="Normal"/>
    <w:next w:val="Normal"/>
    <w:autoRedefine/>
    <w:uiPriority w:val="99"/>
    <w:semiHidden/>
    <w:rsid w:val="008E31EC"/>
    <w:pPr>
      <w:ind w:left="1680"/>
    </w:pPr>
    <w:rPr>
      <w:rFonts w:ascii="Calibri" w:eastAsia="Times New Roman" w:hAnsi="Calibri" w:cs="Times New Roman"/>
      <w:sz w:val="18"/>
      <w:szCs w:val="18"/>
      <w:lang w:eastAsia="en-AU"/>
    </w:rPr>
  </w:style>
  <w:style w:type="paragraph" w:styleId="TOC9">
    <w:name w:val="toc 9"/>
    <w:basedOn w:val="Normal"/>
    <w:next w:val="Normal"/>
    <w:autoRedefine/>
    <w:uiPriority w:val="99"/>
    <w:semiHidden/>
    <w:rsid w:val="008E31EC"/>
    <w:pPr>
      <w:ind w:left="1920"/>
    </w:pPr>
    <w:rPr>
      <w:rFonts w:ascii="Calibri" w:eastAsia="Times New Roman" w:hAnsi="Calibri" w:cs="Times New Roman"/>
      <w:sz w:val="18"/>
      <w:szCs w:val="18"/>
      <w:lang w:eastAsia="en-AU"/>
    </w:rPr>
  </w:style>
  <w:style w:type="paragraph" w:styleId="NormalWeb">
    <w:name w:val="Normal (Web)"/>
    <w:basedOn w:val="Normal"/>
    <w:uiPriority w:val="99"/>
    <w:rsid w:val="008E31EC"/>
    <w:pPr>
      <w:spacing w:before="100" w:beforeAutospacing="1" w:after="100" w:afterAutospacing="1"/>
    </w:pPr>
    <w:rPr>
      <w:rFonts w:ascii="Calibri" w:eastAsia="Times New Roman" w:hAnsi="Calibri" w:cs="Times New Roman"/>
      <w:lang w:eastAsia="en-AU"/>
    </w:rPr>
  </w:style>
  <w:style w:type="paragraph" w:customStyle="1" w:styleId="expopen">
    <w:name w:val="expopen"/>
    <w:basedOn w:val="Normal"/>
    <w:uiPriority w:val="99"/>
    <w:rsid w:val="008E31EC"/>
    <w:pPr>
      <w:spacing w:before="100" w:beforeAutospacing="1" w:after="100" w:afterAutospacing="1"/>
    </w:pPr>
    <w:rPr>
      <w:rFonts w:ascii="Calibri" w:eastAsia="Times New Roman" w:hAnsi="Calibri" w:cs="Times New Roman"/>
      <w:lang w:eastAsia="en-AU"/>
    </w:rPr>
  </w:style>
  <w:style w:type="paragraph" w:customStyle="1" w:styleId="expclose">
    <w:name w:val="expclose"/>
    <w:basedOn w:val="Normal"/>
    <w:uiPriority w:val="99"/>
    <w:rsid w:val="008E31EC"/>
    <w:pPr>
      <w:spacing w:before="100" w:beforeAutospacing="1" w:after="100" w:afterAutospacing="1"/>
    </w:pPr>
    <w:rPr>
      <w:rFonts w:ascii="Calibri" w:eastAsia="Times New Roman" w:hAnsi="Calibri" w:cs="Times New Roman"/>
      <w:lang w:eastAsia="en-AU"/>
    </w:rPr>
  </w:style>
  <w:style w:type="paragraph" w:customStyle="1" w:styleId="Char1">
    <w:name w:val="Char1"/>
    <w:basedOn w:val="Normal"/>
    <w:uiPriority w:val="99"/>
    <w:rsid w:val="008E31EC"/>
    <w:rPr>
      <w:rFonts w:ascii="Arial" w:eastAsia="Times New Roman" w:hAnsi="Arial" w:cs="Arial"/>
      <w:sz w:val="22"/>
      <w:szCs w:val="22"/>
    </w:rPr>
  </w:style>
  <w:style w:type="paragraph" w:customStyle="1" w:styleId="Backgroundtext">
    <w:name w:val="Background text"/>
    <w:basedOn w:val="Normal"/>
    <w:uiPriority w:val="99"/>
    <w:rsid w:val="008E31EC"/>
    <w:pPr>
      <w:spacing w:after="120" w:line="360" w:lineRule="auto"/>
    </w:pPr>
    <w:rPr>
      <w:rFonts w:ascii="Arial (W1)" w:eastAsia="Times New Roman" w:hAnsi="Arial (W1)" w:cs="Times New Roman"/>
    </w:rPr>
  </w:style>
  <w:style w:type="character" w:customStyle="1" w:styleId="dotpointsChar">
    <w:name w:val="dot points Char"/>
    <w:link w:val="dotpoints"/>
    <w:uiPriority w:val="99"/>
    <w:locked/>
    <w:rsid w:val="008E31EC"/>
    <w:rPr>
      <w:rFonts w:ascii="Calibri" w:eastAsia="Times New Roman" w:hAnsi="Calibri" w:cs="Times New Roman"/>
      <w:noProof/>
      <w:sz w:val="20"/>
      <w:szCs w:val="20"/>
    </w:rPr>
  </w:style>
  <w:style w:type="paragraph" w:customStyle="1" w:styleId="Body">
    <w:name w:val="Body"/>
    <w:basedOn w:val="Normal"/>
    <w:uiPriority w:val="99"/>
    <w:rsid w:val="008E31EC"/>
    <w:pPr>
      <w:spacing w:before="40" w:after="40"/>
    </w:pPr>
    <w:rPr>
      <w:rFonts w:ascii="Tahoma" w:eastAsia="Times New Roman" w:hAnsi="Tahoma" w:cs="Times New Roman"/>
    </w:rPr>
  </w:style>
  <w:style w:type="character" w:styleId="FollowedHyperlink">
    <w:name w:val="FollowedHyperlink"/>
    <w:uiPriority w:val="99"/>
    <w:rsid w:val="008E31EC"/>
    <w:rPr>
      <w:rFonts w:cs="Times New Roman"/>
      <w:color w:val="800080"/>
      <w:u w:val="single"/>
    </w:rPr>
  </w:style>
  <w:style w:type="paragraph" w:styleId="EndnoteText">
    <w:name w:val="endnote text"/>
    <w:basedOn w:val="Normal"/>
    <w:link w:val="EndnoteTextChar"/>
    <w:uiPriority w:val="99"/>
    <w:semiHidden/>
    <w:unhideWhenUsed/>
    <w:rsid w:val="008E31EC"/>
    <w:rPr>
      <w:rFonts w:ascii="Calibri" w:eastAsia="Times New Roman" w:hAnsi="Calibri" w:cs="Times New Roman"/>
      <w:lang w:eastAsia="en-AU"/>
    </w:rPr>
  </w:style>
  <w:style w:type="character" w:customStyle="1" w:styleId="EndnoteTextChar">
    <w:name w:val="Endnote Text Char"/>
    <w:basedOn w:val="DefaultParagraphFont"/>
    <w:link w:val="EndnoteText"/>
    <w:uiPriority w:val="99"/>
    <w:semiHidden/>
    <w:rsid w:val="008E31EC"/>
    <w:rPr>
      <w:rFonts w:ascii="Calibri" w:eastAsia="Times New Roman" w:hAnsi="Calibri" w:cs="Times New Roman"/>
      <w:sz w:val="20"/>
      <w:szCs w:val="20"/>
      <w:lang w:eastAsia="en-AU"/>
    </w:rPr>
  </w:style>
  <w:style w:type="character" w:styleId="EndnoteReference">
    <w:name w:val="endnote reference"/>
    <w:uiPriority w:val="99"/>
    <w:semiHidden/>
    <w:unhideWhenUsed/>
    <w:rsid w:val="008E31EC"/>
    <w:rPr>
      <w:rFonts w:cs="Times New Roman"/>
      <w:vertAlign w:val="superscript"/>
    </w:rPr>
  </w:style>
  <w:style w:type="paragraph" w:styleId="Revision">
    <w:name w:val="Revision"/>
    <w:hidden/>
    <w:uiPriority w:val="99"/>
    <w:semiHidden/>
    <w:rsid w:val="008E31EC"/>
    <w:rPr>
      <w:rFonts w:ascii="Calibri" w:eastAsia="Times New Roman" w:hAnsi="Calibri" w:cs="Times New Roman"/>
      <w:sz w:val="24"/>
      <w:szCs w:val="24"/>
      <w:lang w:eastAsia="en-AU"/>
    </w:rPr>
  </w:style>
  <w:style w:type="table" w:customStyle="1" w:styleId="TableGrid1">
    <w:name w:val="Table Grid1"/>
    <w:basedOn w:val="TableNormal"/>
    <w:next w:val="TableGrid"/>
    <w:uiPriority w:val="99"/>
    <w:rsid w:val="008E31EC"/>
    <w:pPr>
      <w:spacing w:before="0"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8E31EC"/>
    <w:pPr>
      <w:numPr>
        <w:numId w:val="16"/>
      </w:numPr>
      <w:spacing w:before="0" w:after="0" w:line="360" w:lineRule="auto"/>
    </w:pPr>
    <w:rPr>
      <w:rFonts w:ascii="Arial" w:eastAsia="Times New Roman" w:hAnsi="Arial" w:cs="Times New Roman"/>
      <w:sz w:val="28"/>
    </w:rPr>
  </w:style>
  <w:style w:type="paragraph" w:customStyle="1" w:styleId="1">
    <w:name w:val="1"/>
    <w:basedOn w:val="Normal"/>
    <w:rsid w:val="008E31EC"/>
    <w:pPr>
      <w:spacing w:before="0" w:after="0" w:line="240" w:lineRule="auto"/>
    </w:pPr>
    <w:rPr>
      <w:rFonts w:ascii="Arial" w:eastAsia="Times New Roman" w:hAnsi="Arial" w:cs="Times New Roman"/>
      <w:sz w:val="22"/>
    </w:rPr>
  </w:style>
  <w:style w:type="table" w:styleId="LightShading-Accent3">
    <w:name w:val="Light Shading Accent 3"/>
    <w:basedOn w:val="TableNormal"/>
    <w:uiPriority w:val="60"/>
    <w:rsid w:val="008E31EC"/>
    <w:pPr>
      <w:spacing w:before="0"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1">
    <w:name w:val="Light Shading - Accent 31"/>
    <w:basedOn w:val="TableNormal"/>
    <w:next w:val="LightShading-Accent3"/>
    <w:uiPriority w:val="60"/>
    <w:rsid w:val="008E31EC"/>
    <w:pPr>
      <w:spacing w:before="0"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2">
    <w:name w:val="Light Shading - Accent 32"/>
    <w:basedOn w:val="TableNormal"/>
    <w:next w:val="LightShading-Accent3"/>
    <w:uiPriority w:val="60"/>
    <w:rsid w:val="008E31EC"/>
    <w:pPr>
      <w:spacing w:before="0"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3">
    <w:name w:val="Light Shading - Accent 33"/>
    <w:basedOn w:val="TableNormal"/>
    <w:next w:val="LightShading-Accent3"/>
    <w:uiPriority w:val="60"/>
    <w:rsid w:val="008E31EC"/>
    <w:pPr>
      <w:spacing w:before="0"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4">
    <w:name w:val="Light Shading - Accent 34"/>
    <w:basedOn w:val="TableNormal"/>
    <w:next w:val="LightShading-Accent3"/>
    <w:uiPriority w:val="60"/>
    <w:rsid w:val="008E31EC"/>
    <w:pPr>
      <w:spacing w:before="0"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5">
    <w:name w:val="Light Shading - Accent 35"/>
    <w:basedOn w:val="TableNormal"/>
    <w:next w:val="LightShading-Accent3"/>
    <w:uiPriority w:val="60"/>
    <w:rsid w:val="008E31EC"/>
    <w:pPr>
      <w:spacing w:before="0"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6">
    <w:name w:val="Light Shading - Accent 36"/>
    <w:basedOn w:val="TableNormal"/>
    <w:next w:val="LightShading-Accent3"/>
    <w:uiPriority w:val="60"/>
    <w:rsid w:val="008E31EC"/>
    <w:pPr>
      <w:spacing w:before="0"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7">
    <w:name w:val="Light Shading - Accent 37"/>
    <w:basedOn w:val="TableNormal"/>
    <w:next w:val="LightShading-Accent3"/>
    <w:uiPriority w:val="60"/>
    <w:rsid w:val="008E31EC"/>
    <w:pPr>
      <w:spacing w:before="0"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8">
    <w:name w:val="Light Shading - Accent 38"/>
    <w:basedOn w:val="TableNormal"/>
    <w:next w:val="LightShading-Accent3"/>
    <w:uiPriority w:val="60"/>
    <w:rsid w:val="008E31EC"/>
    <w:pPr>
      <w:spacing w:before="0"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9">
    <w:name w:val="Light Shading - Accent 39"/>
    <w:basedOn w:val="TableNormal"/>
    <w:next w:val="LightShading-Accent3"/>
    <w:uiPriority w:val="60"/>
    <w:rsid w:val="008E31EC"/>
    <w:pPr>
      <w:spacing w:before="0"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8E31EC"/>
    <w:pPr>
      <w:spacing w:before="0" w:after="0" w:line="240" w:lineRule="auto"/>
    </w:pPr>
    <w:rPr>
      <w:rFonts w:ascii="Calibri" w:eastAsia="Calibri"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Default">
    <w:name w:val="Default"/>
    <w:rsid w:val="008E31EC"/>
    <w:pPr>
      <w:autoSpaceDE w:val="0"/>
      <w:autoSpaceDN w:val="0"/>
      <w:adjustRightInd w:val="0"/>
      <w:spacing w:before="0" w:after="0" w:line="240" w:lineRule="auto"/>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D7"/>
    <w:rPr>
      <w:sz w:val="20"/>
      <w:szCs w:val="20"/>
    </w:rPr>
  </w:style>
  <w:style w:type="paragraph" w:styleId="Heading1">
    <w:name w:val="heading 1"/>
    <w:basedOn w:val="Normal"/>
    <w:next w:val="Normal"/>
    <w:link w:val="Heading1Char"/>
    <w:uiPriority w:val="9"/>
    <w:qFormat/>
    <w:rsid w:val="00FC446C"/>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6923C" w:themeFill="accent3" w:themeFillShade="BF"/>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C446C"/>
    <w:pPr>
      <w:pBdr>
        <w:top w:val="single" w:sz="24" w:space="0" w:color="C2D69B" w:themeColor="accent3" w:themeTint="99"/>
        <w:left w:val="single" w:sz="24" w:space="0" w:color="C2D69B" w:themeColor="accent3" w:themeTint="99"/>
        <w:bottom w:val="single" w:sz="24" w:space="0" w:color="C2D69B" w:themeColor="accent3" w:themeTint="99"/>
        <w:right w:val="single" w:sz="24" w:space="0" w:color="C2D69B" w:themeColor="accent3" w:themeTint="99"/>
      </w:pBdr>
      <w:shd w:val="clear" w:color="auto" w:fill="C2D69B" w:themeFill="accent3" w:themeFillTint="99"/>
      <w:spacing w:after="0"/>
      <w:outlineLvl w:val="1"/>
    </w:pPr>
    <w:rPr>
      <w:caps/>
      <w:spacing w:val="15"/>
      <w:sz w:val="22"/>
      <w:szCs w:val="22"/>
    </w:rPr>
  </w:style>
  <w:style w:type="paragraph" w:styleId="Heading3">
    <w:name w:val="heading 3"/>
    <w:basedOn w:val="Normal"/>
    <w:next w:val="Normal"/>
    <w:link w:val="Heading3Char"/>
    <w:uiPriority w:val="9"/>
    <w:unhideWhenUsed/>
    <w:qFormat/>
    <w:rsid w:val="00FC446C"/>
    <w:pPr>
      <w:pBdr>
        <w:top w:val="single" w:sz="6" w:space="2" w:color="4F6228" w:themeColor="accent3" w:themeShade="80"/>
        <w:left w:val="single" w:sz="6" w:space="2" w:color="4F6228" w:themeColor="accent3" w:themeShade="80"/>
      </w:pBdr>
      <w:spacing w:before="300" w:after="0"/>
      <w:outlineLvl w:val="2"/>
    </w:pPr>
    <w:rPr>
      <w:caps/>
      <w:color w:val="4F6228" w:themeColor="accent3" w:themeShade="80"/>
      <w:spacing w:val="15"/>
      <w:sz w:val="22"/>
      <w:szCs w:val="22"/>
    </w:rPr>
  </w:style>
  <w:style w:type="paragraph" w:styleId="Heading4">
    <w:name w:val="heading 4"/>
    <w:basedOn w:val="Normal"/>
    <w:next w:val="Normal"/>
    <w:link w:val="Heading4Char"/>
    <w:uiPriority w:val="9"/>
    <w:unhideWhenUsed/>
    <w:qFormat/>
    <w:rsid w:val="00A53BDA"/>
    <w:pPr>
      <w:spacing w:before="300" w:after="0"/>
      <w:outlineLvl w:val="3"/>
    </w:pPr>
    <w:rPr>
      <w:caps/>
      <w:color w:val="4F6228" w:themeColor="accent3" w:themeShade="80"/>
      <w:spacing w:val="10"/>
      <w:sz w:val="22"/>
      <w:szCs w:val="22"/>
    </w:rPr>
  </w:style>
  <w:style w:type="paragraph" w:styleId="Heading5">
    <w:name w:val="heading 5"/>
    <w:basedOn w:val="Normal"/>
    <w:next w:val="Normal"/>
    <w:link w:val="Heading5Char"/>
    <w:uiPriority w:val="9"/>
    <w:unhideWhenUsed/>
    <w:qFormat/>
    <w:rsid w:val="00FC446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FC446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FC446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FC446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FC446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46C"/>
    <w:rPr>
      <w:b/>
      <w:bCs/>
      <w:caps/>
      <w:color w:val="FFFFFF" w:themeColor="background1"/>
      <w:spacing w:val="15"/>
      <w:shd w:val="clear" w:color="auto" w:fill="76923C" w:themeFill="accent3" w:themeFillShade="BF"/>
    </w:rPr>
  </w:style>
  <w:style w:type="character" w:customStyle="1" w:styleId="Heading2Char">
    <w:name w:val="Heading 2 Char"/>
    <w:basedOn w:val="DefaultParagraphFont"/>
    <w:link w:val="Heading2"/>
    <w:uiPriority w:val="9"/>
    <w:rsid w:val="00FC446C"/>
    <w:rPr>
      <w:caps/>
      <w:spacing w:val="15"/>
      <w:shd w:val="clear" w:color="auto" w:fill="C2D69B" w:themeFill="accent3" w:themeFillTint="99"/>
    </w:rPr>
  </w:style>
  <w:style w:type="paragraph" w:styleId="NoSpacing">
    <w:name w:val="No Spacing"/>
    <w:basedOn w:val="Normal"/>
    <w:link w:val="NoSpacingChar"/>
    <w:uiPriority w:val="1"/>
    <w:qFormat/>
    <w:rsid w:val="00FC446C"/>
    <w:pPr>
      <w:spacing w:before="0" w:after="0" w:line="240" w:lineRule="auto"/>
    </w:pPr>
  </w:style>
  <w:style w:type="character" w:customStyle="1" w:styleId="Heading3Char">
    <w:name w:val="Heading 3 Char"/>
    <w:basedOn w:val="DefaultParagraphFont"/>
    <w:link w:val="Heading3"/>
    <w:uiPriority w:val="9"/>
    <w:rsid w:val="00FC446C"/>
    <w:rPr>
      <w:caps/>
      <w:color w:val="4F6228" w:themeColor="accent3" w:themeShade="80"/>
      <w:spacing w:val="15"/>
    </w:rPr>
  </w:style>
  <w:style w:type="character" w:customStyle="1" w:styleId="Heading4Char">
    <w:name w:val="Heading 4 Char"/>
    <w:basedOn w:val="DefaultParagraphFont"/>
    <w:link w:val="Heading4"/>
    <w:uiPriority w:val="9"/>
    <w:rsid w:val="00A53BDA"/>
    <w:rPr>
      <w:caps/>
      <w:color w:val="4F6228" w:themeColor="accent3" w:themeShade="80"/>
      <w:spacing w:val="10"/>
    </w:rPr>
  </w:style>
  <w:style w:type="character" w:customStyle="1" w:styleId="Heading5Char">
    <w:name w:val="Heading 5 Char"/>
    <w:basedOn w:val="DefaultParagraphFont"/>
    <w:link w:val="Heading5"/>
    <w:uiPriority w:val="9"/>
    <w:rsid w:val="00FC446C"/>
    <w:rPr>
      <w:caps/>
      <w:color w:val="365F91" w:themeColor="accent1" w:themeShade="BF"/>
      <w:spacing w:val="10"/>
    </w:rPr>
  </w:style>
  <w:style w:type="character" w:customStyle="1" w:styleId="Heading6Char">
    <w:name w:val="Heading 6 Char"/>
    <w:basedOn w:val="DefaultParagraphFont"/>
    <w:link w:val="Heading6"/>
    <w:uiPriority w:val="9"/>
    <w:rsid w:val="00FC446C"/>
    <w:rPr>
      <w:caps/>
      <w:color w:val="365F91" w:themeColor="accent1" w:themeShade="BF"/>
      <w:spacing w:val="10"/>
    </w:rPr>
  </w:style>
  <w:style w:type="character" w:customStyle="1" w:styleId="Heading7Char">
    <w:name w:val="Heading 7 Char"/>
    <w:basedOn w:val="DefaultParagraphFont"/>
    <w:link w:val="Heading7"/>
    <w:uiPriority w:val="9"/>
    <w:rsid w:val="00FC446C"/>
    <w:rPr>
      <w:caps/>
      <w:color w:val="365F91" w:themeColor="accent1" w:themeShade="BF"/>
      <w:spacing w:val="10"/>
    </w:rPr>
  </w:style>
  <w:style w:type="character" w:customStyle="1" w:styleId="Heading8Char">
    <w:name w:val="Heading 8 Char"/>
    <w:basedOn w:val="DefaultParagraphFont"/>
    <w:link w:val="Heading8"/>
    <w:uiPriority w:val="9"/>
    <w:rsid w:val="00FC446C"/>
    <w:rPr>
      <w:caps/>
      <w:spacing w:val="10"/>
      <w:sz w:val="18"/>
      <w:szCs w:val="18"/>
    </w:rPr>
  </w:style>
  <w:style w:type="character" w:customStyle="1" w:styleId="Heading9Char">
    <w:name w:val="Heading 9 Char"/>
    <w:basedOn w:val="DefaultParagraphFont"/>
    <w:link w:val="Heading9"/>
    <w:uiPriority w:val="9"/>
    <w:rsid w:val="00FC446C"/>
    <w:rPr>
      <w:i/>
      <w:caps/>
      <w:spacing w:val="10"/>
      <w:sz w:val="18"/>
      <w:szCs w:val="18"/>
    </w:rPr>
  </w:style>
  <w:style w:type="paragraph" w:styleId="Title">
    <w:name w:val="Title"/>
    <w:basedOn w:val="Normal"/>
    <w:next w:val="Normal"/>
    <w:link w:val="TitleChar"/>
    <w:uiPriority w:val="10"/>
    <w:qFormat/>
    <w:rsid w:val="00FC446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C446C"/>
    <w:rPr>
      <w:caps/>
      <w:color w:val="4F81BD" w:themeColor="accent1"/>
      <w:spacing w:val="10"/>
      <w:kern w:val="28"/>
      <w:sz w:val="52"/>
      <w:szCs w:val="52"/>
    </w:rPr>
  </w:style>
  <w:style w:type="paragraph" w:styleId="Subtitle">
    <w:name w:val="Subtitle"/>
    <w:basedOn w:val="Normal"/>
    <w:next w:val="Normal"/>
    <w:link w:val="SubtitleChar"/>
    <w:uiPriority w:val="11"/>
    <w:qFormat/>
    <w:rsid w:val="00FC446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C446C"/>
    <w:rPr>
      <w:caps/>
      <w:color w:val="595959" w:themeColor="text1" w:themeTint="A6"/>
      <w:spacing w:val="10"/>
      <w:sz w:val="24"/>
      <w:szCs w:val="24"/>
    </w:rPr>
  </w:style>
  <w:style w:type="character" w:styleId="SubtleEmphasis">
    <w:name w:val="Subtle Emphasis"/>
    <w:uiPriority w:val="19"/>
    <w:qFormat/>
    <w:rsid w:val="00FC446C"/>
    <w:rPr>
      <w:i/>
      <w:iCs/>
      <w:color w:val="243F60" w:themeColor="accent1" w:themeShade="7F"/>
    </w:rPr>
  </w:style>
  <w:style w:type="character" w:styleId="Strong">
    <w:name w:val="Strong"/>
    <w:uiPriority w:val="22"/>
    <w:qFormat/>
    <w:rsid w:val="00FC446C"/>
    <w:rPr>
      <w:b/>
      <w:bCs/>
    </w:rPr>
  </w:style>
  <w:style w:type="paragraph" w:styleId="ListParagraph">
    <w:name w:val="List Paragraph"/>
    <w:basedOn w:val="Normal"/>
    <w:uiPriority w:val="34"/>
    <w:qFormat/>
    <w:rsid w:val="00FC446C"/>
    <w:pPr>
      <w:ind w:left="720"/>
      <w:contextualSpacing/>
    </w:pPr>
  </w:style>
  <w:style w:type="character" w:styleId="Emphasis">
    <w:name w:val="Emphasis"/>
    <w:uiPriority w:val="20"/>
    <w:qFormat/>
    <w:rsid w:val="00FC446C"/>
    <w:rPr>
      <w:caps/>
      <w:color w:val="243F60" w:themeColor="accent1" w:themeShade="7F"/>
      <w:spacing w:val="5"/>
    </w:rPr>
  </w:style>
  <w:style w:type="character" w:styleId="IntenseEmphasis">
    <w:name w:val="Intense Emphasis"/>
    <w:uiPriority w:val="21"/>
    <w:qFormat/>
    <w:rsid w:val="00FC446C"/>
    <w:rPr>
      <w:b/>
      <w:bCs/>
      <w:caps/>
      <w:color w:val="243F60" w:themeColor="accent1" w:themeShade="7F"/>
      <w:spacing w:val="10"/>
    </w:rPr>
  </w:style>
  <w:style w:type="paragraph" w:styleId="Quote">
    <w:name w:val="Quote"/>
    <w:basedOn w:val="Normal"/>
    <w:next w:val="Normal"/>
    <w:link w:val="QuoteChar"/>
    <w:uiPriority w:val="29"/>
    <w:qFormat/>
    <w:rsid w:val="00FC446C"/>
    <w:rPr>
      <w:i/>
      <w:iCs/>
    </w:rPr>
  </w:style>
  <w:style w:type="character" w:customStyle="1" w:styleId="QuoteChar">
    <w:name w:val="Quote Char"/>
    <w:basedOn w:val="DefaultParagraphFont"/>
    <w:link w:val="Quote"/>
    <w:uiPriority w:val="29"/>
    <w:rsid w:val="00FC446C"/>
    <w:rPr>
      <w:i/>
      <w:iCs/>
      <w:sz w:val="20"/>
      <w:szCs w:val="20"/>
    </w:rPr>
  </w:style>
  <w:style w:type="paragraph" w:styleId="IntenseQuote">
    <w:name w:val="Intense Quote"/>
    <w:basedOn w:val="Normal"/>
    <w:next w:val="Normal"/>
    <w:link w:val="IntenseQuoteChar"/>
    <w:uiPriority w:val="30"/>
    <w:qFormat/>
    <w:rsid w:val="00FC446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C446C"/>
    <w:rPr>
      <w:i/>
      <w:iCs/>
      <w:color w:val="4F81BD" w:themeColor="accent1"/>
      <w:sz w:val="20"/>
      <w:szCs w:val="20"/>
    </w:rPr>
  </w:style>
  <w:style w:type="character" w:styleId="SubtleReference">
    <w:name w:val="Subtle Reference"/>
    <w:uiPriority w:val="31"/>
    <w:qFormat/>
    <w:rsid w:val="00FC446C"/>
    <w:rPr>
      <w:b/>
      <w:bCs/>
      <w:color w:val="4F81BD" w:themeColor="accent1"/>
    </w:rPr>
  </w:style>
  <w:style w:type="character" w:styleId="IntenseReference">
    <w:name w:val="Intense Reference"/>
    <w:uiPriority w:val="32"/>
    <w:qFormat/>
    <w:rsid w:val="00FC446C"/>
    <w:rPr>
      <w:b/>
      <w:bCs/>
      <w:i/>
      <w:iCs/>
      <w:caps/>
      <w:color w:val="4F81BD" w:themeColor="accent1"/>
    </w:rPr>
  </w:style>
  <w:style w:type="character" w:styleId="BookTitle">
    <w:name w:val="Book Title"/>
    <w:uiPriority w:val="33"/>
    <w:qFormat/>
    <w:rsid w:val="00FC446C"/>
    <w:rPr>
      <w:b/>
      <w:bCs/>
      <w:i/>
      <w:iCs/>
      <w:spacing w:val="9"/>
    </w:rPr>
  </w:style>
  <w:style w:type="paragraph" w:styleId="Caption">
    <w:name w:val="caption"/>
    <w:basedOn w:val="Normal"/>
    <w:next w:val="Normal"/>
    <w:uiPriority w:val="35"/>
    <w:unhideWhenUsed/>
    <w:qFormat/>
    <w:rsid w:val="00FC446C"/>
    <w:rPr>
      <w:b/>
      <w:bCs/>
      <w:color w:val="365F91" w:themeColor="accent1" w:themeShade="BF"/>
      <w:sz w:val="16"/>
      <w:szCs w:val="16"/>
    </w:rPr>
  </w:style>
  <w:style w:type="paragraph" w:styleId="TOCHeading">
    <w:name w:val="TOC Heading"/>
    <w:basedOn w:val="Heading1"/>
    <w:next w:val="Normal"/>
    <w:uiPriority w:val="39"/>
    <w:semiHidden/>
    <w:unhideWhenUsed/>
    <w:qFormat/>
    <w:rsid w:val="00FC446C"/>
    <w:pPr>
      <w:outlineLvl w:val="9"/>
    </w:pPr>
    <w:rPr>
      <w:lang w:bidi="en-US"/>
    </w:rPr>
  </w:style>
  <w:style w:type="character" w:customStyle="1" w:styleId="NoSpacingChar">
    <w:name w:val="No Spacing Char"/>
    <w:basedOn w:val="DefaultParagraphFont"/>
    <w:link w:val="NoSpacing"/>
    <w:uiPriority w:val="1"/>
    <w:rsid w:val="00FC446C"/>
    <w:rPr>
      <w:sz w:val="20"/>
      <w:szCs w:val="20"/>
    </w:rPr>
  </w:style>
  <w:style w:type="paragraph" w:styleId="BalloonText">
    <w:name w:val="Balloon Text"/>
    <w:basedOn w:val="Normal"/>
    <w:link w:val="BalloonTextChar"/>
    <w:uiPriority w:val="99"/>
    <w:semiHidden/>
    <w:unhideWhenUsed/>
    <w:rsid w:val="007A4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BF7"/>
    <w:rPr>
      <w:rFonts w:ascii="Tahoma" w:hAnsi="Tahoma" w:cs="Tahoma"/>
      <w:sz w:val="16"/>
      <w:szCs w:val="16"/>
    </w:rPr>
  </w:style>
  <w:style w:type="paragraph" w:styleId="CommentText">
    <w:name w:val="annotation text"/>
    <w:basedOn w:val="Normal"/>
    <w:link w:val="CommentTextChar"/>
    <w:uiPriority w:val="99"/>
    <w:semiHidden/>
    <w:rsid w:val="00D96A19"/>
    <w:rPr>
      <w:rFonts w:ascii="Calibri" w:eastAsia="Times New Roman" w:hAnsi="Calibri" w:cs="Times New Roman"/>
      <w:lang w:eastAsia="en-AU"/>
    </w:rPr>
  </w:style>
  <w:style w:type="character" w:customStyle="1" w:styleId="CommentTextChar">
    <w:name w:val="Comment Text Char"/>
    <w:basedOn w:val="DefaultParagraphFont"/>
    <w:link w:val="CommentText"/>
    <w:uiPriority w:val="99"/>
    <w:semiHidden/>
    <w:rsid w:val="00D96A19"/>
    <w:rPr>
      <w:rFonts w:ascii="Calibri" w:eastAsia="Times New Roman" w:hAnsi="Calibri" w:cs="Times New Roman"/>
      <w:sz w:val="20"/>
      <w:szCs w:val="20"/>
      <w:lang w:eastAsia="en-AU"/>
    </w:rPr>
  </w:style>
  <w:style w:type="character" w:styleId="CommentReference">
    <w:name w:val="annotation reference"/>
    <w:uiPriority w:val="99"/>
    <w:semiHidden/>
    <w:rsid w:val="00D96A19"/>
    <w:rPr>
      <w:rFonts w:cs="Times New Roman"/>
      <w:sz w:val="16"/>
      <w:szCs w:val="16"/>
    </w:rPr>
  </w:style>
  <w:style w:type="paragraph" w:styleId="FootnoteText">
    <w:name w:val="footnote text"/>
    <w:basedOn w:val="Normal"/>
    <w:link w:val="FootnoteTextChar"/>
    <w:uiPriority w:val="99"/>
    <w:semiHidden/>
    <w:unhideWhenUsed/>
    <w:rsid w:val="00D96A19"/>
    <w:pPr>
      <w:spacing w:after="0" w:line="240" w:lineRule="auto"/>
    </w:pPr>
  </w:style>
  <w:style w:type="character" w:customStyle="1" w:styleId="FootnoteTextChar">
    <w:name w:val="Footnote Text Char"/>
    <w:basedOn w:val="DefaultParagraphFont"/>
    <w:link w:val="FootnoteText"/>
    <w:uiPriority w:val="99"/>
    <w:semiHidden/>
    <w:rsid w:val="00D96A19"/>
    <w:rPr>
      <w:rFonts w:ascii="Arial" w:hAnsi="Arial"/>
      <w:sz w:val="20"/>
      <w:szCs w:val="20"/>
    </w:rPr>
  </w:style>
  <w:style w:type="character" w:styleId="FootnoteReference">
    <w:name w:val="footnote reference"/>
    <w:uiPriority w:val="99"/>
    <w:semiHidden/>
    <w:rsid w:val="00D96A19"/>
    <w:rPr>
      <w:rFonts w:cs="Times New Roman"/>
      <w:vertAlign w:val="superscript"/>
    </w:rPr>
  </w:style>
  <w:style w:type="paragraph" w:styleId="TOC1">
    <w:name w:val="toc 1"/>
    <w:basedOn w:val="Normal"/>
    <w:next w:val="Normal"/>
    <w:autoRedefine/>
    <w:uiPriority w:val="39"/>
    <w:unhideWhenUsed/>
    <w:rsid w:val="005B09F5"/>
    <w:pPr>
      <w:spacing w:after="100"/>
    </w:pPr>
  </w:style>
  <w:style w:type="paragraph" w:styleId="TOC2">
    <w:name w:val="toc 2"/>
    <w:basedOn w:val="Normal"/>
    <w:next w:val="Normal"/>
    <w:autoRedefine/>
    <w:uiPriority w:val="39"/>
    <w:unhideWhenUsed/>
    <w:rsid w:val="005B09F5"/>
    <w:pPr>
      <w:spacing w:after="100"/>
      <w:ind w:left="200"/>
    </w:pPr>
  </w:style>
  <w:style w:type="paragraph" w:styleId="TOC3">
    <w:name w:val="toc 3"/>
    <w:basedOn w:val="Normal"/>
    <w:next w:val="Normal"/>
    <w:autoRedefine/>
    <w:uiPriority w:val="39"/>
    <w:unhideWhenUsed/>
    <w:rsid w:val="005B09F5"/>
    <w:pPr>
      <w:spacing w:after="100"/>
      <w:ind w:left="400"/>
    </w:pPr>
  </w:style>
  <w:style w:type="character" w:styleId="Hyperlink">
    <w:name w:val="Hyperlink"/>
    <w:basedOn w:val="DefaultParagraphFont"/>
    <w:uiPriority w:val="99"/>
    <w:unhideWhenUsed/>
    <w:rsid w:val="005B09F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35CD1"/>
    <w:pPr>
      <w:spacing w:line="240" w:lineRule="auto"/>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835CD1"/>
    <w:rPr>
      <w:rFonts w:ascii="Calibri" w:eastAsia="Times New Roman" w:hAnsi="Calibri" w:cs="Times New Roman"/>
      <w:b/>
      <w:bCs/>
      <w:sz w:val="20"/>
      <w:szCs w:val="20"/>
      <w:lang w:eastAsia="en-AU"/>
    </w:rPr>
  </w:style>
  <w:style w:type="numbering" w:customStyle="1" w:styleId="NoList1">
    <w:name w:val="No List1"/>
    <w:next w:val="NoList"/>
    <w:uiPriority w:val="99"/>
    <w:semiHidden/>
    <w:unhideWhenUsed/>
    <w:rsid w:val="008E31EC"/>
  </w:style>
  <w:style w:type="table" w:styleId="TableGrid">
    <w:name w:val="Table Grid"/>
    <w:basedOn w:val="TableNormal"/>
    <w:uiPriority w:val="99"/>
    <w:rsid w:val="008E31EC"/>
    <w:pPr>
      <w:spacing w:before="0" w:after="0" w:line="240" w:lineRule="auto"/>
    </w:pPr>
    <w:rPr>
      <w:rFonts w:ascii="Calibri" w:eastAsia="Times New Roman" w:hAnsi="Calibri"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ntPageDate">
    <w:name w:val="FrontPageDate"/>
    <w:basedOn w:val="Normal"/>
    <w:uiPriority w:val="99"/>
    <w:rsid w:val="008E31EC"/>
    <w:pPr>
      <w:spacing w:before="240"/>
      <w:jc w:val="both"/>
    </w:pPr>
    <w:rPr>
      <w:rFonts w:ascii="Arial" w:eastAsia="Times New Roman" w:hAnsi="Arial" w:cs="Times New Roman"/>
    </w:rPr>
  </w:style>
  <w:style w:type="paragraph" w:customStyle="1" w:styleId="frontpagedate0">
    <w:name w:val="frontpagedate"/>
    <w:basedOn w:val="Normal"/>
    <w:uiPriority w:val="99"/>
    <w:semiHidden/>
    <w:rsid w:val="008E31EC"/>
    <w:pPr>
      <w:spacing w:before="240"/>
      <w:jc w:val="both"/>
    </w:pPr>
    <w:rPr>
      <w:rFonts w:ascii="Arial" w:eastAsia="Times New Roman" w:hAnsi="Arial" w:cs="Arial"/>
      <w:lang w:eastAsia="en-AU"/>
    </w:rPr>
  </w:style>
  <w:style w:type="paragraph" w:styleId="Footer">
    <w:name w:val="footer"/>
    <w:basedOn w:val="Normal"/>
    <w:link w:val="FooterChar"/>
    <w:uiPriority w:val="99"/>
    <w:rsid w:val="008E31EC"/>
    <w:pPr>
      <w:tabs>
        <w:tab w:val="center" w:pos="4153"/>
        <w:tab w:val="right" w:pos="8306"/>
      </w:tabs>
    </w:pPr>
    <w:rPr>
      <w:rFonts w:ascii="Calibri" w:eastAsia="Times New Roman" w:hAnsi="Calibri" w:cs="Times New Roman"/>
      <w:lang w:eastAsia="en-AU"/>
    </w:rPr>
  </w:style>
  <w:style w:type="character" w:customStyle="1" w:styleId="FooterChar">
    <w:name w:val="Footer Char"/>
    <w:basedOn w:val="DefaultParagraphFont"/>
    <w:link w:val="Footer"/>
    <w:uiPriority w:val="99"/>
    <w:rsid w:val="008E31EC"/>
    <w:rPr>
      <w:rFonts w:ascii="Calibri" w:eastAsia="Times New Roman" w:hAnsi="Calibri" w:cs="Times New Roman"/>
      <w:sz w:val="20"/>
      <w:szCs w:val="20"/>
      <w:lang w:eastAsia="en-AU"/>
    </w:rPr>
  </w:style>
  <w:style w:type="character" w:styleId="PageNumber">
    <w:name w:val="page number"/>
    <w:uiPriority w:val="99"/>
    <w:rsid w:val="008E31EC"/>
    <w:rPr>
      <w:rFonts w:cs="Times New Roman"/>
    </w:rPr>
  </w:style>
  <w:style w:type="paragraph" w:styleId="Header">
    <w:name w:val="header"/>
    <w:basedOn w:val="Normal"/>
    <w:link w:val="HeaderChar"/>
    <w:uiPriority w:val="99"/>
    <w:rsid w:val="008E31EC"/>
    <w:pPr>
      <w:tabs>
        <w:tab w:val="center" w:pos="4320"/>
        <w:tab w:val="right" w:pos="8640"/>
      </w:tabs>
      <w:spacing w:before="240"/>
    </w:pPr>
    <w:rPr>
      <w:rFonts w:ascii="Arial" w:eastAsia="Times New Roman" w:hAnsi="Arial" w:cs="Times New Roman"/>
      <w:b/>
      <w:sz w:val="28"/>
    </w:rPr>
  </w:style>
  <w:style w:type="character" w:customStyle="1" w:styleId="HeaderChar">
    <w:name w:val="Header Char"/>
    <w:basedOn w:val="DefaultParagraphFont"/>
    <w:link w:val="Header"/>
    <w:uiPriority w:val="99"/>
    <w:rsid w:val="008E31EC"/>
    <w:rPr>
      <w:rFonts w:ascii="Arial" w:eastAsia="Times New Roman" w:hAnsi="Arial" w:cs="Times New Roman"/>
      <w:b/>
      <w:sz w:val="28"/>
      <w:szCs w:val="20"/>
    </w:rPr>
  </w:style>
  <w:style w:type="paragraph" w:customStyle="1" w:styleId="ContactDetails">
    <w:name w:val="ContactDetails"/>
    <w:basedOn w:val="Header"/>
    <w:uiPriority w:val="99"/>
    <w:rsid w:val="008E31EC"/>
    <w:pPr>
      <w:framePr w:w="2829" w:h="1060" w:hSpace="181" w:wrap="around" w:vAnchor="page" w:hAnchor="page" w:x="8352" w:y="2305" w:anchorLock="1"/>
      <w:spacing w:before="0" w:line="240" w:lineRule="exact"/>
    </w:pPr>
    <w:rPr>
      <w:color w:val="000000"/>
      <w:sz w:val="16"/>
    </w:rPr>
  </w:style>
  <w:style w:type="paragraph" w:styleId="BodyText">
    <w:name w:val="Body Text"/>
    <w:basedOn w:val="Normal"/>
    <w:link w:val="BodyTextChar"/>
    <w:autoRedefine/>
    <w:uiPriority w:val="99"/>
    <w:rsid w:val="008E31EC"/>
    <w:rPr>
      <w:rFonts w:ascii="Calibri" w:eastAsia="Times New Roman" w:hAnsi="Calibri" w:cs="Times New Roman"/>
      <w:noProof/>
    </w:rPr>
  </w:style>
  <w:style w:type="character" w:customStyle="1" w:styleId="BodyTextChar">
    <w:name w:val="Body Text Char"/>
    <w:basedOn w:val="DefaultParagraphFont"/>
    <w:link w:val="BodyText"/>
    <w:uiPriority w:val="99"/>
    <w:rsid w:val="008E31EC"/>
    <w:rPr>
      <w:rFonts w:ascii="Calibri" w:eastAsia="Times New Roman" w:hAnsi="Calibri" w:cs="Times New Roman"/>
      <w:noProof/>
      <w:sz w:val="20"/>
      <w:szCs w:val="20"/>
    </w:rPr>
  </w:style>
  <w:style w:type="paragraph" w:customStyle="1" w:styleId="dotpoints">
    <w:name w:val="dot points"/>
    <w:basedOn w:val="Normal"/>
    <w:link w:val="dotpointsChar"/>
    <w:uiPriority w:val="99"/>
    <w:rsid w:val="008E31EC"/>
    <w:pPr>
      <w:numPr>
        <w:numId w:val="15"/>
      </w:numPr>
      <w:contextualSpacing/>
      <w:jc w:val="both"/>
    </w:pPr>
    <w:rPr>
      <w:rFonts w:ascii="Calibri" w:eastAsia="Times New Roman" w:hAnsi="Calibri" w:cs="Times New Roman"/>
      <w:noProof/>
    </w:rPr>
  </w:style>
  <w:style w:type="paragraph" w:styleId="BodyTextIndent">
    <w:name w:val="Body Text Indent"/>
    <w:basedOn w:val="Normal"/>
    <w:link w:val="BodyTextIndentChar"/>
    <w:uiPriority w:val="99"/>
    <w:rsid w:val="008E31EC"/>
    <w:pPr>
      <w:keepLines/>
      <w:widowControl w:val="0"/>
      <w:pBdr>
        <w:top w:val="single" w:sz="6" w:space="1" w:color="auto"/>
        <w:left w:val="single" w:sz="6" w:space="1" w:color="auto"/>
        <w:bottom w:val="single" w:sz="6" w:space="1" w:color="auto"/>
        <w:right w:val="single" w:sz="6" w:space="1" w:color="auto"/>
      </w:pBdr>
      <w:tabs>
        <w:tab w:val="left" w:pos="284"/>
      </w:tabs>
      <w:spacing w:before="240"/>
      <w:ind w:left="284" w:hanging="284"/>
    </w:pPr>
    <w:rPr>
      <w:rFonts w:ascii="Helvetica" w:eastAsia="Times New Roman" w:hAnsi="Helvetica" w:cs="Helvetica"/>
      <w:b/>
      <w:sz w:val="22"/>
      <w:szCs w:val="22"/>
    </w:rPr>
  </w:style>
  <w:style w:type="character" w:customStyle="1" w:styleId="BodyTextIndentChar">
    <w:name w:val="Body Text Indent Char"/>
    <w:basedOn w:val="DefaultParagraphFont"/>
    <w:link w:val="BodyTextIndent"/>
    <w:uiPriority w:val="99"/>
    <w:rsid w:val="008E31EC"/>
    <w:rPr>
      <w:rFonts w:ascii="Helvetica" w:eastAsia="Times New Roman" w:hAnsi="Helvetica" w:cs="Helvetica"/>
      <w:b/>
    </w:rPr>
  </w:style>
  <w:style w:type="paragraph" w:styleId="BodyText3">
    <w:name w:val="Body Text 3"/>
    <w:basedOn w:val="Normal"/>
    <w:link w:val="BodyText3Char"/>
    <w:uiPriority w:val="99"/>
    <w:rsid w:val="008E31EC"/>
    <w:pPr>
      <w:keepLines/>
      <w:widowControl w:val="0"/>
      <w:suppressLineNumbers/>
      <w:suppressAutoHyphens/>
      <w:spacing w:before="80" w:after="80"/>
    </w:pPr>
    <w:rPr>
      <w:rFonts w:ascii="Times" w:eastAsia="Times New Roman" w:hAnsi="Times" w:cs="Times"/>
      <w:b/>
      <w:sz w:val="22"/>
      <w:szCs w:val="22"/>
    </w:rPr>
  </w:style>
  <w:style w:type="character" w:customStyle="1" w:styleId="BodyText3Char">
    <w:name w:val="Body Text 3 Char"/>
    <w:basedOn w:val="DefaultParagraphFont"/>
    <w:link w:val="BodyText3"/>
    <w:uiPriority w:val="99"/>
    <w:rsid w:val="008E31EC"/>
    <w:rPr>
      <w:rFonts w:ascii="Times" w:eastAsia="Times New Roman" w:hAnsi="Times" w:cs="Times"/>
      <w:b/>
    </w:rPr>
  </w:style>
  <w:style w:type="paragraph" w:styleId="BodyTextIndent2">
    <w:name w:val="Body Text Indent 2"/>
    <w:basedOn w:val="Normal"/>
    <w:link w:val="BodyTextIndent2Char"/>
    <w:uiPriority w:val="99"/>
    <w:rsid w:val="008E31EC"/>
    <w:pPr>
      <w:keepLines/>
      <w:widowControl w:val="0"/>
      <w:tabs>
        <w:tab w:val="left" w:pos="284"/>
      </w:tabs>
      <w:spacing w:before="240"/>
      <w:ind w:left="284" w:hanging="284"/>
    </w:pPr>
    <w:rPr>
      <w:rFonts w:ascii="Calibri" w:eastAsia="Times New Roman" w:hAnsi="Calibri" w:cs="Times New Roman"/>
      <w:b/>
      <w:sz w:val="40"/>
      <w:szCs w:val="40"/>
      <w:lang w:val="en-US"/>
    </w:rPr>
  </w:style>
  <w:style w:type="character" w:customStyle="1" w:styleId="BodyTextIndent2Char">
    <w:name w:val="Body Text Indent 2 Char"/>
    <w:basedOn w:val="DefaultParagraphFont"/>
    <w:link w:val="BodyTextIndent2"/>
    <w:uiPriority w:val="99"/>
    <w:rsid w:val="008E31EC"/>
    <w:rPr>
      <w:rFonts w:ascii="Calibri" w:eastAsia="Times New Roman" w:hAnsi="Calibri" w:cs="Times New Roman"/>
      <w:b/>
      <w:sz w:val="40"/>
      <w:szCs w:val="40"/>
      <w:lang w:val="en-US"/>
    </w:rPr>
  </w:style>
  <w:style w:type="paragraph" w:styleId="BodyTextIndent3">
    <w:name w:val="Body Text Indent 3"/>
    <w:basedOn w:val="Normal"/>
    <w:link w:val="BodyTextIndent3Char"/>
    <w:uiPriority w:val="99"/>
    <w:rsid w:val="008E31EC"/>
    <w:pPr>
      <w:keepLines/>
      <w:widowControl w:val="0"/>
      <w:spacing w:before="60" w:after="60"/>
      <w:ind w:hanging="284"/>
    </w:pPr>
    <w:rPr>
      <w:rFonts w:ascii="Calibri" w:eastAsia="Times New Roman" w:hAnsi="Calibri" w:cs="Times New Roman"/>
      <w:b/>
      <w:sz w:val="40"/>
      <w:szCs w:val="40"/>
    </w:rPr>
  </w:style>
  <w:style w:type="character" w:customStyle="1" w:styleId="BodyTextIndent3Char">
    <w:name w:val="Body Text Indent 3 Char"/>
    <w:basedOn w:val="DefaultParagraphFont"/>
    <w:link w:val="BodyTextIndent3"/>
    <w:uiPriority w:val="99"/>
    <w:rsid w:val="008E31EC"/>
    <w:rPr>
      <w:rFonts w:ascii="Calibri" w:eastAsia="Times New Roman" w:hAnsi="Calibri" w:cs="Times New Roman"/>
      <w:b/>
      <w:sz w:val="40"/>
      <w:szCs w:val="40"/>
    </w:rPr>
  </w:style>
  <w:style w:type="paragraph" w:styleId="DocumentMap">
    <w:name w:val="Document Map"/>
    <w:basedOn w:val="Normal"/>
    <w:link w:val="DocumentMapChar"/>
    <w:uiPriority w:val="99"/>
    <w:semiHidden/>
    <w:rsid w:val="008E31EC"/>
    <w:pPr>
      <w:shd w:val="clear" w:color="auto" w:fill="000080"/>
    </w:pPr>
    <w:rPr>
      <w:rFonts w:ascii="Tahoma" w:eastAsia="Times New Roman" w:hAnsi="Tahoma" w:cs="Tahoma"/>
      <w:lang w:eastAsia="en-AU"/>
    </w:rPr>
  </w:style>
  <w:style w:type="character" w:customStyle="1" w:styleId="DocumentMapChar">
    <w:name w:val="Document Map Char"/>
    <w:basedOn w:val="DefaultParagraphFont"/>
    <w:link w:val="DocumentMap"/>
    <w:uiPriority w:val="99"/>
    <w:semiHidden/>
    <w:rsid w:val="008E31EC"/>
    <w:rPr>
      <w:rFonts w:ascii="Tahoma" w:eastAsia="Times New Roman" w:hAnsi="Tahoma" w:cs="Tahoma"/>
      <w:sz w:val="20"/>
      <w:szCs w:val="20"/>
      <w:shd w:val="clear" w:color="auto" w:fill="000080"/>
      <w:lang w:eastAsia="en-AU"/>
    </w:rPr>
  </w:style>
  <w:style w:type="paragraph" w:customStyle="1" w:styleId="Pa1">
    <w:name w:val="Pa1"/>
    <w:basedOn w:val="Normal"/>
    <w:next w:val="Normal"/>
    <w:uiPriority w:val="99"/>
    <w:rsid w:val="008E31EC"/>
    <w:pPr>
      <w:autoSpaceDE w:val="0"/>
      <w:autoSpaceDN w:val="0"/>
      <w:adjustRightInd w:val="0"/>
      <w:spacing w:line="191" w:lineRule="atLeast"/>
    </w:pPr>
    <w:rPr>
      <w:rFonts w:ascii="Frutiger 45 Light" w:eastAsia="Times New Roman" w:hAnsi="Frutiger 45 Light" w:cs="Times New Roman"/>
      <w:lang w:eastAsia="en-AU"/>
    </w:rPr>
  </w:style>
  <w:style w:type="paragraph" w:customStyle="1" w:styleId="CharCharChar">
    <w:name w:val="Char Char Char"/>
    <w:basedOn w:val="Normal"/>
    <w:uiPriority w:val="99"/>
    <w:semiHidden/>
    <w:rsid w:val="008E31EC"/>
    <w:rPr>
      <w:rFonts w:ascii="Arial" w:eastAsia="Times New Roman" w:hAnsi="Arial" w:cs="Arial"/>
      <w:sz w:val="22"/>
      <w:szCs w:val="22"/>
    </w:rPr>
  </w:style>
  <w:style w:type="paragraph" w:customStyle="1" w:styleId="Char">
    <w:name w:val="Char"/>
    <w:basedOn w:val="Normal"/>
    <w:uiPriority w:val="99"/>
    <w:rsid w:val="008E31EC"/>
    <w:rPr>
      <w:rFonts w:ascii="Arial" w:eastAsia="Times New Roman" w:hAnsi="Arial" w:cs="Arial"/>
      <w:sz w:val="22"/>
      <w:szCs w:val="22"/>
    </w:rPr>
  </w:style>
  <w:style w:type="paragraph" w:styleId="E-mailSignature">
    <w:name w:val="E-mail Signature"/>
    <w:basedOn w:val="Normal"/>
    <w:link w:val="E-mailSignatureChar"/>
    <w:uiPriority w:val="99"/>
    <w:rsid w:val="008E31EC"/>
    <w:rPr>
      <w:rFonts w:ascii="Calibri" w:eastAsia="Times New Roman" w:hAnsi="Calibri" w:cs="Times New Roman"/>
      <w:lang w:eastAsia="en-AU"/>
    </w:rPr>
  </w:style>
  <w:style w:type="character" w:customStyle="1" w:styleId="E-mailSignatureChar">
    <w:name w:val="E-mail Signature Char"/>
    <w:basedOn w:val="DefaultParagraphFont"/>
    <w:link w:val="E-mailSignature"/>
    <w:uiPriority w:val="99"/>
    <w:rsid w:val="008E31EC"/>
    <w:rPr>
      <w:rFonts w:ascii="Calibri" w:eastAsia="Times New Roman" w:hAnsi="Calibri" w:cs="Times New Roman"/>
      <w:sz w:val="20"/>
      <w:szCs w:val="20"/>
      <w:lang w:eastAsia="en-AU"/>
    </w:rPr>
  </w:style>
  <w:style w:type="paragraph" w:styleId="TOC4">
    <w:name w:val="toc 4"/>
    <w:basedOn w:val="Normal"/>
    <w:next w:val="Normal"/>
    <w:autoRedefine/>
    <w:uiPriority w:val="99"/>
    <w:semiHidden/>
    <w:rsid w:val="008E31EC"/>
    <w:pPr>
      <w:ind w:left="720"/>
    </w:pPr>
    <w:rPr>
      <w:rFonts w:ascii="Calibri" w:eastAsia="Times New Roman" w:hAnsi="Calibri" w:cs="Times New Roman"/>
      <w:sz w:val="18"/>
      <w:szCs w:val="18"/>
      <w:lang w:eastAsia="en-AU"/>
    </w:rPr>
  </w:style>
  <w:style w:type="paragraph" w:styleId="TOC5">
    <w:name w:val="toc 5"/>
    <w:basedOn w:val="Normal"/>
    <w:next w:val="Normal"/>
    <w:autoRedefine/>
    <w:uiPriority w:val="99"/>
    <w:semiHidden/>
    <w:rsid w:val="008E31EC"/>
    <w:pPr>
      <w:ind w:left="960"/>
    </w:pPr>
    <w:rPr>
      <w:rFonts w:ascii="Calibri" w:eastAsia="Times New Roman" w:hAnsi="Calibri" w:cs="Times New Roman"/>
      <w:sz w:val="18"/>
      <w:szCs w:val="18"/>
      <w:lang w:eastAsia="en-AU"/>
    </w:rPr>
  </w:style>
  <w:style w:type="paragraph" w:styleId="TOC6">
    <w:name w:val="toc 6"/>
    <w:basedOn w:val="Normal"/>
    <w:next w:val="Normal"/>
    <w:autoRedefine/>
    <w:uiPriority w:val="99"/>
    <w:semiHidden/>
    <w:rsid w:val="008E31EC"/>
    <w:pPr>
      <w:ind w:left="1200"/>
    </w:pPr>
    <w:rPr>
      <w:rFonts w:ascii="Calibri" w:eastAsia="Times New Roman" w:hAnsi="Calibri" w:cs="Times New Roman"/>
      <w:sz w:val="18"/>
      <w:szCs w:val="18"/>
      <w:lang w:eastAsia="en-AU"/>
    </w:rPr>
  </w:style>
  <w:style w:type="paragraph" w:styleId="TOC7">
    <w:name w:val="toc 7"/>
    <w:basedOn w:val="Normal"/>
    <w:next w:val="Normal"/>
    <w:autoRedefine/>
    <w:uiPriority w:val="99"/>
    <w:semiHidden/>
    <w:rsid w:val="008E31EC"/>
    <w:pPr>
      <w:ind w:left="1440"/>
    </w:pPr>
    <w:rPr>
      <w:rFonts w:ascii="Calibri" w:eastAsia="Times New Roman" w:hAnsi="Calibri" w:cs="Times New Roman"/>
      <w:sz w:val="18"/>
      <w:szCs w:val="18"/>
      <w:lang w:eastAsia="en-AU"/>
    </w:rPr>
  </w:style>
  <w:style w:type="paragraph" w:styleId="TOC8">
    <w:name w:val="toc 8"/>
    <w:basedOn w:val="Normal"/>
    <w:next w:val="Normal"/>
    <w:autoRedefine/>
    <w:uiPriority w:val="99"/>
    <w:semiHidden/>
    <w:rsid w:val="008E31EC"/>
    <w:pPr>
      <w:ind w:left="1680"/>
    </w:pPr>
    <w:rPr>
      <w:rFonts w:ascii="Calibri" w:eastAsia="Times New Roman" w:hAnsi="Calibri" w:cs="Times New Roman"/>
      <w:sz w:val="18"/>
      <w:szCs w:val="18"/>
      <w:lang w:eastAsia="en-AU"/>
    </w:rPr>
  </w:style>
  <w:style w:type="paragraph" w:styleId="TOC9">
    <w:name w:val="toc 9"/>
    <w:basedOn w:val="Normal"/>
    <w:next w:val="Normal"/>
    <w:autoRedefine/>
    <w:uiPriority w:val="99"/>
    <w:semiHidden/>
    <w:rsid w:val="008E31EC"/>
    <w:pPr>
      <w:ind w:left="1920"/>
    </w:pPr>
    <w:rPr>
      <w:rFonts w:ascii="Calibri" w:eastAsia="Times New Roman" w:hAnsi="Calibri" w:cs="Times New Roman"/>
      <w:sz w:val="18"/>
      <w:szCs w:val="18"/>
      <w:lang w:eastAsia="en-AU"/>
    </w:rPr>
  </w:style>
  <w:style w:type="paragraph" w:styleId="NormalWeb">
    <w:name w:val="Normal (Web)"/>
    <w:basedOn w:val="Normal"/>
    <w:uiPriority w:val="99"/>
    <w:rsid w:val="008E31EC"/>
    <w:pPr>
      <w:spacing w:before="100" w:beforeAutospacing="1" w:after="100" w:afterAutospacing="1"/>
    </w:pPr>
    <w:rPr>
      <w:rFonts w:ascii="Calibri" w:eastAsia="Times New Roman" w:hAnsi="Calibri" w:cs="Times New Roman"/>
      <w:lang w:eastAsia="en-AU"/>
    </w:rPr>
  </w:style>
  <w:style w:type="paragraph" w:customStyle="1" w:styleId="expopen">
    <w:name w:val="expopen"/>
    <w:basedOn w:val="Normal"/>
    <w:uiPriority w:val="99"/>
    <w:rsid w:val="008E31EC"/>
    <w:pPr>
      <w:spacing w:before="100" w:beforeAutospacing="1" w:after="100" w:afterAutospacing="1"/>
    </w:pPr>
    <w:rPr>
      <w:rFonts w:ascii="Calibri" w:eastAsia="Times New Roman" w:hAnsi="Calibri" w:cs="Times New Roman"/>
      <w:lang w:eastAsia="en-AU"/>
    </w:rPr>
  </w:style>
  <w:style w:type="paragraph" w:customStyle="1" w:styleId="expclose">
    <w:name w:val="expclose"/>
    <w:basedOn w:val="Normal"/>
    <w:uiPriority w:val="99"/>
    <w:rsid w:val="008E31EC"/>
    <w:pPr>
      <w:spacing w:before="100" w:beforeAutospacing="1" w:after="100" w:afterAutospacing="1"/>
    </w:pPr>
    <w:rPr>
      <w:rFonts w:ascii="Calibri" w:eastAsia="Times New Roman" w:hAnsi="Calibri" w:cs="Times New Roman"/>
      <w:lang w:eastAsia="en-AU"/>
    </w:rPr>
  </w:style>
  <w:style w:type="paragraph" w:customStyle="1" w:styleId="Char1">
    <w:name w:val="Char1"/>
    <w:basedOn w:val="Normal"/>
    <w:uiPriority w:val="99"/>
    <w:rsid w:val="008E31EC"/>
    <w:rPr>
      <w:rFonts w:ascii="Arial" w:eastAsia="Times New Roman" w:hAnsi="Arial" w:cs="Arial"/>
      <w:sz w:val="22"/>
      <w:szCs w:val="22"/>
    </w:rPr>
  </w:style>
  <w:style w:type="paragraph" w:customStyle="1" w:styleId="Backgroundtext">
    <w:name w:val="Background text"/>
    <w:basedOn w:val="Normal"/>
    <w:uiPriority w:val="99"/>
    <w:rsid w:val="008E31EC"/>
    <w:pPr>
      <w:spacing w:after="120" w:line="360" w:lineRule="auto"/>
    </w:pPr>
    <w:rPr>
      <w:rFonts w:ascii="Arial (W1)" w:eastAsia="Times New Roman" w:hAnsi="Arial (W1)" w:cs="Times New Roman"/>
    </w:rPr>
  </w:style>
  <w:style w:type="character" w:customStyle="1" w:styleId="dotpointsChar">
    <w:name w:val="dot points Char"/>
    <w:link w:val="dotpoints"/>
    <w:uiPriority w:val="99"/>
    <w:locked/>
    <w:rsid w:val="008E31EC"/>
    <w:rPr>
      <w:rFonts w:ascii="Calibri" w:eastAsia="Times New Roman" w:hAnsi="Calibri" w:cs="Times New Roman"/>
      <w:noProof/>
      <w:sz w:val="20"/>
      <w:szCs w:val="20"/>
    </w:rPr>
  </w:style>
  <w:style w:type="paragraph" w:customStyle="1" w:styleId="Body">
    <w:name w:val="Body"/>
    <w:basedOn w:val="Normal"/>
    <w:uiPriority w:val="99"/>
    <w:rsid w:val="008E31EC"/>
    <w:pPr>
      <w:spacing w:before="40" w:after="40"/>
    </w:pPr>
    <w:rPr>
      <w:rFonts w:ascii="Tahoma" w:eastAsia="Times New Roman" w:hAnsi="Tahoma" w:cs="Times New Roman"/>
    </w:rPr>
  </w:style>
  <w:style w:type="character" w:styleId="FollowedHyperlink">
    <w:name w:val="FollowedHyperlink"/>
    <w:uiPriority w:val="99"/>
    <w:rsid w:val="008E31EC"/>
    <w:rPr>
      <w:rFonts w:cs="Times New Roman"/>
      <w:color w:val="800080"/>
      <w:u w:val="single"/>
    </w:rPr>
  </w:style>
  <w:style w:type="paragraph" w:styleId="EndnoteText">
    <w:name w:val="endnote text"/>
    <w:basedOn w:val="Normal"/>
    <w:link w:val="EndnoteTextChar"/>
    <w:uiPriority w:val="99"/>
    <w:semiHidden/>
    <w:unhideWhenUsed/>
    <w:rsid w:val="008E31EC"/>
    <w:rPr>
      <w:rFonts w:ascii="Calibri" w:eastAsia="Times New Roman" w:hAnsi="Calibri" w:cs="Times New Roman"/>
      <w:lang w:eastAsia="en-AU"/>
    </w:rPr>
  </w:style>
  <w:style w:type="character" w:customStyle="1" w:styleId="EndnoteTextChar">
    <w:name w:val="Endnote Text Char"/>
    <w:basedOn w:val="DefaultParagraphFont"/>
    <w:link w:val="EndnoteText"/>
    <w:uiPriority w:val="99"/>
    <w:semiHidden/>
    <w:rsid w:val="008E31EC"/>
    <w:rPr>
      <w:rFonts w:ascii="Calibri" w:eastAsia="Times New Roman" w:hAnsi="Calibri" w:cs="Times New Roman"/>
      <w:sz w:val="20"/>
      <w:szCs w:val="20"/>
      <w:lang w:eastAsia="en-AU"/>
    </w:rPr>
  </w:style>
  <w:style w:type="character" w:styleId="EndnoteReference">
    <w:name w:val="endnote reference"/>
    <w:uiPriority w:val="99"/>
    <w:semiHidden/>
    <w:unhideWhenUsed/>
    <w:rsid w:val="008E31EC"/>
    <w:rPr>
      <w:rFonts w:cs="Times New Roman"/>
      <w:vertAlign w:val="superscript"/>
    </w:rPr>
  </w:style>
  <w:style w:type="paragraph" w:styleId="Revision">
    <w:name w:val="Revision"/>
    <w:hidden/>
    <w:uiPriority w:val="99"/>
    <w:semiHidden/>
    <w:rsid w:val="008E31EC"/>
    <w:rPr>
      <w:rFonts w:ascii="Calibri" w:eastAsia="Times New Roman" w:hAnsi="Calibri" w:cs="Times New Roman"/>
      <w:sz w:val="24"/>
      <w:szCs w:val="24"/>
      <w:lang w:eastAsia="en-AU"/>
    </w:rPr>
  </w:style>
  <w:style w:type="table" w:customStyle="1" w:styleId="TableGrid1">
    <w:name w:val="Table Grid1"/>
    <w:basedOn w:val="TableNormal"/>
    <w:next w:val="TableGrid"/>
    <w:uiPriority w:val="99"/>
    <w:rsid w:val="008E31EC"/>
    <w:pPr>
      <w:spacing w:before="0"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8E31EC"/>
    <w:pPr>
      <w:numPr>
        <w:numId w:val="16"/>
      </w:numPr>
      <w:spacing w:before="0" w:after="0" w:line="360" w:lineRule="auto"/>
    </w:pPr>
    <w:rPr>
      <w:rFonts w:ascii="Arial" w:eastAsia="Times New Roman" w:hAnsi="Arial" w:cs="Times New Roman"/>
      <w:sz w:val="28"/>
    </w:rPr>
  </w:style>
  <w:style w:type="paragraph" w:customStyle="1" w:styleId="1">
    <w:name w:val="1"/>
    <w:basedOn w:val="Normal"/>
    <w:rsid w:val="008E31EC"/>
    <w:pPr>
      <w:spacing w:before="0" w:after="0" w:line="240" w:lineRule="auto"/>
    </w:pPr>
    <w:rPr>
      <w:rFonts w:ascii="Arial" w:eastAsia="Times New Roman" w:hAnsi="Arial" w:cs="Times New Roman"/>
      <w:sz w:val="22"/>
    </w:rPr>
  </w:style>
  <w:style w:type="table" w:styleId="LightShading-Accent3">
    <w:name w:val="Light Shading Accent 3"/>
    <w:basedOn w:val="TableNormal"/>
    <w:uiPriority w:val="60"/>
    <w:rsid w:val="008E31EC"/>
    <w:pPr>
      <w:spacing w:before="0"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1">
    <w:name w:val="Light Shading - Accent 31"/>
    <w:basedOn w:val="TableNormal"/>
    <w:next w:val="LightShading-Accent3"/>
    <w:uiPriority w:val="60"/>
    <w:rsid w:val="008E31EC"/>
    <w:pPr>
      <w:spacing w:before="0"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2">
    <w:name w:val="Light Shading - Accent 32"/>
    <w:basedOn w:val="TableNormal"/>
    <w:next w:val="LightShading-Accent3"/>
    <w:uiPriority w:val="60"/>
    <w:rsid w:val="008E31EC"/>
    <w:pPr>
      <w:spacing w:before="0"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3">
    <w:name w:val="Light Shading - Accent 33"/>
    <w:basedOn w:val="TableNormal"/>
    <w:next w:val="LightShading-Accent3"/>
    <w:uiPriority w:val="60"/>
    <w:rsid w:val="008E31EC"/>
    <w:pPr>
      <w:spacing w:before="0"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4">
    <w:name w:val="Light Shading - Accent 34"/>
    <w:basedOn w:val="TableNormal"/>
    <w:next w:val="LightShading-Accent3"/>
    <w:uiPriority w:val="60"/>
    <w:rsid w:val="008E31EC"/>
    <w:pPr>
      <w:spacing w:before="0"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5">
    <w:name w:val="Light Shading - Accent 35"/>
    <w:basedOn w:val="TableNormal"/>
    <w:next w:val="LightShading-Accent3"/>
    <w:uiPriority w:val="60"/>
    <w:rsid w:val="008E31EC"/>
    <w:pPr>
      <w:spacing w:before="0"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6">
    <w:name w:val="Light Shading - Accent 36"/>
    <w:basedOn w:val="TableNormal"/>
    <w:next w:val="LightShading-Accent3"/>
    <w:uiPriority w:val="60"/>
    <w:rsid w:val="008E31EC"/>
    <w:pPr>
      <w:spacing w:before="0"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7">
    <w:name w:val="Light Shading - Accent 37"/>
    <w:basedOn w:val="TableNormal"/>
    <w:next w:val="LightShading-Accent3"/>
    <w:uiPriority w:val="60"/>
    <w:rsid w:val="008E31EC"/>
    <w:pPr>
      <w:spacing w:before="0"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8">
    <w:name w:val="Light Shading - Accent 38"/>
    <w:basedOn w:val="TableNormal"/>
    <w:next w:val="LightShading-Accent3"/>
    <w:uiPriority w:val="60"/>
    <w:rsid w:val="008E31EC"/>
    <w:pPr>
      <w:spacing w:before="0"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9">
    <w:name w:val="Light Shading - Accent 39"/>
    <w:basedOn w:val="TableNormal"/>
    <w:next w:val="LightShading-Accent3"/>
    <w:uiPriority w:val="60"/>
    <w:rsid w:val="008E31EC"/>
    <w:pPr>
      <w:spacing w:before="0"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8E31EC"/>
    <w:pPr>
      <w:spacing w:before="0" w:after="0" w:line="240" w:lineRule="auto"/>
    </w:pPr>
    <w:rPr>
      <w:rFonts w:ascii="Calibri" w:eastAsia="Calibri"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Default">
    <w:name w:val="Default"/>
    <w:rsid w:val="008E31EC"/>
    <w:pPr>
      <w:autoSpaceDE w:val="0"/>
      <w:autoSpaceDN w:val="0"/>
      <w:adjustRightInd w:val="0"/>
      <w:spacing w:before="0"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96996">
      <w:bodyDiv w:val="1"/>
      <w:marLeft w:val="0"/>
      <w:marRight w:val="0"/>
      <w:marTop w:val="0"/>
      <w:marBottom w:val="0"/>
      <w:divBdr>
        <w:top w:val="none" w:sz="0" w:space="0" w:color="auto"/>
        <w:left w:val="none" w:sz="0" w:space="0" w:color="auto"/>
        <w:bottom w:val="none" w:sz="0" w:space="0" w:color="auto"/>
        <w:right w:val="none" w:sz="0" w:space="0" w:color="auto"/>
      </w:divBdr>
      <w:divsChild>
        <w:div w:id="145240809">
          <w:marLeft w:val="0"/>
          <w:marRight w:val="0"/>
          <w:marTop w:val="0"/>
          <w:marBottom w:val="0"/>
          <w:divBdr>
            <w:top w:val="none" w:sz="0" w:space="0" w:color="auto"/>
            <w:left w:val="none" w:sz="0" w:space="0" w:color="auto"/>
            <w:bottom w:val="none" w:sz="0" w:space="0" w:color="auto"/>
            <w:right w:val="none" w:sz="0" w:space="0" w:color="auto"/>
          </w:divBdr>
          <w:divsChild>
            <w:div w:id="312174619">
              <w:marLeft w:val="0"/>
              <w:marRight w:val="0"/>
              <w:marTop w:val="0"/>
              <w:marBottom w:val="0"/>
              <w:divBdr>
                <w:top w:val="none" w:sz="0" w:space="0" w:color="auto"/>
                <w:left w:val="none" w:sz="0" w:space="0" w:color="auto"/>
                <w:bottom w:val="none" w:sz="0" w:space="0" w:color="auto"/>
                <w:right w:val="none" w:sz="0" w:space="0" w:color="auto"/>
              </w:divBdr>
              <w:divsChild>
                <w:div w:id="1860393514">
                  <w:marLeft w:val="0"/>
                  <w:marRight w:val="0"/>
                  <w:marTop w:val="0"/>
                  <w:marBottom w:val="0"/>
                  <w:divBdr>
                    <w:top w:val="none" w:sz="0" w:space="0" w:color="auto"/>
                    <w:left w:val="none" w:sz="0" w:space="0" w:color="auto"/>
                    <w:bottom w:val="none" w:sz="0" w:space="0" w:color="auto"/>
                    <w:right w:val="none" w:sz="0" w:space="0" w:color="auto"/>
                  </w:divBdr>
                  <w:divsChild>
                    <w:div w:id="823279833">
                      <w:marLeft w:val="0"/>
                      <w:marRight w:val="0"/>
                      <w:marTop w:val="0"/>
                      <w:marBottom w:val="0"/>
                      <w:divBdr>
                        <w:top w:val="none" w:sz="0" w:space="0" w:color="auto"/>
                        <w:left w:val="none" w:sz="0" w:space="0" w:color="auto"/>
                        <w:bottom w:val="none" w:sz="0" w:space="0" w:color="auto"/>
                        <w:right w:val="none" w:sz="0" w:space="0" w:color="auto"/>
                      </w:divBdr>
                      <w:divsChild>
                        <w:div w:id="81997805">
                          <w:marLeft w:val="0"/>
                          <w:marRight w:val="0"/>
                          <w:marTop w:val="0"/>
                          <w:marBottom w:val="0"/>
                          <w:divBdr>
                            <w:top w:val="none" w:sz="0" w:space="0" w:color="auto"/>
                            <w:left w:val="none" w:sz="0" w:space="0" w:color="auto"/>
                            <w:bottom w:val="none" w:sz="0" w:space="0" w:color="auto"/>
                            <w:right w:val="none" w:sz="0" w:space="0" w:color="auto"/>
                          </w:divBdr>
                          <w:divsChild>
                            <w:div w:id="948052010">
                              <w:marLeft w:val="0"/>
                              <w:marRight w:val="0"/>
                              <w:marTop w:val="0"/>
                              <w:marBottom w:val="0"/>
                              <w:divBdr>
                                <w:top w:val="none" w:sz="0" w:space="0" w:color="auto"/>
                                <w:left w:val="none" w:sz="0" w:space="0" w:color="auto"/>
                                <w:bottom w:val="none" w:sz="0" w:space="0" w:color="auto"/>
                                <w:right w:val="none" w:sz="0" w:space="0" w:color="auto"/>
                              </w:divBdr>
                              <w:divsChild>
                                <w:div w:id="1277176760">
                                  <w:marLeft w:val="0"/>
                                  <w:marRight w:val="0"/>
                                  <w:marTop w:val="0"/>
                                  <w:marBottom w:val="0"/>
                                  <w:divBdr>
                                    <w:top w:val="none" w:sz="0" w:space="0" w:color="auto"/>
                                    <w:left w:val="none" w:sz="0" w:space="0" w:color="auto"/>
                                    <w:bottom w:val="none" w:sz="0" w:space="0" w:color="auto"/>
                                    <w:right w:val="none" w:sz="0" w:space="0" w:color="auto"/>
                                  </w:divBdr>
                                  <w:divsChild>
                                    <w:div w:id="1138032652">
                                      <w:marLeft w:val="0"/>
                                      <w:marRight w:val="0"/>
                                      <w:marTop w:val="0"/>
                                      <w:marBottom w:val="0"/>
                                      <w:divBdr>
                                        <w:top w:val="none" w:sz="0" w:space="0" w:color="auto"/>
                                        <w:left w:val="none" w:sz="0" w:space="0" w:color="auto"/>
                                        <w:bottom w:val="none" w:sz="0" w:space="0" w:color="auto"/>
                                        <w:right w:val="none" w:sz="0" w:space="0" w:color="auto"/>
                                      </w:divBdr>
                                      <w:divsChild>
                                        <w:div w:id="1266428155">
                                          <w:marLeft w:val="0"/>
                                          <w:marRight w:val="0"/>
                                          <w:marTop w:val="0"/>
                                          <w:marBottom w:val="0"/>
                                          <w:divBdr>
                                            <w:top w:val="none" w:sz="0" w:space="0" w:color="auto"/>
                                            <w:left w:val="none" w:sz="0" w:space="0" w:color="auto"/>
                                            <w:bottom w:val="none" w:sz="0" w:space="0" w:color="auto"/>
                                            <w:right w:val="none" w:sz="0" w:space="0" w:color="auto"/>
                                          </w:divBdr>
                                          <w:divsChild>
                                            <w:div w:id="881089935">
                                              <w:marLeft w:val="0"/>
                                              <w:marRight w:val="0"/>
                                              <w:marTop w:val="0"/>
                                              <w:marBottom w:val="0"/>
                                              <w:divBdr>
                                                <w:top w:val="none" w:sz="0" w:space="0" w:color="auto"/>
                                                <w:left w:val="none" w:sz="0" w:space="0" w:color="auto"/>
                                                <w:bottom w:val="none" w:sz="0" w:space="0" w:color="auto"/>
                                                <w:right w:val="none" w:sz="0" w:space="0" w:color="auto"/>
                                              </w:divBdr>
                                              <w:divsChild>
                                                <w:div w:id="513226981">
                                                  <w:marLeft w:val="0"/>
                                                  <w:marRight w:val="0"/>
                                                  <w:marTop w:val="0"/>
                                                  <w:marBottom w:val="0"/>
                                                  <w:divBdr>
                                                    <w:top w:val="none" w:sz="0" w:space="0" w:color="auto"/>
                                                    <w:left w:val="none" w:sz="0" w:space="0" w:color="auto"/>
                                                    <w:bottom w:val="none" w:sz="0" w:space="0" w:color="auto"/>
                                                    <w:right w:val="none" w:sz="0" w:space="0" w:color="auto"/>
                                                  </w:divBdr>
                                                  <w:divsChild>
                                                    <w:div w:id="759837680">
                                                      <w:marLeft w:val="0"/>
                                                      <w:marRight w:val="0"/>
                                                      <w:marTop w:val="0"/>
                                                      <w:marBottom w:val="0"/>
                                                      <w:divBdr>
                                                        <w:top w:val="none" w:sz="0" w:space="0" w:color="auto"/>
                                                        <w:left w:val="none" w:sz="0" w:space="0" w:color="auto"/>
                                                        <w:bottom w:val="none" w:sz="0" w:space="0" w:color="auto"/>
                                                        <w:right w:val="none" w:sz="0" w:space="0" w:color="auto"/>
                                                      </w:divBdr>
                                                      <w:divsChild>
                                                        <w:div w:id="1302074174">
                                                          <w:marLeft w:val="0"/>
                                                          <w:marRight w:val="0"/>
                                                          <w:marTop w:val="0"/>
                                                          <w:marBottom w:val="0"/>
                                                          <w:divBdr>
                                                            <w:top w:val="none" w:sz="0" w:space="0" w:color="auto"/>
                                                            <w:left w:val="none" w:sz="0" w:space="0" w:color="auto"/>
                                                            <w:bottom w:val="none" w:sz="0" w:space="0" w:color="auto"/>
                                                            <w:right w:val="none" w:sz="0" w:space="0" w:color="auto"/>
                                                          </w:divBdr>
                                                          <w:divsChild>
                                                            <w:div w:id="14506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3062199">
      <w:bodyDiv w:val="1"/>
      <w:marLeft w:val="0"/>
      <w:marRight w:val="0"/>
      <w:marTop w:val="0"/>
      <w:marBottom w:val="0"/>
      <w:divBdr>
        <w:top w:val="none" w:sz="0" w:space="0" w:color="auto"/>
        <w:left w:val="none" w:sz="0" w:space="0" w:color="auto"/>
        <w:bottom w:val="none" w:sz="0" w:space="0" w:color="auto"/>
        <w:right w:val="none" w:sz="0" w:space="0" w:color="auto"/>
      </w:divBdr>
    </w:div>
    <w:div w:id="1413965215">
      <w:bodyDiv w:val="1"/>
      <w:marLeft w:val="0"/>
      <w:marRight w:val="0"/>
      <w:marTop w:val="0"/>
      <w:marBottom w:val="0"/>
      <w:divBdr>
        <w:top w:val="none" w:sz="0" w:space="0" w:color="auto"/>
        <w:left w:val="none" w:sz="0" w:space="0" w:color="auto"/>
        <w:bottom w:val="none" w:sz="0" w:space="0" w:color="auto"/>
        <w:right w:val="none" w:sz="0" w:space="0" w:color="auto"/>
      </w:divBdr>
      <w:divsChild>
        <w:div w:id="446119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2.png"/><Relationship Id="rId21" Type="http://schemas.openxmlformats.org/officeDocument/2006/relationships/image" Target="media/image7.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image" Target="media/image38.png"/><Relationship Id="rId63" Type="http://schemas.openxmlformats.org/officeDocument/2006/relationships/chart" Target="charts/chart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ifs.gov.au/cfca/pubs/papers/a142861/index.html" TargetMode="External"/><Relationship Id="rId20" Type="http://schemas.openxmlformats.org/officeDocument/2006/relationships/image" Target="media/image6.png"/><Relationship Id="rId29" Type="http://schemas.openxmlformats.org/officeDocument/2006/relationships/hyperlink" Target="http://www.fahcsia.gov.au/our-responsibilities/families-and-children/programs-services/family-support-program/family-support-program-future-directions-discussion-paper" TargetMode="External"/><Relationship Id="rId41" Type="http://schemas.openxmlformats.org/officeDocument/2006/relationships/image" Target="media/image24.png"/><Relationship Id="rId54" Type="http://schemas.openxmlformats.org/officeDocument/2006/relationships/image" Target="media/image37.png"/><Relationship Id="rId62"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au/" TargetMode="External"/><Relationship Id="rId24" Type="http://schemas.openxmlformats.org/officeDocument/2006/relationships/image" Target="media/image10.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image" Target="media/image36.png"/><Relationship Id="rId58" Type="http://schemas.openxmlformats.org/officeDocument/2006/relationships/chart" Target="charts/chart3.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la.gov.au/news/2012/11/16/forgotten-australians-remembered-1" TargetMode="External"/><Relationship Id="rId23" Type="http://schemas.openxmlformats.org/officeDocument/2006/relationships/image" Target="media/image9.png"/><Relationship Id="rId28" Type="http://schemas.openxmlformats.org/officeDocument/2006/relationships/hyperlink" Target="http://www.familyrelationships.gov.au/" TargetMode="External"/><Relationship Id="rId36" Type="http://schemas.openxmlformats.org/officeDocument/2006/relationships/image" Target="media/image19.png"/><Relationship Id="rId49" Type="http://schemas.openxmlformats.org/officeDocument/2006/relationships/image" Target="media/image32.png"/><Relationship Id="rId57" Type="http://schemas.openxmlformats.org/officeDocument/2006/relationships/chart" Target="charts/chart2.xml"/><Relationship Id="rId61" Type="http://schemas.openxmlformats.org/officeDocument/2006/relationships/chart" Target="charts/chart6.xml"/><Relationship Id="rId10" Type="http://schemas.openxmlformats.org/officeDocument/2006/relationships/image" Target="media/image1.png"/><Relationship Id="rId19" Type="http://schemas.openxmlformats.org/officeDocument/2006/relationships/image" Target="media/image5.emf"/><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image" Target="media/image35.png"/><Relationship Id="rId60" Type="http://schemas.openxmlformats.org/officeDocument/2006/relationships/chart" Target="charts/chart5.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fahcsiafeedback@fahcsia.gov.au" TargetMode="External"/><Relationship Id="rId22" Type="http://schemas.openxmlformats.org/officeDocument/2006/relationships/image" Target="media/image8.png"/><Relationship Id="rId27" Type="http://schemas.openxmlformats.org/officeDocument/2006/relationships/hyperlink" Target="http://www.familyrelationships.gov.au/Pages/default.aspx" TargetMode="External"/><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chart" Target="charts/chart1.xml"/><Relationship Id="rId64" Type="http://schemas.openxmlformats.org/officeDocument/2006/relationships/chart" Target="charts/chart9.xml"/><Relationship Id="rId8" Type="http://schemas.openxmlformats.org/officeDocument/2006/relationships/endnotes" Target="endnotes.xml"/><Relationship Id="rId51" Type="http://schemas.openxmlformats.org/officeDocument/2006/relationships/image" Target="media/image34.png"/><Relationship Id="rId3" Type="http://schemas.openxmlformats.org/officeDocument/2006/relationships/styles" Target="styles.xml"/><Relationship Id="rId12" Type="http://schemas.openxmlformats.org/officeDocument/2006/relationships/hyperlink" Target="http://creativecommons.org/licenses/by/3.0/"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59"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http://www.abs.gov.au/Ausstats/abs@.nsf/Latestproducts/4705.0Appendix22006?opendocument&amp;tabname=Notes&amp;prodno=4705.0&amp;issue=2006&amp;num=&amp;view"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US"/>
              <a:t>CfC Direct</a:t>
            </a:r>
          </a:p>
        </c:rich>
      </c:tx>
      <c:overlay val="1"/>
    </c:title>
    <c:autoTitleDeleted val="0"/>
    <c:plotArea>
      <c:layout/>
      <c:barChart>
        <c:barDir val="col"/>
        <c:grouping val="clustered"/>
        <c:varyColors val="0"/>
        <c:ser>
          <c:idx val="0"/>
          <c:order val="0"/>
          <c:tx>
            <c:strRef>
              <c:f>'2.2 Eligible Activities'!$C$4</c:f>
              <c:strCache>
                <c:ptCount val="1"/>
                <c:pt idx="0">
                  <c:v>R1</c:v>
                </c:pt>
              </c:strCache>
            </c:strRef>
          </c:tx>
          <c:invertIfNegative val="0"/>
          <c:cat>
            <c:strRef>
              <c:f>'2.2 Eligible Activities'!$B$5:$B$10</c:f>
              <c:strCache>
                <c:ptCount val="6"/>
                <c:pt idx="0">
                  <c:v>Community Capacity Building and Development</c:v>
                </c:pt>
                <c:pt idx="1">
                  <c:v>Education and Training</c:v>
                </c:pt>
                <c:pt idx="2">
                  <c:v>Information and Referral</c:v>
                </c:pt>
                <c:pt idx="3">
                  <c:v>Outreach and Home Visits</c:v>
                </c:pt>
                <c:pt idx="4">
                  <c:v>Resource Development</c:v>
                </c:pt>
                <c:pt idx="5">
                  <c:v>Support</c:v>
                </c:pt>
              </c:strCache>
            </c:strRef>
          </c:cat>
          <c:val>
            <c:numRef>
              <c:f>'2.2 Eligible Activities'!$C$5:$C$10</c:f>
              <c:numCache>
                <c:formatCode>#,##0.0</c:formatCode>
                <c:ptCount val="6"/>
                <c:pt idx="0">
                  <c:v>12.918660287081341</c:v>
                </c:pt>
                <c:pt idx="1">
                  <c:v>27.751196172248804</c:v>
                </c:pt>
                <c:pt idx="2">
                  <c:v>2.8708133971291865</c:v>
                </c:pt>
                <c:pt idx="3">
                  <c:v>13.875598086124402</c:v>
                </c:pt>
                <c:pt idx="4">
                  <c:v>2.8708133971291865</c:v>
                </c:pt>
                <c:pt idx="5">
                  <c:v>38.277511961722489</c:v>
                </c:pt>
              </c:numCache>
            </c:numRef>
          </c:val>
        </c:ser>
        <c:ser>
          <c:idx val="1"/>
          <c:order val="1"/>
          <c:tx>
            <c:strRef>
              <c:f>'2.2 Eligible Activities'!$D$4</c:f>
              <c:strCache>
                <c:ptCount val="1"/>
                <c:pt idx="0">
                  <c:v>R2</c:v>
                </c:pt>
              </c:strCache>
            </c:strRef>
          </c:tx>
          <c:invertIfNegative val="0"/>
          <c:cat>
            <c:strRef>
              <c:f>'2.2 Eligible Activities'!$B$5:$B$10</c:f>
              <c:strCache>
                <c:ptCount val="6"/>
                <c:pt idx="0">
                  <c:v>Community Capacity Building and Development</c:v>
                </c:pt>
                <c:pt idx="1">
                  <c:v>Education and Training</c:v>
                </c:pt>
                <c:pt idx="2">
                  <c:v>Information and Referral</c:v>
                </c:pt>
                <c:pt idx="3">
                  <c:v>Outreach and Home Visits</c:v>
                </c:pt>
                <c:pt idx="4">
                  <c:v>Resource Development</c:v>
                </c:pt>
                <c:pt idx="5">
                  <c:v>Support</c:v>
                </c:pt>
              </c:strCache>
            </c:strRef>
          </c:cat>
          <c:val>
            <c:numRef>
              <c:f>'2.2 Eligible Activities'!$D$5:$D$10</c:f>
              <c:numCache>
                <c:formatCode>#,##0.0</c:formatCode>
                <c:ptCount val="6"/>
                <c:pt idx="0">
                  <c:v>12.918660287081341</c:v>
                </c:pt>
                <c:pt idx="1">
                  <c:v>22.009569377990431</c:v>
                </c:pt>
                <c:pt idx="2">
                  <c:v>16.746411483253588</c:v>
                </c:pt>
                <c:pt idx="3">
                  <c:v>10.526315789473683</c:v>
                </c:pt>
                <c:pt idx="4">
                  <c:v>3.8277511961722488</c:v>
                </c:pt>
                <c:pt idx="5">
                  <c:v>33.014354066985646</c:v>
                </c:pt>
              </c:numCache>
            </c:numRef>
          </c:val>
        </c:ser>
        <c:ser>
          <c:idx val="2"/>
          <c:order val="2"/>
          <c:tx>
            <c:strRef>
              <c:f>'2.2 Eligible Activities'!$E$4</c:f>
              <c:strCache>
                <c:ptCount val="1"/>
                <c:pt idx="0">
                  <c:v>R3</c:v>
                </c:pt>
              </c:strCache>
            </c:strRef>
          </c:tx>
          <c:invertIfNegative val="0"/>
          <c:cat>
            <c:strRef>
              <c:f>'2.2 Eligible Activities'!$B$5:$B$10</c:f>
              <c:strCache>
                <c:ptCount val="6"/>
                <c:pt idx="0">
                  <c:v>Community Capacity Building and Development</c:v>
                </c:pt>
                <c:pt idx="1">
                  <c:v>Education and Training</c:v>
                </c:pt>
                <c:pt idx="2">
                  <c:v>Information and Referral</c:v>
                </c:pt>
                <c:pt idx="3">
                  <c:v>Outreach and Home Visits</c:v>
                </c:pt>
                <c:pt idx="4">
                  <c:v>Resource Development</c:v>
                </c:pt>
                <c:pt idx="5">
                  <c:v>Support</c:v>
                </c:pt>
              </c:strCache>
            </c:strRef>
          </c:cat>
          <c:val>
            <c:numRef>
              <c:f>'2.2 Eligible Activities'!$E$5:$E$10</c:f>
              <c:numCache>
                <c:formatCode>#,##0.0</c:formatCode>
                <c:ptCount val="6"/>
                <c:pt idx="0">
                  <c:v>17.703349282296653</c:v>
                </c:pt>
                <c:pt idx="1">
                  <c:v>15.789473684210526</c:v>
                </c:pt>
                <c:pt idx="2">
                  <c:v>32.535885167464116</c:v>
                </c:pt>
                <c:pt idx="3">
                  <c:v>13.397129186602871</c:v>
                </c:pt>
                <c:pt idx="4">
                  <c:v>5.741626794258373</c:v>
                </c:pt>
                <c:pt idx="5">
                  <c:v>12.918660287081341</c:v>
                </c:pt>
              </c:numCache>
            </c:numRef>
          </c:val>
        </c:ser>
        <c:ser>
          <c:idx val="3"/>
          <c:order val="3"/>
          <c:tx>
            <c:strRef>
              <c:f>'2.2 Eligible Activities'!$F$4</c:f>
              <c:strCache>
                <c:ptCount val="1"/>
                <c:pt idx="0">
                  <c:v>R4</c:v>
                </c:pt>
              </c:strCache>
            </c:strRef>
          </c:tx>
          <c:invertIfNegative val="0"/>
          <c:cat>
            <c:strRef>
              <c:f>'2.2 Eligible Activities'!$B$5:$B$10</c:f>
              <c:strCache>
                <c:ptCount val="6"/>
                <c:pt idx="0">
                  <c:v>Community Capacity Building and Development</c:v>
                </c:pt>
                <c:pt idx="1">
                  <c:v>Education and Training</c:v>
                </c:pt>
                <c:pt idx="2">
                  <c:v>Information and Referral</c:v>
                </c:pt>
                <c:pt idx="3">
                  <c:v>Outreach and Home Visits</c:v>
                </c:pt>
                <c:pt idx="4">
                  <c:v>Resource Development</c:v>
                </c:pt>
                <c:pt idx="5">
                  <c:v>Support</c:v>
                </c:pt>
              </c:strCache>
            </c:strRef>
          </c:cat>
          <c:val>
            <c:numRef>
              <c:f>'2.2 Eligible Activities'!$F$5:$F$10</c:f>
              <c:numCache>
                <c:formatCode>#,##0.0</c:formatCode>
                <c:ptCount val="6"/>
                <c:pt idx="0">
                  <c:v>20.574162679425836</c:v>
                </c:pt>
                <c:pt idx="1">
                  <c:v>14.354066985645932</c:v>
                </c:pt>
                <c:pt idx="2">
                  <c:v>26.794258373205743</c:v>
                </c:pt>
                <c:pt idx="3">
                  <c:v>11.961722488038278</c:v>
                </c:pt>
                <c:pt idx="4">
                  <c:v>15.311004784688995</c:v>
                </c:pt>
                <c:pt idx="5">
                  <c:v>6.6985645933014357</c:v>
                </c:pt>
              </c:numCache>
            </c:numRef>
          </c:val>
        </c:ser>
        <c:ser>
          <c:idx val="4"/>
          <c:order val="4"/>
          <c:tx>
            <c:strRef>
              <c:f>'2.2 Eligible Activities'!$G$4</c:f>
              <c:strCache>
                <c:ptCount val="1"/>
                <c:pt idx="0">
                  <c:v>R5</c:v>
                </c:pt>
              </c:strCache>
            </c:strRef>
          </c:tx>
          <c:invertIfNegative val="0"/>
          <c:cat>
            <c:strRef>
              <c:f>'2.2 Eligible Activities'!$B$5:$B$10</c:f>
              <c:strCache>
                <c:ptCount val="6"/>
                <c:pt idx="0">
                  <c:v>Community Capacity Building and Development</c:v>
                </c:pt>
                <c:pt idx="1">
                  <c:v>Education and Training</c:v>
                </c:pt>
                <c:pt idx="2">
                  <c:v>Information and Referral</c:v>
                </c:pt>
                <c:pt idx="3">
                  <c:v>Outreach and Home Visits</c:v>
                </c:pt>
                <c:pt idx="4">
                  <c:v>Resource Development</c:v>
                </c:pt>
                <c:pt idx="5">
                  <c:v>Support</c:v>
                </c:pt>
              </c:strCache>
            </c:strRef>
          </c:cat>
          <c:val>
            <c:numRef>
              <c:f>'2.2 Eligible Activities'!$G$5:$G$10</c:f>
              <c:numCache>
                <c:formatCode>#,##0.0</c:formatCode>
                <c:ptCount val="6"/>
                <c:pt idx="0">
                  <c:v>23.923444976076556</c:v>
                </c:pt>
                <c:pt idx="1">
                  <c:v>8.6124401913875595</c:v>
                </c:pt>
                <c:pt idx="2">
                  <c:v>12.440191387559809</c:v>
                </c:pt>
                <c:pt idx="3">
                  <c:v>11.004784688995215</c:v>
                </c:pt>
                <c:pt idx="4">
                  <c:v>28.708133971291865</c:v>
                </c:pt>
                <c:pt idx="5">
                  <c:v>4.3062200956937797</c:v>
                </c:pt>
              </c:numCache>
            </c:numRef>
          </c:val>
        </c:ser>
        <c:ser>
          <c:idx val="5"/>
          <c:order val="5"/>
          <c:tx>
            <c:strRef>
              <c:f>'2.2 Eligible Activities'!$H$4</c:f>
              <c:strCache>
                <c:ptCount val="1"/>
                <c:pt idx="0">
                  <c:v>R6</c:v>
                </c:pt>
              </c:strCache>
            </c:strRef>
          </c:tx>
          <c:invertIfNegative val="0"/>
          <c:cat>
            <c:strRef>
              <c:f>'2.2 Eligible Activities'!$B$5:$B$10</c:f>
              <c:strCache>
                <c:ptCount val="6"/>
                <c:pt idx="0">
                  <c:v>Community Capacity Building and Development</c:v>
                </c:pt>
                <c:pt idx="1">
                  <c:v>Education and Training</c:v>
                </c:pt>
                <c:pt idx="2">
                  <c:v>Information and Referral</c:v>
                </c:pt>
                <c:pt idx="3">
                  <c:v>Outreach and Home Visits</c:v>
                </c:pt>
                <c:pt idx="4">
                  <c:v>Resource Development</c:v>
                </c:pt>
                <c:pt idx="5">
                  <c:v>Support</c:v>
                </c:pt>
              </c:strCache>
            </c:strRef>
          </c:cat>
          <c:val>
            <c:numRef>
              <c:f>'2.2 Eligible Activities'!$H$5:$H$10</c:f>
              <c:numCache>
                <c:formatCode>#,##0.0</c:formatCode>
                <c:ptCount val="6"/>
                <c:pt idx="0">
                  <c:v>7.1770334928229662</c:v>
                </c:pt>
                <c:pt idx="1">
                  <c:v>7.6555023923444976</c:v>
                </c:pt>
                <c:pt idx="2">
                  <c:v>6.2200956937799043</c:v>
                </c:pt>
                <c:pt idx="3">
                  <c:v>21.5311004784689</c:v>
                </c:pt>
                <c:pt idx="4">
                  <c:v>32.057416267942585</c:v>
                </c:pt>
                <c:pt idx="5">
                  <c:v>1.4354066985645932</c:v>
                </c:pt>
              </c:numCache>
            </c:numRef>
          </c:val>
        </c:ser>
        <c:ser>
          <c:idx val="6"/>
          <c:order val="6"/>
          <c:tx>
            <c:strRef>
              <c:f>'2.2 Eligible Activities'!$I$4</c:f>
              <c:strCache>
                <c:ptCount val="1"/>
                <c:pt idx="0">
                  <c:v>Nil</c:v>
                </c:pt>
              </c:strCache>
            </c:strRef>
          </c:tx>
          <c:invertIfNegative val="0"/>
          <c:cat>
            <c:strRef>
              <c:f>'2.2 Eligible Activities'!$B$5:$B$10</c:f>
              <c:strCache>
                <c:ptCount val="6"/>
                <c:pt idx="0">
                  <c:v>Community Capacity Building and Development</c:v>
                </c:pt>
                <c:pt idx="1">
                  <c:v>Education and Training</c:v>
                </c:pt>
                <c:pt idx="2">
                  <c:v>Information and Referral</c:v>
                </c:pt>
                <c:pt idx="3">
                  <c:v>Outreach and Home Visits</c:v>
                </c:pt>
                <c:pt idx="4">
                  <c:v>Resource Development</c:v>
                </c:pt>
                <c:pt idx="5">
                  <c:v>Support</c:v>
                </c:pt>
              </c:strCache>
            </c:strRef>
          </c:cat>
          <c:val>
            <c:numRef>
              <c:f>'2.2 Eligible Activities'!$I$5:$I$10</c:f>
              <c:numCache>
                <c:formatCode>#,##0.0</c:formatCode>
                <c:ptCount val="6"/>
                <c:pt idx="0">
                  <c:v>4.7846889952153111</c:v>
                </c:pt>
                <c:pt idx="1">
                  <c:v>3.8277511961722488</c:v>
                </c:pt>
                <c:pt idx="2">
                  <c:v>2.3923444976076556</c:v>
                </c:pt>
                <c:pt idx="3">
                  <c:v>17.703349282296653</c:v>
                </c:pt>
                <c:pt idx="4">
                  <c:v>11.483253588516746</c:v>
                </c:pt>
                <c:pt idx="5">
                  <c:v>3.3492822966507179</c:v>
                </c:pt>
              </c:numCache>
            </c:numRef>
          </c:val>
        </c:ser>
        <c:dLbls>
          <c:showLegendKey val="0"/>
          <c:showVal val="0"/>
          <c:showCatName val="0"/>
          <c:showSerName val="0"/>
          <c:showPercent val="0"/>
          <c:showBubbleSize val="0"/>
        </c:dLbls>
        <c:gapWidth val="150"/>
        <c:axId val="118969856"/>
        <c:axId val="118971392"/>
      </c:barChart>
      <c:catAx>
        <c:axId val="118969856"/>
        <c:scaling>
          <c:orientation val="minMax"/>
        </c:scaling>
        <c:delete val="0"/>
        <c:axPos val="b"/>
        <c:numFmt formatCode="General" sourceLinked="1"/>
        <c:majorTickMark val="out"/>
        <c:minorTickMark val="none"/>
        <c:tickLblPos val="nextTo"/>
        <c:crossAx val="118971392"/>
        <c:crosses val="autoZero"/>
        <c:auto val="1"/>
        <c:lblAlgn val="ctr"/>
        <c:lblOffset val="100"/>
        <c:noMultiLvlLbl val="0"/>
      </c:catAx>
      <c:valAx>
        <c:axId val="118971392"/>
        <c:scaling>
          <c:orientation val="minMax"/>
          <c:max val="50"/>
        </c:scaling>
        <c:delete val="0"/>
        <c:axPos val="l"/>
        <c:numFmt formatCode="#,##0.0" sourceLinked="1"/>
        <c:majorTickMark val="out"/>
        <c:minorTickMark val="none"/>
        <c:tickLblPos val="nextTo"/>
        <c:crossAx val="11896985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en-US"/>
              <a:t>CfC FP</a:t>
            </a:r>
          </a:p>
        </c:rich>
      </c:tx>
      <c:overlay val="1"/>
    </c:title>
    <c:autoTitleDeleted val="0"/>
    <c:plotArea>
      <c:layout/>
      <c:barChart>
        <c:barDir val="col"/>
        <c:grouping val="clustered"/>
        <c:varyColors val="0"/>
        <c:ser>
          <c:idx val="0"/>
          <c:order val="0"/>
          <c:tx>
            <c:strRef>
              <c:f>'2.2 Eligible Activities'!$C$13</c:f>
              <c:strCache>
                <c:ptCount val="1"/>
                <c:pt idx="0">
                  <c:v>R1</c:v>
                </c:pt>
              </c:strCache>
            </c:strRef>
          </c:tx>
          <c:invertIfNegative val="0"/>
          <c:cat>
            <c:strRef>
              <c:f>'2.2 Eligible Activities'!$B$14:$B$19</c:f>
              <c:strCache>
                <c:ptCount val="6"/>
                <c:pt idx="0">
                  <c:v>Community Capacity Building and Development</c:v>
                </c:pt>
                <c:pt idx="1">
                  <c:v>Education and Training</c:v>
                </c:pt>
                <c:pt idx="2">
                  <c:v>Information and Referral</c:v>
                </c:pt>
                <c:pt idx="3">
                  <c:v>Outreach and Home Visits</c:v>
                </c:pt>
                <c:pt idx="4">
                  <c:v>Resource Development</c:v>
                </c:pt>
                <c:pt idx="5">
                  <c:v>Support</c:v>
                </c:pt>
              </c:strCache>
            </c:strRef>
          </c:cat>
          <c:val>
            <c:numRef>
              <c:f>'2.2 Eligible Activities'!$C$14:$C$19</c:f>
              <c:numCache>
                <c:formatCode>#,##0.0</c:formatCode>
                <c:ptCount val="6"/>
                <c:pt idx="0">
                  <c:v>32</c:v>
                </c:pt>
                <c:pt idx="1">
                  <c:v>16</c:v>
                </c:pt>
                <c:pt idx="2">
                  <c:v>6</c:v>
                </c:pt>
                <c:pt idx="3">
                  <c:v>6</c:v>
                </c:pt>
                <c:pt idx="4">
                  <c:v>4</c:v>
                </c:pt>
                <c:pt idx="5">
                  <c:v>36</c:v>
                </c:pt>
              </c:numCache>
            </c:numRef>
          </c:val>
        </c:ser>
        <c:ser>
          <c:idx val="1"/>
          <c:order val="1"/>
          <c:tx>
            <c:strRef>
              <c:f>'2.2 Eligible Activities'!$D$13</c:f>
              <c:strCache>
                <c:ptCount val="1"/>
                <c:pt idx="0">
                  <c:v>R2</c:v>
                </c:pt>
              </c:strCache>
            </c:strRef>
          </c:tx>
          <c:invertIfNegative val="0"/>
          <c:cat>
            <c:strRef>
              <c:f>'2.2 Eligible Activities'!$B$14:$B$19</c:f>
              <c:strCache>
                <c:ptCount val="6"/>
                <c:pt idx="0">
                  <c:v>Community Capacity Building and Development</c:v>
                </c:pt>
                <c:pt idx="1">
                  <c:v>Education and Training</c:v>
                </c:pt>
                <c:pt idx="2">
                  <c:v>Information and Referral</c:v>
                </c:pt>
                <c:pt idx="3">
                  <c:v>Outreach and Home Visits</c:v>
                </c:pt>
                <c:pt idx="4">
                  <c:v>Resource Development</c:v>
                </c:pt>
                <c:pt idx="5">
                  <c:v>Support</c:v>
                </c:pt>
              </c:strCache>
            </c:strRef>
          </c:cat>
          <c:val>
            <c:numRef>
              <c:f>'2.2 Eligible Activities'!$D$14:$D$19</c:f>
              <c:numCache>
                <c:formatCode>#,##0.0</c:formatCode>
                <c:ptCount val="6"/>
                <c:pt idx="0">
                  <c:v>20</c:v>
                </c:pt>
                <c:pt idx="1">
                  <c:v>30</c:v>
                </c:pt>
                <c:pt idx="2">
                  <c:v>18</c:v>
                </c:pt>
                <c:pt idx="3">
                  <c:v>14.000000000000002</c:v>
                </c:pt>
                <c:pt idx="4">
                  <c:v>2</c:v>
                </c:pt>
                <c:pt idx="5">
                  <c:v>16</c:v>
                </c:pt>
              </c:numCache>
            </c:numRef>
          </c:val>
        </c:ser>
        <c:ser>
          <c:idx val="2"/>
          <c:order val="2"/>
          <c:tx>
            <c:strRef>
              <c:f>'2.2 Eligible Activities'!$E$13</c:f>
              <c:strCache>
                <c:ptCount val="1"/>
                <c:pt idx="0">
                  <c:v>R3</c:v>
                </c:pt>
              </c:strCache>
            </c:strRef>
          </c:tx>
          <c:invertIfNegative val="0"/>
          <c:cat>
            <c:strRef>
              <c:f>'2.2 Eligible Activities'!$B$14:$B$19</c:f>
              <c:strCache>
                <c:ptCount val="6"/>
                <c:pt idx="0">
                  <c:v>Community Capacity Building and Development</c:v>
                </c:pt>
                <c:pt idx="1">
                  <c:v>Education and Training</c:v>
                </c:pt>
                <c:pt idx="2">
                  <c:v>Information and Referral</c:v>
                </c:pt>
                <c:pt idx="3">
                  <c:v>Outreach and Home Visits</c:v>
                </c:pt>
                <c:pt idx="4">
                  <c:v>Resource Development</c:v>
                </c:pt>
                <c:pt idx="5">
                  <c:v>Support</c:v>
                </c:pt>
              </c:strCache>
            </c:strRef>
          </c:cat>
          <c:val>
            <c:numRef>
              <c:f>'2.2 Eligible Activities'!$E$14:$E$19</c:f>
              <c:numCache>
                <c:formatCode>#,##0.0</c:formatCode>
                <c:ptCount val="6"/>
                <c:pt idx="0">
                  <c:v>26</c:v>
                </c:pt>
                <c:pt idx="1">
                  <c:v>16</c:v>
                </c:pt>
                <c:pt idx="2">
                  <c:v>10</c:v>
                </c:pt>
                <c:pt idx="3">
                  <c:v>18</c:v>
                </c:pt>
                <c:pt idx="4">
                  <c:v>8</c:v>
                </c:pt>
                <c:pt idx="5">
                  <c:v>22</c:v>
                </c:pt>
              </c:numCache>
            </c:numRef>
          </c:val>
        </c:ser>
        <c:ser>
          <c:idx val="3"/>
          <c:order val="3"/>
          <c:tx>
            <c:strRef>
              <c:f>'2.2 Eligible Activities'!$F$13</c:f>
              <c:strCache>
                <c:ptCount val="1"/>
                <c:pt idx="0">
                  <c:v>R4</c:v>
                </c:pt>
              </c:strCache>
            </c:strRef>
          </c:tx>
          <c:invertIfNegative val="0"/>
          <c:cat>
            <c:strRef>
              <c:f>'2.2 Eligible Activities'!$B$14:$B$19</c:f>
              <c:strCache>
                <c:ptCount val="6"/>
                <c:pt idx="0">
                  <c:v>Community Capacity Building and Development</c:v>
                </c:pt>
                <c:pt idx="1">
                  <c:v>Education and Training</c:v>
                </c:pt>
                <c:pt idx="2">
                  <c:v>Information and Referral</c:v>
                </c:pt>
                <c:pt idx="3">
                  <c:v>Outreach and Home Visits</c:v>
                </c:pt>
                <c:pt idx="4">
                  <c:v>Resource Development</c:v>
                </c:pt>
                <c:pt idx="5">
                  <c:v>Support</c:v>
                </c:pt>
              </c:strCache>
            </c:strRef>
          </c:cat>
          <c:val>
            <c:numRef>
              <c:f>'2.2 Eligible Activities'!$F$14:$F$19</c:f>
              <c:numCache>
                <c:formatCode>#,##0.0</c:formatCode>
                <c:ptCount val="6"/>
                <c:pt idx="0">
                  <c:v>12</c:v>
                </c:pt>
                <c:pt idx="1">
                  <c:v>20</c:v>
                </c:pt>
                <c:pt idx="2">
                  <c:v>32</c:v>
                </c:pt>
                <c:pt idx="3">
                  <c:v>14.000000000000002</c:v>
                </c:pt>
                <c:pt idx="4">
                  <c:v>6</c:v>
                </c:pt>
                <c:pt idx="5">
                  <c:v>16</c:v>
                </c:pt>
              </c:numCache>
            </c:numRef>
          </c:val>
        </c:ser>
        <c:ser>
          <c:idx val="4"/>
          <c:order val="4"/>
          <c:tx>
            <c:strRef>
              <c:f>'2.2 Eligible Activities'!$G$13</c:f>
              <c:strCache>
                <c:ptCount val="1"/>
                <c:pt idx="0">
                  <c:v>R5</c:v>
                </c:pt>
              </c:strCache>
            </c:strRef>
          </c:tx>
          <c:invertIfNegative val="0"/>
          <c:cat>
            <c:strRef>
              <c:f>'2.2 Eligible Activities'!$B$14:$B$19</c:f>
              <c:strCache>
                <c:ptCount val="6"/>
                <c:pt idx="0">
                  <c:v>Community Capacity Building and Development</c:v>
                </c:pt>
                <c:pt idx="1">
                  <c:v>Education and Training</c:v>
                </c:pt>
                <c:pt idx="2">
                  <c:v>Information and Referral</c:v>
                </c:pt>
                <c:pt idx="3">
                  <c:v>Outreach and Home Visits</c:v>
                </c:pt>
                <c:pt idx="4">
                  <c:v>Resource Development</c:v>
                </c:pt>
                <c:pt idx="5">
                  <c:v>Support</c:v>
                </c:pt>
              </c:strCache>
            </c:strRef>
          </c:cat>
          <c:val>
            <c:numRef>
              <c:f>'2.2 Eligible Activities'!$G$14:$G$19</c:f>
              <c:numCache>
                <c:formatCode>#,##0.0</c:formatCode>
                <c:ptCount val="6"/>
                <c:pt idx="0">
                  <c:v>8</c:v>
                </c:pt>
                <c:pt idx="1">
                  <c:v>14.000000000000002</c:v>
                </c:pt>
                <c:pt idx="2">
                  <c:v>18</c:v>
                </c:pt>
                <c:pt idx="3">
                  <c:v>20</c:v>
                </c:pt>
                <c:pt idx="4">
                  <c:v>34</c:v>
                </c:pt>
                <c:pt idx="5">
                  <c:v>6</c:v>
                </c:pt>
              </c:numCache>
            </c:numRef>
          </c:val>
        </c:ser>
        <c:ser>
          <c:idx val="5"/>
          <c:order val="5"/>
          <c:tx>
            <c:strRef>
              <c:f>'2.2 Eligible Activities'!$H$13</c:f>
              <c:strCache>
                <c:ptCount val="1"/>
                <c:pt idx="0">
                  <c:v>R6</c:v>
                </c:pt>
              </c:strCache>
            </c:strRef>
          </c:tx>
          <c:invertIfNegative val="0"/>
          <c:cat>
            <c:strRef>
              <c:f>'2.2 Eligible Activities'!$B$14:$B$19</c:f>
              <c:strCache>
                <c:ptCount val="6"/>
                <c:pt idx="0">
                  <c:v>Community Capacity Building and Development</c:v>
                </c:pt>
                <c:pt idx="1">
                  <c:v>Education and Training</c:v>
                </c:pt>
                <c:pt idx="2">
                  <c:v>Information and Referral</c:v>
                </c:pt>
                <c:pt idx="3">
                  <c:v>Outreach and Home Visits</c:v>
                </c:pt>
                <c:pt idx="4">
                  <c:v>Resource Development</c:v>
                </c:pt>
                <c:pt idx="5">
                  <c:v>Support</c:v>
                </c:pt>
              </c:strCache>
            </c:strRef>
          </c:cat>
          <c:val>
            <c:numRef>
              <c:f>'2.2 Eligible Activities'!$H$14:$H$19</c:f>
              <c:numCache>
                <c:formatCode>#,##0.0</c:formatCode>
                <c:ptCount val="6"/>
                <c:pt idx="0">
                  <c:v>2</c:v>
                </c:pt>
                <c:pt idx="1">
                  <c:v>4</c:v>
                </c:pt>
                <c:pt idx="2">
                  <c:v>16</c:v>
                </c:pt>
                <c:pt idx="3">
                  <c:v>24</c:v>
                </c:pt>
                <c:pt idx="4">
                  <c:v>46</c:v>
                </c:pt>
                <c:pt idx="5">
                  <c:v>4</c:v>
                </c:pt>
              </c:numCache>
            </c:numRef>
          </c:val>
        </c:ser>
        <c:ser>
          <c:idx val="6"/>
          <c:order val="6"/>
          <c:tx>
            <c:strRef>
              <c:f>'2.2 Eligible Activities'!$I$13</c:f>
              <c:strCache>
                <c:ptCount val="1"/>
                <c:pt idx="0">
                  <c:v>Nil</c:v>
                </c:pt>
              </c:strCache>
            </c:strRef>
          </c:tx>
          <c:invertIfNegative val="0"/>
          <c:cat>
            <c:strRef>
              <c:f>'2.2 Eligible Activities'!$B$14:$B$19</c:f>
              <c:strCache>
                <c:ptCount val="6"/>
                <c:pt idx="0">
                  <c:v>Community Capacity Building and Development</c:v>
                </c:pt>
                <c:pt idx="1">
                  <c:v>Education and Training</c:v>
                </c:pt>
                <c:pt idx="2">
                  <c:v>Information and Referral</c:v>
                </c:pt>
                <c:pt idx="3">
                  <c:v>Outreach and Home Visits</c:v>
                </c:pt>
                <c:pt idx="4">
                  <c:v>Resource Development</c:v>
                </c:pt>
                <c:pt idx="5">
                  <c:v>Support</c:v>
                </c:pt>
              </c:strCache>
            </c:strRef>
          </c:cat>
          <c:val>
            <c:numRef>
              <c:f>'2.2 Eligible Activities'!$I$14:$I$19</c:f>
              <c:numCache>
                <c:formatCode>#,##0.0</c:formatCode>
                <c:ptCount val="6"/>
                <c:pt idx="0">
                  <c:v>0</c:v>
                </c:pt>
                <c:pt idx="1">
                  <c:v>0</c:v>
                </c:pt>
                <c:pt idx="2">
                  <c:v>0</c:v>
                </c:pt>
                <c:pt idx="3">
                  <c:v>4</c:v>
                </c:pt>
                <c:pt idx="4">
                  <c:v>0</c:v>
                </c:pt>
                <c:pt idx="5">
                  <c:v>0</c:v>
                </c:pt>
              </c:numCache>
            </c:numRef>
          </c:val>
        </c:ser>
        <c:dLbls>
          <c:showLegendKey val="0"/>
          <c:showVal val="0"/>
          <c:showCatName val="0"/>
          <c:showSerName val="0"/>
          <c:showPercent val="0"/>
          <c:showBubbleSize val="0"/>
        </c:dLbls>
        <c:gapWidth val="150"/>
        <c:axId val="156256896"/>
        <c:axId val="212283776"/>
      </c:barChart>
      <c:catAx>
        <c:axId val="156256896"/>
        <c:scaling>
          <c:orientation val="minMax"/>
        </c:scaling>
        <c:delete val="0"/>
        <c:axPos val="b"/>
        <c:numFmt formatCode="#,##0.0" sourceLinked="1"/>
        <c:majorTickMark val="out"/>
        <c:minorTickMark val="none"/>
        <c:tickLblPos val="nextTo"/>
        <c:crossAx val="212283776"/>
        <c:crosses val="autoZero"/>
        <c:auto val="1"/>
        <c:lblAlgn val="ctr"/>
        <c:lblOffset val="100"/>
        <c:noMultiLvlLbl val="0"/>
      </c:catAx>
      <c:valAx>
        <c:axId val="212283776"/>
        <c:scaling>
          <c:orientation val="minMax"/>
        </c:scaling>
        <c:delete val="0"/>
        <c:axPos val="l"/>
        <c:numFmt formatCode="#,##0.0" sourceLinked="1"/>
        <c:majorTickMark val="out"/>
        <c:minorTickMark val="none"/>
        <c:tickLblPos val="nextTo"/>
        <c:crossAx val="15625689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en-US"/>
              <a:t>CfC IPS</a:t>
            </a:r>
          </a:p>
        </c:rich>
      </c:tx>
      <c:overlay val="1"/>
    </c:title>
    <c:autoTitleDeleted val="0"/>
    <c:plotArea>
      <c:layout/>
      <c:barChart>
        <c:barDir val="col"/>
        <c:grouping val="clustered"/>
        <c:varyColors val="0"/>
        <c:ser>
          <c:idx val="0"/>
          <c:order val="0"/>
          <c:tx>
            <c:strRef>
              <c:f>'2.2 Eligible Activities'!$C$22</c:f>
              <c:strCache>
                <c:ptCount val="1"/>
                <c:pt idx="0">
                  <c:v>R1</c:v>
                </c:pt>
              </c:strCache>
            </c:strRef>
          </c:tx>
          <c:invertIfNegative val="0"/>
          <c:cat>
            <c:strRef>
              <c:f>'2.2 Eligible Activities'!$B$23:$B$28</c:f>
              <c:strCache>
                <c:ptCount val="6"/>
                <c:pt idx="0">
                  <c:v>Community Capacity Building and Development</c:v>
                </c:pt>
                <c:pt idx="1">
                  <c:v>Education and Training</c:v>
                </c:pt>
                <c:pt idx="2">
                  <c:v>Information and Referral</c:v>
                </c:pt>
                <c:pt idx="3">
                  <c:v>Outreach and Home Visits</c:v>
                </c:pt>
                <c:pt idx="4">
                  <c:v>Resource Development</c:v>
                </c:pt>
                <c:pt idx="5">
                  <c:v>Support</c:v>
                </c:pt>
              </c:strCache>
            </c:strRef>
          </c:cat>
          <c:val>
            <c:numRef>
              <c:f>'2.2 Eligible Activities'!$C$23:$C$28</c:f>
              <c:numCache>
                <c:formatCode>#,##0.0</c:formatCode>
                <c:ptCount val="6"/>
                <c:pt idx="0">
                  <c:v>12.5</c:v>
                </c:pt>
                <c:pt idx="1">
                  <c:v>17.307692307692307</c:v>
                </c:pt>
                <c:pt idx="2">
                  <c:v>2.8846153846153846</c:v>
                </c:pt>
                <c:pt idx="3">
                  <c:v>15.384615384615385</c:v>
                </c:pt>
                <c:pt idx="4">
                  <c:v>0.96153846153846156</c:v>
                </c:pt>
                <c:pt idx="5">
                  <c:v>36</c:v>
                </c:pt>
              </c:numCache>
            </c:numRef>
          </c:val>
        </c:ser>
        <c:ser>
          <c:idx val="1"/>
          <c:order val="1"/>
          <c:tx>
            <c:strRef>
              <c:f>'2.2 Eligible Activities'!$D$22</c:f>
              <c:strCache>
                <c:ptCount val="1"/>
                <c:pt idx="0">
                  <c:v>R2</c:v>
                </c:pt>
              </c:strCache>
            </c:strRef>
          </c:tx>
          <c:invertIfNegative val="0"/>
          <c:cat>
            <c:strRef>
              <c:f>'2.2 Eligible Activities'!$B$23:$B$28</c:f>
              <c:strCache>
                <c:ptCount val="6"/>
                <c:pt idx="0">
                  <c:v>Community Capacity Building and Development</c:v>
                </c:pt>
                <c:pt idx="1">
                  <c:v>Education and Training</c:v>
                </c:pt>
                <c:pt idx="2">
                  <c:v>Information and Referral</c:v>
                </c:pt>
                <c:pt idx="3">
                  <c:v>Outreach and Home Visits</c:v>
                </c:pt>
                <c:pt idx="4">
                  <c:v>Resource Development</c:v>
                </c:pt>
                <c:pt idx="5">
                  <c:v>Support</c:v>
                </c:pt>
              </c:strCache>
            </c:strRef>
          </c:cat>
          <c:val>
            <c:numRef>
              <c:f>'2.2 Eligible Activities'!$D$23:$D$28</c:f>
              <c:numCache>
                <c:formatCode>#,##0.0</c:formatCode>
                <c:ptCount val="6"/>
                <c:pt idx="0">
                  <c:v>14.423076923076922</c:v>
                </c:pt>
                <c:pt idx="1">
                  <c:v>18.269230769230766</c:v>
                </c:pt>
                <c:pt idx="2">
                  <c:v>10.576923076923077</c:v>
                </c:pt>
                <c:pt idx="3">
                  <c:v>21.153846153846153</c:v>
                </c:pt>
                <c:pt idx="4">
                  <c:v>4.8076923076923084</c:v>
                </c:pt>
                <c:pt idx="5">
                  <c:v>16</c:v>
                </c:pt>
              </c:numCache>
            </c:numRef>
          </c:val>
        </c:ser>
        <c:ser>
          <c:idx val="2"/>
          <c:order val="2"/>
          <c:tx>
            <c:strRef>
              <c:f>'2.2 Eligible Activities'!$E$22</c:f>
              <c:strCache>
                <c:ptCount val="1"/>
                <c:pt idx="0">
                  <c:v>R3</c:v>
                </c:pt>
              </c:strCache>
            </c:strRef>
          </c:tx>
          <c:invertIfNegative val="0"/>
          <c:cat>
            <c:strRef>
              <c:f>'2.2 Eligible Activities'!$B$23:$B$28</c:f>
              <c:strCache>
                <c:ptCount val="6"/>
                <c:pt idx="0">
                  <c:v>Community Capacity Building and Development</c:v>
                </c:pt>
                <c:pt idx="1">
                  <c:v>Education and Training</c:v>
                </c:pt>
                <c:pt idx="2">
                  <c:v>Information and Referral</c:v>
                </c:pt>
                <c:pt idx="3">
                  <c:v>Outreach and Home Visits</c:v>
                </c:pt>
                <c:pt idx="4">
                  <c:v>Resource Development</c:v>
                </c:pt>
                <c:pt idx="5">
                  <c:v>Support</c:v>
                </c:pt>
              </c:strCache>
            </c:strRef>
          </c:cat>
          <c:val>
            <c:numRef>
              <c:f>'2.2 Eligible Activities'!$E$23:$E$28</c:f>
              <c:numCache>
                <c:formatCode>#,##0.0</c:formatCode>
                <c:ptCount val="6"/>
                <c:pt idx="0">
                  <c:v>11.538461538461538</c:v>
                </c:pt>
                <c:pt idx="1">
                  <c:v>18.269230769230766</c:v>
                </c:pt>
                <c:pt idx="2">
                  <c:v>24.03846153846154</c:v>
                </c:pt>
                <c:pt idx="3">
                  <c:v>15.384615384615385</c:v>
                </c:pt>
                <c:pt idx="4">
                  <c:v>8.6538461538461533</c:v>
                </c:pt>
                <c:pt idx="5">
                  <c:v>22</c:v>
                </c:pt>
              </c:numCache>
            </c:numRef>
          </c:val>
        </c:ser>
        <c:ser>
          <c:idx val="3"/>
          <c:order val="3"/>
          <c:tx>
            <c:strRef>
              <c:f>'2.2 Eligible Activities'!$F$22</c:f>
              <c:strCache>
                <c:ptCount val="1"/>
                <c:pt idx="0">
                  <c:v>R4</c:v>
                </c:pt>
              </c:strCache>
            </c:strRef>
          </c:tx>
          <c:invertIfNegative val="0"/>
          <c:cat>
            <c:strRef>
              <c:f>'2.2 Eligible Activities'!$B$23:$B$28</c:f>
              <c:strCache>
                <c:ptCount val="6"/>
                <c:pt idx="0">
                  <c:v>Community Capacity Building and Development</c:v>
                </c:pt>
                <c:pt idx="1">
                  <c:v>Education and Training</c:v>
                </c:pt>
                <c:pt idx="2">
                  <c:v>Information and Referral</c:v>
                </c:pt>
                <c:pt idx="3">
                  <c:v>Outreach and Home Visits</c:v>
                </c:pt>
                <c:pt idx="4">
                  <c:v>Resource Development</c:v>
                </c:pt>
                <c:pt idx="5">
                  <c:v>Support</c:v>
                </c:pt>
              </c:strCache>
            </c:strRef>
          </c:cat>
          <c:val>
            <c:numRef>
              <c:f>'2.2 Eligible Activities'!$F$23:$F$28</c:f>
              <c:numCache>
                <c:formatCode>#,##0.0</c:formatCode>
                <c:ptCount val="6"/>
                <c:pt idx="0">
                  <c:v>20.192307692307693</c:v>
                </c:pt>
                <c:pt idx="1">
                  <c:v>14.423076923076922</c:v>
                </c:pt>
                <c:pt idx="2">
                  <c:v>24.03846153846154</c:v>
                </c:pt>
                <c:pt idx="3">
                  <c:v>11.538461538461538</c:v>
                </c:pt>
                <c:pt idx="4">
                  <c:v>16.346153846153847</c:v>
                </c:pt>
                <c:pt idx="5">
                  <c:v>16</c:v>
                </c:pt>
              </c:numCache>
            </c:numRef>
          </c:val>
        </c:ser>
        <c:ser>
          <c:idx val="4"/>
          <c:order val="4"/>
          <c:tx>
            <c:strRef>
              <c:f>'2.2 Eligible Activities'!$G$22</c:f>
              <c:strCache>
                <c:ptCount val="1"/>
                <c:pt idx="0">
                  <c:v>R5</c:v>
                </c:pt>
              </c:strCache>
            </c:strRef>
          </c:tx>
          <c:invertIfNegative val="0"/>
          <c:cat>
            <c:strRef>
              <c:f>'2.2 Eligible Activities'!$B$23:$B$28</c:f>
              <c:strCache>
                <c:ptCount val="6"/>
                <c:pt idx="0">
                  <c:v>Community Capacity Building and Development</c:v>
                </c:pt>
                <c:pt idx="1">
                  <c:v>Education and Training</c:v>
                </c:pt>
                <c:pt idx="2">
                  <c:v>Information and Referral</c:v>
                </c:pt>
                <c:pt idx="3">
                  <c:v>Outreach and Home Visits</c:v>
                </c:pt>
                <c:pt idx="4">
                  <c:v>Resource Development</c:v>
                </c:pt>
                <c:pt idx="5">
                  <c:v>Support</c:v>
                </c:pt>
              </c:strCache>
            </c:strRef>
          </c:cat>
          <c:val>
            <c:numRef>
              <c:f>'2.2 Eligible Activities'!$G$23:$G$28</c:f>
              <c:numCache>
                <c:formatCode>#,##0.0</c:formatCode>
                <c:ptCount val="6"/>
                <c:pt idx="0">
                  <c:v>22.115384615384613</c:v>
                </c:pt>
                <c:pt idx="1">
                  <c:v>14.423076923076922</c:v>
                </c:pt>
                <c:pt idx="2">
                  <c:v>17.307692307692307</c:v>
                </c:pt>
                <c:pt idx="3">
                  <c:v>4.8076923076923084</c:v>
                </c:pt>
                <c:pt idx="4">
                  <c:v>23.076923076923077</c:v>
                </c:pt>
                <c:pt idx="5">
                  <c:v>6</c:v>
                </c:pt>
              </c:numCache>
            </c:numRef>
          </c:val>
        </c:ser>
        <c:ser>
          <c:idx val="5"/>
          <c:order val="5"/>
          <c:tx>
            <c:strRef>
              <c:f>'2.2 Eligible Activities'!$H$22</c:f>
              <c:strCache>
                <c:ptCount val="1"/>
                <c:pt idx="0">
                  <c:v>R6</c:v>
                </c:pt>
              </c:strCache>
            </c:strRef>
          </c:tx>
          <c:invertIfNegative val="0"/>
          <c:cat>
            <c:strRef>
              <c:f>'2.2 Eligible Activities'!$B$23:$B$28</c:f>
              <c:strCache>
                <c:ptCount val="6"/>
                <c:pt idx="0">
                  <c:v>Community Capacity Building and Development</c:v>
                </c:pt>
                <c:pt idx="1">
                  <c:v>Education and Training</c:v>
                </c:pt>
                <c:pt idx="2">
                  <c:v>Information and Referral</c:v>
                </c:pt>
                <c:pt idx="3">
                  <c:v>Outreach and Home Visits</c:v>
                </c:pt>
                <c:pt idx="4">
                  <c:v>Resource Development</c:v>
                </c:pt>
                <c:pt idx="5">
                  <c:v>Support</c:v>
                </c:pt>
              </c:strCache>
            </c:strRef>
          </c:cat>
          <c:val>
            <c:numRef>
              <c:f>'2.2 Eligible Activities'!$H$23:$H$28</c:f>
              <c:numCache>
                <c:formatCode>#,##0.0</c:formatCode>
                <c:ptCount val="6"/>
                <c:pt idx="0">
                  <c:v>10.576923076923077</c:v>
                </c:pt>
                <c:pt idx="1">
                  <c:v>8.6538461538461533</c:v>
                </c:pt>
                <c:pt idx="2">
                  <c:v>10.576923076923077</c:v>
                </c:pt>
                <c:pt idx="3">
                  <c:v>16.346153846153847</c:v>
                </c:pt>
                <c:pt idx="4">
                  <c:v>31.73076923076923</c:v>
                </c:pt>
                <c:pt idx="5">
                  <c:v>4</c:v>
                </c:pt>
              </c:numCache>
            </c:numRef>
          </c:val>
        </c:ser>
        <c:ser>
          <c:idx val="6"/>
          <c:order val="6"/>
          <c:tx>
            <c:strRef>
              <c:f>'2.2 Eligible Activities'!$I$22</c:f>
              <c:strCache>
                <c:ptCount val="1"/>
                <c:pt idx="0">
                  <c:v>Nil</c:v>
                </c:pt>
              </c:strCache>
            </c:strRef>
          </c:tx>
          <c:invertIfNegative val="0"/>
          <c:cat>
            <c:strRef>
              <c:f>'2.2 Eligible Activities'!$B$23:$B$28</c:f>
              <c:strCache>
                <c:ptCount val="6"/>
                <c:pt idx="0">
                  <c:v>Community Capacity Building and Development</c:v>
                </c:pt>
                <c:pt idx="1">
                  <c:v>Education and Training</c:v>
                </c:pt>
                <c:pt idx="2">
                  <c:v>Information and Referral</c:v>
                </c:pt>
                <c:pt idx="3">
                  <c:v>Outreach and Home Visits</c:v>
                </c:pt>
                <c:pt idx="4">
                  <c:v>Resource Development</c:v>
                </c:pt>
                <c:pt idx="5">
                  <c:v>Support</c:v>
                </c:pt>
              </c:strCache>
            </c:strRef>
          </c:cat>
          <c:val>
            <c:numRef>
              <c:f>'2.2 Eligible Activities'!$I$23:$I$28</c:f>
              <c:numCache>
                <c:formatCode>#,##0.0</c:formatCode>
                <c:ptCount val="6"/>
                <c:pt idx="0">
                  <c:v>8.6538461538461533</c:v>
                </c:pt>
                <c:pt idx="1">
                  <c:v>8.6538461538461533</c:v>
                </c:pt>
                <c:pt idx="2">
                  <c:v>10.576923076923077</c:v>
                </c:pt>
                <c:pt idx="3">
                  <c:v>15.384615384615385</c:v>
                </c:pt>
                <c:pt idx="4">
                  <c:v>14.423076923076922</c:v>
                </c:pt>
                <c:pt idx="5">
                  <c:v>0</c:v>
                </c:pt>
              </c:numCache>
            </c:numRef>
          </c:val>
        </c:ser>
        <c:dLbls>
          <c:showLegendKey val="0"/>
          <c:showVal val="0"/>
          <c:showCatName val="0"/>
          <c:showSerName val="0"/>
          <c:showPercent val="0"/>
          <c:showBubbleSize val="0"/>
        </c:dLbls>
        <c:gapWidth val="150"/>
        <c:axId val="212403328"/>
        <c:axId val="212404864"/>
      </c:barChart>
      <c:catAx>
        <c:axId val="212403328"/>
        <c:scaling>
          <c:orientation val="minMax"/>
        </c:scaling>
        <c:delete val="0"/>
        <c:axPos val="b"/>
        <c:numFmt formatCode="#,##0.0" sourceLinked="1"/>
        <c:majorTickMark val="out"/>
        <c:minorTickMark val="none"/>
        <c:tickLblPos val="nextTo"/>
        <c:crossAx val="212404864"/>
        <c:crosses val="autoZero"/>
        <c:auto val="1"/>
        <c:lblAlgn val="ctr"/>
        <c:lblOffset val="100"/>
        <c:noMultiLvlLbl val="0"/>
      </c:catAx>
      <c:valAx>
        <c:axId val="212404864"/>
        <c:scaling>
          <c:orientation val="minMax"/>
        </c:scaling>
        <c:delete val="0"/>
        <c:axPos val="l"/>
        <c:numFmt formatCode="#,##0.0" sourceLinked="1"/>
        <c:majorTickMark val="out"/>
        <c:minorTickMark val="none"/>
        <c:tickLblPos val="nextTo"/>
        <c:crossAx val="212403328"/>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Community Capacity Building and Development</a:t>
            </a:r>
          </a:p>
        </c:rich>
      </c:tx>
      <c:overlay val="1"/>
    </c:title>
    <c:autoTitleDeleted val="0"/>
    <c:plotArea>
      <c:layout/>
      <c:barChart>
        <c:barDir val="col"/>
        <c:grouping val="clustered"/>
        <c:varyColors val="0"/>
        <c:ser>
          <c:idx val="0"/>
          <c:order val="0"/>
          <c:tx>
            <c:strRef>
              <c:f>'2.2 Eligible Activities'!$B$34</c:f>
              <c:strCache>
                <c:ptCount val="1"/>
                <c:pt idx="0">
                  <c:v>CfC Direct</c:v>
                </c:pt>
              </c:strCache>
            </c:strRef>
          </c:tx>
          <c:invertIfNegative val="0"/>
          <c:cat>
            <c:strRef>
              <c:f>'2.2 Eligible Activities'!$C$33:$I$33</c:f>
              <c:strCache>
                <c:ptCount val="7"/>
                <c:pt idx="0">
                  <c:v>R1</c:v>
                </c:pt>
                <c:pt idx="1">
                  <c:v>R2</c:v>
                </c:pt>
                <c:pt idx="2">
                  <c:v>R3</c:v>
                </c:pt>
                <c:pt idx="3">
                  <c:v>R4</c:v>
                </c:pt>
                <c:pt idx="4">
                  <c:v>R5</c:v>
                </c:pt>
                <c:pt idx="5">
                  <c:v>R6</c:v>
                </c:pt>
                <c:pt idx="6">
                  <c:v>Nil</c:v>
                </c:pt>
              </c:strCache>
            </c:strRef>
          </c:cat>
          <c:val>
            <c:numRef>
              <c:f>'2.2 Eligible Activities'!$C$34:$I$34</c:f>
              <c:numCache>
                <c:formatCode>0.0</c:formatCode>
                <c:ptCount val="7"/>
                <c:pt idx="0">
                  <c:v>12.918660287081341</c:v>
                </c:pt>
                <c:pt idx="1">
                  <c:v>12.918660287081341</c:v>
                </c:pt>
                <c:pt idx="2">
                  <c:v>17.703349282296653</c:v>
                </c:pt>
                <c:pt idx="3">
                  <c:v>20.574162679425836</c:v>
                </c:pt>
                <c:pt idx="4">
                  <c:v>23.923444976076556</c:v>
                </c:pt>
                <c:pt idx="5">
                  <c:v>7.1770334928229662</c:v>
                </c:pt>
                <c:pt idx="6">
                  <c:v>4.7846889952153111</c:v>
                </c:pt>
              </c:numCache>
            </c:numRef>
          </c:val>
        </c:ser>
        <c:ser>
          <c:idx val="1"/>
          <c:order val="1"/>
          <c:tx>
            <c:strRef>
              <c:f>'2.2 Eligible Activities'!$B$35</c:f>
              <c:strCache>
                <c:ptCount val="1"/>
                <c:pt idx="0">
                  <c:v>CfC FP</c:v>
                </c:pt>
              </c:strCache>
            </c:strRef>
          </c:tx>
          <c:invertIfNegative val="0"/>
          <c:cat>
            <c:strRef>
              <c:f>'2.2 Eligible Activities'!$C$33:$I$33</c:f>
              <c:strCache>
                <c:ptCount val="7"/>
                <c:pt idx="0">
                  <c:v>R1</c:v>
                </c:pt>
                <c:pt idx="1">
                  <c:v>R2</c:v>
                </c:pt>
                <c:pt idx="2">
                  <c:v>R3</c:v>
                </c:pt>
                <c:pt idx="3">
                  <c:v>R4</c:v>
                </c:pt>
                <c:pt idx="4">
                  <c:v>R5</c:v>
                </c:pt>
                <c:pt idx="5">
                  <c:v>R6</c:v>
                </c:pt>
                <c:pt idx="6">
                  <c:v>Nil</c:v>
                </c:pt>
              </c:strCache>
            </c:strRef>
          </c:cat>
          <c:val>
            <c:numRef>
              <c:f>'2.2 Eligible Activities'!$C$35:$I$35</c:f>
              <c:numCache>
                <c:formatCode>0.0</c:formatCode>
                <c:ptCount val="7"/>
                <c:pt idx="0">
                  <c:v>32</c:v>
                </c:pt>
                <c:pt idx="1">
                  <c:v>20</c:v>
                </c:pt>
                <c:pt idx="2">
                  <c:v>26</c:v>
                </c:pt>
                <c:pt idx="3">
                  <c:v>12</c:v>
                </c:pt>
                <c:pt idx="4">
                  <c:v>8</c:v>
                </c:pt>
                <c:pt idx="5">
                  <c:v>2</c:v>
                </c:pt>
                <c:pt idx="6">
                  <c:v>0</c:v>
                </c:pt>
              </c:numCache>
            </c:numRef>
          </c:val>
        </c:ser>
        <c:ser>
          <c:idx val="2"/>
          <c:order val="2"/>
          <c:tx>
            <c:strRef>
              <c:f>'2.2 Eligible Activities'!$B$36</c:f>
              <c:strCache>
                <c:ptCount val="1"/>
                <c:pt idx="0">
                  <c:v>CfC IPS</c:v>
                </c:pt>
              </c:strCache>
            </c:strRef>
          </c:tx>
          <c:invertIfNegative val="0"/>
          <c:cat>
            <c:strRef>
              <c:f>'2.2 Eligible Activities'!$C$33:$I$33</c:f>
              <c:strCache>
                <c:ptCount val="7"/>
                <c:pt idx="0">
                  <c:v>R1</c:v>
                </c:pt>
                <c:pt idx="1">
                  <c:v>R2</c:v>
                </c:pt>
                <c:pt idx="2">
                  <c:v>R3</c:v>
                </c:pt>
                <c:pt idx="3">
                  <c:v>R4</c:v>
                </c:pt>
                <c:pt idx="4">
                  <c:v>R5</c:v>
                </c:pt>
                <c:pt idx="5">
                  <c:v>R6</c:v>
                </c:pt>
                <c:pt idx="6">
                  <c:v>Nil</c:v>
                </c:pt>
              </c:strCache>
            </c:strRef>
          </c:cat>
          <c:val>
            <c:numRef>
              <c:f>'2.2 Eligible Activities'!$C$36:$I$36</c:f>
              <c:numCache>
                <c:formatCode>0.0</c:formatCode>
                <c:ptCount val="7"/>
                <c:pt idx="0">
                  <c:v>12.5</c:v>
                </c:pt>
                <c:pt idx="1">
                  <c:v>14.423076923076922</c:v>
                </c:pt>
                <c:pt idx="2">
                  <c:v>11.538461538461538</c:v>
                </c:pt>
                <c:pt idx="3">
                  <c:v>20.192307692307693</c:v>
                </c:pt>
                <c:pt idx="4">
                  <c:v>22.115384615384613</c:v>
                </c:pt>
                <c:pt idx="5">
                  <c:v>10.576923076923077</c:v>
                </c:pt>
                <c:pt idx="6">
                  <c:v>8.6538461538461533</c:v>
                </c:pt>
              </c:numCache>
            </c:numRef>
          </c:val>
        </c:ser>
        <c:ser>
          <c:idx val="3"/>
          <c:order val="3"/>
          <c:tx>
            <c:strRef>
              <c:f>'2.2 Eligible Activities'!$B$37</c:f>
              <c:strCache>
                <c:ptCount val="1"/>
                <c:pt idx="0">
                  <c:v>All CfC</c:v>
                </c:pt>
              </c:strCache>
            </c:strRef>
          </c:tx>
          <c:invertIfNegative val="0"/>
          <c:cat>
            <c:strRef>
              <c:f>'2.2 Eligible Activities'!$C$33:$I$33</c:f>
              <c:strCache>
                <c:ptCount val="7"/>
                <c:pt idx="0">
                  <c:v>R1</c:v>
                </c:pt>
                <c:pt idx="1">
                  <c:v>R2</c:v>
                </c:pt>
                <c:pt idx="2">
                  <c:v>R3</c:v>
                </c:pt>
                <c:pt idx="3">
                  <c:v>R4</c:v>
                </c:pt>
                <c:pt idx="4">
                  <c:v>R5</c:v>
                </c:pt>
                <c:pt idx="5">
                  <c:v>R6</c:v>
                </c:pt>
                <c:pt idx="6">
                  <c:v>Nil</c:v>
                </c:pt>
              </c:strCache>
            </c:strRef>
          </c:cat>
          <c:val>
            <c:numRef>
              <c:f>'2.2 Eligible Activities'!$C$37:$I$37</c:f>
              <c:numCache>
                <c:formatCode>0.0</c:formatCode>
                <c:ptCount val="7"/>
                <c:pt idx="0">
                  <c:v>15.426997245179063</c:v>
                </c:pt>
                <c:pt idx="1">
                  <c:v>14.325068870523417</c:v>
                </c:pt>
                <c:pt idx="2">
                  <c:v>17.079889807162534</c:v>
                </c:pt>
                <c:pt idx="3">
                  <c:v>19.28374655647383</c:v>
                </c:pt>
                <c:pt idx="4">
                  <c:v>21.212121212121211</c:v>
                </c:pt>
                <c:pt idx="5">
                  <c:v>7.4380165289256199</c:v>
                </c:pt>
                <c:pt idx="6">
                  <c:v>5.2341597796143251</c:v>
                </c:pt>
              </c:numCache>
            </c:numRef>
          </c:val>
        </c:ser>
        <c:dLbls>
          <c:showLegendKey val="0"/>
          <c:showVal val="0"/>
          <c:showCatName val="0"/>
          <c:showSerName val="0"/>
          <c:showPercent val="0"/>
          <c:showBubbleSize val="0"/>
        </c:dLbls>
        <c:gapWidth val="150"/>
        <c:axId val="215122688"/>
        <c:axId val="215124608"/>
      </c:barChart>
      <c:catAx>
        <c:axId val="215122688"/>
        <c:scaling>
          <c:orientation val="minMax"/>
        </c:scaling>
        <c:delete val="0"/>
        <c:axPos val="b"/>
        <c:title>
          <c:tx>
            <c:rich>
              <a:bodyPr/>
              <a:lstStyle/>
              <a:p>
                <a:pPr>
                  <a:defRPr/>
                </a:pPr>
                <a:r>
                  <a:rPr lang="en-US"/>
                  <a:t>Rank</a:t>
                </a:r>
              </a:p>
            </c:rich>
          </c:tx>
          <c:overlay val="0"/>
        </c:title>
        <c:majorTickMark val="out"/>
        <c:minorTickMark val="none"/>
        <c:tickLblPos val="nextTo"/>
        <c:crossAx val="215124608"/>
        <c:crosses val="autoZero"/>
        <c:auto val="1"/>
        <c:lblAlgn val="ctr"/>
        <c:lblOffset val="100"/>
        <c:noMultiLvlLbl val="0"/>
      </c:catAx>
      <c:valAx>
        <c:axId val="215124608"/>
        <c:scaling>
          <c:orientation val="minMax"/>
          <c:max val="50"/>
        </c:scaling>
        <c:delete val="0"/>
        <c:axPos val="l"/>
        <c:numFmt formatCode="0.0" sourceLinked="1"/>
        <c:majorTickMark val="out"/>
        <c:minorTickMark val="none"/>
        <c:tickLblPos val="nextTo"/>
        <c:crossAx val="215122688"/>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Information and Referral</a:t>
            </a:r>
          </a:p>
        </c:rich>
      </c:tx>
      <c:overlay val="1"/>
    </c:title>
    <c:autoTitleDeleted val="0"/>
    <c:plotArea>
      <c:layout/>
      <c:barChart>
        <c:barDir val="col"/>
        <c:grouping val="clustered"/>
        <c:varyColors val="0"/>
        <c:ser>
          <c:idx val="0"/>
          <c:order val="0"/>
          <c:tx>
            <c:strRef>
              <c:f>'2.2 Eligible Activities'!$B$44</c:f>
              <c:strCache>
                <c:ptCount val="1"/>
                <c:pt idx="0">
                  <c:v>CfC Direct</c:v>
                </c:pt>
              </c:strCache>
            </c:strRef>
          </c:tx>
          <c:invertIfNegative val="0"/>
          <c:cat>
            <c:strRef>
              <c:f>'2.2 Eligible Activities'!$C$43:$I$43</c:f>
              <c:strCache>
                <c:ptCount val="7"/>
                <c:pt idx="0">
                  <c:v>R1</c:v>
                </c:pt>
                <c:pt idx="1">
                  <c:v>R2</c:v>
                </c:pt>
                <c:pt idx="2">
                  <c:v>R3</c:v>
                </c:pt>
                <c:pt idx="3">
                  <c:v>R4</c:v>
                </c:pt>
                <c:pt idx="4">
                  <c:v>R5</c:v>
                </c:pt>
                <c:pt idx="5">
                  <c:v>R6</c:v>
                </c:pt>
                <c:pt idx="6">
                  <c:v>Nil</c:v>
                </c:pt>
              </c:strCache>
            </c:strRef>
          </c:cat>
          <c:val>
            <c:numRef>
              <c:f>'2.2 Eligible Activities'!$C$44:$I$44</c:f>
              <c:numCache>
                <c:formatCode>0.0</c:formatCode>
                <c:ptCount val="7"/>
                <c:pt idx="0">
                  <c:v>2.8708133971291865</c:v>
                </c:pt>
                <c:pt idx="1">
                  <c:v>16.746411483253588</c:v>
                </c:pt>
                <c:pt idx="2">
                  <c:v>32.535885167464116</c:v>
                </c:pt>
                <c:pt idx="3">
                  <c:v>26.794258373205743</c:v>
                </c:pt>
                <c:pt idx="4">
                  <c:v>12.440191387559809</c:v>
                </c:pt>
                <c:pt idx="5">
                  <c:v>6.2200956937799043</c:v>
                </c:pt>
                <c:pt idx="6">
                  <c:v>2.3923444976076556</c:v>
                </c:pt>
              </c:numCache>
            </c:numRef>
          </c:val>
        </c:ser>
        <c:ser>
          <c:idx val="1"/>
          <c:order val="1"/>
          <c:tx>
            <c:strRef>
              <c:f>'2.2 Eligible Activities'!$B$45</c:f>
              <c:strCache>
                <c:ptCount val="1"/>
                <c:pt idx="0">
                  <c:v>CfC FP</c:v>
                </c:pt>
              </c:strCache>
            </c:strRef>
          </c:tx>
          <c:invertIfNegative val="0"/>
          <c:cat>
            <c:strRef>
              <c:f>'2.2 Eligible Activities'!$C$43:$I$43</c:f>
              <c:strCache>
                <c:ptCount val="7"/>
                <c:pt idx="0">
                  <c:v>R1</c:v>
                </c:pt>
                <c:pt idx="1">
                  <c:v>R2</c:v>
                </c:pt>
                <c:pt idx="2">
                  <c:v>R3</c:v>
                </c:pt>
                <c:pt idx="3">
                  <c:v>R4</c:v>
                </c:pt>
                <c:pt idx="4">
                  <c:v>R5</c:v>
                </c:pt>
                <c:pt idx="5">
                  <c:v>R6</c:v>
                </c:pt>
                <c:pt idx="6">
                  <c:v>Nil</c:v>
                </c:pt>
              </c:strCache>
            </c:strRef>
          </c:cat>
          <c:val>
            <c:numRef>
              <c:f>'2.2 Eligible Activities'!$C$45:$I$45</c:f>
              <c:numCache>
                <c:formatCode>0.0</c:formatCode>
                <c:ptCount val="7"/>
                <c:pt idx="0">
                  <c:v>6</c:v>
                </c:pt>
                <c:pt idx="1">
                  <c:v>18</c:v>
                </c:pt>
                <c:pt idx="2">
                  <c:v>10</c:v>
                </c:pt>
                <c:pt idx="3">
                  <c:v>32</c:v>
                </c:pt>
                <c:pt idx="4">
                  <c:v>18</c:v>
                </c:pt>
                <c:pt idx="5">
                  <c:v>16</c:v>
                </c:pt>
                <c:pt idx="6">
                  <c:v>0</c:v>
                </c:pt>
              </c:numCache>
            </c:numRef>
          </c:val>
        </c:ser>
        <c:ser>
          <c:idx val="2"/>
          <c:order val="2"/>
          <c:tx>
            <c:strRef>
              <c:f>'2.2 Eligible Activities'!$B$46</c:f>
              <c:strCache>
                <c:ptCount val="1"/>
                <c:pt idx="0">
                  <c:v>CfC IPS</c:v>
                </c:pt>
              </c:strCache>
            </c:strRef>
          </c:tx>
          <c:invertIfNegative val="0"/>
          <c:cat>
            <c:strRef>
              <c:f>'2.2 Eligible Activities'!$C$43:$I$43</c:f>
              <c:strCache>
                <c:ptCount val="7"/>
                <c:pt idx="0">
                  <c:v>R1</c:v>
                </c:pt>
                <c:pt idx="1">
                  <c:v>R2</c:v>
                </c:pt>
                <c:pt idx="2">
                  <c:v>R3</c:v>
                </c:pt>
                <c:pt idx="3">
                  <c:v>R4</c:v>
                </c:pt>
                <c:pt idx="4">
                  <c:v>R5</c:v>
                </c:pt>
                <c:pt idx="5">
                  <c:v>R6</c:v>
                </c:pt>
                <c:pt idx="6">
                  <c:v>Nil</c:v>
                </c:pt>
              </c:strCache>
            </c:strRef>
          </c:cat>
          <c:val>
            <c:numRef>
              <c:f>'2.2 Eligible Activities'!$C$46:$I$46</c:f>
              <c:numCache>
                <c:formatCode>0.0</c:formatCode>
                <c:ptCount val="7"/>
                <c:pt idx="0">
                  <c:v>2.8846153846153846</c:v>
                </c:pt>
                <c:pt idx="1">
                  <c:v>10.576923076923077</c:v>
                </c:pt>
                <c:pt idx="2">
                  <c:v>24.03846153846154</c:v>
                </c:pt>
                <c:pt idx="3">
                  <c:v>24.03846153846154</c:v>
                </c:pt>
                <c:pt idx="4">
                  <c:v>17.307692307692307</c:v>
                </c:pt>
                <c:pt idx="5">
                  <c:v>10.576923076923077</c:v>
                </c:pt>
                <c:pt idx="6">
                  <c:v>10.576923076923077</c:v>
                </c:pt>
              </c:numCache>
            </c:numRef>
          </c:val>
        </c:ser>
        <c:ser>
          <c:idx val="3"/>
          <c:order val="3"/>
          <c:tx>
            <c:strRef>
              <c:f>'2.2 Eligible Activities'!$B$47</c:f>
              <c:strCache>
                <c:ptCount val="1"/>
                <c:pt idx="0">
                  <c:v>All CfC</c:v>
                </c:pt>
              </c:strCache>
            </c:strRef>
          </c:tx>
          <c:invertIfNegative val="0"/>
          <c:cat>
            <c:strRef>
              <c:f>'2.2 Eligible Activities'!$C$43:$I$43</c:f>
              <c:strCache>
                <c:ptCount val="7"/>
                <c:pt idx="0">
                  <c:v>R1</c:v>
                </c:pt>
                <c:pt idx="1">
                  <c:v>R2</c:v>
                </c:pt>
                <c:pt idx="2">
                  <c:v>R3</c:v>
                </c:pt>
                <c:pt idx="3">
                  <c:v>R4</c:v>
                </c:pt>
                <c:pt idx="4">
                  <c:v>R5</c:v>
                </c:pt>
                <c:pt idx="5">
                  <c:v>R6</c:v>
                </c:pt>
                <c:pt idx="6">
                  <c:v>Nil</c:v>
                </c:pt>
              </c:strCache>
            </c:strRef>
          </c:cat>
          <c:val>
            <c:numRef>
              <c:f>'2.2 Eligible Activities'!$C$47:$I$47</c:f>
              <c:numCache>
                <c:formatCode>0.0</c:formatCode>
                <c:ptCount val="7"/>
                <c:pt idx="0">
                  <c:v>3.3057851239669422</c:v>
                </c:pt>
                <c:pt idx="1">
                  <c:v>15.151515151515152</c:v>
                </c:pt>
                <c:pt idx="2">
                  <c:v>26.997245179063363</c:v>
                </c:pt>
                <c:pt idx="3">
                  <c:v>26.721763085399449</c:v>
                </c:pt>
                <c:pt idx="4">
                  <c:v>14.600550964187327</c:v>
                </c:pt>
                <c:pt idx="5">
                  <c:v>8.8154269972451793</c:v>
                </c:pt>
                <c:pt idx="6">
                  <c:v>4.4077134986225897</c:v>
                </c:pt>
              </c:numCache>
            </c:numRef>
          </c:val>
        </c:ser>
        <c:dLbls>
          <c:showLegendKey val="0"/>
          <c:showVal val="0"/>
          <c:showCatName val="0"/>
          <c:showSerName val="0"/>
          <c:showPercent val="0"/>
          <c:showBubbleSize val="0"/>
        </c:dLbls>
        <c:gapWidth val="150"/>
        <c:axId val="216794624"/>
        <c:axId val="216796544"/>
      </c:barChart>
      <c:catAx>
        <c:axId val="216794624"/>
        <c:scaling>
          <c:orientation val="minMax"/>
        </c:scaling>
        <c:delete val="0"/>
        <c:axPos val="b"/>
        <c:title>
          <c:tx>
            <c:rich>
              <a:bodyPr/>
              <a:lstStyle/>
              <a:p>
                <a:pPr>
                  <a:defRPr/>
                </a:pPr>
                <a:r>
                  <a:rPr lang="en-US"/>
                  <a:t>Rank</a:t>
                </a:r>
              </a:p>
            </c:rich>
          </c:tx>
          <c:overlay val="0"/>
        </c:title>
        <c:majorTickMark val="out"/>
        <c:minorTickMark val="none"/>
        <c:tickLblPos val="nextTo"/>
        <c:crossAx val="216796544"/>
        <c:crosses val="autoZero"/>
        <c:auto val="1"/>
        <c:lblAlgn val="ctr"/>
        <c:lblOffset val="100"/>
        <c:noMultiLvlLbl val="0"/>
      </c:catAx>
      <c:valAx>
        <c:axId val="216796544"/>
        <c:scaling>
          <c:orientation val="minMax"/>
          <c:max val="50"/>
        </c:scaling>
        <c:delete val="0"/>
        <c:axPos val="l"/>
        <c:numFmt formatCode="0.0" sourceLinked="1"/>
        <c:majorTickMark val="out"/>
        <c:minorTickMark val="none"/>
        <c:tickLblPos val="nextTo"/>
        <c:crossAx val="216794624"/>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Support</a:t>
            </a:r>
          </a:p>
        </c:rich>
      </c:tx>
      <c:overlay val="1"/>
    </c:title>
    <c:autoTitleDeleted val="0"/>
    <c:plotArea>
      <c:layout/>
      <c:barChart>
        <c:barDir val="col"/>
        <c:grouping val="clustered"/>
        <c:varyColors val="0"/>
        <c:ser>
          <c:idx val="0"/>
          <c:order val="0"/>
          <c:tx>
            <c:strRef>
              <c:f>'2.2 Eligible Activities'!$B$59</c:f>
              <c:strCache>
                <c:ptCount val="1"/>
                <c:pt idx="0">
                  <c:v>CfC Direct</c:v>
                </c:pt>
              </c:strCache>
            </c:strRef>
          </c:tx>
          <c:invertIfNegative val="0"/>
          <c:cat>
            <c:strRef>
              <c:f>'2.2 Eligible Activities'!$C$58:$I$58</c:f>
              <c:strCache>
                <c:ptCount val="7"/>
                <c:pt idx="0">
                  <c:v>R1</c:v>
                </c:pt>
                <c:pt idx="1">
                  <c:v>R2</c:v>
                </c:pt>
                <c:pt idx="2">
                  <c:v>R3</c:v>
                </c:pt>
                <c:pt idx="3">
                  <c:v>R4</c:v>
                </c:pt>
                <c:pt idx="4">
                  <c:v>R5</c:v>
                </c:pt>
                <c:pt idx="5">
                  <c:v>R6</c:v>
                </c:pt>
                <c:pt idx="6">
                  <c:v>Nil</c:v>
                </c:pt>
              </c:strCache>
            </c:strRef>
          </c:cat>
          <c:val>
            <c:numRef>
              <c:f>'2.2 Eligible Activities'!$C$59:$I$59</c:f>
              <c:numCache>
                <c:formatCode>0.0</c:formatCode>
                <c:ptCount val="7"/>
                <c:pt idx="0">
                  <c:v>38.277511961722489</c:v>
                </c:pt>
                <c:pt idx="1">
                  <c:v>33.014354066985646</c:v>
                </c:pt>
                <c:pt idx="2">
                  <c:v>12.918660287081341</c:v>
                </c:pt>
                <c:pt idx="3">
                  <c:v>6.6985645933014357</c:v>
                </c:pt>
                <c:pt idx="4">
                  <c:v>4.3062200956937797</c:v>
                </c:pt>
                <c:pt idx="5">
                  <c:v>1.4354066985645932</c:v>
                </c:pt>
                <c:pt idx="6">
                  <c:v>3.3492822966507179</c:v>
                </c:pt>
              </c:numCache>
            </c:numRef>
          </c:val>
        </c:ser>
        <c:ser>
          <c:idx val="1"/>
          <c:order val="1"/>
          <c:tx>
            <c:strRef>
              <c:f>'2.2 Eligible Activities'!$B$60</c:f>
              <c:strCache>
                <c:ptCount val="1"/>
                <c:pt idx="0">
                  <c:v>CfC FP</c:v>
                </c:pt>
              </c:strCache>
            </c:strRef>
          </c:tx>
          <c:invertIfNegative val="0"/>
          <c:cat>
            <c:strRef>
              <c:f>'2.2 Eligible Activities'!$C$58:$I$58</c:f>
              <c:strCache>
                <c:ptCount val="7"/>
                <c:pt idx="0">
                  <c:v>R1</c:v>
                </c:pt>
                <c:pt idx="1">
                  <c:v>R2</c:v>
                </c:pt>
                <c:pt idx="2">
                  <c:v>R3</c:v>
                </c:pt>
                <c:pt idx="3">
                  <c:v>R4</c:v>
                </c:pt>
                <c:pt idx="4">
                  <c:v>R5</c:v>
                </c:pt>
                <c:pt idx="5">
                  <c:v>R6</c:v>
                </c:pt>
                <c:pt idx="6">
                  <c:v>Nil</c:v>
                </c:pt>
              </c:strCache>
            </c:strRef>
          </c:cat>
          <c:val>
            <c:numRef>
              <c:f>'2.2 Eligible Activities'!$C$60:$I$60</c:f>
              <c:numCache>
                <c:formatCode>0.0</c:formatCode>
                <c:ptCount val="7"/>
                <c:pt idx="0">
                  <c:v>36</c:v>
                </c:pt>
                <c:pt idx="1">
                  <c:v>16</c:v>
                </c:pt>
                <c:pt idx="2">
                  <c:v>22</c:v>
                </c:pt>
                <c:pt idx="3">
                  <c:v>16</c:v>
                </c:pt>
                <c:pt idx="4">
                  <c:v>6</c:v>
                </c:pt>
                <c:pt idx="5">
                  <c:v>4</c:v>
                </c:pt>
                <c:pt idx="6">
                  <c:v>0</c:v>
                </c:pt>
              </c:numCache>
            </c:numRef>
          </c:val>
        </c:ser>
        <c:ser>
          <c:idx val="2"/>
          <c:order val="2"/>
          <c:tx>
            <c:strRef>
              <c:f>'2.2 Eligible Activities'!$B$61</c:f>
              <c:strCache>
                <c:ptCount val="1"/>
                <c:pt idx="0">
                  <c:v>CfC IPS</c:v>
                </c:pt>
              </c:strCache>
            </c:strRef>
          </c:tx>
          <c:invertIfNegative val="0"/>
          <c:cat>
            <c:strRef>
              <c:f>'2.2 Eligible Activities'!$C$58:$I$58</c:f>
              <c:strCache>
                <c:ptCount val="7"/>
                <c:pt idx="0">
                  <c:v>R1</c:v>
                </c:pt>
                <c:pt idx="1">
                  <c:v>R2</c:v>
                </c:pt>
                <c:pt idx="2">
                  <c:v>R3</c:v>
                </c:pt>
                <c:pt idx="3">
                  <c:v>R4</c:v>
                </c:pt>
                <c:pt idx="4">
                  <c:v>R5</c:v>
                </c:pt>
                <c:pt idx="5">
                  <c:v>R6</c:v>
                </c:pt>
                <c:pt idx="6">
                  <c:v>Nil</c:v>
                </c:pt>
              </c:strCache>
            </c:strRef>
          </c:cat>
          <c:val>
            <c:numRef>
              <c:f>'2.2 Eligible Activities'!$C$61:$I$61</c:f>
              <c:numCache>
                <c:formatCode>0.0</c:formatCode>
                <c:ptCount val="7"/>
                <c:pt idx="0">
                  <c:v>45.192307692307693</c:v>
                </c:pt>
                <c:pt idx="1">
                  <c:v>24.03846153846154</c:v>
                </c:pt>
                <c:pt idx="2">
                  <c:v>14.423076923076922</c:v>
                </c:pt>
                <c:pt idx="3">
                  <c:v>4.8076923076923084</c:v>
                </c:pt>
                <c:pt idx="4">
                  <c:v>3.8461538461538463</c:v>
                </c:pt>
                <c:pt idx="5">
                  <c:v>0.96153846153846156</c:v>
                </c:pt>
                <c:pt idx="6">
                  <c:v>6.7307692307692308</c:v>
                </c:pt>
              </c:numCache>
            </c:numRef>
          </c:val>
        </c:ser>
        <c:ser>
          <c:idx val="3"/>
          <c:order val="3"/>
          <c:tx>
            <c:strRef>
              <c:f>'2.2 Eligible Activities'!$B$62</c:f>
              <c:strCache>
                <c:ptCount val="1"/>
                <c:pt idx="0">
                  <c:v>All CfC</c:v>
                </c:pt>
              </c:strCache>
            </c:strRef>
          </c:tx>
          <c:invertIfNegative val="0"/>
          <c:cat>
            <c:strRef>
              <c:f>'2.2 Eligible Activities'!$C$58:$I$58</c:f>
              <c:strCache>
                <c:ptCount val="7"/>
                <c:pt idx="0">
                  <c:v>R1</c:v>
                </c:pt>
                <c:pt idx="1">
                  <c:v>R2</c:v>
                </c:pt>
                <c:pt idx="2">
                  <c:v>R3</c:v>
                </c:pt>
                <c:pt idx="3">
                  <c:v>R4</c:v>
                </c:pt>
                <c:pt idx="4">
                  <c:v>R5</c:v>
                </c:pt>
                <c:pt idx="5">
                  <c:v>R6</c:v>
                </c:pt>
                <c:pt idx="6">
                  <c:v>Nil</c:v>
                </c:pt>
              </c:strCache>
            </c:strRef>
          </c:cat>
          <c:val>
            <c:numRef>
              <c:f>'2.2 Eligible Activities'!$C$62:$I$62</c:f>
              <c:numCache>
                <c:formatCode>0.0</c:formatCode>
                <c:ptCount val="7"/>
                <c:pt idx="0">
                  <c:v>39.944903581267219</c:v>
                </c:pt>
                <c:pt idx="1">
                  <c:v>28.099173553719009</c:v>
                </c:pt>
                <c:pt idx="2">
                  <c:v>14.600550964187327</c:v>
                </c:pt>
                <c:pt idx="3">
                  <c:v>7.4380165289256199</c:v>
                </c:pt>
                <c:pt idx="4">
                  <c:v>4.4077134986225897</c:v>
                </c:pt>
                <c:pt idx="5">
                  <c:v>1.6528925619834711</c:v>
                </c:pt>
                <c:pt idx="6">
                  <c:v>3.8567493112947657</c:v>
                </c:pt>
              </c:numCache>
            </c:numRef>
          </c:val>
        </c:ser>
        <c:dLbls>
          <c:showLegendKey val="0"/>
          <c:showVal val="0"/>
          <c:showCatName val="0"/>
          <c:showSerName val="0"/>
          <c:showPercent val="0"/>
          <c:showBubbleSize val="0"/>
        </c:dLbls>
        <c:gapWidth val="150"/>
        <c:axId val="217110400"/>
        <c:axId val="217112576"/>
      </c:barChart>
      <c:catAx>
        <c:axId val="217110400"/>
        <c:scaling>
          <c:orientation val="minMax"/>
        </c:scaling>
        <c:delete val="0"/>
        <c:axPos val="b"/>
        <c:title>
          <c:tx>
            <c:rich>
              <a:bodyPr/>
              <a:lstStyle/>
              <a:p>
                <a:pPr>
                  <a:defRPr/>
                </a:pPr>
                <a:r>
                  <a:rPr lang="en-US"/>
                  <a:t>Rank</a:t>
                </a:r>
              </a:p>
            </c:rich>
          </c:tx>
          <c:overlay val="0"/>
        </c:title>
        <c:majorTickMark val="out"/>
        <c:minorTickMark val="none"/>
        <c:tickLblPos val="nextTo"/>
        <c:crossAx val="217112576"/>
        <c:crosses val="autoZero"/>
        <c:auto val="1"/>
        <c:lblAlgn val="ctr"/>
        <c:lblOffset val="100"/>
        <c:noMultiLvlLbl val="0"/>
      </c:catAx>
      <c:valAx>
        <c:axId val="217112576"/>
        <c:scaling>
          <c:orientation val="minMax"/>
        </c:scaling>
        <c:delete val="0"/>
        <c:axPos val="l"/>
        <c:numFmt formatCode="0.0" sourceLinked="1"/>
        <c:majorTickMark val="out"/>
        <c:minorTickMark val="none"/>
        <c:tickLblPos val="nextTo"/>
        <c:crossAx val="217110400"/>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Resource Development</a:t>
            </a:r>
          </a:p>
        </c:rich>
      </c:tx>
      <c:overlay val="1"/>
    </c:title>
    <c:autoTitleDeleted val="0"/>
    <c:plotArea>
      <c:layout/>
      <c:barChart>
        <c:barDir val="col"/>
        <c:grouping val="clustered"/>
        <c:varyColors val="0"/>
        <c:ser>
          <c:idx val="0"/>
          <c:order val="0"/>
          <c:tx>
            <c:strRef>
              <c:f>'2.2 Eligible Activities'!$B$54</c:f>
              <c:strCache>
                <c:ptCount val="1"/>
                <c:pt idx="0">
                  <c:v>CfC Direct</c:v>
                </c:pt>
              </c:strCache>
            </c:strRef>
          </c:tx>
          <c:invertIfNegative val="0"/>
          <c:cat>
            <c:strRef>
              <c:f>'2.2 Eligible Activities'!$C$53:$I$53</c:f>
              <c:strCache>
                <c:ptCount val="7"/>
                <c:pt idx="0">
                  <c:v>R1</c:v>
                </c:pt>
                <c:pt idx="1">
                  <c:v>R2</c:v>
                </c:pt>
                <c:pt idx="2">
                  <c:v>R3</c:v>
                </c:pt>
                <c:pt idx="3">
                  <c:v>R4</c:v>
                </c:pt>
                <c:pt idx="4">
                  <c:v>R5</c:v>
                </c:pt>
                <c:pt idx="5">
                  <c:v>R6</c:v>
                </c:pt>
                <c:pt idx="6">
                  <c:v>Nil</c:v>
                </c:pt>
              </c:strCache>
            </c:strRef>
          </c:cat>
          <c:val>
            <c:numRef>
              <c:f>'2.2 Eligible Activities'!$C$54:$I$54</c:f>
              <c:numCache>
                <c:formatCode>0.0</c:formatCode>
                <c:ptCount val="7"/>
                <c:pt idx="0">
                  <c:v>2.8708133971291865</c:v>
                </c:pt>
                <c:pt idx="1">
                  <c:v>3.8277511961722488</c:v>
                </c:pt>
                <c:pt idx="2">
                  <c:v>5.741626794258373</c:v>
                </c:pt>
                <c:pt idx="3">
                  <c:v>15.311004784688995</c:v>
                </c:pt>
                <c:pt idx="4">
                  <c:v>28.708133971291865</c:v>
                </c:pt>
                <c:pt idx="5">
                  <c:v>32.057416267942585</c:v>
                </c:pt>
                <c:pt idx="6">
                  <c:v>11.483253588516746</c:v>
                </c:pt>
              </c:numCache>
            </c:numRef>
          </c:val>
        </c:ser>
        <c:ser>
          <c:idx val="1"/>
          <c:order val="1"/>
          <c:tx>
            <c:strRef>
              <c:f>'2.2 Eligible Activities'!$B$55</c:f>
              <c:strCache>
                <c:ptCount val="1"/>
                <c:pt idx="0">
                  <c:v>CfC FP</c:v>
                </c:pt>
              </c:strCache>
            </c:strRef>
          </c:tx>
          <c:invertIfNegative val="0"/>
          <c:cat>
            <c:strRef>
              <c:f>'2.2 Eligible Activities'!$C$53:$I$53</c:f>
              <c:strCache>
                <c:ptCount val="7"/>
                <c:pt idx="0">
                  <c:v>R1</c:v>
                </c:pt>
                <c:pt idx="1">
                  <c:v>R2</c:v>
                </c:pt>
                <c:pt idx="2">
                  <c:v>R3</c:v>
                </c:pt>
                <c:pt idx="3">
                  <c:v>R4</c:v>
                </c:pt>
                <c:pt idx="4">
                  <c:v>R5</c:v>
                </c:pt>
                <c:pt idx="5">
                  <c:v>R6</c:v>
                </c:pt>
                <c:pt idx="6">
                  <c:v>Nil</c:v>
                </c:pt>
              </c:strCache>
            </c:strRef>
          </c:cat>
          <c:val>
            <c:numRef>
              <c:f>'2.2 Eligible Activities'!$C$55:$I$55</c:f>
              <c:numCache>
                <c:formatCode>0.0</c:formatCode>
                <c:ptCount val="7"/>
                <c:pt idx="0">
                  <c:v>4</c:v>
                </c:pt>
                <c:pt idx="1">
                  <c:v>2</c:v>
                </c:pt>
                <c:pt idx="2">
                  <c:v>8</c:v>
                </c:pt>
                <c:pt idx="3">
                  <c:v>6</c:v>
                </c:pt>
                <c:pt idx="4">
                  <c:v>34</c:v>
                </c:pt>
                <c:pt idx="5">
                  <c:v>46</c:v>
                </c:pt>
                <c:pt idx="6">
                  <c:v>0</c:v>
                </c:pt>
              </c:numCache>
            </c:numRef>
          </c:val>
        </c:ser>
        <c:ser>
          <c:idx val="2"/>
          <c:order val="2"/>
          <c:tx>
            <c:strRef>
              <c:f>'2.2 Eligible Activities'!$B$56</c:f>
              <c:strCache>
                <c:ptCount val="1"/>
                <c:pt idx="0">
                  <c:v>CfC IPS</c:v>
                </c:pt>
              </c:strCache>
            </c:strRef>
          </c:tx>
          <c:invertIfNegative val="0"/>
          <c:cat>
            <c:strRef>
              <c:f>'2.2 Eligible Activities'!$C$53:$I$53</c:f>
              <c:strCache>
                <c:ptCount val="7"/>
                <c:pt idx="0">
                  <c:v>R1</c:v>
                </c:pt>
                <c:pt idx="1">
                  <c:v>R2</c:v>
                </c:pt>
                <c:pt idx="2">
                  <c:v>R3</c:v>
                </c:pt>
                <c:pt idx="3">
                  <c:v>R4</c:v>
                </c:pt>
                <c:pt idx="4">
                  <c:v>R5</c:v>
                </c:pt>
                <c:pt idx="5">
                  <c:v>R6</c:v>
                </c:pt>
                <c:pt idx="6">
                  <c:v>Nil</c:v>
                </c:pt>
              </c:strCache>
            </c:strRef>
          </c:cat>
          <c:val>
            <c:numRef>
              <c:f>'2.2 Eligible Activities'!$C$56:$I$56</c:f>
              <c:numCache>
                <c:formatCode>0.0</c:formatCode>
                <c:ptCount val="7"/>
                <c:pt idx="0">
                  <c:v>0.96153846153846156</c:v>
                </c:pt>
                <c:pt idx="1">
                  <c:v>4.8076923076923084</c:v>
                </c:pt>
                <c:pt idx="2">
                  <c:v>8.6538461538461533</c:v>
                </c:pt>
                <c:pt idx="3">
                  <c:v>16.346153846153847</c:v>
                </c:pt>
                <c:pt idx="4">
                  <c:v>23.076923076923077</c:v>
                </c:pt>
                <c:pt idx="5">
                  <c:v>31.73076923076923</c:v>
                </c:pt>
                <c:pt idx="6">
                  <c:v>14.423076923076922</c:v>
                </c:pt>
              </c:numCache>
            </c:numRef>
          </c:val>
        </c:ser>
        <c:ser>
          <c:idx val="3"/>
          <c:order val="3"/>
          <c:tx>
            <c:strRef>
              <c:f>'2.2 Eligible Activities'!$B$57</c:f>
              <c:strCache>
                <c:ptCount val="1"/>
                <c:pt idx="0">
                  <c:v>All CfC</c:v>
                </c:pt>
              </c:strCache>
            </c:strRef>
          </c:tx>
          <c:invertIfNegative val="0"/>
          <c:cat>
            <c:strRef>
              <c:f>'2.2 Eligible Activities'!$C$53:$I$53</c:f>
              <c:strCache>
                <c:ptCount val="7"/>
                <c:pt idx="0">
                  <c:v>R1</c:v>
                </c:pt>
                <c:pt idx="1">
                  <c:v>R2</c:v>
                </c:pt>
                <c:pt idx="2">
                  <c:v>R3</c:v>
                </c:pt>
                <c:pt idx="3">
                  <c:v>R4</c:v>
                </c:pt>
                <c:pt idx="4">
                  <c:v>R5</c:v>
                </c:pt>
                <c:pt idx="5">
                  <c:v>R6</c:v>
                </c:pt>
                <c:pt idx="6">
                  <c:v>Nil</c:v>
                </c:pt>
              </c:strCache>
            </c:strRef>
          </c:cat>
          <c:val>
            <c:numRef>
              <c:f>'2.2 Eligible Activities'!$C$57:$I$57</c:f>
              <c:numCache>
                <c:formatCode>0.0</c:formatCode>
                <c:ptCount val="7"/>
                <c:pt idx="0">
                  <c:v>2.4793388429752068</c:v>
                </c:pt>
                <c:pt idx="1">
                  <c:v>3.8567493112947657</c:v>
                </c:pt>
                <c:pt idx="2">
                  <c:v>6.887052341597796</c:v>
                </c:pt>
                <c:pt idx="3">
                  <c:v>14.325068870523417</c:v>
                </c:pt>
                <c:pt idx="4">
                  <c:v>27.823691460055095</c:v>
                </c:pt>
                <c:pt idx="5">
                  <c:v>33.884297520661157</c:v>
                </c:pt>
                <c:pt idx="6">
                  <c:v>10.743801652892563</c:v>
                </c:pt>
              </c:numCache>
            </c:numRef>
          </c:val>
        </c:ser>
        <c:dLbls>
          <c:showLegendKey val="0"/>
          <c:showVal val="0"/>
          <c:showCatName val="0"/>
          <c:showSerName val="0"/>
          <c:showPercent val="0"/>
          <c:showBubbleSize val="0"/>
        </c:dLbls>
        <c:gapWidth val="150"/>
        <c:axId val="224991104"/>
        <c:axId val="229519360"/>
      </c:barChart>
      <c:catAx>
        <c:axId val="224991104"/>
        <c:scaling>
          <c:orientation val="minMax"/>
        </c:scaling>
        <c:delete val="0"/>
        <c:axPos val="b"/>
        <c:title>
          <c:tx>
            <c:rich>
              <a:bodyPr/>
              <a:lstStyle/>
              <a:p>
                <a:pPr>
                  <a:defRPr/>
                </a:pPr>
                <a:r>
                  <a:rPr lang="en-US"/>
                  <a:t>Rank</a:t>
                </a:r>
              </a:p>
            </c:rich>
          </c:tx>
          <c:overlay val="0"/>
        </c:title>
        <c:majorTickMark val="out"/>
        <c:minorTickMark val="none"/>
        <c:tickLblPos val="nextTo"/>
        <c:crossAx val="229519360"/>
        <c:crosses val="autoZero"/>
        <c:auto val="1"/>
        <c:lblAlgn val="ctr"/>
        <c:lblOffset val="100"/>
        <c:noMultiLvlLbl val="0"/>
      </c:catAx>
      <c:valAx>
        <c:axId val="229519360"/>
        <c:scaling>
          <c:orientation val="minMax"/>
        </c:scaling>
        <c:delete val="0"/>
        <c:axPos val="l"/>
        <c:numFmt formatCode="0.0" sourceLinked="1"/>
        <c:majorTickMark val="out"/>
        <c:minorTickMark val="none"/>
        <c:tickLblPos val="nextTo"/>
        <c:crossAx val="224991104"/>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Outreach and Home Visits</a:t>
            </a:r>
          </a:p>
        </c:rich>
      </c:tx>
      <c:layout>
        <c:manualLayout>
          <c:xMode val="edge"/>
          <c:yMode val="edge"/>
          <c:x val="0.31415471540824674"/>
          <c:y val="1.8779342723004695E-2"/>
        </c:manualLayout>
      </c:layout>
      <c:overlay val="1"/>
    </c:title>
    <c:autoTitleDeleted val="0"/>
    <c:plotArea>
      <c:layout/>
      <c:barChart>
        <c:barDir val="col"/>
        <c:grouping val="clustered"/>
        <c:varyColors val="0"/>
        <c:ser>
          <c:idx val="0"/>
          <c:order val="0"/>
          <c:tx>
            <c:strRef>
              <c:f>'2.2 Eligible Activities'!$B$49</c:f>
              <c:strCache>
                <c:ptCount val="1"/>
                <c:pt idx="0">
                  <c:v>CfC Direct</c:v>
                </c:pt>
              </c:strCache>
            </c:strRef>
          </c:tx>
          <c:invertIfNegative val="0"/>
          <c:cat>
            <c:strRef>
              <c:f>'2.2 Eligible Activities'!$C$48:$I$48</c:f>
              <c:strCache>
                <c:ptCount val="7"/>
                <c:pt idx="0">
                  <c:v>R1</c:v>
                </c:pt>
                <c:pt idx="1">
                  <c:v>R2</c:v>
                </c:pt>
                <c:pt idx="2">
                  <c:v>R3</c:v>
                </c:pt>
                <c:pt idx="3">
                  <c:v>R4</c:v>
                </c:pt>
                <c:pt idx="4">
                  <c:v>R5</c:v>
                </c:pt>
                <c:pt idx="5">
                  <c:v>R6</c:v>
                </c:pt>
                <c:pt idx="6">
                  <c:v>Nil</c:v>
                </c:pt>
              </c:strCache>
            </c:strRef>
          </c:cat>
          <c:val>
            <c:numRef>
              <c:f>'2.2 Eligible Activities'!$C$49:$I$49</c:f>
              <c:numCache>
                <c:formatCode>0.0</c:formatCode>
                <c:ptCount val="7"/>
                <c:pt idx="0">
                  <c:v>13.875598086124402</c:v>
                </c:pt>
                <c:pt idx="1">
                  <c:v>10.526315789473683</c:v>
                </c:pt>
                <c:pt idx="2">
                  <c:v>13.397129186602871</c:v>
                </c:pt>
                <c:pt idx="3">
                  <c:v>11.961722488038278</c:v>
                </c:pt>
                <c:pt idx="4">
                  <c:v>11.004784688995215</c:v>
                </c:pt>
                <c:pt idx="5">
                  <c:v>21.5311004784689</c:v>
                </c:pt>
                <c:pt idx="6">
                  <c:v>17.703349282296653</c:v>
                </c:pt>
              </c:numCache>
            </c:numRef>
          </c:val>
        </c:ser>
        <c:ser>
          <c:idx val="1"/>
          <c:order val="1"/>
          <c:tx>
            <c:strRef>
              <c:f>'2.2 Eligible Activities'!$B$50</c:f>
              <c:strCache>
                <c:ptCount val="1"/>
                <c:pt idx="0">
                  <c:v>CfC FP</c:v>
                </c:pt>
              </c:strCache>
            </c:strRef>
          </c:tx>
          <c:invertIfNegative val="0"/>
          <c:cat>
            <c:strRef>
              <c:f>'2.2 Eligible Activities'!$C$48:$I$48</c:f>
              <c:strCache>
                <c:ptCount val="7"/>
                <c:pt idx="0">
                  <c:v>R1</c:v>
                </c:pt>
                <c:pt idx="1">
                  <c:v>R2</c:v>
                </c:pt>
                <c:pt idx="2">
                  <c:v>R3</c:v>
                </c:pt>
                <c:pt idx="3">
                  <c:v>R4</c:v>
                </c:pt>
                <c:pt idx="4">
                  <c:v>R5</c:v>
                </c:pt>
                <c:pt idx="5">
                  <c:v>R6</c:v>
                </c:pt>
                <c:pt idx="6">
                  <c:v>Nil</c:v>
                </c:pt>
              </c:strCache>
            </c:strRef>
          </c:cat>
          <c:val>
            <c:numRef>
              <c:f>'2.2 Eligible Activities'!$C$50:$I$50</c:f>
              <c:numCache>
                <c:formatCode>0.0</c:formatCode>
                <c:ptCount val="7"/>
                <c:pt idx="0">
                  <c:v>6</c:v>
                </c:pt>
                <c:pt idx="1">
                  <c:v>14.000000000000002</c:v>
                </c:pt>
                <c:pt idx="2">
                  <c:v>18</c:v>
                </c:pt>
                <c:pt idx="3">
                  <c:v>14.000000000000002</c:v>
                </c:pt>
                <c:pt idx="4">
                  <c:v>20</c:v>
                </c:pt>
                <c:pt idx="5">
                  <c:v>24</c:v>
                </c:pt>
                <c:pt idx="6">
                  <c:v>4</c:v>
                </c:pt>
              </c:numCache>
            </c:numRef>
          </c:val>
        </c:ser>
        <c:ser>
          <c:idx val="2"/>
          <c:order val="2"/>
          <c:tx>
            <c:strRef>
              <c:f>'2.2 Eligible Activities'!$B$51</c:f>
              <c:strCache>
                <c:ptCount val="1"/>
                <c:pt idx="0">
                  <c:v>CfC IPS</c:v>
                </c:pt>
              </c:strCache>
            </c:strRef>
          </c:tx>
          <c:invertIfNegative val="0"/>
          <c:cat>
            <c:strRef>
              <c:f>'2.2 Eligible Activities'!$C$48:$I$48</c:f>
              <c:strCache>
                <c:ptCount val="7"/>
                <c:pt idx="0">
                  <c:v>R1</c:v>
                </c:pt>
                <c:pt idx="1">
                  <c:v>R2</c:v>
                </c:pt>
                <c:pt idx="2">
                  <c:v>R3</c:v>
                </c:pt>
                <c:pt idx="3">
                  <c:v>R4</c:v>
                </c:pt>
                <c:pt idx="4">
                  <c:v>R5</c:v>
                </c:pt>
                <c:pt idx="5">
                  <c:v>R6</c:v>
                </c:pt>
                <c:pt idx="6">
                  <c:v>Nil</c:v>
                </c:pt>
              </c:strCache>
            </c:strRef>
          </c:cat>
          <c:val>
            <c:numRef>
              <c:f>'2.2 Eligible Activities'!$C$51:$I$51</c:f>
              <c:numCache>
                <c:formatCode>0.0</c:formatCode>
                <c:ptCount val="7"/>
                <c:pt idx="0">
                  <c:v>15.384615384615385</c:v>
                </c:pt>
                <c:pt idx="1">
                  <c:v>21.153846153846153</c:v>
                </c:pt>
                <c:pt idx="2">
                  <c:v>15.384615384615385</c:v>
                </c:pt>
                <c:pt idx="3">
                  <c:v>11.538461538461538</c:v>
                </c:pt>
                <c:pt idx="4">
                  <c:v>4.8076923076923084</c:v>
                </c:pt>
                <c:pt idx="5">
                  <c:v>16.346153846153847</c:v>
                </c:pt>
                <c:pt idx="6">
                  <c:v>15.384615384615385</c:v>
                </c:pt>
              </c:numCache>
            </c:numRef>
          </c:val>
        </c:ser>
        <c:ser>
          <c:idx val="3"/>
          <c:order val="3"/>
          <c:tx>
            <c:strRef>
              <c:f>'2.2 Eligible Activities'!$B$52</c:f>
              <c:strCache>
                <c:ptCount val="1"/>
                <c:pt idx="0">
                  <c:v>All CfC</c:v>
                </c:pt>
              </c:strCache>
            </c:strRef>
          </c:tx>
          <c:invertIfNegative val="0"/>
          <c:cat>
            <c:strRef>
              <c:f>'2.2 Eligible Activities'!$C$48:$I$48</c:f>
              <c:strCache>
                <c:ptCount val="7"/>
                <c:pt idx="0">
                  <c:v>R1</c:v>
                </c:pt>
                <c:pt idx="1">
                  <c:v>R2</c:v>
                </c:pt>
                <c:pt idx="2">
                  <c:v>R3</c:v>
                </c:pt>
                <c:pt idx="3">
                  <c:v>R4</c:v>
                </c:pt>
                <c:pt idx="4">
                  <c:v>R5</c:v>
                </c:pt>
                <c:pt idx="5">
                  <c:v>R6</c:v>
                </c:pt>
                <c:pt idx="6">
                  <c:v>Nil</c:v>
                </c:pt>
              </c:strCache>
            </c:strRef>
          </c:cat>
          <c:val>
            <c:numRef>
              <c:f>'2.2 Eligible Activities'!$C$52:$I$52</c:f>
              <c:numCache>
                <c:formatCode>0.0</c:formatCode>
                <c:ptCount val="7"/>
                <c:pt idx="0">
                  <c:v>13.223140495867769</c:v>
                </c:pt>
                <c:pt idx="1">
                  <c:v>14.049586776859504</c:v>
                </c:pt>
                <c:pt idx="2">
                  <c:v>14.600550964187327</c:v>
                </c:pt>
                <c:pt idx="3">
                  <c:v>12.121212121212121</c:v>
                </c:pt>
                <c:pt idx="4">
                  <c:v>10.46831955922865</c:v>
                </c:pt>
                <c:pt idx="5">
                  <c:v>20.385674931129476</c:v>
                </c:pt>
                <c:pt idx="6">
                  <c:v>15.151515151515152</c:v>
                </c:pt>
              </c:numCache>
            </c:numRef>
          </c:val>
        </c:ser>
        <c:dLbls>
          <c:showLegendKey val="0"/>
          <c:showVal val="0"/>
          <c:showCatName val="0"/>
          <c:showSerName val="0"/>
          <c:showPercent val="0"/>
          <c:showBubbleSize val="0"/>
        </c:dLbls>
        <c:gapWidth val="150"/>
        <c:axId val="229767424"/>
        <c:axId val="232460672"/>
      </c:barChart>
      <c:catAx>
        <c:axId val="229767424"/>
        <c:scaling>
          <c:orientation val="minMax"/>
        </c:scaling>
        <c:delete val="0"/>
        <c:axPos val="b"/>
        <c:title>
          <c:tx>
            <c:rich>
              <a:bodyPr/>
              <a:lstStyle/>
              <a:p>
                <a:pPr>
                  <a:defRPr/>
                </a:pPr>
                <a:r>
                  <a:rPr lang="en-US"/>
                  <a:t>Rank</a:t>
                </a:r>
              </a:p>
            </c:rich>
          </c:tx>
          <c:overlay val="0"/>
        </c:title>
        <c:majorTickMark val="out"/>
        <c:minorTickMark val="none"/>
        <c:tickLblPos val="nextTo"/>
        <c:crossAx val="232460672"/>
        <c:crosses val="autoZero"/>
        <c:auto val="1"/>
        <c:lblAlgn val="ctr"/>
        <c:lblOffset val="100"/>
        <c:noMultiLvlLbl val="0"/>
      </c:catAx>
      <c:valAx>
        <c:axId val="232460672"/>
        <c:scaling>
          <c:orientation val="minMax"/>
          <c:max val="50"/>
        </c:scaling>
        <c:delete val="0"/>
        <c:axPos val="l"/>
        <c:numFmt formatCode="0.0" sourceLinked="1"/>
        <c:majorTickMark val="out"/>
        <c:minorTickMark val="none"/>
        <c:tickLblPos val="nextTo"/>
        <c:crossAx val="229767424"/>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Education and Training</a:t>
            </a:r>
          </a:p>
        </c:rich>
      </c:tx>
      <c:layout>
        <c:manualLayout>
          <c:xMode val="edge"/>
          <c:yMode val="edge"/>
          <c:x val="0.27081322834645671"/>
          <c:y val="2.7491399016370731E-2"/>
        </c:manualLayout>
      </c:layout>
      <c:overlay val="1"/>
    </c:title>
    <c:autoTitleDeleted val="0"/>
    <c:plotArea>
      <c:layout>
        <c:manualLayout>
          <c:layoutTarget val="inner"/>
          <c:xMode val="edge"/>
          <c:yMode val="edge"/>
          <c:x val="6.0998972333262153E-2"/>
          <c:y val="6.003443279687825E-2"/>
          <c:w val="0.80350051669994282"/>
          <c:h val="0.73718583319864228"/>
        </c:manualLayout>
      </c:layout>
      <c:barChart>
        <c:barDir val="col"/>
        <c:grouping val="clustered"/>
        <c:varyColors val="0"/>
        <c:ser>
          <c:idx val="0"/>
          <c:order val="0"/>
          <c:tx>
            <c:strRef>
              <c:f>'2.2 Eligible Activities'!$B$39</c:f>
              <c:strCache>
                <c:ptCount val="1"/>
                <c:pt idx="0">
                  <c:v>CfC Direct</c:v>
                </c:pt>
              </c:strCache>
            </c:strRef>
          </c:tx>
          <c:invertIfNegative val="0"/>
          <c:cat>
            <c:strRef>
              <c:f>'2.2 Eligible Activities'!$C$38:$I$38</c:f>
              <c:strCache>
                <c:ptCount val="7"/>
                <c:pt idx="0">
                  <c:v>R1</c:v>
                </c:pt>
                <c:pt idx="1">
                  <c:v>R2</c:v>
                </c:pt>
                <c:pt idx="2">
                  <c:v>R3</c:v>
                </c:pt>
                <c:pt idx="3">
                  <c:v>R4</c:v>
                </c:pt>
                <c:pt idx="4">
                  <c:v>R5</c:v>
                </c:pt>
                <c:pt idx="5">
                  <c:v>R6</c:v>
                </c:pt>
                <c:pt idx="6">
                  <c:v>Nil</c:v>
                </c:pt>
              </c:strCache>
            </c:strRef>
          </c:cat>
          <c:val>
            <c:numRef>
              <c:f>'2.2 Eligible Activities'!$C$39:$I$39</c:f>
              <c:numCache>
                <c:formatCode>0.0</c:formatCode>
                <c:ptCount val="7"/>
                <c:pt idx="0">
                  <c:v>27.751196172248804</c:v>
                </c:pt>
                <c:pt idx="1">
                  <c:v>22.009569377990431</c:v>
                </c:pt>
                <c:pt idx="2">
                  <c:v>15.789473684210526</c:v>
                </c:pt>
                <c:pt idx="3">
                  <c:v>14.354066985645932</c:v>
                </c:pt>
                <c:pt idx="4">
                  <c:v>8.6124401913875595</c:v>
                </c:pt>
                <c:pt idx="5">
                  <c:v>7.6555023923444976</c:v>
                </c:pt>
                <c:pt idx="6">
                  <c:v>3.8277511961722488</c:v>
                </c:pt>
              </c:numCache>
            </c:numRef>
          </c:val>
        </c:ser>
        <c:ser>
          <c:idx val="1"/>
          <c:order val="1"/>
          <c:tx>
            <c:strRef>
              <c:f>'2.2 Eligible Activities'!$B$40</c:f>
              <c:strCache>
                <c:ptCount val="1"/>
                <c:pt idx="0">
                  <c:v>CfC FP</c:v>
                </c:pt>
              </c:strCache>
            </c:strRef>
          </c:tx>
          <c:invertIfNegative val="0"/>
          <c:cat>
            <c:strRef>
              <c:f>'2.2 Eligible Activities'!$C$38:$I$38</c:f>
              <c:strCache>
                <c:ptCount val="7"/>
                <c:pt idx="0">
                  <c:v>R1</c:v>
                </c:pt>
                <c:pt idx="1">
                  <c:v>R2</c:v>
                </c:pt>
                <c:pt idx="2">
                  <c:v>R3</c:v>
                </c:pt>
                <c:pt idx="3">
                  <c:v>R4</c:v>
                </c:pt>
                <c:pt idx="4">
                  <c:v>R5</c:v>
                </c:pt>
                <c:pt idx="5">
                  <c:v>R6</c:v>
                </c:pt>
                <c:pt idx="6">
                  <c:v>Nil</c:v>
                </c:pt>
              </c:strCache>
            </c:strRef>
          </c:cat>
          <c:val>
            <c:numRef>
              <c:f>'2.2 Eligible Activities'!$C$40:$I$40</c:f>
              <c:numCache>
                <c:formatCode>0.0</c:formatCode>
                <c:ptCount val="7"/>
                <c:pt idx="0">
                  <c:v>16</c:v>
                </c:pt>
                <c:pt idx="1">
                  <c:v>30</c:v>
                </c:pt>
                <c:pt idx="2">
                  <c:v>16</c:v>
                </c:pt>
                <c:pt idx="3">
                  <c:v>20</c:v>
                </c:pt>
                <c:pt idx="4">
                  <c:v>14.000000000000002</c:v>
                </c:pt>
                <c:pt idx="5">
                  <c:v>4</c:v>
                </c:pt>
                <c:pt idx="6">
                  <c:v>0</c:v>
                </c:pt>
              </c:numCache>
            </c:numRef>
          </c:val>
        </c:ser>
        <c:ser>
          <c:idx val="2"/>
          <c:order val="2"/>
          <c:tx>
            <c:strRef>
              <c:f>'2.2 Eligible Activities'!$B$41</c:f>
              <c:strCache>
                <c:ptCount val="1"/>
                <c:pt idx="0">
                  <c:v>CfC IPS</c:v>
                </c:pt>
              </c:strCache>
            </c:strRef>
          </c:tx>
          <c:invertIfNegative val="0"/>
          <c:cat>
            <c:strRef>
              <c:f>'2.2 Eligible Activities'!$C$38:$I$38</c:f>
              <c:strCache>
                <c:ptCount val="7"/>
                <c:pt idx="0">
                  <c:v>R1</c:v>
                </c:pt>
                <c:pt idx="1">
                  <c:v>R2</c:v>
                </c:pt>
                <c:pt idx="2">
                  <c:v>R3</c:v>
                </c:pt>
                <c:pt idx="3">
                  <c:v>R4</c:v>
                </c:pt>
                <c:pt idx="4">
                  <c:v>R5</c:v>
                </c:pt>
                <c:pt idx="5">
                  <c:v>R6</c:v>
                </c:pt>
                <c:pt idx="6">
                  <c:v>Nil</c:v>
                </c:pt>
              </c:strCache>
            </c:strRef>
          </c:cat>
          <c:val>
            <c:numRef>
              <c:f>'2.2 Eligible Activities'!$C$41:$I$41</c:f>
              <c:numCache>
                <c:formatCode>0.0</c:formatCode>
                <c:ptCount val="7"/>
                <c:pt idx="0">
                  <c:v>17.307692307692307</c:v>
                </c:pt>
                <c:pt idx="1">
                  <c:v>18.269230769230766</c:v>
                </c:pt>
                <c:pt idx="2">
                  <c:v>18.269230769230766</c:v>
                </c:pt>
                <c:pt idx="3">
                  <c:v>14.423076923076922</c:v>
                </c:pt>
                <c:pt idx="4">
                  <c:v>14.423076923076922</c:v>
                </c:pt>
                <c:pt idx="5">
                  <c:v>8.6538461538461533</c:v>
                </c:pt>
                <c:pt idx="6">
                  <c:v>8.6538461538461533</c:v>
                </c:pt>
              </c:numCache>
            </c:numRef>
          </c:val>
        </c:ser>
        <c:ser>
          <c:idx val="3"/>
          <c:order val="3"/>
          <c:tx>
            <c:strRef>
              <c:f>'2.2 Eligible Activities'!$B$42</c:f>
              <c:strCache>
                <c:ptCount val="1"/>
                <c:pt idx="0">
                  <c:v>All CfC</c:v>
                </c:pt>
              </c:strCache>
            </c:strRef>
          </c:tx>
          <c:invertIfNegative val="0"/>
          <c:cat>
            <c:strRef>
              <c:f>'2.2 Eligible Activities'!$C$38:$I$38</c:f>
              <c:strCache>
                <c:ptCount val="7"/>
                <c:pt idx="0">
                  <c:v>R1</c:v>
                </c:pt>
                <c:pt idx="1">
                  <c:v>R2</c:v>
                </c:pt>
                <c:pt idx="2">
                  <c:v>R3</c:v>
                </c:pt>
                <c:pt idx="3">
                  <c:v>R4</c:v>
                </c:pt>
                <c:pt idx="4">
                  <c:v>R5</c:v>
                </c:pt>
                <c:pt idx="5">
                  <c:v>R6</c:v>
                </c:pt>
                <c:pt idx="6">
                  <c:v>Nil</c:v>
                </c:pt>
              </c:strCache>
            </c:strRef>
          </c:cat>
          <c:val>
            <c:numRef>
              <c:f>'2.2 Eligible Activities'!$C$42:$I$42</c:f>
              <c:numCache>
                <c:formatCode>0.0</c:formatCode>
                <c:ptCount val="7"/>
                <c:pt idx="0">
                  <c:v>23.140495867768596</c:v>
                </c:pt>
                <c:pt idx="1">
                  <c:v>22.03856749311295</c:v>
                </c:pt>
                <c:pt idx="2">
                  <c:v>16.528925619834713</c:v>
                </c:pt>
                <c:pt idx="3">
                  <c:v>15.151515151515152</c:v>
                </c:pt>
                <c:pt idx="4">
                  <c:v>11.019283746556475</c:v>
                </c:pt>
                <c:pt idx="5">
                  <c:v>7.4380165289256199</c:v>
                </c:pt>
                <c:pt idx="6">
                  <c:v>4.6831955922865012</c:v>
                </c:pt>
              </c:numCache>
            </c:numRef>
          </c:val>
        </c:ser>
        <c:dLbls>
          <c:showLegendKey val="0"/>
          <c:showVal val="0"/>
          <c:showCatName val="0"/>
          <c:showSerName val="0"/>
          <c:showPercent val="0"/>
          <c:showBubbleSize val="0"/>
        </c:dLbls>
        <c:gapWidth val="150"/>
        <c:axId val="240532096"/>
        <c:axId val="244163328"/>
      </c:barChart>
      <c:catAx>
        <c:axId val="240532096"/>
        <c:scaling>
          <c:orientation val="minMax"/>
        </c:scaling>
        <c:delete val="0"/>
        <c:axPos val="b"/>
        <c:title>
          <c:tx>
            <c:rich>
              <a:bodyPr/>
              <a:lstStyle/>
              <a:p>
                <a:pPr>
                  <a:defRPr/>
                </a:pPr>
                <a:r>
                  <a:rPr lang="en-US"/>
                  <a:t>Rank</a:t>
                </a:r>
              </a:p>
            </c:rich>
          </c:tx>
          <c:overlay val="0"/>
        </c:title>
        <c:majorTickMark val="out"/>
        <c:minorTickMark val="none"/>
        <c:tickLblPos val="nextTo"/>
        <c:crossAx val="244163328"/>
        <c:crosses val="autoZero"/>
        <c:auto val="1"/>
        <c:lblAlgn val="ctr"/>
        <c:lblOffset val="100"/>
        <c:noMultiLvlLbl val="0"/>
      </c:catAx>
      <c:valAx>
        <c:axId val="244163328"/>
        <c:scaling>
          <c:orientation val="minMax"/>
          <c:max val="50"/>
        </c:scaling>
        <c:delete val="0"/>
        <c:axPos val="l"/>
        <c:numFmt formatCode="0.0" sourceLinked="1"/>
        <c:majorTickMark val="out"/>
        <c:minorTickMark val="none"/>
        <c:tickLblPos val="nextTo"/>
        <c:crossAx val="24053209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DF658-E848-4A36-B3D7-D5D2B136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12746</Words>
  <Characters>72658</Characters>
  <Application>Microsoft Office Word</Application>
  <DocSecurity>4</DocSecurity>
  <Lines>605</Lines>
  <Paragraphs>170</Paragraphs>
  <ScaleCrop>false</ScaleCrop>
  <HeadingPairs>
    <vt:vector size="2" baseType="variant">
      <vt:variant>
        <vt:lpstr>Title</vt:lpstr>
      </vt:variant>
      <vt:variant>
        <vt:i4>1</vt:i4>
      </vt:variant>
    </vt:vector>
  </HeadingPairs>
  <TitlesOfParts>
    <vt:vector size="1" baseType="lpstr">
      <vt:lpstr>Family Support Program (FSP) 1 July 2011 to 30 June 2012</vt:lpstr>
    </vt:vector>
  </TitlesOfParts>
  <Company>FaHCSIA</Company>
  <LinksUpToDate>false</LinksUpToDate>
  <CharactersWithSpaces>85234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Support Program (FSP) 1 July 2011 to 30 June 2012</dc:title>
  <dc:subject>Family Support Program data 2011 to 2012</dc:subject>
  <dc:creator>family.support.progr@fahcsia.gov.au</dc:creator>
  <cp:keywords>Family Support Program Report 2011-12</cp:keywords>
  <cp:lastModifiedBy>Wetherell, Shayn</cp:lastModifiedBy>
  <cp:revision>2</cp:revision>
  <cp:lastPrinted>2012-11-26T04:08:00Z</cp:lastPrinted>
  <dcterms:created xsi:type="dcterms:W3CDTF">2012-12-18T03:53:00Z</dcterms:created>
  <dcterms:modified xsi:type="dcterms:W3CDTF">2012-12-18T03:53:00Z</dcterms:modified>
</cp:coreProperties>
</file>